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BA1E7" w14:textId="3C8B107F" w:rsidR="00A5120E" w:rsidRPr="00A5120E" w:rsidRDefault="00A5120E" w:rsidP="00AF334B">
      <w:pPr>
        <w:pStyle w:val="AppendixLevel2"/>
        <w:rPr>
          <w:lang w:val="en-GB"/>
        </w:rPr>
      </w:pPr>
      <w:bookmarkStart w:id="0" w:name="_Hlk125895419"/>
      <w:bookmarkEnd w:id="0"/>
    </w:p>
    <w:p w14:paraId="2C4F0099" w14:textId="7490A183" w:rsidR="00A5120E" w:rsidRPr="00597FFB" w:rsidRDefault="00FE7D8A" w:rsidP="006178EB">
      <w:pPr>
        <w:spacing w:after="120" w:line="360" w:lineRule="auto"/>
        <w:contextualSpacing/>
        <w:jc w:val="center"/>
        <w:rPr>
          <w:rFonts w:ascii="Times New Roman" w:eastAsia="SimSun" w:hAnsi="Times New Roman" w:cs="Times New Roman"/>
          <w:b/>
          <w:kern w:val="24"/>
          <w:sz w:val="24"/>
          <w:szCs w:val="24"/>
          <w:lang w:val="en-GB" w:eastAsia="ja-JP"/>
        </w:rPr>
      </w:pPr>
      <w:bookmarkStart w:id="1" w:name="_Hlk23543008"/>
      <w:bookmarkEnd w:id="1"/>
      <w:r w:rsidRPr="00597FFB">
        <w:rPr>
          <w:noProof/>
        </w:rPr>
        <w:drawing>
          <wp:inline distT="0" distB="0" distL="0" distR="0" wp14:anchorId="0650FA5A" wp14:editId="6BA10384">
            <wp:extent cx="3970869" cy="962893"/>
            <wp:effectExtent l="0" t="0" r="0" b="8890"/>
            <wp:docPr id="9" name="Picture 9"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u Dhabi Universit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6234" cy="966619"/>
                    </a:xfrm>
                    <a:prstGeom prst="rect">
                      <a:avLst/>
                    </a:prstGeom>
                    <a:noFill/>
                    <a:ln>
                      <a:noFill/>
                    </a:ln>
                  </pic:spPr>
                </pic:pic>
              </a:graphicData>
            </a:graphic>
          </wp:inline>
        </w:drawing>
      </w:r>
    </w:p>
    <w:p w14:paraId="31F92D55" w14:textId="77777777" w:rsidR="008C7EC8" w:rsidRPr="00597FFB" w:rsidRDefault="008C7EC8" w:rsidP="008C7EC8">
      <w:pPr>
        <w:autoSpaceDE w:val="0"/>
        <w:autoSpaceDN w:val="0"/>
        <w:adjustRightInd w:val="0"/>
        <w:jc w:val="center"/>
        <w:rPr>
          <w:rFonts w:ascii="Times New Roman" w:hAnsi="Times New Roman"/>
          <w:b/>
          <w:color w:val="000000" w:themeColor="text1"/>
        </w:rPr>
      </w:pPr>
    </w:p>
    <w:p w14:paraId="1EC0F5F9" w14:textId="5A34ADB7" w:rsidR="008C7EC8" w:rsidRPr="00597FFB" w:rsidRDefault="008C7EC8" w:rsidP="008C7EC8">
      <w:pPr>
        <w:autoSpaceDE w:val="0"/>
        <w:autoSpaceDN w:val="0"/>
        <w:adjustRightInd w:val="0"/>
        <w:jc w:val="center"/>
        <w:rPr>
          <w:rFonts w:ascii="Times New Roman" w:hAnsi="Times New Roman"/>
          <w:b/>
          <w:color w:val="000000" w:themeColor="text1"/>
          <w:sz w:val="24"/>
          <w:szCs w:val="24"/>
        </w:rPr>
      </w:pPr>
      <w:r w:rsidRPr="00597FFB">
        <w:rPr>
          <w:rFonts w:ascii="Times New Roman" w:hAnsi="Times New Roman"/>
          <w:b/>
          <w:color w:val="000000" w:themeColor="text1"/>
          <w:sz w:val="24"/>
          <w:szCs w:val="24"/>
        </w:rPr>
        <w:t>College of Business</w:t>
      </w:r>
    </w:p>
    <w:p w14:paraId="6BA904A1" w14:textId="77777777" w:rsidR="008C7EC8" w:rsidRPr="00597FFB" w:rsidRDefault="008C7EC8" w:rsidP="008C7EC8">
      <w:pPr>
        <w:rPr>
          <w:rFonts w:ascii="Times New Roman" w:hAnsi="Times New Roman"/>
        </w:rPr>
      </w:pPr>
      <w:r w:rsidRPr="00597FFB">
        <w:rPr>
          <w:rFonts w:ascii="Times New Roman" w:hAnsi="Times New Roman"/>
        </w:rPr>
        <w:tab/>
      </w:r>
    </w:p>
    <w:p w14:paraId="55156B95" w14:textId="77777777" w:rsidR="00A5120E" w:rsidRPr="00597FFB" w:rsidRDefault="00A5120E" w:rsidP="000155BA">
      <w:pPr>
        <w:shd w:val="clear" w:color="auto" w:fill="FFFFFF"/>
        <w:spacing w:after="120" w:line="360" w:lineRule="auto"/>
        <w:contextualSpacing/>
        <w:rPr>
          <w:rFonts w:ascii="Times New Roman" w:eastAsia="SimSun" w:hAnsi="Times New Roman" w:cs="Times New Roman"/>
          <w:b/>
          <w:caps/>
          <w:kern w:val="24"/>
          <w:sz w:val="24"/>
          <w:szCs w:val="24"/>
          <w:lang w:val="en-GB" w:eastAsia="ja-JP"/>
        </w:rPr>
      </w:pPr>
    </w:p>
    <w:p w14:paraId="26656A81" w14:textId="72A9341A" w:rsidR="00A5120E" w:rsidRPr="00597FFB" w:rsidRDefault="00AC5FAA" w:rsidP="008C7EC8">
      <w:pPr>
        <w:shd w:val="clear" w:color="auto" w:fill="FFFFFF"/>
        <w:spacing w:after="120" w:line="360" w:lineRule="auto"/>
        <w:contextualSpacing/>
        <w:jc w:val="center"/>
        <w:rPr>
          <w:rFonts w:ascii="Times New Roman" w:eastAsia="Times New Roman" w:hAnsi="Times New Roman" w:cs="Times New Roman"/>
          <w:color w:val="000000"/>
          <w:sz w:val="32"/>
          <w:szCs w:val="32"/>
        </w:rPr>
      </w:pPr>
      <w:r w:rsidRPr="00597FFB">
        <w:rPr>
          <w:rFonts w:ascii="Times New Roman" w:eastAsia="SimSun" w:hAnsi="Times New Roman" w:cs="Times New Roman"/>
          <w:b/>
          <w:bCs/>
          <w:kern w:val="24"/>
          <w:sz w:val="32"/>
          <w:szCs w:val="32"/>
          <w:lang w:eastAsia="ja-JP"/>
        </w:rPr>
        <w:t xml:space="preserve">E-Waste Recycling Behavior </w:t>
      </w:r>
      <w:r w:rsidR="008C7EC8" w:rsidRPr="00597FFB">
        <w:rPr>
          <w:rFonts w:ascii="Times New Roman" w:eastAsia="SimSun" w:hAnsi="Times New Roman" w:cs="Times New Roman"/>
          <w:b/>
          <w:bCs/>
          <w:kern w:val="24"/>
          <w:sz w:val="32"/>
          <w:szCs w:val="32"/>
          <w:lang w:eastAsia="ja-JP"/>
        </w:rPr>
        <w:t>o</w:t>
      </w:r>
      <w:r w:rsidRPr="00597FFB">
        <w:rPr>
          <w:rFonts w:ascii="Times New Roman" w:eastAsia="SimSun" w:hAnsi="Times New Roman" w:cs="Times New Roman"/>
          <w:b/>
          <w:bCs/>
          <w:kern w:val="24"/>
          <w:sz w:val="32"/>
          <w:szCs w:val="32"/>
          <w:lang w:eastAsia="ja-JP"/>
        </w:rPr>
        <w:t xml:space="preserve">f UAE Millennials Based </w:t>
      </w:r>
      <w:r w:rsidR="008C7EC8" w:rsidRPr="00597FFB">
        <w:rPr>
          <w:rFonts w:ascii="Times New Roman" w:eastAsia="SimSun" w:hAnsi="Times New Roman" w:cs="Times New Roman"/>
          <w:b/>
          <w:bCs/>
          <w:kern w:val="24"/>
          <w:sz w:val="32"/>
          <w:szCs w:val="32"/>
          <w:lang w:eastAsia="ja-JP"/>
        </w:rPr>
        <w:t>o</w:t>
      </w:r>
      <w:r w:rsidRPr="00597FFB">
        <w:rPr>
          <w:rFonts w:ascii="Times New Roman" w:eastAsia="SimSun" w:hAnsi="Times New Roman" w:cs="Times New Roman"/>
          <w:b/>
          <w:bCs/>
          <w:kern w:val="24"/>
          <w:sz w:val="32"/>
          <w:szCs w:val="32"/>
          <w:lang w:eastAsia="ja-JP"/>
        </w:rPr>
        <w:t xml:space="preserve">n The Extended Theories </w:t>
      </w:r>
      <w:r w:rsidR="008C7EC8" w:rsidRPr="00597FFB">
        <w:rPr>
          <w:rFonts w:ascii="Times New Roman" w:eastAsia="SimSun" w:hAnsi="Times New Roman" w:cs="Times New Roman"/>
          <w:b/>
          <w:bCs/>
          <w:kern w:val="24"/>
          <w:sz w:val="32"/>
          <w:szCs w:val="32"/>
          <w:lang w:eastAsia="ja-JP"/>
        </w:rPr>
        <w:t>o</w:t>
      </w:r>
      <w:r w:rsidRPr="00597FFB">
        <w:rPr>
          <w:rFonts w:ascii="Times New Roman" w:eastAsia="SimSun" w:hAnsi="Times New Roman" w:cs="Times New Roman"/>
          <w:b/>
          <w:bCs/>
          <w:kern w:val="24"/>
          <w:sz w:val="32"/>
          <w:szCs w:val="32"/>
          <w:lang w:eastAsia="ja-JP"/>
        </w:rPr>
        <w:t xml:space="preserve">f Planned Behavior, Norm Activation Behavior, </w:t>
      </w:r>
      <w:r w:rsidR="008C7EC8" w:rsidRPr="00597FFB">
        <w:rPr>
          <w:rFonts w:ascii="Times New Roman" w:eastAsia="SimSun" w:hAnsi="Times New Roman" w:cs="Times New Roman"/>
          <w:b/>
          <w:bCs/>
          <w:kern w:val="24"/>
          <w:sz w:val="32"/>
          <w:szCs w:val="32"/>
          <w:lang w:eastAsia="ja-JP"/>
        </w:rPr>
        <w:t>a</w:t>
      </w:r>
      <w:r w:rsidRPr="00597FFB">
        <w:rPr>
          <w:rFonts w:ascii="Times New Roman" w:eastAsia="SimSun" w:hAnsi="Times New Roman" w:cs="Times New Roman"/>
          <w:b/>
          <w:bCs/>
          <w:kern w:val="24"/>
          <w:sz w:val="32"/>
          <w:szCs w:val="32"/>
          <w:lang w:eastAsia="ja-JP"/>
        </w:rPr>
        <w:t>nd Protection Motivation</w:t>
      </w:r>
    </w:p>
    <w:p w14:paraId="49B919B0" w14:textId="3F4CE647" w:rsidR="000155BA" w:rsidRPr="00597FFB" w:rsidRDefault="000155BA" w:rsidP="00A5120E">
      <w:pPr>
        <w:shd w:val="clear" w:color="auto" w:fill="FFFFFF"/>
        <w:spacing w:after="120" w:line="360" w:lineRule="auto"/>
        <w:contextualSpacing/>
        <w:jc w:val="center"/>
        <w:rPr>
          <w:rFonts w:ascii="Times New Roman" w:eastAsia="Times New Roman" w:hAnsi="Times New Roman" w:cs="Times New Roman"/>
          <w:color w:val="000000"/>
          <w:sz w:val="24"/>
          <w:szCs w:val="24"/>
          <w:lang w:val="en-GB"/>
        </w:rPr>
      </w:pPr>
    </w:p>
    <w:p w14:paraId="042B07D1" w14:textId="55F6C1E6" w:rsidR="008C7EC8" w:rsidRPr="00597FFB" w:rsidRDefault="008C7EC8" w:rsidP="00A5120E">
      <w:pPr>
        <w:shd w:val="clear" w:color="auto" w:fill="FFFFFF"/>
        <w:spacing w:after="120" w:line="360" w:lineRule="auto"/>
        <w:contextualSpacing/>
        <w:jc w:val="center"/>
        <w:rPr>
          <w:rFonts w:ascii="Times New Roman" w:eastAsia="Times New Roman" w:hAnsi="Times New Roman" w:cs="Times New Roman"/>
          <w:color w:val="000000"/>
          <w:sz w:val="24"/>
          <w:szCs w:val="24"/>
          <w:lang w:val="en-GB"/>
        </w:rPr>
      </w:pPr>
    </w:p>
    <w:p w14:paraId="76796C4B" w14:textId="77777777" w:rsidR="008C7EC8" w:rsidRPr="00597FFB" w:rsidRDefault="008C7EC8" w:rsidP="00A5120E">
      <w:pPr>
        <w:shd w:val="clear" w:color="auto" w:fill="FFFFFF"/>
        <w:spacing w:after="120" w:line="360" w:lineRule="auto"/>
        <w:contextualSpacing/>
        <w:jc w:val="center"/>
        <w:rPr>
          <w:rFonts w:ascii="Times New Roman" w:eastAsia="Times New Roman" w:hAnsi="Times New Roman" w:cs="Times New Roman"/>
          <w:color w:val="000000"/>
          <w:sz w:val="24"/>
          <w:szCs w:val="24"/>
          <w:lang w:val="en-GB"/>
        </w:rPr>
      </w:pPr>
    </w:p>
    <w:p w14:paraId="6C6E6E93" w14:textId="77777777" w:rsidR="000155BA" w:rsidRPr="00597FFB" w:rsidRDefault="000155BA" w:rsidP="000155BA">
      <w:pPr>
        <w:contextualSpacing/>
        <w:jc w:val="center"/>
        <w:rPr>
          <w:rFonts w:ascii="Times New Roman" w:hAnsi="Times New Roman"/>
          <w:b/>
          <w:sz w:val="24"/>
          <w:szCs w:val="24"/>
        </w:rPr>
      </w:pPr>
      <w:r w:rsidRPr="00597FFB">
        <w:rPr>
          <w:rFonts w:ascii="Times New Roman" w:hAnsi="Times New Roman"/>
          <w:b/>
          <w:sz w:val="24"/>
          <w:szCs w:val="24"/>
        </w:rPr>
        <w:t xml:space="preserve">Presented to </w:t>
      </w:r>
    </w:p>
    <w:p w14:paraId="63950146" w14:textId="77777777" w:rsidR="000155BA" w:rsidRPr="00597FFB" w:rsidRDefault="000155BA" w:rsidP="000155BA">
      <w:pPr>
        <w:contextualSpacing/>
        <w:jc w:val="center"/>
        <w:rPr>
          <w:rFonts w:ascii="Times New Roman" w:hAnsi="Times New Roman"/>
          <w:b/>
          <w:sz w:val="24"/>
          <w:szCs w:val="24"/>
        </w:rPr>
      </w:pPr>
      <w:r w:rsidRPr="00597FFB">
        <w:rPr>
          <w:rFonts w:ascii="Times New Roman" w:hAnsi="Times New Roman"/>
          <w:b/>
          <w:sz w:val="24"/>
          <w:szCs w:val="24"/>
        </w:rPr>
        <w:t>The Academic Faculty</w:t>
      </w:r>
    </w:p>
    <w:p w14:paraId="430E30A5" w14:textId="77777777" w:rsidR="008C7EC8" w:rsidRPr="00597FFB" w:rsidRDefault="008C7EC8" w:rsidP="008C7EC8">
      <w:pPr>
        <w:autoSpaceDE w:val="0"/>
        <w:autoSpaceDN w:val="0"/>
        <w:adjustRightInd w:val="0"/>
        <w:spacing w:line="360" w:lineRule="auto"/>
        <w:jc w:val="center"/>
        <w:rPr>
          <w:rFonts w:ascii="Times New Roman" w:eastAsia="Times New Roman" w:hAnsi="Times New Roman"/>
          <w:b/>
          <w:lang w:val="en-GB"/>
        </w:rPr>
      </w:pPr>
    </w:p>
    <w:p w14:paraId="23E02F82" w14:textId="01D77E20" w:rsidR="008C7EC8" w:rsidRPr="00597FFB" w:rsidRDefault="008C7EC8" w:rsidP="008C7EC8">
      <w:pPr>
        <w:autoSpaceDE w:val="0"/>
        <w:autoSpaceDN w:val="0"/>
        <w:adjustRightInd w:val="0"/>
        <w:spacing w:line="360" w:lineRule="auto"/>
        <w:jc w:val="center"/>
        <w:rPr>
          <w:rFonts w:ascii="Times New Roman" w:eastAsia="Times New Roman" w:hAnsi="Times New Roman"/>
          <w:b/>
          <w:sz w:val="24"/>
          <w:szCs w:val="24"/>
          <w:lang w:val="en-GB"/>
        </w:rPr>
      </w:pPr>
      <w:r w:rsidRPr="00597FFB">
        <w:rPr>
          <w:rFonts w:ascii="Times New Roman" w:eastAsia="Times New Roman" w:hAnsi="Times New Roman"/>
          <w:b/>
          <w:sz w:val="24"/>
          <w:szCs w:val="24"/>
          <w:lang w:val="en-GB"/>
        </w:rPr>
        <w:t>By</w:t>
      </w:r>
    </w:p>
    <w:p w14:paraId="001BB1C0" w14:textId="7B506319" w:rsidR="008C7EC8" w:rsidRPr="00597FFB" w:rsidRDefault="008C7EC8" w:rsidP="008C7EC8">
      <w:pPr>
        <w:tabs>
          <w:tab w:val="left" w:pos="2310"/>
          <w:tab w:val="center" w:pos="4680"/>
        </w:tabs>
        <w:autoSpaceDE w:val="0"/>
        <w:autoSpaceDN w:val="0"/>
        <w:adjustRightInd w:val="0"/>
        <w:spacing w:line="360" w:lineRule="auto"/>
        <w:jc w:val="center"/>
        <w:rPr>
          <w:rFonts w:ascii="Times New Roman" w:eastAsia="Times New Roman" w:hAnsi="Times New Roman"/>
          <w:b/>
          <w:sz w:val="24"/>
          <w:szCs w:val="24"/>
          <w:lang w:val="en-GB"/>
        </w:rPr>
      </w:pPr>
      <w:r w:rsidRPr="00597FFB">
        <w:rPr>
          <w:rFonts w:ascii="Times New Roman" w:eastAsia="Times New Roman" w:hAnsi="Times New Roman"/>
          <w:b/>
          <w:sz w:val="24"/>
          <w:szCs w:val="24"/>
          <w:lang w:val="en-GB"/>
        </w:rPr>
        <w:t>Badreya Ghareib Albloushi</w:t>
      </w:r>
    </w:p>
    <w:p w14:paraId="36C9B948" w14:textId="77777777" w:rsidR="008C7EC8" w:rsidRPr="00597FFB" w:rsidRDefault="008C7EC8" w:rsidP="008C7EC8">
      <w:pPr>
        <w:tabs>
          <w:tab w:val="left" w:pos="2310"/>
          <w:tab w:val="center" w:pos="4680"/>
        </w:tabs>
        <w:autoSpaceDE w:val="0"/>
        <w:autoSpaceDN w:val="0"/>
        <w:adjustRightInd w:val="0"/>
        <w:spacing w:line="360" w:lineRule="auto"/>
        <w:rPr>
          <w:rFonts w:ascii="Times New Roman" w:eastAsia="Times New Roman" w:hAnsi="Times New Roman"/>
          <w:b/>
          <w:sz w:val="24"/>
          <w:szCs w:val="24"/>
          <w:lang w:val="en-GB"/>
        </w:rPr>
      </w:pPr>
    </w:p>
    <w:p w14:paraId="73D5C403" w14:textId="77777777" w:rsidR="008C7EC8" w:rsidRPr="00597FFB" w:rsidRDefault="008C7EC8" w:rsidP="008C7EC8">
      <w:pPr>
        <w:contextualSpacing/>
        <w:jc w:val="center"/>
        <w:rPr>
          <w:rFonts w:ascii="Times New Roman" w:hAnsi="Times New Roman"/>
          <w:b/>
          <w:sz w:val="24"/>
          <w:szCs w:val="24"/>
        </w:rPr>
      </w:pPr>
      <w:r w:rsidRPr="00597FFB">
        <w:rPr>
          <w:rFonts w:ascii="Times New Roman" w:hAnsi="Times New Roman"/>
          <w:b/>
          <w:sz w:val="24"/>
          <w:szCs w:val="24"/>
        </w:rPr>
        <w:t>In partial fulfillment</w:t>
      </w:r>
    </w:p>
    <w:p w14:paraId="6ACDA484" w14:textId="77777777" w:rsidR="008C7EC8" w:rsidRPr="00597FFB" w:rsidRDefault="008C7EC8" w:rsidP="008C7EC8">
      <w:pPr>
        <w:contextualSpacing/>
        <w:jc w:val="center"/>
        <w:rPr>
          <w:rFonts w:ascii="Times New Roman" w:hAnsi="Times New Roman"/>
          <w:b/>
          <w:sz w:val="24"/>
          <w:szCs w:val="24"/>
        </w:rPr>
      </w:pPr>
      <w:r w:rsidRPr="00597FFB">
        <w:rPr>
          <w:rFonts w:ascii="Times New Roman" w:hAnsi="Times New Roman"/>
          <w:b/>
          <w:sz w:val="24"/>
          <w:szCs w:val="24"/>
        </w:rPr>
        <w:t>of the requirements for the degree of</w:t>
      </w:r>
    </w:p>
    <w:p w14:paraId="6E2D5EDA" w14:textId="77777777" w:rsidR="008C7EC8" w:rsidRPr="00597FFB" w:rsidRDefault="008C7EC8" w:rsidP="008C7EC8">
      <w:pPr>
        <w:contextualSpacing/>
        <w:jc w:val="center"/>
        <w:rPr>
          <w:rFonts w:ascii="Times New Roman" w:hAnsi="Times New Roman"/>
          <w:b/>
          <w:sz w:val="24"/>
          <w:szCs w:val="24"/>
        </w:rPr>
      </w:pPr>
      <w:r w:rsidRPr="00597FFB">
        <w:rPr>
          <w:rFonts w:ascii="Times New Roman" w:hAnsi="Times New Roman"/>
          <w:b/>
          <w:sz w:val="24"/>
          <w:szCs w:val="24"/>
        </w:rPr>
        <w:t>Doctor of Business Administration</w:t>
      </w:r>
    </w:p>
    <w:p w14:paraId="5D9CB79F" w14:textId="77777777" w:rsidR="008C7EC8" w:rsidRPr="00597FFB" w:rsidRDefault="008C7EC8" w:rsidP="008C7EC8">
      <w:pPr>
        <w:jc w:val="center"/>
        <w:rPr>
          <w:rFonts w:ascii="Times New Roman" w:hAnsi="Times New Roman"/>
          <w:b/>
        </w:rPr>
      </w:pPr>
    </w:p>
    <w:p w14:paraId="603D344A" w14:textId="77777777" w:rsidR="008C7EC8" w:rsidRPr="00597FFB" w:rsidRDefault="008C7EC8" w:rsidP="008C7EC8">
      <w:pPr>
        <w:jc w:val="center"/>
        <w:rPr>
          <w:rFonts w:ascii="Times New Roman" w:hAnsi="Times New Roman"/>
          <w:b/>
          <w:sz w:val="24"/>
          <w:szCs w:val="24"/>
        </w:rPr>
      </w:pPr>
    </w:p>
    <w:p w14:paraId="72DE7426" w14:textId="60BB28E0" w:rsidR="008C7EC8" w:rsidRPr="00597FFB" w:rsidRDefault="008C7EC8" w:rsidP="008C7EC8">
      <w:pPr>
        <w:jc w:val="center"/>
        <w:rPr>
          <w:rFonts w:ascii="Times New Roman" w:hAnsi="Times New Roman"/>
          <w:b/>
          <w:sz w:val="24"/>
          <w:szCs w:val="24"/>
        </w:rPr>
      </w:pPr>
      <w:r w:rsidRPr="00597FFB">
        <w:rPr>
          <w:rFonts w:ascii="Times New Roman" w:hAnsi="Times New Roman"/>
          <w:b/>
          <w:sz w:val="24"/>
          <w:szCs w:val="24"/>
        </w:rPr>
        <w:t>College of Business</w:t>
      </w:r>
    </w:p>
    <w:p w14:paraId="6B63973B" w14:textId="77777777" w:rsidR="008C7EC8" w:rsidRPr="00597FFB" w:rsidRDefault="008C7EC8" w:rsidP="008C7EC8">
      <w:pPr>
        <w:jc w:val="center"/>
        <w:rPr>
          <w:rFonts w:ascii="Times New Roman" w:hAnsi="Times New Roman"/>
          <w:b/>
          <w:sz w:val="24"/>
          <w:szCs w:val="24"/>
        </w:rPr>
      </w:pPr>
    </w:p>
    <w:p w14:paraId="5B1ABA0F" w14:textId="26357203" w:rsidR="008C7EC8" w:rsidRPr="00597FFB" w:rsidRDefault="008C7EC8" w:rsidP="008C7EC8">
      <w:pPr>
        <w:jc w:val="center"/>
        <w:rPr>
          <w:rFonts w:ascii="Times New Roman" w:hAnsi="Times New Roman"/>
          <w:b/>
          <w:sz w:val="24"/>
          <w:szCs w:val="24"/>
        </w:rPr>
      </w:pPr>
      <w:r w:rsidRPr="00597FFB">
        <w:rPr>
          <w:rFonts w:ascii="Times New Roman" w:hAnsi="Times New Roman"/>
          <w:b/>
          <w:sz w:val="24"/>
          <w:szCs w:val="24"/>
        </w:rPr>
        <w:t>Abu Dhabi University</w:t>
      </w:r>
    </w:p>
    <w:p w14:paraId="2B60ACCA" w14:textId="19645181" w:rsidR="008C7EC8" w:rsidRPr="00597FFB" w:rsidRDefault="008C7EC8" w:rsidP="008C7EC8">
      <w:pPr>
        <w:jc w:val="center"/>
        <w:rPr>
          <w:rFonts w:ascii="Times New Roman" w:hAnsi="Times New Roman"/>
          <w:b/>
          <w:sz w:val="24"/>
          <w:szCs w:val="24"/>
        </w:rPr>
      </w:pPr>
      <w:r w:rsidRPr="00597FFB">
        <w:rPr>
          <w:rFonts w:ascii="Times New Roman" w:hAnsi="Times New Roman"/>
          <w:b/>
          <w:sz w:val="24"/>
          <w:szCs w:val="24"/>
        </w:rPr>
        <w:t>2023</w:t>
      </w:r>
    </w:p>
    <w:p w14:paraId="34D3192A" w14:textId="5EF246BE" w:rsidR="000155BA" w:rsidRPr="00597FFB" w:rsidRDefault="000155BA" w:rsidP="000155BA"/>
    <w:p w14:paraId="7E2D18C7" w14:textId="77777777" w:rsidR="00237245" w:rsidRPr="00597FFB" w:rsidRDefault="00237245" w:rsidP="00237245">
      <w:pPr>
        <w:widowControl w:val="0"/>
        <w:tabs>
          <w:tab w:val="left" w:pos="2542"/>
        </w:tabs>
        <w:autoSpaceDE w:val="0"/>
        <w:autoSpaceDN w:val="0"/>
        <w:adjustRightInd w:val="0"/>
        <w:spacing w:after="10" w:line="360" w:lineRule="auto"/>
        <w:ind w:right="29"/>
        <w:rPr>
          <w:rFonts w:ascii="Times New Roman" w:eastAsia="Times New Roman" w:hAnsi="Times New Roman" w:cs="Times New Roman"/>
          <w:sz w:val="24"/>
          <w:szCs w:val="24"/>
        </w:rPr>
      </w:pPr>
    </w:p>
    <w:p w14:paraId="16DD9433" w14:textId="16876C47" w:rsidR="00237245" w:rsidRPr="00597FFB" w:rsidRDefault="00AC5FAA" w:rsidP="00FD530D">
      <w:pPr>
        <w:widowControl w:val="0"/>
        <w:autoSpaceDE w:val="0"/>
        <w:autoSpaceDN w:val="0"/>
        <w:adjustRightInd w:val="0"/>
        <w:spacing w:after="10" w:line="360" w:lineRule="auto"/>
        <w:ind w:right="29"/>
        <w:jc w:val="center"/>
        <w:rPr>
          <w:rFonts w:ascii="Times New Roman" w:eastAsia="Times New Roman" w:hAnsi="Times New Roman" w:cs="Times New Roman"/>
          <w:sz w:val="28"/>
          <w:szCs w:val="28"/>
        </w:rPr>
      </w:pPr>
      <w:r w:rsidRPr="00597FFB">
        <w:rPr>
          <w:rFonts w:ascii="Times New Roman" w:eastAsia="Calibri" w:hAnsi="Times New Roman" w:cs="Times New Roman"/>
          <w:b/>
          <w:bCs/>
          <w:color w:val="000000"/>
          <w:sz w:val="28"/>
          <w:szCs w:val="28"/>
        </w:rPr>
        <w:t xml:space="preserve">E-Waste Recycling Behavior </w:t>
      </w:r>
      <w:r w:rsidR="00DB2147" w:rsidRPr="00597FFB">
        <w:rPr>
          <w:rFonts w:ascii="Times New Roman" w:eastAsia="Calibri" w:hAnsi="Times New Roman" w:cs="Times New Roman"/>
          <w:b/>
          <w:bCs/>
          <w:color w:val="000000"/>
          <w:sz w:val="28"/>
          <w:szCs w:val="28"/>
        </w:rPr>
        <w:t>o</w:t>
      </w:r>
      <w:r w:rsidRPr="00597FFB">
        <w:rPr>
          <w:rFonts w:ascii="Times New Roman" w:eastAsia="Calibri" w:hAnsi="Times New Roman" w:cs="Times New Roman"/>
          <w:b/>
          <w:bCs/>
          <w:color w:val="000000"/>
          <w:sz w:val="28"/>
          <w:szCs w:val="28"/>
        </w:rPr>
        <w:t xml:space="preserve">f UAE Millennials Based </w:t>
      </w:r>
      <w:r w:rsidR="00DB2147" w:rsidRPr="00597FFB">
        <w:rPr>
          <w:rFonts w:ascii="Times New Roman" w:eastAsia="Calibri" w:hAnsi="Times New Roman" w:cs="Times New Roman"/>
          <w:b/>
          <w:bCs/>
          <w:color w:val="000000"/>
          <w:sz w:val="28"/>
          <w:szCs w:val="28"/>
        </w:rPr>
        <w:t>o</w:t>
      </w:r>
      <w:r w:rsidRPr="00597FFB">
        <w:rPr>
          <w:rFonts w:ascii="Times New Roman" w:eastAsia="Calibri" w:hAnsi="Times New Roman" w:cs="Times New Roman"/>
          <w:b/>
          <w:bCs/>
          <w:color w:val="000000"/>
          <w:sz w:val="28"/>
          <w:szCs w:val="28"/>
        </w:rPr>
        <w:t xml:space="preserve">n The Extended Theories </w:t>
      </w:r>
      <w:r w:rsidR="00DB2147" w:rsidRPr="00597FFB">
        <w:rPr>
          <w:rFonts w:ascii="Times New Roman" w:eastAsia="Calibri" w:hAnsi="Times New Roman" w:cs="Times New Roman"/>
          <w:b/>
          <w:bCs/>
          <w:color w:val="000000"/>
          <w:sz w:val="28"/>
          <w:szCs w:val="28"/>
        </w:rPr>
        <w:t>o</w:t>
      </w:r>
      <w:r w:rsidRPr="00597FFB">
        <w:rPr>
          <w:rFonts w:ascii="Times New Roman" w:eastAsia="Calibri" w:hAnsi="Times New Roman" w:cs="Times New Roman"/>
          <w:b/>
          <w:bCs/>
          <w:color w:val="000000"/>
          <w:sz w:val="28"/>
          <w:szCs w:val="28"/>
        </w:rPr>
        <w:t xml:space="preserve">f Planned Behavior, Norm Activation Behavior, </w:t>
      </w:r>
      <w:r w:rsidR="00DB2147" w:rsidRPr="00597FFB">
        <w:rPr>
          <w:rFonts w:ascii="Times New Roman" w:eastAsia="Calibri" w:hAnsi="Times New Roman" w:cs="Times New Roman"/>
          <w:b/>
          <w:bCs/>
          <w:color w:val="000000"/>
          <w:sz w:val="28"/>
          <w:szCs w:val="28"/>
        </w:rPr>
        <w:t>a</w:t>
      </w:r>
      <w:r w:rsidRPr="00597FFB">
        <w:rPr>
          <w:rFonts w:ascii="Times New Roman" w:eastAsia="Calibri" w:hAnsi="Times New Roman" w:cs="Times New Roman"/>
          <w:b/>
          <w:bCs/>
          <w:color w:val="000000"/>
          <w:sz w:val="28"/>
          <w:szCs w:val="28"/>
        </w:rPr>
        <w:t>nd Protection Motivation</w:t>
      </w:r>
    </w:p>
    <w:p w14:paraId="4D8B2A04" w14:textId="77777777" w:rsidR="00A5120E" w:rsidRPr="00597FFB" w:rsidRDefault="00A5120E" w:rsidP="00F60109">
      <w:pPr>
        <w:widowControl w:val="0"/>
        <w:autoSpaceDE w:val="0"/>
        <w:autoSpaceDN w:val="0"/>
        <w:adjustRightInd w:val="0"/>
        <w:spacing w:after="10" w:line="360" w:lineRule="auto"/>
        <w:ind w:right="29"/>
        <w:jc w:val="right"/>
        <w:rPr>
          <w:rFonts w:ascii="Times New Roman" w:eastAsia="Times New Roman" w:hAnsi="Times New Roman" w:cs="Times New Roman"/>
          <w:sz w:val="24"/>
          <w:szCs w:val="24"/>
        </w:rPr>
      </w:pPr>
    </w:p>
    <w:p w14:paraId="65A6D9DF" w14:textId="77777777" w:rsidR="005B0B5A" w:rsidRPr="00597FFB" w:rsidRDefault="005B0B5A" w:rsidP="00F60109">
      <w:pPr>
        <w:widowControl w:val="0"/>
        <w:autoSpaceDE w:val="0"/>
        <w:autoSpaceDN w:val="0"/>
        <w:adjustRightInd w:val="0"/>
        <w:spacing w:after="10" w:line="360" w:lineRule="auto"/>
        <w:ind w:right="29"/>
        <w:jc w:val="right"/>
        <w:rPr>
          <w:rFonts w:ascii="Times New Roman" w:eastAsia="Times New Roman" w:hAnsi="Times New Roman" w:cs="Times New Roman"/>
          <w:sz w:val="24"/>
          <w:szCs w:val="24"/>
        </w:rPr>
      </w:pPr>
    </w:p>
    <w:p w14:paraId="41DBA8BE" w14:textId="77777777" w:rsidR="005B0B5A" w:rsidRPr="00597FFB" w:rsidRDefault="005B0B5A" w:rsidP="00F51675">
      <w:pPr>
        <w:widowControl w:val="0"/>
        <w:autoSpaceDE w:val="0"/>
        <w:autoSpaceDN w:val="0"/>
        <w:adjustRightInd w:val="0"/>
        <w:spacing w:after="10" w:line="360" w:lineRule="auto"/>
        <w:ind w:right="29"/>
        <w:jc w:val="center"/>
        <w:rPr>
          <w:rFonts w:ascii="Times New Roman" w:eastAsia="Times New Roman" w:hAnsi="Times New Roman" w:cs="Times New Roman"/>
          <w:sz w:val="24"/>
          <w:szCs w:val="24"/>
        </w:rPr>
      </w:pPr>
    </w:p>
    <w:p w14:paraId="6ED7ABD9" w14:textId="77777777" w:rsidR="00A5120E" w:rsidRPr="00597FFB" w:rsidRDefault="00A5120E" w:rsidP="00F60109">
      <w:pPr>
        <w:widowControl w:val="0"/>
        <w:autoSpaceDE w:val="0"/>
        <w:autoSpaceDN w:val="0"/>
        <w:adjustRightInd w:val="0"/>
        <w:spacing w:after="10" w:line="360"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________________________</w:t>
      </w:r>
    </w:p>
    <w:p w14:paraId="4DF42F31" w14:textId="5ED96334" w:rsidR="00090838" w:rsidRPr="00597FFB" w:rsidRDefault="00090838" w:rsidP="00090838">
      <w:pPr>
        <w:widowControl w:val="0"/>
        <w:autoSpaceDE w:val="0"/>
        <w:autoSpaceDN w:val="0"/>
        <w:adjustRightInd w:val="0"/>
        <w:spacing w:after="0" w:line="360" w:lineRule="auto"/>
        <w:ind w:right="29"/>
        <w:jc w:val="right"/>
        <w:rPr>
          <w:rFonts w:ascii="Times New Roman" w:eastAsia="Times New Roman" w:hAnsi="Times New Roman" w:cs="Times New Roman"/>
          <w:b/>
          <w:bCs/>
          <w:sz w:val="24"/>
          <w:szCs w:val="24"/>
          <w:lang w:val="en-GB"/>
        </w:rPr>
      </w:pPr>
      <w:bookmarkStart w:id="2" w:name="_Hlk125885883"/>
      <w:r w:rsidRPr="00597FFB">
        <w:rPr>
          <w:rFonts w:ascii="Times New Roman" w:eastAsia="Times New Roman" w:hAnsi="Times New Roman" w:cs="Times New Roman"/>
          <w:b/>
          <w:bCs/>
          <w:sz w:val="24"/>
          <w:szCs w:val="24"/>
          <w:lang w:val="en-GB"/>
        </w:rPr>
        <w:t>Badreya Albloushi</w:t>
      </w:r>
      <w:r w:rsidR="005B0B5A" w:rsidRPr="00597FFB">
        <w:rPr>
          <w:rFonts w:ascii="Times New Roman" w:eastAsia="Times New Roman" w:hAnsi="Times New Roman" w:cs="Times New Roman"/>
          <w:b/>
          <w:bCs/>
          <w:sz w:val="24"/>
          <w:szCs w:val="24"/>
          <w:lang w:val="en-GB"/>
        </w:rPr>
        <w:t xml:space="preserve"> 1066622</w:t>
      </w:r>
    </w:p>
    <w:bookmarkEnd w:id="2"/>
    <w:p w14:paraId="5747E484" w14:textId="77777777" w:rsidR="006178EB" w:rsidRPr="00597FFB" w:rsidRDefault="006178EB" w:rsidP="00C03DD7">
      <w:pPr>
        <w:widowControl w:val="0"/>
        <w:autoSpaceDE w:val="0"/>
        <w:autoSpaceDN w:val="0"/>
        <w:adjustRightInd w:val="0"/>
        <w:spacing w:after="0" w:line="360" w:lineRule="auto"/>
        <w:ind w:right="29"/>
        <w:rPr>
          <w:rFonts w:ascii="Times New Roman" w:eastAsia="Times New Roman" w:hAnsi="Times New Roman" w:cs="Times New Roman"/>
          <w:b/>
          <w:sz w:val="24"/>
          <w:szCs w:val="24"/>
        </w:rPr>
      </w:pPr>
    </w:p>
    <w:p w14:paraId="7C167D6E" w14:textId="26ED68EC" w:rsidR="00A5120E" w:rsidRPr="00597FFB" w:rsidRDefault="00A5120E" w:rsidP="00F60109">
      <w:pPr>
        <w:widowControl w:val="0"/>
        <w:autoSpaceDE w:val="0"/>
        <w:autoSpaceDN w:val="0"/>
        <w:adjustRightInd w:val="0"/>
        <w:spacing w:after="0" w:line="360"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b/>
          <w:sz w:val="24"/>
          <w:szCs w:val="24"/>
        </w:rPr>
        <w:t>A</w:t>
      </w:r>
      <w:r w:rsidR="00FE1028" w:rsidRPr="00597FFB">
        <w:rPr>
          <w:rFonts w:ascii="Times New Roman" w:eastAsia="Times New Roman" w:hAnsi="Times New Roman" w:cs="Times New Roman"/>
          <w:b/>
          <w:sz w:val="24"/>
          <w:szCs w:val="24"/>
        </w:rPr>
        <w:t>pproved</w:t>
      </w:r>
      <w:r w:rsidRPr="00597FFB">
        <w:rPr>
          <w:rFonts w:ascii="Times New Roman" w:eastAsia="Times New Roman" w:hAnsi="Times New Roman" w:cs="Times New Roman"/>
          <w:b/>
          <w:sz w:val="24"/>
          <w:szCs w:val="24"/>
        </w:rPr>
        <w:t>:</w:t>
      </w:r>
    </w:p>
    <w:p w14:paraId="1087F415" w14:textId="77777777" w:rsidR="00D627A9" w:rsidRPr="00597FFB" w:rsidRDefault="00D627A9" w:rsidP="00FE1028">
      <w:pPr>
        <w:widowControl w:val="0"/>
        <w:autoSpaceDE w:val="0"/>
        <w:autoSpaceDN w:val="0"/>
        <w:adjustRightInd w:val="0"/>
        <w:spacing w:after="0" w:line="360" w:lineRule="auto"/>
        <w:ind w:right="29"/>
        <w:rPr>
          <w:rFonts w:ascii="Times New Roman" w:eastAsia="Times New Roman" w:hAnsi="Times New Roman" w:cs="Times New Roman"/>
          <w:sz w:val="24"/>
          <w:szCs w:val="24"/>
        </w:rPr>
      </w:pPr>
    </w:p>
    <w:p w14:paraId="395D153F" w14:textId="0E81844C" w:rsidR="00A5120E" w:rsidRPr="00597FFB" w:rsidRDefault="00A5120E" w:rsidP="00F60109">
      <w:pPr>
        <w:widowControl w:val="0"/>
        <w:autoSpaceDE w:val="0"/>
        <w:autoSpaceDN w:val="0"/>
        <w:adjustRightInd w:val="0"/>
        <w:spacing w:after="0" w:line="360"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b/>
          <w:sz w:val="24"/>
          <w:szCs w:val="24"/>
        </w:rPr>
        <w:t>_________________</w:t>
      </w:r>
      <w:r w:rsidR="00F60109" w:rsidRPr="00597FFB">
        <w:rPr>
          <w:rFonts w:ascii="Times New Roman" w:eastAsia="Times New Roman" w:hAnsi="Times New Roman" w:cs="Times New Roman"/>
          <w:b/>
          <w:sz w:val="24"/>
          <w:szCs w:val="24"/>
        </w:rPr>
        <w:t>_____</w:t>
      </w:r>
    </w:p>
    <w:p w14:paraId="4304F611" w14:textId="7856967E" w:rsidR="00A5120E" w:rsidRPr="00597FFB" w:rsidRDefault="00F60109" w:rsidP="00D627A9">
      <w:pPr>
        <w:widowControl w:val="0"/>
        <w:tabs>
          <w:tab w:val="center" w:pos="386"/>
          <w:tab w:val="right" w:pos="9088"/>
        </w:tabs>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 xml:space="preserve">Dr. </w:t>
      </w:r>
      <w:r w:rsidR="00090838" w:rsidRPr="00597FFB">
        <w:rPr>
          <w:rFonts w:ascii="Times New Roman" w:eastAsia="Times New Roman" w:hAnsi="Times New Roman" w:cs="Times New Roman"/>
          <w:sz w:val="24"/>
          <w:szCs w:val="24"/>
        </w:rPr>
        <w:t>Syed Zamberi Bin Ahmad</w:t>
      </w:r>
    </w:p>
    <w:p w14:paraId="535825EF" w14:textId="2A3BE1EE" w:rsidR="00090838" w:rsidRPr="00597FFB" w:rsidRDefault="00F60109" w:rsidP="00D627A9">
      <w:pPr>
        <w:widowControl w:val="0"/>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Professor</w:t>
      </w:r>
      <w:r w:rsidR="00090838" w:rsidRPr="00597FFB">
        <w:rPr>
          <w:rFonts w:ascii="Times New Roman" w:eastAsia="Times New Roman" w:hAnsi="Times New Roman" w:cs="Times New Roman"/>
          <w:sz w:val="24"/>
          <w:szCs w:val="24"/>
        </w:rPr>
        <w:t xml:space="preserve"> of Management and Director of DBA Program</w:t>
      </w:r>
      <w:r w:rsidRPr="00597FFB">
        <w:rPr>
          <w:rFonts w:ascii="Times New Roman" w:eastAsia="Times New Roman" w:hAnsi="Times New Roman" w:cs="Times New Roman"/>
          <w:sz w:val="24"/>
          <w:szCs w:val="24"/>
        </w:rPr>
        <w:t>,</w:t>
      </w:r>
    </w:p>
    <w:p w14:paraId="3060BE65" w14:textId="340F8B1A" w:rsidR="00A5120E" w:rsidRPr="00597FFB" w:rsidRDefault="00F60109" w:rsidP="00D627A9">
      <w:pPr>
        <w:widowControl w:val="0"/>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 xml:space="preserve"> College of Business</w:t>
      </w:r>
    </w:p>
    <w:p w14:paraId="0A7508D4" w14:textId="77777777" w:rsidR="00A5120E" w:rsidRPr="00597FFB" w:rsidRDefault="00F60109" w:rsidP="00D627A9">
      <w:pPr>
        <w:widowControl w:val="0"/>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Abu Dhabi University</w:t>
      </w:r>
    </w:p>
    <w:p w14:paraId="7F92D949" w14:textId="077B4B13" w:rsidR="00A5120E" w:rsidRPr="00597FFB" w:rsidRDefault="00A5120E" w:rsidP="00D627A9">
      <w:pPr>
        <w:widowControl w:val="0"/>
        <w:tabs>
          <w:tab w:val="center" w:pos="386"/>
          <w:tab w:val="right" w:pos="9088"/>
        </w:tabs>
        <w:autoSpaceDE w:val="0"/>
        <w:autoSpaceDN w:val="0"/>
        <w:adjustRightInd w:val="0"/>
        <w:spacing w:after="0" w:line="276" w:lineRule="auto"/>
        <w:ind w:right="29"/>
        <w:jc w:val="right"/>
        <w:rPr>
          <w:rFonts w:ascii="Times New Roman" w:eastAsia="Times New Roman" w:hAnsi="Times New Roman" w:cs="Times New Roman"/>
          <w:sz w:val="24"/>
          <w:szCs w:val="24"/>
        </w:rPr>
      </w:pPr>
      <w:r w:rsidRPr="00597FFB">
        <w:rPr>
          <w:rFonts w:ascii="Calibri" w:eastAsia="Calibri" w:hAnsi="Calibri" w:cs="Calibri"/>
          <w:sz w:val="24"/>
          <w:szCs w:val="24"/>
        </w:rPr>
        <w:tab/>
      </w:r>
      <w:r w:rsidRPr="00597FFB">
        <w:rPr>
          <w:rFonts w:ascii="Times New Roman" w:eastAsia="Times New Roman" w:hAnsi="Times New Roman" w:cs="Times New Roman"/>
          <w:sz w:val="24"/>
          <w:szCs w:val="24"/>
        </w:rPr>
        <w:t>Committee Chair</w:t>
      </w:r>
    </w:p>
    <w:p w14:paraId="2E223B0B" w14:textId="77777777" w:rsidR="00D627A9" w:rsidRPr="00597FFB" w:rsidRDefault="00D627A9" w:rsidP="00C03DD7">
      <w:pPr>
        <w:widowControl w:val="0"/>
        <w:tabs>
          <w:tab w:val="center" w:pos="386"/>
          <w:tab w:val="right" w:pos="9088"/>
        </w:tabs>
        <w:autoSpaceDE w:val="0"/>
        <w:autoSpaceDN w:val="0"/>
        <w:adjustRightInd w:val="0"/>
        <w:spacing w:after="0" w:line="360" w:lineRule="auto"/>
        <w:ind w:right="29"/>
        <w:jc w:val="right"/>
        <w:rPr>
          <w:rFonts w:ascii="Times New Roman" w:eastAsia="Times New Roman" w:hAnsi="Times New Roman" w:cs="Times New Roman"/>
          <w:sz w:val="24"/>
          <w:szCs w:val="24"/>
        </w:rPr>
      </w:pPr>
    </w:p>
    <w:p w14:paraId="1A1EF4E4" w14:textId="77777777" w:rsidR="00D627A9" w:rsidRPr="00597FFB" w:rsidRDefault="00D627A9" w:rsidP="00C03DD7">
      <w:pPr>
        <w:widowControl w:val="0"/>
        <w:tabs>
          <w:tab w:val="center" w:pos="386"/>
          <w:tab w:val="right" w:pos="9088"/>
        </w:tabs>
        <w:autoSpaceDE w:val="0"/>
        <w:autoSpaceDN w:val="0"/>
        <w:adjustRightInd w:val="0"/>
        <w:spacing w:after="0" w:line="360" w:lineRule="auto"/>
        <w:ind w:right="29"/>
        <w:jc w:val="right"/>
        <w:rPr>
          <w:rFonts w:ascii="Times New Roman" w:eastAsia="Times New Roman" w:hAnsi="Times New Roman" w:cs="Times New Roman"/>
          <w:sz w:val="24"/>
          <w:szCs w:val="24"/>
        </w:rPr>
      </w:pPr>
    </w:p>
    <w:p w14:paraId="512F1F1B" w14:textId="37BCD153" w:rsidR="00C03DD7" w:rsidRPr="00597FFB" w:rsidRDefault="00F60109" w:rsidP="00D627A9">
      <w:pPr>
        <w:widowControl w:val="0"/>
        <w:autoSpaceDE w:val="0"/>
        <w:autoSpaceDN w:val="0"/>
        <w:adjustRightInd w:val="0"/>
        <w:spacing w:after="0" w:line="360" w:lineRule="auto"/>
        <w:ind w:right="46"/>
        <w:jc w:val="right"/>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_______________________</w:t>
      </w:r>
    </w:p>
    <w:p w14:paraId="7B892120" w14:textId="536293E4" w:rsidR="00A5120E" w:rsidRPr="00597FFB" w:rsidRDefault="00F60109" w:rsidP="00D627A9">
      <w:pPr>
        <w:widowControl w:val="0"/>
        <w:tabs>
          <w:tab w:val="center" w:pos="386"/>
          <w:tab w:val="right" w:pos="9088"/>
        </w:tabs>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 xml:space="preserve">Dr. </w:t>
      </w:r>
      <w:r w:rsidR="00090838" w:rsidRPr="00597FFB">
        <w:rPr>
          <w:rFonts w:ascii="Times New Roman" w:eastAsia="Times New Roman" w:hAnsi="Times New Roman" w:cs="Times New Roman"/>
          <w:sz w:val="24"/>
          <w:szCs w:val="24"/>
        </w:rPr>
        <w:t>Matloub Hussain</w:t>
      </w:r>
    </w:p>
    <w:p w14:paraId="56C8B45F" w14:textId="341F641F" w:rsidR="00A5120E" w:rsidRPr="00597FFB" w:rsidRDefault="00F60109" w:rsidP="00D627A9">
      <w:pPr>
        <w:widowControl w:val="0"/>
        <w:tabs>
          <w:tab w:val="center" w:pos="386"/>
          <w:tab w:val="right" w:pos="9088"/>
        </w:tabs>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Professor, College of Business</w:t>
      </w:r>
      <w:r w:rsidR="00090838" w:rsidRPr="00597FFB">
        <w:rPr>
          <w:rFonts w:ascii="Calibri" w:hAnsi="Calibri"/>
          <w:color w:val="000001"/>
          <w:sz w:val="20"/>
          <w:szCs w:val="20"/>
          <w:shd w:val="clear" w:color="auto" w:fill="FFFFFF"/>
        </w:rPr>
        <w:t xml:space="preserve"> </w:t>
      </w:r>
      <w:r w:rsidR="00090838" w:rsidRPr="00597FFB">
        <w:rPr>
          <w:rFonts w:ascii="Times New Roman" w:eastAsia="Times New Roman" w:hAnsi="Times New Roman" w:cs="Times New Roman"/>
          <w:sz w:val="24"/>
          <w:szCs w:val="24"/>
        </w:rPr>
        <w:t xml:space="preserve">Administration </w:t>
      </w:r>
    </w:p>
    <w:p w14:paraId="6CBC8224" w14:textId="1BE12715" w:rsidR="00A5120E" w:rsidRPr="00597FFB" w:rsidRDefault="00090838" w:rsidP="00D627A9">
      <w:pPr>
        <w:widowControl w:val="0"/>
        <w:tabs>
          <w:tab w:val="center" w:pos="386"/>
          <w:tab w:val="right" w:pos="9088"/>
        </w:tabs>
        <w:autoSpaceDE w:val="0"/>
        <w:autoSpaceDN w:val="0"/>
        <w:adjustRightInd w:val="0"/>
        <w:spacing w:after="10" w:line="276" w:lineRule="auto"/>
        <w:ind w:right="29"/>
        <w:jc w:val="right"/>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Sharjah</w:t>
      </w:r>
      <w:r w:rsidR="00F60109" w:rsidRPr="00597FFB">
        <w:rPr>
          <w:rFonts w:ascii="Times New Roman" w:eastAsia="Times New Roman" w:hAnsi="Times New Roman" w:cs="Times New Roman"/>
          <w:sz w:val="24"/>
          <w:szCs w:val="24"/>
        </w:rPr>
        <w:t xml:space="preserve"> University</w:t>
      </w:r>
    </w:p>
    <w:p w14:paraId="16D992EC" w14:textId="27A51C02" w:rsidR="00A5120E" w:rsidRPr="00597FFB" w:rsidRDefault="00A5120E" w:rsidP="00D627A9">
      <w:pPr>
        <w:widowControl w:val="0"/>
        <w:tabs>
          <w:tab w:val="center" w:pos="386"/>
          <w:tab w:val="right" w:pos="9088"/>
        </w:tabs>
        <w:autoSpaceDE w:val="0"/>
        <w:autoSpaceDN w:val="0"/>
        <w:adjustRightInd w:val="0"/>
        <w:spacing w:after="10" w:line="276" w:lineRule="auto"/>
        <w:ind w:right="29"/>
        <w:jc w:val="right"/>
        <w:rPr>
          <w:rFonts w:ascii="Times New Roman" w:eastAsia="Times New Roman" w:hAnsi="Times New Roman" w:cs="Times New Roman"/>
          <w:color w:val="000000"/>
          <w:sz w:val="24"/>
          <w:szCs w:val="24"/>
        </w:rPr>
      </w:pPr>
      <w:r w:rsidRPr="00597FFB">
        <w:rPr>
          <w:rFonts w:ascii="Times New Roman" w:eastAsia="Times New Roman" w:hAnsi="Times New Roman" w:cs="Times New Roman"/>
          <w:sz w:val="24"/>
          <w:szCs w:val="24"/>
        </w:rPr>
        <w:t>Committee Member</w:t>
      </w:r>
    </w:p>
    <w:p w14:paraId="1CA64431" w14:textId="77777777" w:rsidR="006178EB" w:rsidRPr="00597FFB" w:rsidRDefault="006178EB" w:rsidP="006178EB">
      <w:pPr>
        <w:widowControl w:val="0"/>
        <w:autoSpaceDE w:val="0"/>
        <w:autoSpaceDN w:val="0"/>
        <w:adjustRightInd w:val="0"/>
        <w:spacing w:after="200" w:line="360" w:lineRule="auto"/>
        <w:rPr>
          <w:rFonts w:ascii="Times New Roman" w:eastAsia="Times New Roman" w:hAnsi="Times New Roman" w:cs="Times New Roman"/>
          <w:b/>
          <w:sz w:val="24"/>
          <w:szCs w:val="24"/>
        </w:rPr>
      </w:pPr>
    </w:p>
    <w:p w14:paraId="6E9D3906" w14:textId="77777777" w:rsidR="00F51675" w:rsidRPr="00597FFB" w:rsidRDefault="00F51675" w:rsidP="006178EB">
      <w:pPr>
        <w:widowControl w:val="0"/>
        <w:autoSpaceDE w:val="0"/>
        <w:autoSpaceDN w:val="0"/>
        <w:adjustRightInd w:val="0"/>
        <w:spacing w:after="200" w:line="360" w:lineRule="auto"/>
        <w:rPr>
          <w:rFonts w:ascii="Times New Roman" w:eastAsia="Times New Roman" w:hAnsi="Times New Roman" w:cs="Times New Roman"/>
          <w:b/>
          <w:sz w:val="24"/>
          <w:szCs w:val="24"/>
        </w:rPr>
      </w:pPr>
    </w:p>
    <w:p w14:paraId="3192BA55" w14:textId="77777777" w:rsidR="00A5120E" w:rsidRPr="00597FFB" w:rsidRDefault="00A5120E" w:rsidP="00A5120E">
      <w:pPr>
        <w:widowControl w:val="0"/>
        <w:autoSpaceDE w:val="0"/>
        <w:autoSpaceDN w:val="0"/>
        <w:adjustRightInd w:val="0"/>
        <w:spacing w:after="0" w:line="360" w:lineRule="auto"/>
        <w:ind w:right="46"/>
        <w:rPr>
          <w:rFonts w:ascii="Times New Roman" w:eastAsia="Times New Roman" w:hAnsi="Times New Roman" w:cs="Times New Roman"/>
          <w:sz w:val="24"/>
          <w:szCs w:val="24"/>
        </w:rPr>
      </w:pPr>
      <w:r w:rsidRPr="00597FFB">
        <w:rPr>
          <w:rFonts w:ascii="Times New Roman" w:eastAsia="Times New Roman" w:hAnsi="Times New Roman" w:cs="Times New Roman"/>
          <w:b/>
          <w:sz w:val="24"/>
          <w:szCs w:val="24"/>
        </w:rPr>
        <w:t>______</w:t>
      </w:r>
      <w:r w:rsidR="00F60109" w:rsidRPr="00597FFB">
        <w:rPr>
          <w:rFonts w:ascii="Times New Roman" w:eastAsia="Times New Roman" w:hAnsi="Times New Roman" w:cs="Times New Roman"/>
          <w:b/>
          <w:sz w:val="24"/>
          <w:szCs w:val="24"/>
        </w:rPr>
        <w:t>__________________</w:t>
      </w:r>
    </w:p>
    <w:p w14:paraId="65032100" w14:textId="7240EAD9" w:rsidR="00A5120E" w:rsidRPr="00597FFB" w:rsidRDefault="00F60109" w:rsidP="00D627A9">
      <w:pPr>
        <w:widowControl w:val="0"/>
        <w:tabs>
          <w:tab w:val="center" w:pos="386"/>
          <w:tab w:val="right" w:pos="9088"/>
        </w:tabs>
        <w:autoSpaceDE w:val="0"/>
        <w:autoSpaceDN w:val="0"/>
        <w:adjustRightInd w:val="0"/>
        <w:spacing w:after="10" w:line="276" w:lineRule="auto"/>
        <w:rPr>
          <w:rFonts w:ascii="Times New Roman" w:eastAsia="Times New Roman" w:hAnsi="Times New Roman" w:cs="Times New Roman"/>
          <w:b/>
          <w:bCs/>
          <w:sz w:val="24"/>
          <w:szCs w:val="24"/>
        </w:rPr>
      </w:pPr>
      <w:r w:rsidRPr="00597FFB">
        <w:rPr>
          <w:rFonts w:ascii="Times New Roman" w:eastAsia="Times New Roman" w:hAnsi="Times New Roman" w:cs="Times New Roman"/>
          <w:b/>
          <w:bCs/>
          <w:sz w:val="24"/>
          <w:szCs w:val="24"/>
        </w:rPr>
        <w:t xml:space="preserve">Professor </w:t>
      </w:r>
      <w:r w:rsidR="00980D87" w:rsidRPr="00597FFB">
        <w:rPr>
          <w:rFonts w:ascii="Times New Roman" w:eastAsia="Times New Roman" w:hAnsi="Times New Roman" w:cs="Times New Roman"/>
          <w:b/>
          <w:bCs/>
          <w:sz w:val="24"/>
          <w:szCs w:val="24"/>
        </w:rPr>
        <w:t xml:space="preserve">Dr. </w:t>
      </w:r>
      <w:r w:rsidRPr="00597FFB">
        <w:rPr>
          <w:rFonts w:ascii="Times New Roman" w:eastAsia="Times New Roman" w:hAnsi="Times New Roman" w:cs="Times New Roman"/>
          <w:b/>
          <w:bCs/>
          <w:sz w:val="24"/>
          <w:szCs w:val="24"/>
        </w:rPr>
        <w:t>Barry O’Mahony</w:t>
      </w:r>
    </w:p>
    <w:p w14:paraId="3B1BAEE7" w14:textId="77777777" w:rsidR="00F23487" w:rsidRPr="00597FFB" w:rsidRDefault="00420088" w:rsidP="00D627A9">
      <w:pPr>
        <w:widowControl w:val="0"/>
        <w:tabs>
          <w:tab w:val="center" w:pos="4606"/>
        </w:tabs>
        <w:autoSpaceDE w:val="0"/>
        <w:autoSpaceDN w:val="0"/>
        <w:adjustRightInd w:val="0"/>
        <w:spacing w:line="276" w:lineRule="auto"/>
        <w:jc w:val="both"/>
        <w:rPr>
          <w:rFonts w:ascii="Times New Roman" w:eastAsia="Times New Roman" w:hAnsi="Times New Roman"/>
          <w:sz w:val="24"/>
          <w:szCs w:val="24"/>
        </w:rPr>
      </w:pPr>
      <w:r w:rsidRPr="00597FFB">
        <w:rPr>
          <w:rFonts w:ascii="Times New Roman" w:eastAsia="Times New Roman" w:hAnsi="Times New Roman"/>
          <w:sz w:val="24"/>
          <w:szCs w:val="24"/>
        </w:rPr>
        <w:t xml:space="preserve">Professor of Services Management </w:t>
      </w:r>
    </w:p>
    <w:p w14:paraId="47826859" w14:textId="2BFF0A08" w:rsidR="00772095" w:rsidRPr="00A05593" w:rsidRDefault="00420088" w:rsidP="00A05593">
      <w:pPr>
        <w:widowControl w:val="0"/>
        <w:tabs>
          <w:tab w:val="center" w:pos="4606"/>
        </w:tabs>
        <w:autoSpaceDE w:val="0"/>
        <w:autoSpaceDN w:val="0"/>
        <w:adjustRightInd w:val="0"/>
        <w:spacing w:line="276" w:lineRule="auto"/>
        <w:jc w:val="both"/>
        <w:rPr>
          <w:rFonts w:ascii="Times New Roman" w:eastAsia="Times New Roman" w:hAnsi="Times New Roman"/>
          <w:sz w:val="24"/>
          <w:szCs w:val="24"/>
        </w:rPr>
      </w:pPr>
      <w:r w:rsidRPr="00597FFB">
        <w:rPr>
          <w:rFonts w:ascii="Times New Roman" w:eastAsia="Times New Roman" w:hAnsi="Times New Roman"/>
          <w:sz w:val="24"/>
          <w:szCs w:val="24"/>
        </w:rPr>
        <w:t>and Dean of the College of Business</w:t>
      </w:r>
      <w:r w:rsidR="00A05593">
        <w:rPr>
          <w:rFonts w:ascii="Times New Roman" w:eastAsia="Times New Roman" w:hAnsi="Times New Roman"/>
          <w:sz w:val="24"/>
          <w:szCs w:val="24"/>
        </w:rPr>
        <w:t>,</w:t>
      </w:r>
      <w:r w:rsidRPr="00597FFB">
        <w:rPr>
          <w:rFonts w:ascii="Times New Roman" w:eastAsia="Times New Roman" w:hAnsi="Times New Roman"/>
          <w:sz w:val="24"/>
          <w:szCs w:val="24"/>
        </w:rPr>
        <w:t xml:space="preserve"> </w:t>
      </w:r>
      <w:r w:rsidR="00A05593" w:rsidRPr="00597FFB">
        <w:rPr>
          <w:rFonts w:ascii="Times New Roman" w:eastAsia="Times New Roman" w:hAnsi="Times New Roman"/>
          <w:sz w:val="24"/>
          <w:szCs w:val="24"/>
        </w:rPr>
        <w:t xml:space="preserve">Abu Dhabi University </w:t>
      </w:r>
      <w:r w:rsidR="00772095" w:rsidRPr="00597FFB">
        <w:rPr>
          <w:rFonts w:ascii="Times New Roman" w:eastAsia="Times New Roman" w:hAnsi="Times New Roman"/>
        </w:rPr>
        <w:tab/>
      </w:r>
    </w:p>
    <w:p w14:paraId="23008250" w14:textId="77777777" w:rsidR="00A5120E" w:rsidRPr="00597FFB" w:rsidRDefault="00A5120E" w:rsidP="00A5120E">
      <w:pPr>
        <w:spacing w:line="480" w:lineRule="auto"/>
        <w:jc w:val="both"/>
        <w:rPr>
          <w:rFonts w:ascii="Times New Roman" w:hAnsi="Times New Roman" w:cs="Times New Roman"/>
          <w:sz w:val="24"/>
          <w:szCs w:val="24"/>
        </w:rPr>
        <w:sectPr w:rsidR="00A5120E" w:rsidRPr="00597FFB" w:rsidSect="00A05593">
          <w:footerReference w:type="default" r:id="rId12"/>
          <w:pgSz w:w="11909" w:h="16834" w:code="9"/>
          <w:pgMar w:top="1800" w:right="2160" w:bottom="1800" w:left="2160" w:header="720" w:footer="720" w:gutter="0"/>
          <w:pgNumType w:fmt="lowerRoman" w:start="1"/>
          <w:cols w:space="720"/>
          <w:docGrid w:linePitch="360"/>
        </w:sectPr>
      </w:pPr>
    </w:p>
    <w:p w14:paraId="6593EDE8" w14:textId="77777777" w:rsidR="00F60109" w:rsidRPr="00597FFB" w:rsidRDefault="00F60109" w:rsidP="005672BA">
      <w:pPr>
        <w:pStyle w:val="Heading1"/>
        <w:jc w:val="center"/>
        <w:rPr>
          <w:rFonts w:asciiTheme="majorBidi" w:hAnsiTheme="majorBidi"/>
          <w:b/>
          <w:bCs/>
          <w:color w:val="000000" w:themeColor="text1"/>
          <w:sz w:val="28"/>
          <w:szCs w:val="28"/>
          <w:lang w:val="en-GB"/>
        </w:rPr>
      </w:pPr>
      <w:bookmarkStart w:id="3" w:name="_Toc127170240"/>
      <w:r w:rsidRPr="00597FFB">
        <w:rPr>
          <w:rFonts w:asciiTheme="majorBidi" w:hAnsiTheme="majorBidi"/>
          <w:b/>
          <w:bCs/>
          <w:color w:val="000000" w:themeColor="text1"/>
          <w:sz w:val="28"/>
          <w:szCs w:val="28"/>
          <w:lang w:val="en-GB"/>
        </w:rPr>
        <w:lastRenderedPageBreak/>
        <w:t>COPYRIGHT STATEMENT</w:t>
      </w:r>
      <w:bookmarkEnd w:id="3"/>
    </w:p>
    <w:p w14:paraId="771ADBFB" w14:textId="77777777" w:rsidR="00F60109" w:rsidRPr="00597FFB" w:rsidRDefault="00F60109" w:rsidP="00F60109">
      <w:pPr>
        <w:spacing w:line="480" w:lineRule="auto"/>
        <w:jc w:val="center"/>
        <w:rPr>
          <w:rFonts w:ascii="Times New Roman" w:hAnsi="Times New Roman" w:cs="Times New Roman"/>
          <w:sz w:val="24"/>
          <w:szCs w:val="24"/>
          <w:lang w:val="en-GB"/>
        </w:rPr>
      </w:pPr>
    </w:p>
    <w:p w14:paraId="5C76324E" w14:textId="77777777" w:rsidR="00F60109" w:rsidRPr="00597FFB" w:rsidRDefault="00F60109" w:rsidP="00F60109">
      <w:pPr>
        <w:spacing w:line="480" w:lineRule="auto"/>
        <w:jc w:val="both"/>
        <w:rPr>
          <w:rFonts w:ascii="Times New Roman" w:hAnsi="Times New Roman" w:cs="Times New Roman"/>
          <w:sz w:val="24"/>
          <w:szCs w:val="24"/>
          <w:lang w:val="en-GB"/>
        </w:rPr>
      </w:pPr>
      <w:r w:rsidRPr="00597FFB">
        <w:rPr>
          <w:rFonts w:ascii="Times New Roman" w:hAnsi="Times New Roman" w:cs="Times New Roman"/>
          <w:sz w:val="24"/>
          <w:szCs w:val="24"/>
          <w:lang w:val="en-GB"/>
        </w:rPr>
        <w:t>•</w:t>
      </w:r>
      <w:r w:rsidRPr="00597FFB">
        <w:rPr>
          <w:rFonts w:ascii="Times New Roman" w:hAnsi="Times New Roman" w:cs="Times New Roman"/>
          <w:sz w:val="24"/>
          <w:szCs w:val="24"/>
          <w:lang w:val="en-GB"/>
        </w:rPr>
        <w:tab/>
        <w:t>The author of this dissertation (including any appendices and/or schedules to this dissertation) owns any copyright in it and the author has given the Abu Dhabi University the right to use such copyright for any administrative, promotional, educational, and/or teaching purposes.</w:t>
      </w:r>
    </w:p>
    <w:p w14:paraId="3D74B992" w14:textId="77777777" w:rsidR="00F60109" w:rsidRPr="00597FFB" w:rsidRDefault="00F60109" w:rsidP="00F60109">
      <w:pPr>
        <w:spacing w:line="480" w:lineRule="auto"/>
        <w:jc w:val="both"/>
        <w:rPr>
          <w:rFonts w:ascii="Times New Roman" w:hAnsi="Times New Roman" w:cs="Times New Roman"/>
          <w:sz w:val="24"/>
          <w:szCs w:val="24"/>
          <w:lang w:val="en-GB"/>
        </w:rPr>
      </w:pPr>
      <w:r w:rsidRPr="00597FFB">
        <w:rPr>
          <w:rFonts w:ascii="Times New Roman" w:hAnsi="Times New Roman" w:cs="Times New Roman"/>
          <w:sz w:val="24"/>
          <w:szCs w:val="24"/>
          <w:lang w:val="en-GB"/>
        </w:rPr>
        <w:t>•</w:t>
      </w:r>
      <w:r w:rsidRPr="00597FFB">
        <w:rPr>
          <w:rFonts w:ascii="Times New Roman" w:hAnsi="Times New Roman" w:cs="Times New Roman"/>
          <w:sz w:val="24"/>
          <w:szCs w:val="24"/>
          <w:lang w:val="en-GB"/>
        </w:rPr>
        <w:tab/>
        <w:t>Copies of this dissertation, either in full or in extracts, may be made only in accordance with the regulations of the University Library. Details of these regulations may be obtained from the Librarian. This page must form part of any such copies made.</w:t>
      </w:r>
    </w:p>
    <w:p w14:paraId="41FFEAB5" w14:textId="74E94BC5" w:rsidR="00F60109" w:rsidRPr="00597FFB" w:rsidRDefault="00F60109" w:rsidP="00F60109">
      <w:pPr>
        <w:spacing w:line="480" w:lineRule="auto"/>
        <w:jc w:val="both"/>
        <w:rPr>
          <w:rFonts w:ascii="Times New Roman" w:hAnsi="Times New Roman" w:cs="Times New Roman"/>
          <w:sz w:val="24"/>
          <w:szCs w:val="24"/>
          <w:lang w:val="en-GB"/>
        </w:rPr>
      </w:pPr>
      <w:r w:rsidRPr="00597FFB">
        <w:rPr>
          <w:rFonts w:ascii="Times New Roman" w:hAnsi="Times New Roman" w:cs="Times New Roman"/>
          <w:sz w:val="24"/>
          <w:szCs w:val="24"/>
          <w:lang w:val="en-GB"/>
        </w:rPr>
        <w:t>•</w:t>
      </w:r>
      <w:r w:rsidRPr="00597FFB">
        <w:rPr>
          <w:rFonts w:ascii="Times New Roman" w:hAnsi="Times New Roman" w:cs="Times New Roman"/>
          <w:sz w:val="24"/>
          <w:szCs w:val="24"/>
          <w:lang w:val="en-GB"/>
        </w:rPr>
        <w:tab/>
        <w:t xml:space="preserve">The ownership of any patents, designs, trademarks, and any or all other intellectual property rights, except for the copyright and any reproductions of copyright works, for example, graphs and tables, which may be described in this dissertation, may not be owned by the </w:t>
      </w:r>
      <w:r w:rsidR="00C133B3" w:rsidRPr="00597FFB">
        <w:rPr>
          <w:rFonts w:ascii="Times New Roman" w:hAnsi="Times New Roman" w:cs="Times New Roman"/>
          <w:sz w:val="24"/>
          <w:szCs w:val="24"/>
          <w:lang w:val="en-GB"/>
        </w:rPr>
        <w:t>author,</w:t>
      </w:r>
      <w:r w:rsidRPr="00597FFB">
        <w:rPr>
          <w:rFonts w:ascii="Times New Roman" w:hAnsi="Times New Roman" w:cs="Times New Roman"/>
          <w:sz w:val="24"/>
          <w:szCs w:val="24"/>
          <w:lang w:val="en-GB"/>
        </w:rPr>
        <w:t xml:space="preserve"> and may be owned by third parties. Such Intellectual Property Rights and Reproductions cannot and must not be made available for use without the prior written permission of the owner(s) of the relevant Intellectual Property Rights and/or Reproductions. </w:t>
      </w:r>
    </w:p>
    <w:p w14:paraId="11DC0556" w14:textId="77777777" w:rsidR="00F60109" w:rsidRPr="00597FFB" w:rsidRDefault="00F60109" w:rsidP="00F60109">
      <w:pPr>
        <w:spacing w:line="480" w:lineRule="auto"/>
        <w:jc w:val="both"/>
        <w:rPr>
          <w:rFonts w:ascii="Times New Roman" w:hAnsi="Times New Roman" w:cs="Times New Roman"/>
          <w:sz w:val="24"/>
          <w:szCs w:val="24"/>
          <w:lang w:val="en-GB"/>
        </w:rPr>
      </w:pPr>
    </w:p>
    <w:p w14:paraId="40C57714" w14:textId="695A2083" w:rsidR="00F60109" w:rsidRPr="00597FFB" w:rsidRDefault="00F60109" w:rsidP="00F60109">
      <w:pPr>
        <w:spacing w:line="480" w:lineRule="auto"/>
        <w:jc w:val="center"/>
        <w:rPr>
          <w:rFonts w:ascii="Times New Roman" w:hAnsi="Times New Roman" w:cs="Times New Roman"/>
          <w:sz w:val="24"/>
          <w:szCs w:val="24"/>
          <w:lang w:val="en-GB"/>
        </w:rPr>
      </w:pPr>
      <w:r w:rsidRPr="00597FFB">
        <w:rPr>
          <w:rFonts w:ascii="Times New Roman" w:hAnsi="Times New Roman" w:cs="Times New Roman"/>
          <w:sz w:val="24"/>
          <w:szCs w:val="24"/>
          <w:lang w:val="en-GB"/>
        </w:rPr>
        <w:t>© Copyright 202</w:t>
      </w:r>
      <w:r w:rsidR="00B17586" w:rsidRPr="00597FFB">
        <w:rPr>
          <w:rFonts w:ascii="Times New Roman" w:hAnsi="Times New Roman" w:cs="Times New Roman"/>
          <w:sz w:val="24"/>
          <w:szCs w:val="24"/>
          <w:lang w:val="en-GB"/>
        </w:rPr>
        <w:t>3</w:t>
      </w:r>
      <w:r w:rsidRPr="00597FFB">
        <w:rPr>
          <w:rFonts w:ascii="Times New Roman" w:hAnsi="Times New Roman" w:cs="Times New Roman"/>
          <w:sz w:val="24"/>
          <w:szCs w:val="24"/>
          <w:lang w:val="en-GB"/>
        </w:rPr>
        <w:t xml:space="preserve"> by</w:t>
      </w:r>
    </w:p>
    <w:p w14:paraId="72761500" w14:textId="38BCFE22" w:rsidR="00927C58" w:rsidRPr="00597FFB" w:rsidRDefault="00F60109" w:rsidP="00F60109">
      <w:pPr>
        <w:spacing w:line="480" w:lineRule="auto"/>
        <w:jc w:val="center"/>
        <w:rPr>
          <w:rFonts w:ascii="Times New Roman" w:hAnsi="Times New Roman" w:cs="Times New Roman"/>
          <w:sz w:val="24"/>
          <w:szCs w:val="24"/>
          <w:lang w:val="en-GB"/>
        </w:rPr>
      </w:pPr>
      <w:r w:rsidRPr="00597FFB">
        <w:rPr>
          <w:rFonts w:ascii="Times New Roman" w:hAnsi="Times New Roman" w:cs="Times New Roman"/>
          <w:sz w:val="24"/>
          <w:szCs w:val="24"/>
          <w:lang w:val="en-GB"/>
        </w:rPr>
        <w:t xml:space="preserve">All rights </w:t>
      </w:r>
      <w:r w:rsidR="00323407" w:rsidRPr="00597FFB">
        <w:rPr>
          <w:rFonts w:ascii="Times New Roman" w:hAnsi="Times New Roman" w:cs="Times New Roman"/>
          <w:sz w:val="24"/>
          <w:szCs w:val="24"/>
          <w:lang w:val="en-GB"/>
        </w:rPr>
        <w:t>reserved.</w:t>
      </w:r>
    </w:p>
    <w:p w14:paraId="37109FEE" w14:textId="77777777" w:rsidR="00F60109" w:rsidRPr="00597FFB" w:rsidRDefault="00F60109" w:rsidP="00F60109">
      <w:pPr>
        <w:spacing w:line="480" w:lineRule="auto"/>
        <w:rPr>
          <w:rFonts w:ascii="Times New Roman" w:hAnsi="Times New Roman" w:cs="Times New Roman"/>
          <w:sz w:val="24"/>
          <w:szCs w:val="24"/>
          <w:lang w:val="en-GB"/>
        </w:rPr>
      </w:pPr>
    </w:p>
    <w:p w14:paraId="13D43BEA" w14:textId="77777777" w:rsidR="00A71A48" w:rsidRPr="00597FFB" w:rsidRDefault="00A71A48" w:rsidP="00E94320">
      <w:pPr>
        <w:spacing w:line="480" w:lineRule="auto"/>
        <w:rPr>
          <w:rFonts w:ascii="Times New Roman" w:hAnsi="Times New Roman" w:cs="Times New Roman"/>
          <w:sz w:val="24"/>
          <w:szCs w:val="24"/>
          <w:lang w:val="en-GB"/>
        </w:rPr>
        <w:sectPr w:rsidR="00A71A48" w:rsidRPr="00597FFB" w:rsidSect="002668B3">
          <w:pgSz w:w="11909" w:h="16834" w:code="9"/>
          <w:pgMar w:top="1800" w:right="2160" w:bottom="1800" w:left="2160" w:header="720" w:footer="720" w:gutter="0"/>
          <w:pgNumType w:fmt="lowerRoman"/>
          <w:cols w:space="720"/>
          <w:docGrid w:linePitch="360"/>
        </w:sectPr>
      </w:pPr>
    </w:p>
    <w:p w14:paraId="2457A8A9" w14:textId="174FF331" w:rsidR="008A1B38" w:rsidRPr="00597FFB" w:rsidRDefault="00E94320" w:rsidP="00E94320">
      <w:pPr>
        <w:pStyle w:val="Heading1"/>
        <w:jc w:val="center"/>
        <w:rPr>
          <w:rFonts w:asciiTheme="majorBidi" w:eastAsia="Times New Roman" w:hAnsiTheme="majorBidi"/>
          <w:b/>
          <w:bCs/>
          <w:color w:val="000000" w:themeColor="text1"/>
          <w:sz w:val="24"/>
          <w:szCs w:val="24"/>
        </w:rPr>
      </w:pPr>
      <w:bookmarkStart w:id="4" w:name="_Toc127170241"/>
      <w:r w:rsidRPr="00597FFB">
        <w:rPr>
          <w:noProof/>
        </w:rPr>
        <w:lastRenderedPageBreak/>
        <w:drawing>
          <wp:anchor distT="0" distB="0" distL="114300" distR="114300" simplePos="0" relativeHeight="251663360" behindDoc="0" locked="0" layoutInCell="1" allowOverlap="1" wp14:anchorId="001F25F8" wp14:editId="199FF427">
            <wp:simplePos x="0" y="0"/>
            <wp:positionH relativeFrom="margin">
              <wp:align>center</wp:align>
            </wp:positionH>
            <wp:positionV relativeFrom="paragraph">
              <wp:posOffset>-618490</wp:posOffset>
            </wp:positionV>
            <wp:extent cx="2924207" cy="710344"/>
            <wp:effectExtent l="0" t="0" r="0" b="0"/>
            <wp:wrapNone/>
            <wp:docPr id="4" name="Picture 4"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u Dhabi Universit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207" cy="710344"/>
                    </a:xfrm>
                    <a:prstGeom prst="rect">
                      <a:avLst/>
                    </a:prstGeom>
                    <a:noFill/>
                    <a:ln>
                      <a:noFill/>
                    </a:ln>
                  </pic:spPr>
                </pic:pic>
              </a:graphicData>
            </a:graphic>
          </wp:anchor>
        </w:drawing>
      </w:r>
      <w:r w:rsidRPr="00597FFB">
        <w:rPr>
          <w:rFonts w:asciiTheme="majorBidi" w:eastAsia="Times New Roman" w:hAnsiTheme="majorBidi"/>
          <w:b/>
          <w:bCs/>
          <w:color w:val="000000" w:themeColor="text1"/>
          <w:sz w:val="24"/>
          <w:szCs w:val="24"/>
        </w:rPr>
        <w:t>LIBRARY COPYRIGHT PERMISSION AGREEMENT</w:t>
      </w:r>
      <w:bookmarkEnd w:id="4"/>
    </w:p>
    <w:p w14:paraId="7C2E2948" w14:textId="77777777" w:rsidR="00A71A48" w:rsidRPr="00597FFB" w:rsidRDefault="00A71A48" w:rsidP="00A71A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Abu Dhabi University</w:t>
      </w:r>
    </w:p>
    <w:p w14:paraId="11F29F7A" w14:textId="77777777" w:rsidR="00A71A48" w:rsidRPr="00597FFB" w:rsidRDefault="00A71A48" w:rsidP="00A71A4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United Arab Emirates</w:t>
      </w:r>
    </w:p>
    <w:p w14:paraId="23DCC996" w14:textId="77777777" w:rsidR="00A71A48" w:rsidRPr="00597FFB" w:rsidRDefault="00A71A48" w:rsidP="00A71A48">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13" w:history="1">
        <w:r w:rsidRPr="00597FFB">
          <w:rPr>
            <w:rFonts w:ascii="Times New Roman" w:eastAsia="Times New Roman" w:hAnsi="Times New Roman" w:cs="Times New Roman"/>
            <w:color w:val="0000FF"/>
            <w:sz w:val="24"/>
            <w:szCs w:val="24"/>
            <w:u w:val="single"/>
          </w:rPr>
          <w:t>http://library.adu.ac.ae</w:t>
        </w:r>
      </w:hyperlink>
    </w:p>
    <w:p w14:paraId="682E5728" w14:textId="77777777" w:rsidR="00A71A48" w:rsidRPr="00597FFB" w:rsidRDefault="00A71A48" w:rsidP="00A71A48">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14" w:history="1">
        <w:r w:rsidRPr="00597FFB">
          <w:rPr>
            <w:rFonts w:ascii="Times New Roman" w:eastAsia="Times New Roman" w:hAnsi="Times New Roman" w:cs="Times New Roman"/>
            <w:color w:val="0000FF"/>
            <w:sz w:val="24"/>
            <w:szCs w:val="24"/>
            <w:u w:val="single"/>
          </w:rPr>
          <w:t>adulibrary@adu.ac.ae</w:t>
        </w:r>
      </w:hyperlink>
    </w:p>
    <w:p w14:paraId="54D2874D" w14:textId="77777777" w:rsidR="00A71A48" w:rsidRPr="00597FFB" w:rsidRDefault="00A71A48" w:rsidP="00A71A48">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2B9D72C9" w14:textId="18708C68" w:rsidR="00A71A48" w:rsidRPr="00597FFB" w:rsidRDefault="00A71A48" w:rsidP="00AE468D">
      <w:pPr>
        <w:widowControl w:val="0"/>
        <w:autoSpaceDE w:val="0"/>
        <w:autoSpaceDN w:val="0"/>
        <w:adjustRightInd w:val="0"/>
        <w:spacing w:after="0" w:line="360" w:lineRule="auto"/>
        <w:jc w:val="both"/>
        <w:rPr>
          <w:rFonts w:ascii="Times New Roman" w:eastAsia="Times New Roman" w:hAnsi="Times New Roman" w:cs="Times New Roman"/>
          <w:b/>
          <w:bCs/>
          <w:sz w:val="24"/>
          <w:szCs w:val="24"/>
        </w:rPr>
      </w:pPr>
      <w:r w:rsidRPr="00597FFB">
        <w:rPr>
          <w:rFonts w:ascii="Times New Roman" w:eastAsia="Times New Roman" w:hAnsi="Times New Roman" w:cs="Times New Roman"/>
          <w:sz w:val="24"/>
          <w:szCs w:val="24"/>
        </w:rPr>
        <w:t xml:space="preserve">I, </w:t>
      </w:r>
      <w:r w:rsidR="00AE468D" w:rsidRPr="00597FFB">
        <w:rPr>
          <w:rFonts w:ascii="Times New Roman" w:eastAsia="Times New Roman" w:hAnsi="Times New Roman" w:cs="Times New Roman"/>
          <w:sz w:val="24"/>
          <w:szCs w:val="24"/>
        </w:rPr>
        <w:t>Badreya Albloushi</w:t>
      </w:r>
      <w:r w:rsidRPr="00597FFB">
        <w:rPr>
          <w:rFonts w:ascii="Times New Roman" w:eastAsia="Times New Roman" w:hAnsi="Times New Roman" w:cs="Times New Roman"/>
          <w:sz w:val="24"/>
          <w:szCs w:val="24"/>
        </w:rPr>
        <w:t>, warrant that I have the authority to act on any matters for the</w:t>
      </w:r>
      <w:r w:rsidR="00AE468D" w:rsidRPr="00597FFB">
        <w:rPr>
          <w:rFonts w:ascii="Times New Roman" w:eastAsia="Times New Roman" w:hAnsi="Times New Roman" w:cs="Times New Roman"/>
          <w:sz w:val="24"/>
          <w:szCs w:val="24"/>
        </w:rPr>
        <w:t xml:space="preserve"> </w:t>
      </w:r>
      <w:r w:rsidRPr="00597FFB">
        <w:rPr>
          <w:rFonts w:ascii="Times New Roman" w:eastAsia="Times New Roman" w:hAnsi="Times New Roman" w:cs="Times New Roman"/>
          <w:sz w:val="24"/>
          <w:szCs w:val="24"/>
        </w:rPr>
        <w:t xml:space="preserve">work, </w:t>
      </w:r>
      <w:r w:rsidR="00AC5FAA" w:rsidRPr="00597FFB">
        <w:rPr>
          <w:rFonts w:ascii="Times New Roman" w:eastAsia="Times New Roman" w:hAnsi="Times New Roman" w:cs="Times New Roman"/>
          <w:b/>
          <w:bCs/>
          <w:sz w:val="24"/>
          <w:szCs w:val="24"/>
        </w:rPr>
        <w:t xml:space="preserve">E-Waste Recycling Behavior </w:t>
      </w:r>
      <w:r w:rsidR="00DF4EC6" w:rsidRPr="00597FFB">
        <w:rPr>
          <w:rFonts w:ascii="Times New Roman" w:eastAsia="Times New Roman" w:hAnsi="Times New Roman" w:cs="Times New Roman"/>
          <w:b/>
          <w:bCs/>
          <w:sz w:val="24"/>
          <w:szCs w:val="24"/>
        </w:rPr>
        <w:t>o</w:t>
      </w:r>
      <w:r w:rsidR="00AC5FAA" w:rsidRPr="00597FFB">
        <w:rPr>
          <w:rFonts w:ascii="Times New Roman" w:eastAsia="Times New Roman" w:hAnsi="Times New Roman" w:cs="Times New Roman"/>
          <w:b/>
          <w:bCs/>
          <w:sz w:val="24"/>
          <w:szCs w:val="24"/>
        </w:rPr>
        <w:t xml:space="preserve">f UAE Millennials Based </w:t>
      </w:r>
      <w:r w:rsidR="00DF4EC6" w:rsidRPr="00597FFB">
        <w:rPr>
          <w:rFonts w:ascii="Times New Roman" w:eastAsia="Times New Roman" w:hAnsi="Times New Roman" w:cs="Times New Roman"/>
          <w:b/>
          <w:bCs/>
          <w:sz w:val="24"/>
          <w:szCs w:val="24"/>
        </w:rPr>
        <w:t>o</w:t>
      </w:r>
      <w:r w:rsidR="00AC5FAA" w:rsidRPr="00597FFB">
        <w:rPr>
          <w:rFonts w:ascii="Times New Roman" w:eastAsia="Times New Roman" w:hAnsi="Times New Roman" w:cs="Times New Roman"/>
          <w:b/>
          <w:bCs/>
          <w:sz w:val="24"/>
          <w:szCs w:val="24"/>
        </w:rPr>
        <w:t xml:space="preserve">n The Extended Theories </w:t>
      </w:r>
      <w:r w:rsidR="00DF4EC6" w:rsidRPr="00597FFB">
        <w:rPr>
          <w:rFonts w:ascii="Times New Roman" w:eastAsia="Times New Roman" w:hAnsi="Times New Roman" w:cs="Times New Roman"/>
          <w:b/>
          <w:bCs/>
          <w:sz w:val="24"/>
          <w:szCs w:val="24"/>
        </w:rPr>
        <w:t>o</w:t>
      </w:r>
      <w:r w:rsidR="00AC5FAA" w:rsidRPr="00597FFB">
        <w:rPr>
          <w:rFonts w:ascii="Times New Roman" w:eastAsia="Times New Roman" w:hAnsi="Times New Roman" w:cs="Times New Roman"/>
          <w:b/>
          <w:bCs/>
          <w:sz w:val="24"/>
          <w:szCs w:val="24"/>
        </w:rPr>
        <w:t xml:space="preserve">f Planned Behavior, Norm Activation Behavior, </w:t>
      </w:r>
      <w:r w:rsidR="00DF4EC6" w:rsidRPr="00597FFB">
        <w:rPr>
          <w:rFonts w:ascii="Times New Roman" w:eastAsia="Times New Roman" w:hAnsi="Times New Roman" w:cs="Times New Roman"/>
          <w:b/>
          <w:bCs/>
          <w:sz w:val="24"/>
          <w:szCs w:val="24"/>
        </w:rPr>
        <w:t>a</w:t>
      </w:r>
      <w:r w:rsidR="00AC5FAA" w:rsidRPr="00597FFB">
        <w:rPr>
          <w:rFonts w:ascii="Times New Roman" w:eastAsia="Times New Roman" w:hAnsi="Times New Roman" w:cs="Times New Roman"/>
          <w:b/>
          <w:bCs/>
          <w:sz w:val="24"/>
          <w:szCs w:val="24"/>
        </w:rPr>
        <w:t>nd Protection Motivation</w:t>
      </w:r>
      <w:r w:rsidRPr="00597FFB">
        <w:rPr>
          <w:rFonts w:ascii="Times New Roman" w:eastAsia="Times New Roman" w:hAnsi="Times New Roman" w:cs="Times New Roman"/>
          <w:sz w:val="24"/>
          <w:szCs w:val="24"/>
        </w:rPr>
        <w:t xml:space="preserve">, dated </w:t>
      </w:r>
      <w:r w:rsidR="00AE468D" w:rsidRPr="00597FFB">
        <w:rPr>
          <w:rFonts w:ascii="Times New Roman" w:eastAsia="Times New Roman" w:hAnsi="Times New Roman" w:cs="Times New Roman"/>
          <w:b/>
          <w:bCs/>
          <w:sz w:val="24"/>
          <w:szCs w:val="24"/>
        </w:rPr>
        <w:t>2023</w:t>
      </w:r>
      <w:r w:rsidRPr="00597FFB">
        <w:rPr>
          <w:rFonts w:ascii="Times New Roman" w:eastAsia="Times New Roman" w:hAnsi="Times New Roman" w:cs="Times New Roman"/>
          <w:sz w:val="24"/>
          <w:szCs w:val="24"/>
        </w:rPr>
        <w:t>, to be included in the Abu Dhabi University Library Repository, and as such have the right to grant permission to digitize, republish and use the said work in all media now known or hereafter devised.</w:t>
      </w:r>
    </w:p>
    <w:p w14:paraId="52494C61" w14:textId="77777777" w:rsidR="00A71A48" w:rsidRPr="00597FFB" w:rsidRDefault="00A71A48" w:rsidP="00A71A4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1040A64" w14:textId="77777777" w:rsidR="00A71A48" w:rsidRPr="00597FFB" w:rsidRDefault="00A71A48" w:rsidP="00A71A4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I grant to the Abu Dhabi University Library the nonexclusive worldwide rights to digitize, publish, exhibit, preserve, and use the work in any way that furthers the educational, research and public service purposes of the Abu Dhabi University. I further give permission for the Library to catalog and to make available to researchers the images of my dissertation, with the following access restrictions:</w:t>
      </w:r>
    </w:p>
    <w:p w14:paraId="730F8068" w14:textId="77777777" w:rsidR="00A71A48" w:rsidRPr="00597FFB" w:rsidRDefault="00A71A48" w:rsidP="00A71A48">
      <w:pPr>
        <w:widowControl w:val="0"/>
        <w:autoSpaceDE w:val="0"/>
        <w:autoSpaceDN w:val="0"/>
        <w:adjustRightInd w:val="0"/>
        <w:spacing w:after="0" w:line="240" w:lineRule="auto"/>
        <w:jc w:val="both"/>
        <w:rPr>
          <w:rFonts w:ascii="Times New Roman" w:eastAsia="Times New Roman" w:hAnsi="Times New Roman" w:cs="Times New Roman"/>
          <w:sz w:val="18"/>
          <w:szCs w:val="24"/>
        </w:rPr>
      </w:pPr>
    </w:p>
    <w:p w14:paraId="34BE0D11" w14:textId="77777777" w:rsidR="00A71A48" w:rsidRPr="00597FFB" w:rsidRDefault="00A71A48" w:rsidP="00A71A48">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597FFB">
        <w:rPr>
          <w:rFonts w:ascii="Times New Roman" w:eastAsia="Times New Roman" w:hAnsi="Times New Roman" w:cs="Times New Roman"/>
          <w:b/>
          <w:bCs/>
          <w:sz w:val="24"/>
          <w:szCs w:val="24"/>
        </w:rPr>
        <w:t>ACCESS RESTRICTIONS</w:t>
      </w:r>
    </w:p>
    <w:p w14:paraId="7A08259B" w14:textId="77777777" w:rsidR="00A71A48" w:rsidRPr="00597FFB" w:rsidRDefault="00A71A48" w:rsidP="00A71A48">
      <w:pPr>
        <w:widowControl w:val="0"/>
        <w:autoSpaceDE w:val="0"/>
        <w:autoSpaceDN w:val="0"/>
        <w:adjustRightInd w:val="0"/>
        <w:spacing w:after="0" w:line="240" w:lineRule="auto"/>
        <w:jc w:val="both"/>
        <w:rPr>
          <w:rFonts w:ascii="Times New Roman" w:eastAsia="Times New Roman" w:hAnsi="Times New Roman" w:cs="Times New Roman"/>
          <w:sz w:val="18"/>
          <w:szCs w:val="24"/>
        </w:rPr>
      </w:pPr>
    </w:p>
    <w:p w14:paraId="2597A2BF" w14:textId="77777777" w:rsidR="00A71A48" w:rsidRPr="00597FFB" w:rsidRDefault="00A71A48" w:rsidP="00A71A4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My electronic dissertation can be made accessible via the Abu Dhabi University repository with the following status (select one):</w:t>
      </w:r>
    </w:p>
    <w:p w14:paraId="454B418B" w14:textId="63073F7F" w:rsidR="00A71A48" w:rsidRPr="00597FFB" w:rsidRDefault="00AE468D" w:rsidP="00A71A4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fldChar w:fldCharType="begin">
          <w:ffData>
            <w:name w:val="Check1"/>
            <w:enabled/>
            <w:calcOnExit w:val="0"/>
            <w:checkBox>
              <w:sizeAuto/>
              <w:default w:val="1"/>
            </w:checkBox>
          </w:ffData>
        </w:fldChar>
      </w:r>
      <w:bookmarkStart w:id="5" w:name="Check1"/>
      <w:r w:rsidRPr="00597FFB">
        <w:rPr>
          <w:rFonts w:ascii="Times New Roman" w:eastAsia="Times New Roman" w:hAnsi="Times New Roman" w:cs="Times New Roman"/>
          <w:sz w:val="24"/>
          <w:szCs w:val="24"/>
        </w:rPr>
        <w:instrText xml:space="preserve"> FORMCHECKBOX </w:instrText>
      </w:r>
      <w:r w:rsidRPr="00597FFB">
        <w:rPr>
          <w:rFonts w:ascii="Times New Roman" w:eastAsia="Times New Roman" w:hAnsi="Times New Roman" w:cs="Times New Roman"/>
          <w:sz w:val="24"/>
          <w:szCs w:val="24"/>
        </w:rPr>
      </w:r>
      <w:r w:rsidRPr="00597FFB">
        <w:rPr>
          <w:rFonts w:ascii="Times New Roman" w:eastAsia="Times New Roman" w:hAnsi="Times New Roman" w:cs="Times New Roman"/>
          <w:sz w:val="24"/>
          <w:szCs w:val="24"/>
        </w:rPr>
        <w:fldChar w:fldCharType="separate"/>
      </w:r>
      <w:r w:rsidRPr="00597FFB">
        <w:rPr>
          <w:rFonts w:ascii="Times New Roman" w:eastAsia="Times New Roman" w:hAnsi="Times New Roman" w:cs="Times New Roman"/>
          <w:sz w:val="24"/>
          <w:szCs w:val="24"/>
        </w:rPr>
        <w:fldChar w:fldCharType="end"/>
      </w:r>
      <w:bookmarkEnd w:id="5"/>
      <w:r w:rsidR="00A71A48" w:rsidRPr="00597FFB">
        <w:rPr>
          <w:rFonts w:ascii="Times New Roman" w:eastAsia="Times New Roman" w:hAnsi="Times New Roman" w:cs="Times New Roman"/>
          <w:sz w:val="24"/>
          <w:szCs w:val="24"/>
        </w:rPr>
        <w:t xml:space="preserve"> OPTION 1: Provide open access to my electronic dissertation on the institutional repository.</w:t>
      </w:r>
    </w:p>
    <w:p w14:paraId="731E4843" w14:textId="77777777" w:rsidR="00A71A48" w:rsidRPr="00597FFB" w:rsidRDefault="00A71A48" w:rsidP="00A71A4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fldChar w:fldCharType="begin">
          <w:ffData>
            <w:name w:val="Check2"/>
            <w:enabled/>
            <w:calcOnExit w:val="0"/>
            <w:checkBox>
              <w:sizeAuto/>
              <w:default w:val="0"/>
            </w:checkBox>
          </w:ffData>
        </w:fldChar>
      </w:r>
      <w:bookmarkStart w:id="6" w:name="Check2"/>
      <w:r w:rsidRPr="00597FFB">
        <w:rPr>
          <w:rFonts w:ascii="Times New Roman" w:eastAsia="Times New Roman" w:hAnsi="Times New Roman" w:cs="Times New Roman"/>
          <w:sz w:val="24"/>
          <w:szCs w:val="24"/>
        </w:rPr>
        <w:instrText xml:space="preserve"> FORMCHECKBOX </w:instrText>
      </w:r>
      <w:r w:rsidRPr="00597FFB">
        <w:rPr>
          <w:rFonts w:ascii="Times New Roman" w:eastAsia="Times New Roman" w:hAnsi="Times New Roman" w:cs="Times New Roman"/>
          <w:sz w:val="24"/>
          <w:szCs w:val="24"/>
        </w:rPr>
      </w:r>
      <w:r w:rsidRPr="00597FFB">
        <w:rPr>
          <w:rFonts w:ascii="Times New Roman" w:eastAsia="Times New Roman" w:hAnsi="Times New Roman" w:cs="Times New Roman"/>
          <w:sz w:val="24"/>
          <w:szCs w:val="24"/>
        </w:rPr>
        <w:fldChar w:fldCharType="separate"/>
      </w:r>
      <w:r w:rsidRPr="00597FFB">
        <w:rPr>
          <w:rFonts w:ascii="Calibri" w:eastAsia="Times New Roman" w:hAnsi="Calibri" w:cs="Times New Roman"/>
          <w:sz w:val="24"/>
          <w:szCs w:val="24"/>
        </w:rPr>
        <w:fldChar w:fldCharType="end"/>
      </w:r>
      <w:bookmarkEnd w:id="6"/>
      <w:r w:rsidRPr="00597FFB">
        <w:rPr>
          <w:rFonts w:ascii="Times New Roman" w:eastAsia="Times New Roman" w:hAnsi="Times New Roman" w:cs="Times New Roman"/>
          <w:sz w:val="24"/>
          <w:szCs w:val="24"/>
        </w:rPr>
        <w:t xml:space="preserve"> OPTION 2: Place an embargo on access to my electronic dissertation for a period of given time from the date of submission (select one).</w:t>
      </w:r>
    </w:p>
    <w:p w14:paraId="6BC71937" w14:textId="77777777" w:rsidR="00A71A48" w:rsidRPr="00597FFB" w:rsidRDefault="00A71A48" w:rsidP="00A71A48">
      <w:pPr>
        <w:widowControl w:val="0"/>
        <w:autoSpaceDE w:val="0"/>
        <w:autoSpaceDN w:val="0"/>
        <w:adjustRightInd w:val="0"/>
        <w:spacing w:after="0" w:line="240" w:lineRule="auto"/>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597FFB">
        <w:rPr>
          <w:rFonts w:ascii="Times New Roman" w:eastAsia="Times New Roman" w:hAnsi="Times New Roman" w:cs="Times New Roman"/>
          <w:sz w:val="24"/>
          <w:szCs w:val="24"/>
        </w:rPr>
        <w:instrText xml:space="preserve"> FORMCHECKBOX </w:instrText>
      </w:r>
      <w:r w:rsidRPr="00597FFB">
        <w:rPr>
          <w:rFonts w:ascii="Times New Roman" w:eastAsia="Times New Roman" w:hAnsi="Times New Roman" w:cs="Times New Roman"/>
          <w:sz w:val="24"/>
          <w:szCs w:val="24"/>
        </w:rPr>
      </w:r>
      <w:r w:rsidRPr="00597FFB">
        <w:rPr>
          <w:rFonts w:ascii="Times New Roman" w:eastAsia="Times New Roman" w:hAnsi="Times New Roman" w:cs="Times New Roman"/>
          <w:sz w:val="24"/>
          <w:szCs w:val="24"/>
        </w:rPr>
        <w:fldChar w:fldCharType="separate"/>
      </w:r>
      <w:r w:rsidRPr="00597FFB">
        <w:rPr>
          <w:rFonts w:ascii="Times New Roman" w:eastAsia="Times New Roman" w:hAnsi="Times New Roman" w:cs="Times New Roman"/>
          <w:sz w:val="24"/>
          <w:szCs w:val="24"/>
        </w:rPr>
        <w:fldChar w:fldCharType="end"/>
      </w:r>
      <w:r w:rsidRPr="00597FFB">
        <w:rPr>
          <w:rFonts w:ascii="Times New Roman" w:eastAsia="Times New Roman" w:hAnsi="Times New Roman" w:cs="Times New Roman"/>
          <w:sz w:val="24"/>
          <w:szCs w:val="24"/>
        </w:rPr>
        <w:t xml:space="preserve"> 6 Months   </w:t>
      </w:r>
      <w:r w:rsidRPr="00597FFB">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597FFB">
        <w:rPr>
          <w:rFonts w:ascii="Times New Roman" w:eastAsia="Times New Roman" w:hAnsi="Times New Roman" w:cs="Times New Roman"/>
          <w:sz w:val="24"/>
          <w:szCs w:val="24"/>
        </w:rPr>
        <w:instrText xml:space="preserve"> FORMCHECKBOX </w:instrText>
      </w:r>
      <w:r w:rsidRPr="00597FFB">
        <w:rPr>
          <w:rFonts w:ascii="Times New Roman" w:eastAsia="Times New Roman" w:hAnsi="Times New Roman" w:cs="Times New Roman"/>
          <w:sz w:val="24"/>
          <w:szCs w:val="24"/>
        </w:rPr>
      </w:r>
      <w:r w:rsidRPr="00597FFB">
        <w:rPr>
          <w:rFonts w:ascii="Times New Roman" w:eastAsia="Times New Roman" w:hAnsi="Times New Roman" w:cs="Times New Roman"/>
          <w:sz w:val="24"/>
          <w:szCs w:val="24"/>
        </w:rPr>
        <w:fldChar w:fldCharType="separate"/>
      </w:r>
      <w:r w:rsidRPr="00597FFB">
        <w:rPr>
          <w:rFonts w:ascii="Times New Roman" w:eastAsia="Times New Roman" w:hAnsi="Times New Roman" w:cs="Times New Roman"/>
          <w:sz w:val="24"/>
          <w:szCs w:val="24"/>
        </w:rPr>
        <w:fldChar w:fldCharType="end"/>
      </w:r>
      <w:r w:rsidRPr="00597FFB">
        <w:rPr>
          <w:rFonts w:ascii="Times New Roman" w:eastAsia="Times New Roman" w:hAnsi="Times New Roman" w:cs="Times New Roman"/>
          <w:sz w:val="24"/>
          <w:szCs w:val="24"/>
        </w:rPr>
        <w:t xml:space="preserve"> 1 year  </w:t>
      </w:r>
      <w:r w:rsidRPr="00597FFB">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597FFB">
        <w:rPr>
          <w:rFonts w:ascii="Times New Roman" w:eastAsia="Times New Roman" w:hAnsi="Times New Roman" w:cs="Times New Roman"/>
          <w:sz w:val="24"/>
          <w:szCs w:val="24"/>
        </w:rPr>
        <w:instrText xml:space="preserve"> FORMCHECKBOX </w:instrText>
      </w:r>
      <w:r w:rsidRPr="00597FFB">
        <w:rPr>
          <w:rFonts w:ascii="Times New Roman" w:eastAsia="Times New Roman" w:hAnsi="Times New Roman" w:cs="Times New Roman"/>
          <w:sz w:val="24"/>
          <w:szCs w:val="24"/>
        </w:rPr>
      </w:r>
      <w:r w:rsidRPr="00597FFB">
        <w:rPr>
          <w:rFonts w:ascii="Times New Roman" w:eastAsia="Times New Roman" w:hAnsi="Times New Roman" w:cs="Times New Roman"/>
          <w:sz w:val="24"/>
          <w:szCs w:val="24"/>
        </w:rPr>
        <w:fldChar w:fldCharType="separate"/>
      </w:r>
      <w:r w:rsidRPr="00597FFB">
        <w:rPr>
          <w:rFonts w:ascii="Times New Roman" w:eastAsia="Times New Roman" w:hAnsi="Times New Roman" w:cs="Times New Roman"/>
          <w:sz w:val="24"/>
          <w:szCs w:val="24"/>
        </w:rPr>
        <w:fldChar w:fldCharType="end"/>
      </w:r>
      <w:r w:rsidRPr="00597FFB">
        <w:rPr>
          <w:rFonts w:ascii="Times New Roman" w:eastAsia="Times New Roman" w:hAnsi="Times New Roman" w:cs="Times New Roman"/>
          <w:sz w:val="24"/>
          <w:szCs w:val="24"/>
        </w:rPr>
        <w:t xml:space="preserve"> 2 years</w:t>
      </w:r>
    </w:p>
    <w:p w14:paraId="501F3BF4" w14:textId="77777777" w:rsidR="00A71A48" w:rsidRPr="00597FFB" w:rsidRDefault="00A71A48" w:rsidP="00A71A48">
      <w:pPr>
        <w:widowControl w:val="0"/>
        <w:autoSpaceDE w:val="0"/>
        <w:autoSpaceDN w:val="0"/>
        <w:adjustRightInd w:val="0"/>
        <w:spacing w:after="0" w:line="240" w:lineRule="auto"/>
        <w:rPr>
          <w:rFonts w:ascii="Times New Roman" w:eastAsia="Times New Roman" w:hAnsi="Times New Roman" w:cs="Times New Roman"/>
          <w:sz w:val="24"/>
          <w:szCs w:val="24"/>
        </w:rPr>
      </w:pPr>
      <w:r w:rsidRPr="00597FFB">
        <w:rPr>
          <w:rFonts w:ascii="Times New Roman" w:eastAsia="Times New Roman" w:hAnsi="Times New Roman" w:cs="Times New Roman"/>
          <w:b/>
          <w:bCs/>
          <w:sz w:val="24"/>
          <w:szCs w:val="24"/>
        </w:rPr>
        <w:t>Permission Granted By</w:t>
      </w:r>
      <w:r w:rsidRPr="00597FFB">
        <w:rPr>
          <w:rFonts w:ascii="Times New Roman" w:eastAsia="Times New Roman" w:hAnsi="Times New Roman" w:cs="Times New Roman"/>
          <w:sz w:val="24"/>
          <w:szCs w:val="24"/>
        </w:rPr>
        <w:t>:</w:t>
      </w:r>
    </w:p>
    <w:p w14:paraId="594BEBE9" w14:textId="77777777" w:rsidR="00A71A48" w:rsidRPr="00597FFB" w:rsidRDefault="00A71A48" w:rsidP="00A71A48">
      <w:pPr>
        <w:widowControl w:val="0"/>
        <w:autoSpaceDE w:val="0"/>
        <w:autoSpaceDN w:val="0"/>
        <w:adjustRightInd w:val="0"/>
        <w:spacing w:after="0" w:line="240" w:lineRule="auto"/>
        <w:rPr>
          <w:rFonts w:ascii="Times New Roman" w:eastAsia="Times New Roman" w:hAnsi="Times New Roman" w:cs="Times New Roman"/>
          <w:sz w:val="24"/>
          <w:szCs w:val="24"/>
        </w:rPr>
      </w:pPr>
    </w:p>
    <w:p w14:paraId="50A6358A" w14:textId="0F388FB6" w:rsidR="00A71A48" w:rsidRPr="00597FFB" w:rsidRDefault="00A71A48" w:rsidP="00AE468D">
      <w:pPr>
        <w:widowControl w:val="0"/>
        <w:autoSpaceDE w:val="0"/>
        <w:autoSpaceDN w:val="0"/>
        <w:adjustRightInd w:val="0"/>
        <w:spacing w:after="0" w:line="240" w:lineRule="auto"/>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 xml:space="preserve">Name and Signature: </w:t>
      </w:r>
      <w:bookmarkStart w:id="7" w:name="_Hlk53478988"/>
      <w:r w:rsidR="00AE468D" w:rsidRPr="00597FFB">
        <w:rPr>
          <w:rFonts w:ascii="Times New Roman" w:eastAsia="Times New Roman" w:hAnsi="Times New Roman" w:cs="Times New Roman"/>
          <w:b/>
          <w:sz w:val="24"/>
          <w:szCs w:val="24"/>
        </w:rPr>
        <w:t>Badreya Albloushi</w:t>
      </w:r>
      <w:bookmarkEnd w:id="7"/>
      <w:r w:rsidR="00AE468D" w:rsidRPr="00597FFB">
        <w:rPr>
          <w:rFonts w:ascii="Times New Roman" w:eastAsia="Times New Roman" w:hAnsi="Times New Roman" w:cs="Times New Roman"/>
          <w:sz w:val="24"/>
          <w:szCs w:val="24"/>
        </w:rPr>
        <w:t xml:space="preserve"> </w:t>
      </w:r>
    </w:p>
    <w:p w14:paraId="1360DE8E" w14:textId="535FAD58" w:rsidR="00A71A48" w:rsidRPr="00597FFB" w:rsidRDefault="00A71A48" w:rsidP="00A71A48">
      <w:pPr>
        <w:widowControl w:val="0"/>
        <w:autoSpaceDE w:val="0"/>
        <w:autoSpaceDN w:val="0"/>
        <w:adjustRightInd w:val="0"/>
        <w:spacing w:after="0" w:line="240" w:lineRule="auto"/>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Date:</w:t>
      </w: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tab/>
        <w:t xml:space="preserve">          </w:t>
      </w:r>
      <w:r w:rsidR="00AE468D" w:rsidRPr="00597FFB">
        <w:rPr>
          <w:rFonts w:ascii="Times New Roman" w:eastAsia="Times New Roman" w:hAnsi="Times New Roman" w:cs="Times New Roman"/>
          <w:b/>
          <w:bCs/>
          <w:sz w:val="24"/>
          <w:szCs w:val="24"/>
        </w:rPr>
        <w:t>2023</w:t>
      </w:r>
    </w:p>
    <w:p w14:paraId="0646A4E3" w14:textId="6FAD9673" w:rsidR="00A71A48" w:rsidRPr="00597FFB" w:rsidRDefault="00A71A48" w:rsidP="00A71A48">
      <w:pPr>
        <w:widowControl w:val="0"/>
        <w:autoSpaceDE w:val="0"/>
        <w:autoSpaceDN w:val="0"/>
        <w:adjustRightInd w:val="0"/>
        <w:spacing w:after="0" w:line="240" w:lineRule="auto"/>
        <w:rPr>
          <w:rFonts w:ascii="Times New Roman" w:eastAsia="Times New Roman" w:hAnsi="Times New Roman" w:cs="Times New Roman"/>
          <w:sz w:val="24"/>
          <w:szCs w:val="24"/>
        </w:rPr>
      </w:pPr>
      <w:r w:rsidRPr="00597FFB">
        <w:rPr>
          <w:rFonts w:ascii="Times New Roman" w:eastAsia="Times New Roman" w:hAnsi="Times New Roman" w:cs="Times New Roman"/>
          <w:sz w:val="24"/>
          <w:szCs w:val="24"/>
        </w:rPr>
        <w:t xml:space="preserve">Email: </w:t>
      </w:r>
      <w:r w:rsidRPr="00597FFB">
        <w:rPr>
          <w:rFonts w:ascii="Times New Roman" w:eastAsia="Times New Roman" w:hAnsi="Times New Roman" w:cs="Times New Roman"/>
          <w:sz w:val="24"/>
          <w:szCs w:val="24"/>
        </w:rPr>
        <w:tab/>
      </w:r>
      <w:r w:rsidRPr="00597FFB">
        <w:rPr>
          <w:rFonts w:ascii="Times New Roman" w:eastAsia="Times New Roman" w:hAnsi="Times New Roman" w:cs="Times New Roman"/>
          <w:sz w:val="24"/>
          <w:szCs w:val="24"/>
        </w:rPr>
        <w:tab/>
        <w:t xml:space="preserve">           </w:t>
      </w:r>
      <w:r w:rsidR="00AE468D" w:rsidRPr="00597FFB">
        <w:rPr>
          <w:rFonts w:ascii="Times New Roman" w:eastAsia="Times New Roman" w:hAnsi="Times New Roman" w:cs="Times New Roman"/>
          <w:b/>
          <w:bCs/>
          <w:sz w:val="24"/>
          <w:szCs w:val="24"/>
        </w:rPr>
        <w:t>Umdheyabalfalasi@gmail.com</w:t>
      </w:r>
    </w:p>
    <w:p w14:paraId="5F304DE3" w14:textId="77777777" w:rsidR="00A71A48" w:rsidRPr="00597FFB" w:rsidRDefault="00A71A48" w:rsidP="00A71A48">
      <w:pPr>
        <w:spacing w:line="480" w:lineRule="auto"/>
        <w:rPr>
          <w:rFonts w:ascii="Times New Roman" w:hAnsi="Times New Roman" w:cs="Times New Roman"/>
          <w:sz w:val="20"/>
          <w:szCs w:val="24"/>
          <w:lang w:val="en-GB"/>
        </w:rPr>
      </w:pPr>
    </w:p>
    <w:p w14:paraId="5B28EADC" w14:textId="77777777" w:rsidR="00A71A48" w:rsidRPr="00597FFB" w:rsidRDefault="00A71A48" w:rsidP="00A71A48">
      <w:pPr>
        <w:spacing w:line="480" w:lineRule="auto"/>
        <w:rPr>
          <w:rFonts w:ascii="Times New Roman" w:hAnsi="Times New Roman" w:cs="Times New Roman"/>
          <w:sz w:val="24"/>
          <w:szCs w:val="24"/>
          <w:lang w:val="en-GB"/>
        </w:rPr>
        <w:sectPr w:rsidR="00A71A48" w:rsidRPr="00597FFB" w:rsidSect="00A02596">
          <w:pgSz w:w="11909" w:h="16834" w:code="9"/>
          <w:pgMar w:top="1440" w:right="2160" w:bottom="1800" w:left="2160" w:header="720" w:footer="720" w:gutter="0"/>
          <w:pgNumType w:fmt="lowerRoman"/>
          <w:cols w:space="720"/>
          <w:docGrid w:linePitch="360"/>
        </w:sectPr>
      </w:pPr>
    </w:p>
    <w:p w14:paraId="26D62495" w14:textId="2C58E927" w:rsidR="006178EB" w:rsidRPr="00597FFB" w:rsidRDefault="00AC5FAA" w:rsidP="00F60109">
      <w:pPr>
        <w:spacing w:line="480" w:lineRule="auto"/>
        <w:jc w:val="center"/>
        <w:rPr>
          <w:rFonts w:ascii="Times New Roman" w:hAnsi="Times New Roman" w:cs="Times New Roman"/>
          <w:sz w:val="24"/>
          <w:szCs w:val="24"/>
        </w:rPr>
      </w:pPr>
      <w:r w:rsidRPr="00597FFB">
        <w:rPr>
          <w:rFonts w:ascii="Times New Roman" w:eastAsia="Calibri" w:hAnsi="Times New Roman" w:cs="Times New Roman"/>
          <w:b/>
          <w:bCs/>
          <w:sz w:val="24"/>
          <w:szCs w:val="24"/>
        </w:rPr>
        <w:lastRenderedPageBreak/>
        <w:t xml:space="preserve">E-Waste Recycling Behavior </w:t>
      </w:r>
      <w:r w:rsidR="00411516" w:rsidRPr="00597FFB">
        <w:rPr>
          <w:rFonts w:ascii="Times New Roman" w:eastAsia="Calibri" w:hAnsi="Times New Roman" w:cs="Times New Roman"/>
          <w:b/>
          <w:bCs/>
          <w:sz w:val="24"/>
          <w:szCs w:val="24"/>
        </w:rPr>
        <w:t>o</w:t>
      </w:r>
      <w:r w:rsidRPr="00597FFB">
        <w:rPr>
          <w:rFonts w:ascii="Times New Roman" w:eastAsia="Calibri" w:hAnsi="Times New Roman" w:cs="Times New Roman"/>
          <w:b/>
          <w:bCs/>
          <w:sz w:val="24"/>
          <w:szCs w:val="24"/>
        </w:rPr>
        <w:t xml:space="preserve">f UAE Millennials Based </w:t>
      </w:r>
      <w:r w:rsidR="00411516" w:rsidRPr="00597FFB">
        <w:rPr>
          <w:rFonts w:ascii="Times New Roman" w:eastAsia="Calibri" w:hAnsi="Times New Roman" w:cs="Times New Roman"/>
          <w:b/>
          <w:bCs/>
          <w:sz w:val="24"/>
          <w:szCs w:val="24"/>
        </w:rPr>
        <w:t>o</w:t>
      </w:r>
      <w:r w:rsidRPr="00597FFB">
        <w:rPr>
          <w:rFonts w:ascii="Times New Roman" w:eastAsia="Calibri" w:hAnsi="Times New Roman" w:cs="Times New Roman"/>
          <w:b/>
          <w:bCs/>
          <w:sz w:val="24"/>
          <w:szCs w:val="24"/>
        </w:rPr>
        <w:t xml:space="preserve">n The Extended Theories </w:t>
      </w:r>
      <w:r w:rsidR="00411516" w:rsidRPr="00597FFB">
        <w:rPr>
          <w:rFonts w:ascii="Times New Roman" w:eastAsia="Calibri" w:hAnsi="Times New Roman" w:cs="Times New Roman"/>
          <w:b/>
          <w:bCs/>
          <w:sz w:val="24"/>
          <w:szCs w:val="24"/>
        </w:rPr>
        <w:t>o</w:t>
      </w:r>
      <w:r w:rsidRPr="00597FFB">
        <w:rPr>
          <w:rFonts w:ascii="Times New Roman" w:eastAsia="Calibri" w:hAnsi="Times New Roman" w:cs="Times New Roman"/>
          <w:b/>
          <w:bCs/>
          <w:sz w:val="24"/>
          <w:szCs w:val="24"/>
        </w:rPr>
        <w:t xml:space="preserve">f Planned Behavior, Norm Activation Behavior, </w:t>
      </w:r>
      <w:r w:rsidR="00411516" w:rsidRPr="00597FFB">
        <w:rPr>
          <w:rFonts w:ascii="Times New Roman" w:eastAsia="Calibri" w:hAnsi="Times New Roman" w:cs="Times New Roman"/>
          <w:b/>
          <w:bCs/>
          <w:sz w:val="24"/>
          <w:szCs w:val="24"/>
        </w:rPr>
        <w:t>a</w:t>
      </w:r>
      <w:r w:rsidRPr="00597FFB">
        <w:rPr>
          <w:rFonts w:ascii="Times New Roman" w:eastAsia="Calibri" w:hAnsi="Times New Roman" w:cs="Times New Roman"/>
          <w:b/>
          <w:bCs/>
          <w:sz w:val="24"/>
          <w:szCs w:val="24"/>
        </w:rPr>
        <w:t>nd Protection Motivation</w:t>
      </w:r>
    </w:p>
    <w:p w14:paraId="0046250D" w14:textId="2A50B849" w:rsidR="00F60109" w:rsidRPr="00597FFB" w:rsidRDefault="00F60109" w:rsidP="005672BA">
      <w:pPr>
        <w:pStyle w:val="Heading1"/>
        <w:jc w:val="center"/>
        <w:rPr>
          <w:rFonts w:asciiTheme="majorBidi" w:eastAsia="Times New Roman" w:hAnsiTheme="majorBidi"/>
          <w:b/>
          <w:bCs/>
          <w:color w:val="000000" w:themeColor="text1"/>
          <w:sz w:val="28"/>
          <w:szCs w:val="28"/>
        </w:rPr>
      </w:pPr>
      <w:bookmarkStart w:id="8" w:name="_Toc127170242"/>
      <w:r w:rsidRPr="00597FFB">
        <w:rPr>
          <w:rFonts w:asciiTheme="majorBidi" w:eastAsia="Times New Roman" w:hAnsiTheme="majorBidi"/>
          <w:b/>
          <w:bCs/>
          <w:color w:val="000000" w:themeColor="text1"/>
          <w:sz w:val="28"/>
          <w:szCs w:val="28"/>
        </w:rPr>
        <w:t>ABSTRACT</w:t>
      </w:r>
      <w:bookmarkEnd w:id="8"/>
    </w:p>
    <w:p w14:paraId="6DF124CB" w14:textId="1661D7E8" w:rsidR="00737770" w:rsidRPr="00597FFB" w:rsidRDefault="00737770" w:rsidP="00584AE2">
      <w:pPr>
        <w:spacing w:line="480" w:lineRule="auto"/>
        <w:ind w:firstLine="720"/>
        <w:jc w:val="both"/>
        <w:rPr>
          <w:rFonts w:ascii="Times New Roman" w:hAnsi="Times New Roman" w:cs="Times New Roman"/>
          <w:bCs/>
          <w:sz w:val="24"/>
          <w:szCs w:val="24"/>
        </w:rPr>
      </w:pPr>
      <w:r w:rsidRPr="00597FFB">
        <w:rPr>
          <w:rFonts w:ascii="Times New Roman" w:hAnsi="Times New Roman" w:cs="Times New Roman"/>
          <w:bCs/>
          <w:sz w:val="24"/>
          <w:szCs w:val="24"/>
        </w:rPr>
        <w:t xml:space="preserve">The significant growth of information technologies </w:t>
      </w:r>
      <w:r w:rsidR="00B429D6" w:rsidRPr="00597FFB">
        <w:rPr>
          <w:rFonts w:ascii="Times New Roman" w:hAnsi="Times New Roman" w:cs="Times New Roman"/>
          <w:bCs/>
          <w:sz w:val="24"/>
          <w:szCs w:val="24"/>
        </w:rPr>
        <w:t>within</w:t>
      </w:r>
      <w:r w:rsidRPr="00597FFB">
        <w:rPr>
          <w:rFonts w:ascii="Times New Roman" w:hAnsi="Times New Roman" w:cs="Times New Roman"/>
          <w:bCs/>
          <w:sz w:val="24"/>
          <w:szCs w:val="24"/>
        </w:rPr>
        <w:t xml:space="preserve"> the global econom</w:t>
      </w:r>
      <w:r w:rsidR="00B429D6" w:rsidRPr="00597FFB">
        <w:rPr>
          <w:rFonts w:ascii="Times New Roman" w:hAnsi="Times New Roman" w:cs="Times New Roman"/>
          <w:bCs/>
          <w:sz w:val="24"/>
          <w:szCs w:val="24"/>
        </w:rPr>
        <w:t xml:space="preserve">y and further aggravated by significant drops in the cost of </w:t>
      </w:r>
      <w:r w:rsidRPr="00597FFB">
        <w:rPr>
          <w:rFonts w:ascii="Times New Roman" w:hAnsi="Times New Roman" w:cs="Times New Roman"/>
          <w:bCs/>
          <w:sz w:val="24"/>
          <w:szCs w:val="24"/>
        </w:rPr>
        <w:t xml:space="preserve">electronic equipment, has </w:t>
      </w:r>
      <w:r w:rsidR="00B429D6" w:rsidRPr="00597FFB">
        <w:rPr>
          <w:rFonts w:ascii="Times New Roman" w:hAnsi="Times New Roman" w:cs="Times New Roman"/>
          <w:bCs/>
          <w:sz w:val="24"/>
          <w:szCs w:val="24"/>
        </w:rPr>
        <w:t>resulted in various</w:t>
      </w:r>
      <w:r w:rsidRPr="00597FFB">
        <w:rPr>
          <w:rFonts w:ascii="Times New Roman" w:hAnsi="Times New Roman" w:cs="Times New Roman"/>
          <w:bCs/>
          <w:sz w:val="24"/>
          <w:szCs w:val="24"/>
        </w:rPr>
        <w:t xml:space="preserve"> challenges </w:t>
      </w:r>
      <w:r w:rsidR="00B429D6" w:rsidRPr="00597FFB">
        <w:rPr>
          <w:rFonts w:ascii="Times New Roman" w:hAnsi="Times New Roman" w:cs="Times New Roman"/>
          <w:bCs/>
          <w:sz w:val="24"/>
          <w:szCs w:val="24"/>
        </w:rPr>
        <w:t>related to</w:t>
      </w:r>
      <w:r w:rsidRPr="00597FFB">
        <w:rPr>
          <w:rFonts w:ascii="Times New Roman" w:hAnsi="Times New Roman" w:cs="Times New Roman"/>
          <w:bCs/>
          <w:sz w:val="24"/>
          <w:szCs w:val="24"/>
        </w:rPr>
        <w:t xml:space="preserve"> </w:t>
      </w:r>
      <w:r w:rsidR="00B429D6" w:rsidRPr="00597FFB">
        <w:rPr>
          <w:rFonts w:ascii="Times New Roman" w:hAnsi="Times New Roman" w:cs="Times New Roman"/>
          <w:bCs/>
          <w:sz w:val="24"/>
          <w:szCs w:val="24"/>
        </w:rPr>
        <w:t xml:space="preserve">electronic equipment </w:t>
      </w:r>
      <w:r w:rsidRPr="00597FFB">
        <w:rPr>
          <w:rFonts w:ascii="Times New Roman" w:hAnsi="Times New Roman" w:cs="Times New Roman"/>
          <w:bCs/>
          <w:sz w:val="24"/>
          <w:szCs w:val="24"/>
        </w:rPr>
        <w:t xml:space="preserve">reusing and recycling. Globally, E-waste has triggered the need for </w:t>
      </w:r>
      <w:r w:rsidR="00B429D6" w:rsidRPr="00597FFB">
        <w:rPr>
          <w:rFonts w:ascii="Times New Roman" w:hAnsi="Times New Roman" w:cs="Times New Roman"/>
          <w:bCs/>
          <w:sz w:val="24"/>
          <w:szCs w:val="24"/>
        </w:rPr>
        <w:t>better insights into the way</w:t>
      </w:r>
      <w:r w:rsidRPr="00597FFB">
        <w:rPr>
          <w:rFonts w:ascii="Times New Roman" w:hAnsi="Times New Roman" w:cs="Times New Roman"/>
          <w:bCs/>
          <w:sz w:val="24"/>
          <w:szCs w:val="24"/>
        </w:rPr>
        <w:t xml:space="preserve"> consumers dispose of </w:t>
      </w:r>
      <w:r w:rsidR="00B429D6" w:rsidRPr="00597FFB">
        <w:rPr>
          <w:rFonts w:ascii="Times New Roman" w:hAnsi="Times New Roman" w:cs="Times New Roman"/>
          <w:bCs/>
          <w:sz w:val="24"/>
          <w:szCs w:val="24"/>
        </w:rPr>
        <w:t xml:space="preserve">and/or recycle </w:t>
      </w:r>
      <w:r w:rsidRPr="00597FFB">
        <w:rPr>
          <w:rFonts w:ascii="Times New Roman" w:hAnsi="Times New Roman" w:cs="Times New Roman"/>
          <w:bCs/>
          <w:sz w:val="24"/>
          <w:szCs w:val="24"/>
        </w:rPr>
        <w:t xml:space="preserve">electronic waste. In the UAE, the </w:t>
      </w:r>
      <w:r w:rsidRPr="00597FFB">
        <w:rPr>
          <w:rFonts w:ascii="Times New Roman" w:hAnsi="Times New Roman" w:cs="Times New Roman"/>
          <w:sz w:val="24"/>
          <w:szCs w:val="24"/>
        </w:rPr>
        <w:t xml:space="preserve">average resident generated about 17.2 kg of E-waste annually in 2017. </w:t>
      </w:r>
      <w:r w:rsidRPr="00597FFB">
        <w:rPr>
          <w:rFonts w:ascii="Times New Roman" w:hAnsi="Times New Roman" w:cs="Times New Roman"/>
          <w:bCs/>
          <w:sz w:val="24"/>
          <w:szCs w:val="24"/>
        </w:rPr>
        <w:t>With millennials comprising the largest generation in the UAE, their approach to recycling will have a decisive impact on how societies deal with waste management in the future.</w:t>
      </w:r>
    </w:p>
    <w:p w14:paraId="571D64C0" w14:textId="306E200B" w:rsidR="00737770" w:rsidRPr="00597FFB" w:rsidRDefault="00737770" w:rsidP="00584AE2">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Grounded in the extended theory of planned behavior (TPB), norm activation theory (NAT), and protection motivation theory (PMT), additional variables and stimulus factors, the purpose of </w:t>
      </w:r>
      <w:r w:rsidR="007405D6" w:rsidRPr="00597FFB">
        <w:rPr>
          <w:rFonts w:ascii="Times New Roman" w:hAnsi="Times New Roman" w:cs="Times New Roman"/>
          <w:sz w:val="24"/>
          <w:szCs w:val="24"/>
        </w:rPr>
        <w:t>this</w:t>
      </w:r>
      <w:r w:rsidRPr="00597FFB">
        <w:rPr>
          <w:rFonts w:ascii="Times New Roman" w:hAnsi="Times New Roman" w:cs="Times New Roman"/>
          <w:sz w:val="24"/>
          <w:szCs w:val="24"/>
        </w:rPr>
        <w:t xml:space="preserve"> study was to analyze the determinants of sustainable electronic waste recycling (EWR) intentions among millennials. Examining millennials' perceptions about electronic waste and sustainable attitudes is </w:t>
      </w:r>
      <w:r w:rsidR="007405D6" w:rsidRPr="00597FFB">
        <w:rPr>
          <w:rFonts w:ascii="Times New Roman" w:hAnsi="Times New Roman" w:cs="Times New Roman"/>
          <w:sz w:val="24"/>
          <w:szCs w:val="24"/>
        </w:rPr>
        <w:t xml:space="preserve">fundamental to finding public recognition and resolving the electronic waste threat and identifying possible actions that could motivate or influence sustainable behavior. </w:t>
      </w:r>
      <w:r w:rsidRPr="00597FFB">
        <w:rPr>
          <w:rFonts w:ascii="Times New Roman" w:hAnsi="Times New Roman" w:cs="Times New Roman"/>
          <w:sz w:val="24"/>
          <w:szCs w:val="24"/>
        </w:rPr>
        <w:t>A cross-sectional, quantitative research using a survey to collect data from UAE millennials was performed. Data were coded in SPSS and hypotheses testing performed using SmartPLS V3.</w:t>
      </w:r>
    </w:p>
    <w:p w14:paraId="1DAEEDE6" w14:textId="77777777" w:rsidR="00737770" w:rsidRPr="00597FFB" w:rsidRDefault="00737770" w:rsidP="00584AE2">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lastRenderedPageBreak/>
        <w:t xml:space="preserve">Findings related to the extended TPB framework revealed that attitude, subjective norm, perceived behavioral control, and incentives were significant positive and direct predictors of EWR behavioral intention and behavior adoption. EWR behavioral intention and environmental concern also influenced behavior adoption. EWR behavioral intention mediated the effect of attitude, subjective norm, perceived behavioral control, and incentives on EWR behavior adoption while environmental concern moderated the effect of EWR behavioral intention on EWR adoption. For the extended NAT framework, ascription of responsibility, awareness of consequences, and moral norm had direct, positive effect on personal norm. Personal norm, privacy concern, ascription of responsibility, awareness of consequences, and moral norm had direct, positive effect on EWR behavioral intention. Personal norm mediated the effect of ascription of responsibility, awareness of consequences, and moral norm on EWR behavioral intention. Finally, privacy concern moderated the effect of the effect of ascription of responsibility, awareness of consequences, and moral norm on personal norm. </w:t>
      </w:r>
    </w:p>
    <w:p w14:paraId="5AE9435B" w14:textId="77777777" w:rsidR="00737770" w:rsidRPr="00597FFB" w:rsidRDefault="00737770" w:rsidP="00584AE2">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extended PMT framework’s findings showed that threat appraisal, coping appraisal, and EWR information/knowledge had direct, positive effect on protection motivation. Direct, positive effect was recorded for protection motivation, environmental assessment, threat appraisal, coping appraisal, and EWR information/knowledge on intent to adopt EWR whereas the effect of habits on intent to adopt EWR was negative. Protection motivation was a significant mediator and moderator of the effect of EWR information/knowledge, threat appraisal, and coping appraisal on intent to adopt EWR.</w:t>
      </w:r>
    </w:p>
    <w:p w14:paraId="41C9D9BE" w14:textId="319113B5" w:rsidR="00737770" w:rsidRPr="00597FFB" w:rsidRDefault="00737770" w:rsidP="00584AE2">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This study extends the application of TPB, NAT, and PMT in understanding EWR behavior among millennials in the UAE and their respective outcomes provide an avenue through which electronic firms, government, and other EWR actors can better understand the UAE millennial within the perspective of EWR recycling. Future research </w:t>
      </w:r>
      <w:r w:rsidR="007405D6" w:rsidRPr="00597FFB">
        <w:rPr>
          <w:rFonts w:ascii="Times New Roman" w:hAnsi="Times New Roman" w:cs="Times New Roman"/>
          <w:sz w:val="24"/>
          <w:szCs w:val="24"/>
        </w:rPr>
        <w:t>could consider tracking</w:t>
      </w:r>
      <w:r w:rsidRPr="00597FFB">
        <w:rPr>
          <w:rFonts w:ascii="Times New Roman" w:hAnsi="Times New Roman" w:cs="Times New Roman"/>
          <w:sz w:val="24"/>
          <w:szCs w:val="24"/>
        </w:rPr>
        <w:t xml:space="preserve"> a group of millennials over </w:t>
      </w:r>
      <w:r w:rsidR="007405D6" w:rsidRPr="00597FFB">
        <w:rPr>
          <w:rFonts w:ascii="Times New Roman" w:hAnsi="Times New Roman" w:cs="Times New Roman"/>
          <w:sz w:val="24"/>
          <w:szCs w:val="24"/>
        </w:rPr>
        <w:t>time with a view of gaining</w:t>
      </w:r>
      <w:r w:rsidRPr="00597FFB">
        <w:rPr>
          <w:rFonts w:ascii="Times New Roman" w:hAnsi="Times New Roman" w:cs="Times New Roman"/>
          <w:sz w:val="24"/>
          <w:szCs w:val="24"/>
        </w:rPr>
        <w:t xml:space="preserve"> more </w:t>
      </w:r>
      <w:r w:rsidR="007405D6" w:rsidRPr="00597FFB">
        <w:rPr>
          <w:rFonts w:ascii="Times New Roman" w:hAnsi="Times New Roman" w:cs="Times New Roman"/>
          <w:sz w:val="24"/>
          <w:szCs w:val="24"/>
        </w:rPr>
        <w:t>robust</w:t>
      </w:r>
      <w:r w:rsidRPr="00597FFB">
        <w:rPr>
          <w:rFonts w:ascii="Times New Roman" w:hAnsi="Times New Roman" w:cs="Times New Roman"/>
          <w:sz w:val="24"/>
          <w:szCs w:val="24"/>
        </w:rPr>
        <w:t xml:space="preserve"> </w:t>
      </w:r>
      <w:r w:rsidR="007405D6" w:rsidRPr="00597FFB">
        <w:rPr>
          <w:rFonts w:ascii="Times New Roman" w:hAnsi="Times New Roman" w:cs="Times New Roman"/>
          <w:sz w:val="24"/>
          <w:szCs w:val="24"/>
        </w:rPr>
        <w:t>perspectives</w:t>
      </w:r>
      <w:r w:rsidRPr="00597FFB">
        <w:rPr>
          <w:rFonts w:ascii="Times New Roman" w:hAnsi="Times New Roman" w:cs="Times New Roman"/>
          <w:sz w:val="24"/>
          <w:szCs w:val="24"/>
        </w:rPr>
        <w:t xml:space="preserve"> </w:t>
      </w:r>
      <w:r w:rsidR="007405D6" w:rsidRPr="00597FFB">
        <w:rPr>
          <w:rFonts w:ascii="Times New Roman" w:hAnsi="Times New Roman" w:cs="Times New Roman"/>
          <w:sz w:val="24"/>
          <w:szCs w:val="24"/>
        </w:rPr>
        <w:t>related to both</w:t>
      </w:r>
      <w:r w:rsidRPr="00597FFB">
        <w:rPr>
          <w:rFonts w:ascii="Times New Roman" w:hAnsi="Times New Roman" w:cs="Times New Roman"/>
          <w:sz w:val="24"/>
          <w:szCs w:val="24"/>
        </w:rPr>
        <w:t xml:space="preserve"> </w:t>
      </w:r>
      <w:r w:rsidR="007405D6" w:rsidRPr="00597FFB">
        <w:rPr>
          <w:rFonts w:ascii="Times New Roman" w:hAnsi="Times New Roman" w:cs="Times New Roman"/>
          <w:sz w:val="24"/>
          <w:szCs w:val="24"/>
        </w:rPr>
        <w:t xml:space="preserve">environmental stewardship </w:t>
      </w:r>
      <w:r w:rsidRPr="00597FFB">
        <w:rPr>
          <w:rFonts w:ascii="Times New Roman" w:hAnsi="Times New Roman" w:cs="Times New Roman"/>
          <w:sz w:val="24"/>
          <w:szCs w:val="24"/>
        </w:rPr>
        <w:t xml:space="preserve">and </w:t>
      </w:r>
      <w:r w:rsidR="007405D6" w:rsidRPr="00597FFB">
        <w:rPr>
          <w:rFonts w:ascii="Times New Roman" w:hAnsi="Times New Roman" w:cs="Times New Roman"/>
          <w:sz w:val="24"/>
          <w:szCs w:val="24"/>
        </w:rPr>
        <w:t xml:space="preserve">developmental changes </w:t>
      </w:r>
      <w:r w:rsidRPr="00597FFB">
        <w:rPr>
          <w:rFonts w:ascii="Times New Roman" w:hAnsi="Times New Roman" w:cs="Times New Roman"/>
          <w:sz w:val="24"/>
          <w:szCs w:val="24"/>
        </w:rPr>
        <w:t>with respect to EWR behavioral intention and adoption.</w:t>
      </w:r>
    </w:p>
    <w:p w14:paraId="77B32623" w14:textId="643BEB6B" w:rsidR="00737770" w:rsidRPr="00597FFB" w:rsidRDefault="00737770" w:rsidP="001B284E">
      <w:pPr>
        <w:spacing w:line="360" w:lineRule="auto"/>
        <w:jc w:val="both"/>
        <w:rPr>
          <w:rFonts w:ascii="Times New Roman" w:hAnsi="Times New Roman" w:cs="Times New Roman"/>
          <w:i/>
          <w:iCs/>
          <w:sz w:val="24"/>
          <w:szCs w:val="24"/>
        </w:rPr>
      </w:pPr>
      <w:r w:rsidRPr="00597FFB">
        <w:rPr>
          <w:rFonts w:ascii="Times New Roman" w:hAnsi="Times New Roman" w:cs="Times New Roman"/>
          <w:b/>
          <w:bCs/>
          <w:sz w:val="24"/>
          <w:szCs w:val="24"/>
        </w:rPr>
        <w:t xml:space="preserve">Keywords: </w:t>
      </w:r>
      <w:r w:rsidRPr="00597FFB">
        <w:rPr>
          <w:rFonts w:ascii="Times New Roman" w:hAnsi="Times New Roman" w:cs="Times New Roman"/>
          <w:i/>
          <w:iCs/>
          <w:sz w:val="24"/>
          <w:szCs w:val="24"/>
        </w:rPr>
        <w:t xml:space="preserve">Electronic </w:t>
      </w:r>
      <w:r w:rsidR="00ED45B5" w:rsidRPr="00597FFB">
        <w:rPr>
          <w:rFonts w:ascii="Times New Roman" w:hAnsi="Times New Roman" w:cs="Times New Roman"/>
          <w:i/>
          <w:iCs/>
          <w:sz w:val="24"/>
          <w:szCs w:val="24"/>
        </w:rPr>
        <w:t xml:space="preserve">Waste Recycling, </w:t>
      </w:r>
      <w:r w:rsidRPr="00597FFB">
        <w:rPr>
          <w:rFonts w:ascii="Times New Roman" w:hAnsi="Times New Roman" w:cs="Times New Roman"/>
          <w:i/>
          <w:iCs/>
          <w:sz w:val="24"/>
          <w:szCs w:val="24"/>
        </w:rPr>
        <w:t>E</w:t>
      </w:r>
      <w:r w:rsidR="00ED45B5" w:rsidRPr="00597FFB">
        <w:rPr>
          <w:rFonts w:ascii="Times New Roman" w:hAnsi="Times New Roman" w:cs="Times New Roman"/>
          <w:i/>
          <w:iCs/>
          <w:sz w:val="24"/>
          <w:szCs w:val="24"/>
        </w:rPr>
        <w:t xml:space="preserve">-Waste, </w:t>
      </w:r>
      <w:r w:rsidRPr="00597FFB">
        <w:rPr>
          <w:rFonts w:ascii="Times New Roman" w:hAnsi="Times New Roman" w:cs="Times New Roman"/>
          <w:i/>
          <w:iCs/>
          <w:sz w:val="24"/>
          <w:szCs w:val="24"/>
        </w:rPr>
        <w:t>E</w:t>
      </w:r>
      <w:r w:rsidR="00ED45B5" w:rsidRPr="00597FFB">
        <w:rPr>
          <w:rFonts w:ascii="Times New Roman" w:hAnsi="Times New Roman" w:cs="Times New Roman"/>
          <w:i/>
          <w:iCs/>
          <w:sz w:val="24"/>
          <w:szCs w:val="24"/>
        </w:rPr>
        <w:t>-Waste Management, Millennials, Theory Of Planned Behavior (</w:t>
      </w:r>
      <w:r w:rsidRPr="00597FFB">
        <w:rPr>
          <w:rFonts w:ascii="Times New Roman" w:hAnsi="Times New Roman" w:cs="Times New Roman"/>
          <w:i/>
          <w:iCs/>
          <w:sz w:val="24"/>
          <w:szCs w:val="24"/>
        </w:rPr>
        <w:t>TPB</w:t>
      </w:r>
      <w:r w:rsidR="00ED45B5" w:rsidRPr="00597FFB">
        <w:rPr>
          <w:rFonts w:ascii="Times New Roman" w:hAnsi="Times New Roman" w:cs="Times New Roman"/>
          <w:i/>
          <w:iCs/>
          <w:sz w:val="24"/>
          <w:szCs w:val="24"/>
        </w:rPr>
        <w:t>), Norm Activation Theory (</w:t>
      </w:r>
      <w:r w:rsidRPr="00597FFB">
        <w:rPr>
          <w:rFonts w:ascii="Times New Roman" w:hAnsi="Times New Roman" w:cs="Times New Roman"/>
          <w:i/>
          <w:iCs/>
          <w:sz w:val="24"/>
          <w:szCs w:val="24"/>
        </w:rPr>
        <w:t>NAT</w:t>
      </w:r>
      <w:r w:rsidR="00ED45B5" w:rsidRPr="00597FFB">
        <w:rPr>
          <w:rFonts w:ascii="Times New Roman" w:hAnsi="Times New Roman" w:cs="Times New Roman"/>
          <w:i/>
          <w:iCs/>
          <w:sz w:val="24"/>
          <w:szCs w:val="24"/>
        </w:rPr>
        <w:t>), Protection Motivation Theory (</w:t>
      </w:r>
      <w:r w:rsidRPr="00597FFB">
        <w:rPr>
          <w:rFonts w:ascii="Times New Roman" w:hAnsi="Times New Roman" w:cs="Times New Roman"/>
          <w:i/>
          <w:iCs/>
          <w:sz w:val="24"/>
          <w:szCs w:val="24"/>
        </w:rPr>
        <w:t>PMT</w:t>
      </w:r>
      <w:r w:rsidR="00ED45B5" w:rsidRPr="00597FFB">
        <w:rPr>
          <w:rFonts w:ascii="Times New Roman" w:hAnsi="Times New Roman" w:cs="Times New Roman"/>
          <w:i/>
          <w:iCs/>
          <w:sz w:val="24"/>
          <w:szCs w:val="24"/>
        </w:rPr>
        <w:t xml:space="preserve">), </w:t>
      </w:r>
      <w:r w:rsidRPr="00597FFB">
        <w:rPr>
          <w:rFonts w:ascii="Times New Roman" w:hAnsi="Times New Roman" w:cs="Times New Roman"/>
          <w:i/>
          <w:iCs/>
          <w:sz w:val="24"/>
          <w:szCs w:val="24"/>
        </w:rPr>
        <w:t xml:space="preserve">United Arab Emirates </w:t>
      </w:r>
      <w:r w:rsidR="00ED45B5" w:rsidRPr="00597FFB">
        <w:rPr>
          <w:rFonts w:ascii="Times New Roman" w:hAnsi="Times New Roman" w:cs="Times New Roman"/>
          <w:i/>
          <w:iCs/>
          <w:sz w:val="24"/>
          <w:szCs w:val="24"/>
        </w:rPr>
        <w:t>(</w:t>
      </w:r>
      <w:r w:rsidRPr="00597FFB">
        <w:rPr>
          <w:rFonts w:ascii="Times New Roman" w:hAnsi="Times New Roman" w:cs="Times New Roman"/>
          <w:i/>
          <w:iCs/>
          <w:sz w:val="24"/>
          <w:szCs w:val="24"/>
        </w:rPr>
        <w:t>UAE</w:t>
      </w:r>
      <w:r w:rsidR="00ED45B5" w:rsidRPr="00597FFB">
        <w:rPr>
          <w:rFonts w:ascii="Times New Roman" w:hAnsi="Times New Roman" w:cs="Times New Roman"/>
          <w:i/>
          <w:iCs/>
          <w:sz w:val="24"/>
          <w:szCs w:val="24"/>
        </w:rPr>
        <w:t xml:space="preserve">), </w:t>
      </w:r>
      <w:r w:rsidRPr="00597FFB">
        <w:rPr>
          <w:rFonts w:ascii="Times New Roman" w:hAnsi="Times New Roman" w:cs="Times New Roman"/>
          <w:i/>
          <w:iCs/>
          <w:sz w:val="24"/>
          <w:szCs w:val="24"/>
        </w:rPr>
        <w:t>Millennials</w:t>
      </w:r>
    </w:p>
    <w:p w14:paraId="4C0835DA" w14:textId="7206D7F1" w:rsidR="00BC252D" w:rsidRPr="00597FFB" w:rsidRDefault="00BC252D" w:rsidP="00BC252D">
      <w:pPr>
        <w:spacing w:line="480" w:lineRule="auto"/>
        <w:jc w:val="both"/>
        <w:rPr>
          <w:rFonts w:ascii="Times New Roman" w:hAnsi="Times New Roman" w:cs="Times New Roman"/>
          <w:i/>
          <w:sz w:val="24"/>
          <w:szCs w:val="24"/>
        </w:rPr>
      </w:pPr>
    </w:p>
    <w:p w14:paraId="0B971A09" w14:textId="77777777" w:rsidR="00BC252D" w:rsidRPr="00597FFB" w:rsidRDefault="00BC252D" w:rsidP="00BC252D">
      <w:pPr>
        <w:spacing w:line="480" w:lineRule="auto"/>
        <w:jc w:val="both"/>
        <w:rPr>
          <w:rFonts w:ascii="Times New Roman" w:hAnsi="Times New Roman" w:cs="Times New Roman"/>
          <w:bCs/>
          <w:i/>
          <w:sz w:val="24"/>
          <w:szCs w:val="24"/>
        </w:rPr>
      </w:pPr>
    </w:p>
    <w:p w14:paraId="121364C7" w14:textId="2B28159C" w:rsidR="004428A6" w:rsidRPr="00597FFB" w:rsidRDefault="004428A6" w:rsidP="00AE2645">
      <w:pPr>
        <w:spacing w:line="480" w:lineRule="auto"/>
        <w:jc w:val="both"/>
        <w:rPr>
          <w:rFonts w:ascii="Times New Roman" w:hAnsi="Times New Roman" w:cs="Times New Roman"/>
          <w:i/>
          <w:sz w:val="24"/>
          <w:szCs w:val="24"/>
          <w:lang w:val="en-GB"/>
        </w:rPr>
      </w:pPr>
    </w:p>
    <w:p w14:paraId="27720104" w14:textId="7230AA52" w:rsidR="00584AE2" w:rsidRDefault="00584AE2" w:rsidP="00AE2645">
      <w:pPr>
        <w:spacing w:line="480" w:lineRule="auto"/>
        <w:jc w:val="both"/>
        <w:rPr>
          <w:rFonts w:ascii="Times New Roman" w:hAnsi="Times New Roman" w:cs="Times New Roman"/>
          <w:i/>
          <w:sz w:val="24"/>
          <w:szCs w:val="24"/>
          <w:lang w:val="en-GB"/>
        </w:rPr>
      </w:pPr>
    </w:p>
    <w:p w14:paraId="50030EB0" w14:textId="20575C5E" w:rsidR="00A05593" w:rsidRDefault="00A05593" w:rsidP="00AE2645">
      <w:pPr>
        <w:spacing w:line="480" w:lineRule="auto"/>
        <w:jc w:val="both"/>
        <w:rPr>
          <w:rFonts w:ascii="Times New Roman" w:hAnsi="Times New Roman" w:cs="Times New Roman"/>
          <w:i/>
          <w:sz w:val="24"/>
          <w:szCs w:val="24"/>
          <w:lang w:val="en-GB"/>
        </w:rPr>
      </w:pPr>
    </w:p>
    <w:p w14:paraId="527F413D" w14:textId="77777777" w:rsidR="00A05593" w:rsidRPr="00597FFB" w:rsidRDefault="00A05593" w:rsidP="00AE2645">
      <w:pPr>
        <w:spacing w:line="480" w:lineRule="auto"/>
        <w:jc w:val="both"/>
        <w:rPr>
          <w:rFonts w:ascii="Times New Roman" w:hAnsi="Times New Roman" w:cs="Times New Roman"/>
          <w:i/>
          <w:sz w:val="24"/>
          <w:szCs w:val="24"/>
          <w:lang w:val="en-GB"/>
        </w:rPr>
      </w:pPr>
    </w:p>
    <w:p w14:paraId="501EA0FD" w14:textId="77777777" w:rsidR="00584AE2" w:rsidRPr="00597FFB" w:rsidRDefault="00584AE2" w:rsidP="00AE2645">
      <w:pPr>
        <w:spacing w:line="480" w:lineRule="auto"/>
        <w:jc w:val="both"/>
        <w:rPr>
          <w:rFonts w:ascii="Times New Roman" w:hAnsi="Times New Roman" w:cs="Times New Roman"/>
          <w:i/>
          <w:sz w:val="24"/>
          <w:szCs w:val="24"/>
          <w:lang w:val="en-GB"/>
        </w:rPr>
      </w:pPr>
    </w:p>
    <w:p w14:paraId="0D0DE948" w14:textId="65D50472" w:rsidR="004428A6" w:rsidRPr="00597FFB" w:rsidRDefault="004428A6" w:rsidP="005672BA">
      <w:pPr>
        <w:pStyle w:val="Heading1"/>
        <w:jc w:val="center"/>
        <w:rPr>
          <w:rFonts w:asciiTheme="majorBidi" w:eastAsia="Times New Roman" w:hAnsiTheme="majorBidi"/>
          <w:b/>
          <w:bCs/>
          <w:color w:val="000000" w:themeColor="text1"/>
          <w:sz w:val="28"/>
          <w:szCs w:val="28"/>
        </w:rPr>
      </w:pPr>
      <w:bookmarkStart w:id="9" w:name="_Toc127170243"/>
      <w:r w:rsidRPr="00597FFB">
        <w:rPr>
          <w:rFonts w:asciiTheme="majorBidi" w:eastAsia="Times New Roman" w:hAnsiTheme="majorBidi"/>
          <w:b/>
          <w:bCs/>
          <w:color w:val="000000" w:themeColor="text1"/>
          <w:sz w:val="28"/>
          <w:szCs w:val="28"/>
        </w:rPr>
        <w:t>LIST OF ABBREVIATIONS</w:t>
      </w:r>
      <w:bookmarkEnd w:id="9"/>
    </w:p>
    <w:p w14:paraId="43875E77" w14:textId="77777777" w:rsidR="00BC252D" w:rsidRPr="00597FFB" w:rsidRDefault="00BC252D" w:rsidP="00CA34AB">
      <w:pPr>
        <w:spacing w:line="480" w:lineRule="auto"/>
        <w:rPr>
          <w:rFonts w:ascii="Times New Roman" w:hAnsi="Times New Roman" w:cs="Times New Roman"/>
          <w:sz w:val="24"/>
          <w:szCs w:val="24"/>
        </w:rPr>
      </w:pPr>
    </w:p>
    <w:p w14:paraId="2E7E9CA1" w14:textId="577A7599" w:rsidR="001556A9" w:rsidRPr="00597FFB" w:rsidRDefault="001556A9" w:rsidP="001556A9">
      <w:pPr>
        <w:spacing w:after="0" w:line="360" w:lineRule="auto"/>
        <w:rPr>
          <w:rFonts w:ascii="Times New Roman" w:eastAsia="Calibri" w:hAnsi="Times New Roman" w:cs="Times New Roman"/>
          <w:sz w:val="24"/>
          <w:szCs w:val="24"/>
        </w:rPr>
      </w:pPr>
      <w:r w:rsidRPr="00597FFB">
        <w:rPr>
          <w:rFonts w:ascii="Times New Roman" w:hAnsi="Times New Roman" w:cs="Times New Roman"/>
          <w:b/>
          <w:bCs/>
          <w:sz w:val="24"/>
          <w:szCs w:val="24"/>
        </w:rPr>
        <w:t>AC</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eastAsia="Calibri" w:hAnsi="Times New Roman" w:cs="Times New Roman"/>
          <w:sz w:val="24"/>
          <w:szCs w:val="24"/>
        </w:rPr>
        <w:t xml:space="preserve">Awareness </w:t>
      </w:r>
      <w:r w:rsidR="00075AB5" w:rsidRPr="00597FFB">
        <w:rPr>
          <w:rFonts w:ascii="Times New Roman" w:eastAsia="Calibri" w:hAnsi="Times New Roman" w:cs="Times New Roman"/>
          <w:sz w:val="24"/>
          <w:szCs w:val="24"/>
        </w:rPr>
        <w:t>o</w:t>
      </w:r>
      <w:r w:rsidR="00ED45B5" w:rsidRPr="00597FFB">
        <w:rPr>
          <w:rFonts w:ascii="Times New Roman" w:eastAsia="Calibri" w:hAnsi="Times New Roman" w:cs="Times New Roman"/>
          <w:sz w:val="24"/>
          <w:szCs w:val="24"/>
        </w:rPr>
        <w:t xml:space="preserve">f </w:t>
      </w:r>
      <w:r w:rsidR="00075AB5" w:rsidRPr="00597FFB">
        <w:rPr>
          <w:rFonts w:ascii="Times New Roman" w:eastAsia="Calibri" w:hAnsi="Times New Roman" w:cs="Times New Roman"/>
          <w:sz w:val="24"/>
          <w:szCs w:val="24"/>
        </w:rPr>
        <w:t>c</w:t>
      </w:r>
      <w:r w:rsidRPr="00597FFB">
        <w:rPr>
          <w:rFonts w:ascii="Times New Roman" w:eastAsia="Calibri" w:hAnsi="Times New Roman" w:cs="Times New Roman"/>
          <w:sz w:val="24"/>
          <w:szCs w:val="24"/>
        </w:rPr>
        <w:t>onsequences</w:t>
      </w:r>
    </w:p>
    <w:p w14:paraId="017A6E44" w14:textId="64FBCA61" w:rsidR="001556A9" w:rsidRPr="00597FFB" w:rsidRDefault="001556A9" w:rsidP="001556A9">
      <w:pPr>
        <w:spacing w:after="0" w:line="360" w:lineRule="auto"/>
        <w:rPr>
          <w:rFonts w:ascii="Times New Roman" w:eastAsia="Times New Roman" w:hAnsi="Times New Roman" w:cs="Times New Roman"/>
          <w:b/>
          <w:color w:val="000000"/>
          <w:sz w:val="24"/>
          <w:szCs w:val="24"/>
        </w:rPr>
      </w:pPr>
      <w:r w:rsidRPr="00597FFB">
        <w:rPr>
          <w:rFonts w:ascii="Times New Roman" w:eastAsia="Times New Roman" w:hAnsi="Times New Roman" w:cs="Times New Roman"/>
          <w:b/>
          <w:color w:val="000000"/>
          <w:sz w:val="24"/>
          <w:szCs w:val="24"/>
        </w:rPr>
        <w:t>AD</w:t>
      </w:r>
      <w:r w:rsidR="00ED45B5" w:rsidRPr="00597FFB">
        <w:rPr>
          <w:rFonts w:ascii="Times New Roman" w:eastAsia="Times New Roman" w:hAnsi="Times New Roman" w:cs="Times New Roman"/>
          <w:b/>
          <w:color w:val="000000"/>
          <w:sz w:val="24"/>
          <w:szCs w:val="24"/>
        </w:rPr>
        <w:tab/>
      </w:r>
      <w:r w:rsidR="00ED45B5" w:rsidRPr="00597FFB">
        <w:rPr>
          <w:rFonts w:ascii="Times New Roman" w:eastAsia="Times New Roman" w:hAnsi="Times New Roman" w:cs="Times New Roman"/>
          <w:b/>
          <w:color w:val="000000"/>
          <w:sz w:val="24"/>
          <w:szCs w:val="24"/>
        </w:rPr>
        <w:tab/>
      </w:r>
      <w:bookmarkStart w:id="10" w:name="_Hlk114494082"/>
      <w:bookmarkStart w:id="11" w:name="_Hlk114494083"/>
      <w:r w:rsidRPr="00597FFB">
        <w:rPr>
          <w:rFonts w:ascii="Times New Roman" w:eastAsia="Times New Roman" w:hAnsi="Times New Roman" w:cs="Times New Roman"/>
          <w:bCs/>
          <w:color w:val="000000"/>
          <w:sz w:val="24"/>
          <w:szCs w:val="24"/>
        </w:rPr>
        <w:t xml:space="preserve">Adoption </w:t>
      </w:r>
      <w:r w:rsidR="009025E0" w:rsidRPr="00597FFB">
        <w:rPr>
          <w:rFonts w:ascii="Times New Roman" w:eastAsia="Times New Roman" w:hAnsi="Times New Roman" w:cs="Times New Roman"/>
          <w:bCs/>
          <w:color w:val="000000"/>
          <w:sz w:val="24"/>
          <w:szCs w:val="24"/>
        </w:rPr>
        <w:t>o</w:t>
      </w:r>
      <w:r w:rsidRPr="00597FFB">
        <w:rPr>
          <w:rFonts w:ascii="Times New Roman" w:eastAsia="Times New Roman" w:hAnsi="Times New Roman" w:cs="Times New Roman"/>
          <w:bCs/>
          <w:color w:val="000000"/>
          <w:sz w:val="24"/>
          <w:szCs w:val="24"/>
        </w:rPr>
        <w:t xml:space="preserve">f EWR </w:t>
      </w:r>
      <w:r w:rsidR="009025E0" w:rsidRPr="00597FFB">
        <w:rPr>
          <w:rFonts w:ascii="Times New Roman" w:eastAsia="Times New Roman" w:hAnsi="Times New Roman" w:cs="Times New Roman"/>
          <w:bCs/>
          <w:color w:val="000000"/>
          <w:sz w:val="24"/>
          <w:szCs w:val="24"/>
        </w:rPr>
        <w:t>b</w:t>
      </w:r>
      <w:r w:rsidRPr="00597FFB">
        <w:rPr>
          <w:rFonts w:ascii="Times New Roman" w:eastAsia="Times New Roman" w:hAnsi="Times New Roman" w:cs="Times New Roman"/>
          <w:bCs/>
          <w:color w:val="000000"/>
          <w:sz w:val="24"/>
          <w:szCs w:val="24"/>
        </w:rPr>
        <w:t>ehavior</w:t>
      </w:r>
      <w:r w:rsidRPr="00597FFB">
        <w:rPr>
          <w:rFonts w:ascii="Times New Roman" w:eastAsia="Times New Roman" w:hAnsi="Times New Roman" w:cs="Times New Roman"/>
          <w:b/>
          <w:color w:val="000000"/>
          <w:sz w:val="24"/>
          <w:szCs w:val="24"/>
        </w:rPr>
        <w:t xml:space="preserve"> </w:t>
      </w:r>
      <w:bookmarkEnd w:id="10"/>
      <w:bookmarkEnd w:id="11"/>
    </w:p>
    <w:p w14:paraId="37B6343E" w14:textId="1C03A77C" w:rsidR="001556A9" w:rsidRPr="00597FFB" w:rsidRDefault="001556A9" w:rsidP="001556A9">
      <w:pPr>
        <w:spacing w:after="0" w:line="360" w:lineRule="auto"/>
        <w:rPr>
          <w:rFonts w:ascii="Times New Roman" w:eastAsia="Calibri" w:hAnsi="Times New Roman" w:cs="Times New Roman"/>
          <w:sz w:val="24"/>
          <w:szCs w:val="24"/>
        </w:rPr>
      </w:pPr>
      <w:r w:rsidRPr="00597FFB">
        <w:rPr>
          <w:rFonts w:ascii="Times New Roman" w:hAnsi="Times New Roman" w:cs="Times New Roman"/>
          <w:b/>
          <w:bCs/>
          <w:sz w:val="24"/>
          <w:szCs w:val="24"/>
        </w:rPr>
        <w:t>AR</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eastAsia="Calibri" w:hAnsi="Times New Roman" w:cs="Times New Roman"/>
          <w:sz w:val="24"/>
          <w:szCs w:val="24"/>
        </w:rPr>
        <w:t xml:space="preserve">Ascription </w:t>
      </w:r>
      <w:r w:rsidR="009025E0" w:rsidRPr="00597FFB">
        <w:rPr>
          <w:rFonts w:ascii="Times New Roman" w:eastAsia="Calibri" w:hAnsi="Times New Roman" w:cs="Times New Roman"/>
          <w:sz w:val="24"/>
          <w:szCs w:val="24"/>
        </w:rPr>
        <w:t>o</w:t>
      </w:r>
      <w:r w:rsidR="00ED45B5" w:rsidRPr="00597FFB">
        <w:rPr>
          <w:rFonts w:ascii="Times New Roman" w:eastAsia="Calibri" w:hAnsi="Times New Roman" w:cs="Times New Roman"/>
          <w:sz w:val="24"/>
          <w:szCs w:val="24"/>
        </w:rPr>
        <w:t xml:space="preserve">f </w:t>
      </w:r>
      <w:r w:rsidR="009025E0" w:rsidRPr="00597FFB">
        <w:rPr>
          <w:rFonts w:ascii="Times New Roman" w:eastAsia="Calibri" w:hAnsi="Times New Roman" w:cs="Times New Roman"/>
          <w:sz w:val="24"/>
          <w:szCs w:val="24"/>
        </w:rPr>
        <w:t>r</w:t>
      </w:r>
      <w:r w:rsidRPr="00597FFB">
        <w:rPr>
          <w:rFonts w:ascii="Times New Roman" w:eastAsia="Calibri" w:hAnsi="Times New Roman" w:cs="Times New Roman"/>
          <w:sz w:val="24"/>
          <w:szCs w:val="24"/>
        </w:rPr>
        <w:t>esponsibility</w:t>
      </w:r>
    </w:p>
    <w:p w14:paraId="1BD654E5" w14:textId="3580CE7E" w:rsidR="00BC252D" w:rsidRPr="00597FFB" w:rsidRDefault="00BC252D" w:rsidP="001556A9">
      <w:pPr>
        <w:spacing w:after="0" w:line="360" w:lineRule="auto"/>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
          <w:color w:val="000000"/>
          <w:sz w:val="24"/>
          <w:szCs w:val="24"/>
        </w:rPr>
        <w:t>ARF</w:t>
      </w:r>
      <w:r w:rsidR="00ED45B5" w:rsidRPr="00597FFB">
        <w:rPr>
          <w:rFonts w:ascii="Times New Roman" w:eastAsia="Times New Roman" w:hAnsi="Times New Roman" w:cs="Times New Roman"/>
          <w:b/>
          <w:color w:val="000000"/>
          <w:sz w:val="24"/>
          <w:szCs w:val="24"/>
        </w:rPr>
        <w:tab/>
      </w:r>
      <w:r w:rsidR="00ED45B5" w:rsidRPr="00597FFB">
        <w:rPr>
          <w:rFonts w:ascii="Times New Roman" w:eastAsia="Times New Roman" w:hAnsi="Times New Roman" w:cs="Times New Roman"/>
          <w:bCs/>
          <w:color w:val="000000"/>
          <w:sz w:val="24"/>
          <w:szCs w:val="24"/>
        </w:rPr>
        <w:tab/>
      </w:r>
      <w:r w:rsidRPr="00597FFB">
        <w:rPr>
          <w:rFonts w:ascii="Times New Roman" w:eastAsia="Times New Roman" w:hAnsi="Times New Roman" w:cs="Times New Roman"/>
          <w:bCs/>
          <w:color w:val="000000"/>
          <w:sz w:val="24"/>
          <w:szCs w:val="24"/>
        </w:rPr>
        <w:t xml:space="preserve">Advanced </w:t>
      </w:r>
      <w:r w:rsidR="009025E0" w:rsidRPr="00597FFB">
        <w:rPr>
          <w:rFonts w:ascii="Times New Roman" w:eastAsia="Times New Roman" w:hAnsi="Times New Roman" w:cs="Times New Roman"/>
          <w:bCs/>
          <w:color w:val="000000"/>
          <w:sz w:val="24"/>
          <w:szCs w:val="24"/>
        </w:rPr>
        <w:t>r</w:t>
      </w:r>
      <w:r w:rsidRPr="00597FFB">
        <w:rPr>
          <w:rFonts w:ascii="Times New Roman" w:eastAsia="Times New Roman" w:hAnsi="Times New Roman" w:cs="Times New Roman"/>
          <w:bCs/>
          <w:color w:val="000000"/>
          <w:sz w:val="24"/>
          <w:szCs w:val="24"/>
        </w:rPr>
        <w:t xml:space="preserve">ecycling </w:t>
      </w:r>
      <w:r w:rsidR="009025E0" w:rsidRPr="00597FFB">
        <w:rPr>
          <w:rFonts w:ascii="Times New Roman" w:eastAsia="Times New Roman" w:hAnsi="Times New Roman" w:cs="Times New Roman"/>
          <w:bCs/>
          <w:color w:val="000000"/>
          <w:sz w:val="24"/>
          <w:szCs w:val="24"/>
        </w:rPr>
        <w:t>f</w:t>
      </w:r>
      <w:r w:rsidR="00ED45B5" w:rsidRPr="00597FFB">
        <w:rPr>
          <w:rFonts w:ascii="Times New Roman" w:eastAsia="Times New Roman" w:hAnsi="Times New Roman" w:cs="Times New Roman"/>
          <w:bCs/>
          <w:color w:val="000000"/>
          <w:sz w:val="24"/>
          <w:szCs w:val="24"/>
        </w:rPr>
        <w:t>ee</w:t>
      </w:r>
    </w:p>
    <w:p w14:paraId="15D34865" w14:textId="0615C0F8" w:rsidR="00BC252D" w:rsidRPr="00597FFB" w:rsidRDefault="00BC252D" w:rsidP="001556A9">
      <w:pPr>
        <w:spacing w:after="0" w:line="360" w:lineRule="auto"/>
        <w:rPr>
          <w:rFonts w:ascii="Times New Roman" w:eastAsia="Times New Roman" w:hAnsi="Times New Roman" w:cs="Times New Roman"/>
          <w:b/>
          <w:bCs/>
          <w:color w:val="000000"/>
          <w:sz w:val="24"/>
          <w:szCs w:val="24"/>
        </w:rPr>
      </w:pPr>
      <w:r w:rsidRPr="00597FFB">
        <w:rPr>
          <w:rFonts w:ascii="Times New Roman" w:hAnsi="Times New Roman" w:cs="Times New Roman"/>
          <w:b/>
          <w:bCs/>
          <w:sz w:val="24"/>
          <w:szCs w:val="24"/>
        </w:rPr>
        <w:t>AT</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Attitude</w:t>
      </w:r>
    </w:p>
    <w:p w14:paraId="0103DC6A" w14:textId="73C55252" w:rsidR="001556A9" w:rsidRPr="00597FFB" w:rsidRDefault="001556A9" w:rsidP="00BC252D">
      <w:pPr>
        <w:spacing w:after="0" w:line="360" w:lineRule="auto"/>
        <w:rPr>
          <w:rFonts w:ascii="Times New Roman" w:eastAsia="Times New Roman" w:hAnsi="Times New Roman" w:cs="Times New Roman"/>
          <w:b/>
          <w:color w:val="000000"/>
          <w:sz w:val="24"/>
          <w:szCs w:val="24"/>
        </w:rPr>
      </w:pPr>
      <w:r w:rsidRPr="00597FFB">
        <w:rPr>
          <w:rFonts w:ascii="Times New Roman" w:hAnsi="Times New Roman" w:cs="Times New Roman"/>
          <w:b/>
          <w:bCs/>
          <w:color w:val="000000"/>
          <w:sz w:val="24"/>
          <w:szCs w:val="24"/>
        </w:rPr>
        <w:t>CA</w:t>
      </w:r>
      <w:r w:rsidR="00ED45B5" w:rsidRPr="00597FFB">
        <w:rPr>
          <w:rFonts w:ascii="Times New Roman" w:hAnsi="Times New Roman" w:cs="Times New Roman"/>
          <w:b/>
          <w:bCs/>
          <w:color w:val="000000"/>
          <w:sz w:val="24"/>
          <w:szCs w:val="24"/>
        </w:rPr>
        <w:tab/>
      </w:r>
      <w:r w:rsidR="00ED45B5" w:rsidRPr="00597FFB">
        <w:rPr>
          <w:rFonts w:ascii="Times New Roman" w:hAnsi="Times New Roman" w:cs="Times New Roman"/>
          <w:b/>
          <w:bCs/>
          <w:color w:val="000000"/>
          <w:sz w:val="24"/>
          <w:szCs w:val="24"/>
        </w:rPr>
        <w:tab/>
      </w:r>
      <w:r w:rsidRPr="00597FFB">
        <w:rPr>
          <w:rFonts w:ascii="Times New Roman" w:hAnsi="Times New Roman" w:cs="Times New Roman"/>
          <w:color w:val="000000"/>
          <w:sz w:val="24"/>
          <w:szCs w:val="24"/>
        </w:rPr>
        <w:t xml:space="preserve">Coping </w:t>
      </w:r>
      <w:r w:rsidR="009025E0" w:rsidRPr="00597FFB">
        <w:rPr>
          <w:rFonts w:ascii="Times New Roman" w:hAnsi="Times New Roman" w:cs="Times New Roman"/>
          <w:color w:val="000000"/>
          <w:sz w:val="24"/>
          <w:szCs w:val="24"/>
        </w:rPr>
        <w:t>a</w:t>
      </w:r>
      <w:r w:rsidR="00ED45B5" w:rsidRPr="00597FFB">
        <w:rPr>
          <w:rFonts w:ascii="Times New Roman" w:hAnsi="Times New Roman" w:cs="Times New Roman"/>
          <w:color w:val="000000"/>
          <w:sz w:val="24"/>
          <w:szCs w:val="24"/>
        </w:rPr>
        <w:t>ppraisal</w:t>
      </w:r>
    </w:p>
    <w:p w14:paraId="08839123" w14:textId="75F7A5B6" w:rsidR="00BC252D" w:rsidRPr="00597FFB" w:rsidRDefault="00ED45B5" w:rsidP="00BC252D">
      <w:pPr>
        <w:spacing w:after="0" w:line="360" w:lineRule="auto"/>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
          <w:color w:val="000000"/>
          <w:sz w:val="24"/>
          <w:szCs w:val="24"/>
        </w:rPr>
        <w:t>Cfcs</w:t>
      </w:r>
      <w:r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ab/>
      </w:r>
      <w:r w:rsidRPr="00597FFB">
        <w:rPr>
          <w:rFonts w:ascii="Times New Roman" w:eastAsia="Times New Roman" w:hAnsi="Times New Roman" w:cs="Times New Roman"/>
          <w:bCs/>
          <w:color w:val="000000"/>
          <w:sz w:val="24"/>
          <w:szCs w:val="24"/>
        </w:rPr>
        <w:tab/>
      </w:r>
      <w:r w:rsidR="00BC252D" w:rsidRPr="00597FFB">
        <w:rPr>
          <w:rFonts w:ascii="Times New Roman" w:eastAsia="Times New Roman" w:hAnsi="Times New Roman" w:cs="Times New Roman"/>
          <w:bCs/>
          <w:color w:val="000000"/>
          <w:sz w:val="24"/>
          <w:szCs w:val="24"/>
        </w:rPr>
        <w:t xml:space="preserve">Chloroflouro </w:t>
      </w:r>
      <w:r w:rsidR="009025E0" w:rsidRPr="00597FFB">
        <w:rPr>
          <w:rFonts w:ascii="Times New Roman" w:eastAsia="Times New Roman" w:hAnsi="Times New Roman" w:cs="Times New Roman"/>
          <w:bCs/>
          <w:color w:val="000000"/>
          <w:sz w:val="24"/>
          <w:szCs w:val="24"/>
        </w:rPr>
        <w:t>c</w:t>
      </w:r>
      <w:r w:rsidR="00BC252D" w:rsidRPr="00597FFB">
        <w:rPr>
          <w:rFonts w:ascii="Times New Roman" w:eastAsia="Times New Roman" w:hAnsi="Times New Roman" w:cs="Times New Roman"/>
          <w:bCs/>
          <w:color w:val="000000"/>
          <w:sz w:val="24"/>
          <w:szCs w:val="24"/>
        </w:rPr>
        <w:t>arbons</w:t>
      </w:r>
    </w:p>
    <w:p w14:paraId="3A63AB2E" w14:textId="7E60C493"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CD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Compact </w:t>
      </w:r>
      <w:r w:rsidR="009025E0" w:rsidRPr="00597FFB">
        <w:rPr>
          <w:rFonts w:ascii="Times New Roman" w:eastAsia="Times New Roman" w:hAnsi="Times New Roman" w:cs="Times New Roman"/>
          <w:bCs/>
          <w:sz w:val="24"/>
          <w:szCs w:val="24"/>
        </w:rPr>
        <w:t>d</w:t>
      </w:r>
      <w:r w:rsidRPr="00597FFB">
        <w:rPr>
          <w:rFonts w:ascii="Times New Roman" w:eastAsia="Times New Roman" w:hAnsi="Times New Roman" w:cs="Times New Roman"/>
          <w:bCs/>
          <w:sz w:val="24"/>
          <w:szCs w:val="24"/>
        </w:rPr>
        <w:t xml:space="preserve">isc </w:t>
      </w:r>
    </w:p>
    <w:p w14:paraId="1CAAD7C8" w14:textId="6737AA9C"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CRT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Cathode </w:t>
      </w:r>
      <w:r w:rsidR="004A16B6" w:rsidRPr="00597FFB">
        <w:rPr>
          <w:rFonts w:ascii="Times New Roman" w:eastAsia="Times New Roman" w:hAnsi="Times New Roman" w:cs="Times New Roman"/>
          <w:bCs/>
          <w:sz w:val="24"/>
          <w:szCs w:val="24"/>
        </w:rPr>
        <w:t>r</w:t>
      </w:r>
      <w:r w:rsidRPr="00597FFB">
        <w:rPr>
          <w:rFonts w:ascii="Times New Roman" w:eastAsia="Times New Roman" w:hAnsi="Times New Roman" w:cs="Times New Roman"/>
          <w:bCs/>
          <w:sz w:val="24"/>
          <w:szCs w:val="24"/>
        </w:rPr>
        <w:t xml:space="preserve">ay </w:t>
      </w:r>
      <w:r w:rsidR="009025E0"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ubes  </w:t>
      </w:r>
    </w:p>
    <w:p w14:paraId="1146BA17" w14:textId="2DF87FB5" w:rsidR="001556A9" w:rsidRPr="00597FFB" w:rsidRDefault="001556A9" w:rsidP="00BC252D">
      <w:pPr>
        <w:spacing w:after="0" w:line="360" w:lineRule="auto"/>
        <w:rPr>
          <w:rFonts w:ascii="Times New Roman" w:hAnsi="Times New Roman" w:cs="Times New Roman"/>
          <w:b/>
          <w:bCs/>
          <w:sz w:val="24"/>
          <w:szCs w:val="24"/>
        </w:rPr>
      </w:pPr>
      <w:r w:rsidRPr="00597FFB">
        <w:rPr>
          <w:rFonts w:ascii="Times New Roman" w:hAnsi="Times New Roman" w:cs="Times New Roman"/>
          <w:b/>
          <w:bCs/>
          <w:sz w:val="24"/>
          <w:szCs w:val="24"/>
        </w:rPr>
        <w:t>EA</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 xml:space="preserve">Environment </w:t>
      </w:r>
      <w:r w:rsidR="004A16B6" w:rsidRPr="00597FFB">
        <w:rPr>
          <w:rFonts w:ascii="Times New Roman" w:hAnsi="Times New Roman" w:cs="Times New Roman"/>
          <w:sz w:val="24"/>
          <w:szCs w:val="24"/>
        </w:rPr>
        <w:t>a</w:t>
      </w:r>
      <w:r w:rsidRPr="00597FFB">
        <w:rPr>
          <w:rFonts w:ascii="Times New Roman" w:hAnsi="Times New Roman" w:cs="Times New Roman"/>
          <w:sz w:val="24"/>
          <w:szCs w:val="24"/>
        </w:rPr>
        <w:t>ssessment</w:t>
      </w:r>
    </w:p>
    <w:p w14:paraId="0431E118" w14:textId="33058CDA" w:rsidR="001556A9" w:rsidRPr="00597FFB" w:rsidRDefault="001556A9"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EC</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 xml:space="preserve">Environmental </w:t>
      </w:r>
      <w:r w:rsidR="004A16B6" w:rsidRPr="00597FFB">
        <w:rPr>
          <w:rFonts w:ascii="Times New Roman" w:hAnsi="Times New Roman" w:cs="Times New Roman"/>
          <w:sz w:val="24"/>
          <w:szCs w:val="24"/>
        </w:rPr>
        <w:t>c</w:t>
      </w:r>
      <w:r w:rsidRPr="00597FFB">
        <w:rPr>
          <w:rFonts w:ascii="Times New Roman" w:hAnsi="Times New Roman" w:cs="Times New Roman"/>
          <w:sz w:val="24"/>
          <w:szCs w:val="24"/>
        </w:rPr>
        <w:t>oncern</w:t>
      </w:r>
    </w:p>
    <w:p w14:paraId="6124E5DA" w14:textId="5917BBEA"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EE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Environmental </w:t>
      </w:r>
      <w:r w:rsidR="004A16B6"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ducation</w:t>
      </w:r>
    </w:p>
    <w:p w14:paraId="5F92C000" w14:textId="1A8D5F0C" w:rsidR="00BC252D" w:rsidRPr="00597FFB" w:rsidRDefault="00BC252D" w:rsidP="00BC252D">
      <w:pPr>
        <w:spacing w:after="0" w:line="360" w:lineRule="auto"/>
        <w:rPr>
          <w:rFonts w:ascii="Times New Roman" w:eastAsia="Calibri" w:hAnsi="Times New Roman" w:cs="Times New Roman"/>
          <w:color w:val="000000"/>
          <w:sz w:val="24"/>
          <w:szCs w:val="24"/>
        </w:rPr>
      </w:pPr>
      <w:r w:rsidRPr="00597FFB">
        <w:rPr>
          <w:rFonts w:ascii="Times New Roman" w:eastAsia="Times New Roman" w:hAnsi="Times New Roman" w:cs="Times New Roman"/>
          <w:b/>
          <w:sz w:val="24"/>
          <w:szCs w:val="24"/>
        </w:rPr>
        <w:t>EEE</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Calibri" w:hAnsi="Times New Roman" w:cs="Times New Roman"/>
          <w:color w:val="000000"/>
          <w:sz w:val="24"/>
          <w:szCs w:val="24"/>
        </w:rPr>
        <w:t xml:space="preserve">Electrical </w:t>
      </w:r>
      <w:r w:rsidR="004A16B6" w:rsidRPr="00597FFB">
        <w:rPr>
          <w:rFonts w:ascii="Times New Roman" w:eastAsia="Calibri" w:hAnsi="Times New Roman" w:cs="Times New Roman"/>
          <w:color w:val="000000"/>
          <w:sz w:val="24"/>
          <w:szCs w:val="24"/>
        </w:rPr>
        <w:t>a</w:t>
      </w:r>
      <w:r w:rsidR="00ED45B5" w:rsidRPr="00597FFB">
        <w:rPr>
          <w:rFonts w:ascii="Times New Roman" w:eastAsia="Calibri" w:hAnsi="Times New Roman" w:cs="Times New Roman"/>
          <w:color w:val="000000"/>
          <w:sz w:val="24"/>
          <w:szCs w:val="24"/>
        </w:rPr>
        <w:t xml:space="preserve">nd </w:t>
      </w:r>
      <w:r w:rsidR="004A16B6" w:rsidRPr="00597FFB">
        <w:rPr>
          <w:rFonts w:ascii="Times New Roman" w:eastAsia="Calibri" w:hAnsi="Times New Roman" w:cs="Times New Roman"/>
          <w:color w:val="000000"/>
          <w:sz w:val="24"/>
          <w:szCs w:val="24"/>
        </w:rPr>
        <w:t>e</w:t>
      </w:r>
      <w:r w:rsidRPr="00597FFB">
        <w:rPr>
          <w:rFonts w:ascii="Times New Roman" w:eastAsia="Calibri" w:hAnsi="Times New Roman" w:cs="Times New Roman"/>
          <w:color w:val="000000"/>
          <w:sz w:val="24"/>
          <w:szCs w:val="24"/>
        </w:rPr>
        <w:t xml:space="preserve">lectronic </w:t>
      </w:r>
      <w:r w:rsidR="004A16B6" w:rsidRPr="00597FFB">
        <w:rPr>
          <w:rFonts w:ascii="Times New Roman" w:eastAsia="Calibri" w:hAnsi="Times New Roman" w:cs="Times New Roman"/>
          <w:color w:val="000000"/>
          <w:sz w:val="24"/>
          <w:szCs w:val="24"/>
        </w:rPr>
        <w:t>e</w:t>
      </w:r>
      <w:r w:rsidRPr="00597FFB">
        <w:rPr>
          <w:rFonts w:ascii="Times New Roman" w:eastAsia="Calibri" w:hAnsi="Times New Roman" w:cs="Times New Roman"/>
          <w:color w:val="000000"/>
          <w:sz w:val="24"/>
          <w:szCs w:val="24"/>
        </w:rPr>
        <w:t>quipment</w:t>
      </w:r>
    </w:p>
    <w:p w14:paraId="78B62265" w14:textId="33306B4B"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EM</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E</w:t>
      </w:r>
      <w:r w:rsidR="00ED45B5" w:rsidRPr="00597FFB">
        <w:rPr>
          <w:rFonts w:ascii="Times New Roman" w:eastAsia="Times New Roman" w:hAnsi="Times New Roman" w:cs="Times New Roman"/>
          <w:bCs/>
          <w:sz w:val="24"/>
          <w:szCs w:val="24"/>
        </w:rPr>
        <w:t>-</w:t>
      </w:r>
      <w:r w:rsidR="004A16B6" w:rsidRPr="00597FFB">
        <w:rPr>
          <w:rFonts w:ascii="Times New Roman" w:eastAsia="Times New Roman" w:hAnsi="Times New Roman" w:cs="Times New Roman"/>
          <w:bCs/>
          <w:sz w:val="24"/>
          <w:szCs w:val="24"/>
        </w:rPr>
        <w:t>w</w:t>
      </w:r>
      <w:r w:rsidR="00ED45B5" w:rsidRPr="00597FFB">
        <w:rPr>
          <w:rFonts w:ascii="Times New Roman" w:eastAsia="Times New Roman" w:hAnsi="Times New Roman" w:cs="Times New Roman"/>
          <w:bCs/>
          <w:sz w:val="24"/>
          <w:szCs w:val="24"/>
        </w:rPr>
        <w:t xml:space="preserve">ase </w:t>
      </w:r>
      <w:r w:rsidR="004A16B6"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anagement</w:t>
      </w:r>
    </w:p>
    <w:p w14:paraId="7E527CBE" w14:textId="511BDE48"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EMS</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E</w:t>
      </w:r>
      <w:r w:rsidR="00ED45B5" w:rsidRPr="00597FFB">
        <w:rPr>
          <w:rFonts w:ascii="Times New Roman" w:eastAsia="Times New Roman" w:hAnsi="Times New Roman" w:cs="Times New Roman"/>
          <w:bCs/>
          <w:sz w:val="24"/>
          <w:szCs w:val="24"/>
        </w:rPr>
        <w:t>-</w:t>
      </w:r>
      <w:r w:rsidR="004A16B6" w:rsidRPr="00597FFB">
        <w:rPr>
          <w:rFonts w:ascii="Times New Roman" w:eastAsia="Times New Roman" w:hAnsi="Times New Roman" w:cs="Times New Roman"/>
          <w:bCs/>
          <w:sz w:val="24"/>
          <w:szCs w:val="24"/>
        </w:rPr>
        <w:t>w</w:t>
      </w:r>
      <w:r w:rsidR="00ED45B5" w:rsidRPr="00597FFB">
        <w:rPr>
          <w:rFonts w:ascii="Times New Roman" w:eastAsia="Times New Roman" w:hAnsi="Times New Roman" w:cs="Times New Roman"/>
          <w:bCs/>
          <w:sz w:val="24"/>
          <w:szCs w:val="24"/>
        </w:rPr>
        <w:t xml:space="preserve">aste </w:t>
      </w:r>
      <w:r w:rsidR="004A16B6"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r w:rsidR="004A16B6"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ustainability</w:t>
      </w:r>
    </w:p>
    <w:p w14:paraId="3D886F33" w14:textId="12F953D0"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EPR</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Extended </w:t>
      </w:r>
      <w:r w:rsidR="004A16B6"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roducer </w:t>
      </w:r>
      <w:r w:rsidR="004A16B6" w:rsidRPr="00597FFB">
        <w:rPr>
          <w:rFonts w:ascii="Times New Roman" w:eastAsia="Times New Roman" w:hAnsi="Times New Roman" w:cs="Times New Roman"/>
          <w:bCs/>
          <w:sz w:val="24"/>
          <w:szCs w:val="24"/>
        </w:rPr>
        <w:t>r</w:t>
      </w:r>
      <w:r w:rsidRPr="00597FFB">
        <w:rPr>
          <w:rFonts w:ascii="Times New Roman" w:eastAsia="Times New Roman" w:hAnsi="Times New Roman" w:cs="Times New Roman"/>
          <w:bCs/>
          <w:sz w:val="24"/>
          <w:szCs w:val="24"/>
        </w:rPr>
        <w:t xml:space="preserve">esponsibility </w:t>
      </w:r>
    </w:p>
    <w:p w14:paraId="361EB9D7" w14:textId="2677618D"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EU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European </w:t>
      </w:r>
      <w:r w:rsidR="00091563" w:rsidRPr="00597FFB">
        <w:rPr>
          <w:rFonts w:ascii="Times New Roman" w:eastAsia="Times New Roman" w:hAnsi="Times New Roman" w:cs="Times New Roman"/>
          <w:bCs/>
          <w:sz w:val="24"/>
          <w:szCs w:val="24"/>
        </w:rPr>
        <w:t>u</w:t>
      </w:r>
      <w:r w:rsidRPr="00597FFB">
        <w:rPr>
          <w:rFonts w:ascii="Times New Roman" w:eastAsia="Times New Roman" w:hAnsi="Times New Roman" w:cs="Times New Roman"/>
          <w:bCs/>
          <w:sz w:val="24"/>
          <w:szCs w:val="24"/>
        </w:rPr>
        <w:t>nion</w:t>
      </w:r>
    </w:p>
    <w:p w14:paraId="53CC3D6D" w14:textId="4AAC2880"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E</w:t>
      </w:r>
      <w:r w:rsidR="00ED45B5" w:rsidRPr="00597FFB">
        <w:rPr>
          <w:rFonts w:ascii="Times New Roman" w:eastAsia="Times New Roman" w:hAnsi="Times New Roman" w:cs="Times New Roman"/>
          <w:b/>
          <w:sz w:val="24"/>
          <w:szCs w:val="24"/>
        </w:rPr>
        <w:t>-</w:t>
      </w:r>
      <w:r w:rsidRPr="00597FFB">
        <w:rPr>
          <w:rFonts w:ascii="Times New Roman" w:eastAsia="Times New Roman" w:hAnsi="Times New Roman" w:cs="Times New Roman"/>
          <w:b/>
          <w:sz w:val="24"/>
          <w:szCs w:val="24"/>
        </w:rPr>
        <w:t>WASTE</w:t>
      </w:r>
      <w:r w:rsidRPr="00597FFB">
        <w:rPr>
          <w:rFonts w:ascii="Times New Roman" w:eastAsia="Times New Roman" w:hAnsi="Times New Roman" w:cs="Times New Roman"/>
          <w:bCs/>
          <w:sz w:val="24"/>
          <w:szCs w:val="24"/>
        </w:rPr>
        <w:t xml:space="preserve">      Electronic </w:t>
      </w:r>
      <w:r w:rsidR="00091563"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p>
    <w:p w14:paraId="6F1E8B9A" w14:textId="1FB10D73" w:rsidR="001556A9" w:rsidRPr="00597FFB" w:rsidRDefault="001556A9"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EWR</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E</w:t>
      </w:r>
      <w:r w:rsidR="00ED45B5" w:rsidRPr="00597FFB">
        <w:rPr>
          <w:rFonts w:ascii="Times New Roman" w:hAnsi="Times New Roman" w:cs="Times New Roman"/>
          <w:sz w:val="24"/>
          <w:szCs w:val="24"/>
        </w:rPr>
        <w:t>-</w:t>
      </w:r>
      <w:r w:rsidR="00091563" w:rsidRPr="00597FFB">
        <w:rPr>
          <w:rFonts w:ascii="Times New Roman" w:hAnsi="Times New Roman" w:cs="Times New Roman"/>
          <w:sz w:val="24"/>
          <w:szCs w:val="24"/>
        </w:rPr>
        <w:t>w</w:t>
      </w:r>
      <w:r w:rsidR="00ED45B5" w:rsidRPr="00597FFB">
        <w:rPr>
          <w:rFonts w:ascii="Times New Roman" w:hAnsi="Times New Roman" w:cs="Times New Roman"/>
          <w:sz w:val="24"/>
          <w:szCs w:val="24"/>
        </w:rPr>
        <w:t xml:space="preserve">aste </w:t>
      </w:r>
      <w:r w:rsidR="00091563" w:rsidRPr="00597FFB">
        <w:rPr>
          <w:rFonts w:ascii="Times New Roman" w:hAnsi="Times New Roman" w:cs="Times New Roman"/>
          <w:sz w:val="24"/>
          <w:szCs w:val="24"/>
        </w:rPr>
        <w:t>r</w:t>
      </w:r>
      <w:r w:rsidRPr="00597FFB">
        <w:rPr>
          <w:rFonts w:ascii="Times New Roman" w:hAnsi="Times New Roman" w:cs="Times New Roman"/>
          <w:sz w:val="24"/>
          <w:szCs w:val="24"/>
        </w:rPr>
        <w:t>ecycling</w:t>
      </w:r>
    </w:p>
    <w:p w14:paraId="5D5D7402" w14:textId="45613CB9"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GCC</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Gulf </w:t>
      </w:r>
      <w:r w:rsidR="00091563"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 xml:space="preserve">ooperation </w:t>
      </w:r>
      <w:r w:rsidR="00091563"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ouncil</w:t>
      </w:r>
    </w:p>
    <w:p w14:paraId="457F3FD1" w14:textId="521F948A" w:rsidR="00BC252D" w:rsidRPr="00597FFB" w:rsidRDefault="00BC252D"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IN</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Incentives</w:t>
      </w:r>
    </w:p>
    <w:p w14:paraId="221FEF3C" w14:textId="0514231B"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IT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t xml:space="preserve"> </w:t>
      </w:r>
      <w:r w:rsidRPr="00597FFB">
        <w:rPr>
          <w:rFonts w:ascii="Times New Roman" w:eastAsia="Times New Roman" w:hAnsi="Times New Roman" w:cs="Times New Roman"/>
          <w:bCs/>
          <w:sz w:val="24"/>
          <w:szCs w:val="24"/>
        </w:rPr>
        <w:t xml:space="preserve">Information </w:t>
      </w:r>
      <w:r w:rsidR="00091563"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echnology</w:t>
      </w:r>
    </w:p>
    <w:p w14:paraId="3E298339" w14:textId="38EB949D"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ITU</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International </w:t>
      </w:r>
      <w:r w:rsidR="00091563"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elecommunication </w:t>
      </w:r>
      <w:r w:rsidR="00091563" w:rsidRPr="00597FFB">
        <w:rPr>
          <w:rFonts w:ascii="Times New Roman" w:eastAsia="Times New Roman" w:hAnsi="Times New Roman" w:cs="Times New Roman"/>
          <w:bCs/>
          <w:sz w:val="24"/>
          <w:szCs w:val="24"/>
        </w:rPr>
        <w:t>u</w:t>
      </w:r>
      <w:r w:rsidRPr="00597FFB">
        <w:rPr>
          <w:rFonts w:ascii="Times New Roman" w:eastAsia="Times New Roman" w:hAnsi="Times New Roman" w:cs="Times New Roman"/>
          <w:bCs/>
          <w:sz w:val="24"/>
          <w:szCs w:val="24"/>
        </w:rPr>
        <w:t>nion</w:t>
      </w:r>
    </w:p>
    <w:p w14:paraId="653862C4" w14:textId="0F4EC658"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IWMP</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Integrated </w:t>
      </w:r>
      <w:r w:rsidR="00091563"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091563"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r w:rsidR="00091563"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lan </w:t>
      </w:r>
    </w:p>
    <w:p w14:paraId="46487F06" w14:textId="672CBBEE" w:rsidR="001556A9" w:rsidRPr="00597FFB" w:rsidRDefault="001556A9"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KEWR</w:t>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Information</w:t>
      </w:r>
      <w:r w:rsidR="00ED45B5" w:rsidRPr="00597FFB">
        <w:rPr>
          <w:rFonts w:ascii="Times New Roman" w:hAnsi="Times New Roman" w:cs="Times New Roman"/>
          <w:sz w:val="24"/>
          <w:szCs w:val="24"/>
        </w:rPr>
        <w:t>/</w:t>
      </w:r>
      <w:r w:rsidR="00091563" w:rsidRPr="00597FFB">
        <w:rPr>
          <w:rFonts w:ascii="Times New Roman" w:hAnsi="Times New Roman" w:cs="Times New Roman"/>
          <w:sz w:val="24"/>
          <w:szCs w:val="24"/>
        </w:rPr>
        <w:t>k</w:t>
      </w:r>
      <w:r w:rsidR="00ED45B5" w:rsidRPr="00597FFB">
        <w:rPr>
          <w:rFonts w:ascii="Times New Roman" w:hAnsi="Times New Roman" w:cs="Times New Roman"/>
          <w:sz w:val="24"/>
          <w:szCs w:val="24"/>
        </w:rPr>
        <w:t xml:space="preserve">nowledge </w:t>
      </w:r>
      <w:r w:rsidR="00091563" w:rsidRPr="00597FFB">
        <w:rPr>
          <w:rFonts w:ascii="Times New Roman" w:hAnsi="Times New Roman" w:cs="Times New Roman"/>
          <w:sz w:val="24"/>
          <w:szCs w:val="24"/>
        </w:rPr>
        <w:t>a</w:t>
      </w:r>
      <w:r w:rsidR="00ED45B5" w:rsidRPr="00597FFB">
        <w:rPr>
          <w:rFonts w:ascii="Times New Roman" w:hAnsi="Times New Roman" w:cs="Times New Roman"/>
          <w:sz w:val="24"/>
          <w:szCs w:val="24"/>
        </w:rPr>
        <w:t xml:space="preserve">bout </w:t>
      </w:r>
      <w:r w:rsidRPr="00597FFB">
        <w:rPr>
          <w:rFonts w:ascii="Times New Roman" w:hAnsi="Times New Roman" w:cs="Times New Roman"/>
          <w:sz w:val="24"/>
          <w:szCs w:val="24"/>
        </w:rPr>
        <w:t>EWR</w:t>
      </w:r>
    </w:p>
    <w:p w14:paraId="355429ED" w14:textId="0D228EFA"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KMO</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Kaiser</w:t>
      </w:r>
      <w:r w:rsidR="00ED45B5" w:rsidRPr="00597FFB">
        <w:rPr>
          <w:rFonts w:ascii="Times New Roman" w:eastAsia="Times New Roman" w:hAnsi="Times New Roman" w:cs="Times New Roman"/>
          <w:bCs/>
          <w:sz w:val="24"/>
          <w:szCs w:val="24"/>
        </w:rPr>
        <w:t>-</w:t>
      </w:r>
      <w:r w:rsidR="000D7765" w:rsidRPr="00597FFB">
        <w:rPr>
          <w:rFonts w:ascii="Times New Roman" w:eastAsia="Times New Roman" w:hAnsi="Times New Roman" w:cs="Times New Roman"/>
          <w:bCs/>
          <w:sz w:val="24"/>
          <w:szCs w:val="24"/>
        </w:rPr>
        <w:t>Meyer</w:t>
      </w:r>
      <w:r w:rsidR="00ED45B5" w:rsidRPr="00597FFB">
        <w:rPr>
          <w:rFonts w:ascii="Times New Roman" w:eastAsia="Times New Roman" w:hAnsi="Times New Roman" w:cs="Times New Roman"/>
          <w:bCs/>
          <w:sz w:val="24"/>
          <w:szCs w:val="24"/>
        </w:rPr>
        <w:t>-</w:t>
      </w:r>
      <w:r w:rsidR="000D7765" w:rsidRPr="00597FFB">
        <w:rPr>
          <w:rFonts w:ascii="Times New Roman" w:eastAsia="Times New Roman" w:hAnsi="Times New Roman" w:cs="Times New Roman"/>
          <w:bCs/>
          <w:sz w:val="24"/>
          <w:szCs w:val="24"/>
        </w:rPr>
        <w:t>Olkin</w:t>
      </w:r>
    </w:p>
    <w:p w14:paraId="78D94256" w14:textId="5D323D0B"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LCD</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Liquid </w:t>
      </w:r>
      <w:r w:rsidR="000D7765"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 xml:space="preserve">rystal </w:t>
      </w:r>
      <w:r w:rsidR="000D7765" w:rsidRPr="00597FFB">
        <w:rPr>
          <w:rFonts w:ascii="Times New Roman" w:eastAsia="Times New Roman" w:hAnsi="Times New Roman" w:cs="Times New Roman"/>
          <w:bCs/>
          <w:sz w:val="24"/>
          <w:szCs w:val="24"/>
        </w:rPr>
        <w:t>d</w:t>
      </w:r>
      <w:r w:rsidRPr="00597FFB">
        <w:rPr>
          <w:rFonts w:ascii="Times New Roman" w:eastAsia="Times New Roman" w:hAnsi="Times New Roman" w:cs="Times New Roman"/>
          <w:bCs/>
          <w:sz w:val="24"/>
          <w:szCs w:val="24"/>
        </w:rPr>
        <w:t>isplay</w:t>
      </w:r>
    </w:p>
    <w:p w14:paraId="41D2C3E5" w14:textId="214D250F"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LED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Light</w:t>
      </w:r>
      <w:r w:rsidR="00ED45B5" w:rsidRPr="00597FFB">
        <w:rPr>
          <w:rFonts w:ascii="Times New Roman" w:eastAsia="Times New Roman" w:hAnsi="Times New Roman" w:cs="Times New Roman"/>
          <w:bCs/>
          <w:sz w:val="24"/>
          <w:szCs w:val="24"/>
        </w:rPr>
        <w:t>-</w:t>
      </w:r>
      <w:r w:rsidR="000D7765"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mitting </w:t>
      </w:r>
      <w:r w:rsidR="000D7765" w:rsidRPr="00597FFB">
        <w:rPr>
          <w:rFonts w:ascii="Times New Roman" w:eastAsia="Times New Roman" w:hAnsi="Times New Roman" w:cs="Times New Roman"/>
          <w:bCs/>
          <w:sz w:val="24"/>
          <w:szCs w:val="24"/>
        </w:rPr>
        <w:t>d</w:t>
      </w:r>
      <w:r w:rsidRPr="00597FFB">
        <w:rPr>
          <w:rFonts w:ascii="Times New Roman" w:eastAsia="Times New Roman" w:hAnsi="Times New Roman" w:cs="Times New Roman"/>
          <w:bCs/>
          <w:sz w:val="24"/>
          <w:szCs w:val="24"/>
        </w:rPr>
        <w:t xml:space="preserve">iode </w:t>
      </w:r>
    </w:p>
    <w:p w14:paraId="4DB1FC56" w14:textId="36F96BDC"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MAB</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Model </w:t>
      </w:r>
      <w:r w:rsidR="000D7765" w:rsidRPr="00597FFB">
        <w:rPr>
          <w:rFonts w:ascii="Times New Roman" w:eastAsia="Times New Roman" w:hAnsi="Times New Roman" w:cs="Times New Roman"/>
          <w:bCs/>
          <w:sz w:val="24"/>
          <w:szCs w:val="24"/>
        </w:rPr>
        <w:t>o</w:t>
      </w:r>
      <w:r w:rsidR="00ED45B5" w:rsidRPr="00597FFB">
        <w:rPr>
          <w:rFonts w:ascii="Times New Roman" w:eastAsia="Times New Roman" w:hAnsi="Times New Roman" w:cs="Times New Roman"/>
          <w:bCs/>
          <w:sz w:val="24"/>
          <w:szCs w:val="24"/>
        </w:rPr>
        <w:t xml:space="preserve">f </w:t>
      </w:r>
      <w:r w:rsidR="000D7765"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 xml:space="preserve">ltruistic </w:t>
      </w:r>
      <w:r w:rsidR="000D7765" w:rsidRPr="00597FFB">
        <w:rPr>
          <w:rFonts w:ascii="Times New Roman" w:eastAsia="Times New Roman" w:hAnsi="Times New Roman" w:cs="Times New Roman"/>
          <w:bCs/>
          <w:sz w:val="24"/>
          <w:szCs w:val="24"/>
        </w:rPr>
        <w:t>b</w:t>
      </w:r>
      <w:r w:rsidRPr="00597FFB">
        <w:rPr>
          <w:rFonts w:ascii="Times New Roman" w:eastAsia="Times New Roman" w:hAnsi="Times New Roman" w:cs="Times New Roman"/>
          <w:bCs/>
          <w:sz w:val="24"/>
          <w:szCs w:val="24"/>
        </w:rPr>
        <w:t xml:space="preserve">ehavior </w:t>
      </w:r>
    </w:p>
    <w:p w14:paraId="402A4868" w14:textId="46102CC8"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MENA</w:t>
      </w:r>
      <w:r w:rsidR="00ED45B5" w:rsidRPr="00597FFB">
        <w:rPr>
          <w:rFonts w:ascii="Times New Roman" w:eastAsia="Times New Roman" w:hAnsi="Times New Roman" w:cs="Times New Roman"/>
          <w:b/>
          <w:sz w:val="24"/>
          <w:szCs w:val="24"/>
        </w:rPr>
        <w:tab/>
      </w:r>
      <w:r w:rsidRPr="00597FFB">
        <w:rPr>
          <w:rFonts w:ascii="Times New Roman" w:eastAsia="Times New Roman" w:hAnsi="Times New Roman" w:cs="Times New Roman"/>
          <w:bCs/>
          <w:sz w:val="24"/>
          <w:szCs w:val="24"/>
        </w:rPr>
        <w:t xml:space="preserve">Middle </w:t>
      </w:r>
      <w:r w:rsidR="000D7765"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ast </w:t>
      </w:r>
      <w:r w:rsidR="000D7765" w:rsidRPr="00597FFB">
        <w:rPr>
          <w:rFonts w:ascii="Times New Roman" w:eastAsia="Times New Roman" w:hAnsi="Times New Roman" w:cs="Times New Roman"/>
          <w:bCs/>
          <w:sz w:val="24"/>
          <w:szCs w:val="24"/>
        </w:rPr>
        <w:t>a</w:t>
      </w:r>
      <w:r w:rsidR="00ED45B5" w:rsidRPr="00597FFB">
        <w:rPr>
          <w:rFonts w:ascii="Times New Roman" w:eastAsia="Times New Roman" w:hAnsi="Times New Roman" w:cs="Times New Roman"/>
          <w:bCs/>
          <w:sz w:val="24"/>
          <w:szCs w:val="24"/>
        </w:rPr>
        <w:t xml:space="preserve">nd </w:t>
      </w:r>
      <w:r w:rsidR="000D7765" w:rsidRPr="00597FFB">
        <w:rPr>
          <w:rFonts w:ascii="Times New Roman" w:eastAsia="Times New Roman" w:hAnsi="Times New Roman" w:cs="Times New Roman"/>
          <w:bCs/>
          <w:sz w:val="24"/>
          <w:szCs w:val="24"/>
        </w:rPr>
        <w:t>n</w:t>
      </w:r>
      <w:r w:rsidRPr="00597FFB">
        <w:rPr>
          <w:rFonts w:ascii="Times New Roman" w:eastAsia="Times New Roman" w:hAnsi="Times New Roman" w:cs="Times New Roman"/>
          <w:bCs/>
          <w:sz w:val="24"/>
          <w:szCs w:val="24"/>
        </w:rPr>
        <w:t xml:space="preserve">orth </w:t>
      </w:r>
      <w:r w:rsidR="000D7765" w:rsidRPr="00597FFB">
        <w:rPr>
          <w:rFonts w:ascii="Times New Roman" w:eastAsia="Times New Roman" w:hAnsi="Times New Roman" w:cs="Times New Roman"/>
          <w:bCs/>
          <w:sz w:val="24"/>
          <w:szCs w:val="24"/>
        </w:rPr>
        <w:t>Africa</w:t>
      </w:r>
      <w:r w:rsidRPr="00597FFB">
        <w:rPr>
          <w:rFonts w:ascii="Times New Roman" w:eastAsia="Times New Roman" w:hAnsi="Times New Roman" w:cs="Times New Roman"/>
          <w:bCs/>
          <w:sz w:val="24"/>
          <w:szCs w:val="24"/>
        </w:rPr>
        <w:t xml:space="preserve"> </w:t>
      </w:r>
    </w:p>
    <w:p w14:paraId="31289D77" w14:textId="502AF5E2"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MRF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Material </w:t>
      </w:r>
      <w:r w:rsidR="000D7765" w:rsidRPr="00597FFB">
        <w:rPr>
          <w:rFonts w:ascii="Times New Roman" w:eastAsia="Times New Roman" w:hAnsi="Times New Roman" w:cs="Times New Roman"/>
          <w:bCs/>
          <w:sz w:val="24"/>
          <w:szCs w:val="24"/>
        </w:rPr>
        <w:t>r</w:t>
      </w:r>
      <w:r w:rsidRPr="00597FFB">
        <w:rPr>
          <w:rFonts w:ascii="Times New Roman" w:eastAsia="Times New Roman" w:hAnsi="Times New Roman" w:cs="Times New Roman"/>
          <w:bCs/>
          <w:sz w:val="24"/>
          <w:szCs w:val="24"/>
        </w:rPr>
        <w:t xml:space="preserve">ecovery </w:t>
      </w:r>
      <w:r w:rsidR="000D7765" w:rsidRPr="00597FFB">
        <w:rPr>
          <w:rFonts w:ascii="Times New Roman" w:eastAsia="Times New Roman" w:hAnsi="Times New Roman" w:cs="Times New Roman"/>
          <w:bCs/>
          <w:sz w:val="24"/>
          <w:szCs w:val="24"/>
        </w:rPr>
        <w:t>f</w:t>
      </w:r>
      <w:r w:rsidRPr="00597FFB">
        <w:rPr>
          <w:rFonts w:ascii="Times New Roman" w:eastAsia="Times New Roman" w:hAnsi="Times New Roman" w:cs="Times New Roman"/>
          <w:bCs/>
          <w:sz w:val="24"/>
          <w:szCs w:val="24"/>
        </w:rPr>
        <w:t xml:space="preserve">acilities </w:t>
      </w:r>
    </w:p>
    <w:p w14:paraId="7E2DB658" w14:textId="11480EB6"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MSWM</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Municipal </w:t>
      </w:r>
      <w:r w:rsidR="000D7765"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olid </w:t>
      </w:r>
      <w:r w:rsidR="000D7765"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0D7765"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p>
    <w:p w14:paraId="3AB93F30" w14:textId="2875B7BA"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NAT</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Norm </w:t>
      </w:r>
      <w:r w:rsidR="000D7765"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 xml:space="preserve">ctivation </w:t>
      </w:r>
      <w:r w:rsidR="000D7765"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heory </w:t>
      </w:r>
    </w:p>
    <w:p w14:paraId="6FB9D998" w14:textId="48FAEBA4"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NGO</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Non</w:t>
      </w:r>
      <w:r w:rsidR="00ED45B5" w:rsidRPr="00597FFB">
        <w:rPr>
          <w:rFonts w:ascii="Times New Roman" w:eastAsia="Times New Roman" w:hAnsi="Times New Roman" w:cs="Times New Roman"/>
          <w:bCs/>
          <w:sz w:val="24"/>
          <w:szCs w:val="24"/>
        </w:rPr>
        <w:t>-</w:t>
      </w:r>
      <w:r w:rsidR="000D7765" w:rsidRPr="00597FFB">
        <w:rPr>
          <w:rFonts w:ascii="Times New Roman" w:eastAsia="Times New Roman" w:hAnsi="Times New Roman" w:cs="Times New Roman"/>
          <w:bCs/>
          <w:sz w:val="24"/>
          <w:szCs w:val="24"/>
        </w:rPr>
        <w:t>g</w:t>
      </w:r>
      <w:r w:rsidRPr="00597FFB">
        <w:rPr>
          <w:rFonts w:ascii="Times New Roman" w:eastAsia="Times New Roman" w:hAnsi="Times New Roman" w:cs="Times New Roman"/>
          <w:bCs/>
          <w:sz w:val="24"/>
          <w:szCs w:val="24"/>
        </w:rPr>
        <w:t xml:space="preserve">overnment </w:t>
      </w:r>
      <w:r w:rsidR="000D7765" w:rsidRPr="00597FFB">
        <w:rPr>
          <w:rFonts w:ascii="Times New Roman" w:eastAsia="Times New Roman" w:hAnsi="Times New Roman" w:cs="Times New Roman"/>
          <w:bCs/>
          <w:sz w:val="24"/>
          <w:szCs w:val="24"/>
        </w:rPr>
        <w:t>o</w:t>
      </w:r>
      <w:r w:rsidRPr="00597FFB">
        <w:rPr>
          <w:rFonts w:ascii="Times New Roman" w:eastAsia="Times New Roman" w:hAnsi="Times New Roman" w:cs="Times New Roman"/>
          <w:bCs/>
          <w:sz w:val="24"/>
          <w:szCs w:val="24"/>
        </w:rPr>
        <w:t>rganisations</w:t>
      </w:r>
    </w:p>
    <w:p w14:paraId="47DD8F29" w14:textId="48450D96"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NWMS</w:t>
      </w:r>
      <w:r w:rsidRPr="00597FFB">
        <w:rPr>
          <w:rFonts w:ascii="Times New Roman" w:eastAsia="Times New Roman" w:hAnsi="Times New Roman" w:cs="Times New Roman"/>
          <w:bCs/>
          <w:sz w:val="24"/>
          <w:szCs w:val="24"/>
        </w:rPr>
        <w:t xml:space="preserve">          National </w:t>
      </w:r>
      <w:r w:rsidR="000D7765"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0D7765"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r w:rsidR="000D7765"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trategy </w:t>
      </w:r>
    </w:p>
    <w:p w14:paraId="19C9E3F3" w14:textId="6360BDE4"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PBC</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Perceived </w:t>
      </w:r>
      <w:r w:rsidR="002964C0" w:rsidRPr="00597FFB">
        <w:rPr>
          <w:rFonts w:ascii="Times New Roman" w:eastAsia="Times New Roman" w:hAnsi="Times New Roman" w:cs="Times New Roman"/>
          <w:bCs/>
          <w:sz w:val="24"/>
          <w:szCs w:val="24"/>
        </w:rPr>
        <w:t>b</w:t>
      </w:r>
      <w:r w:rsidRPr="00597FFB">
        <w:rPr>
          <w:rFonts w:ascii="Times New Roman" w:eastAsia="Times New Roman" w:hAnsi="Times New Roman" w:cs="Times New Roman"/>
          <w:bCs/>
          <w:sz w:val="24"/>
          <w:szCs w:val="24"/>
        </w:rPr>
        <w:t xml:space="preserve">ehavioral </w:t>
      </w:r>
      <w:r w:rsidR="002964C0"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 xml:space="preserve">ontrol </w:t>
      </w:r>
    </w:p>
    <w:p w14:paraId="7B5C3361" w14:textId="1F379E93" w:rsidR="001556A9" w:rsidRPr="00597FFB" w:rsidRDefault="001556A9" w:rsidP="00BC252D">
      <w:pPr>
        <w:spacing w:after="0" w:line="360" w:lineRule="auto"/>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PC</w:t>
      </w:r>
      <w:r w:rsidR="00ED45B5" w:rsidRPr="00597FFB">
        <w:rPr>
          <w:rFonts w:ascii="Times New Roman" w:eastAsia="Times New Roman" w:hAnsi="Times New Roman" w:cs="Times New Roman"/>
          <w:b/>
          <w:sz w:val="24"/>
          <w:szCs w:val="24"/>
        </w:rPr>
        <w:tab/>
      </w:r>
      <w:r w:rsidR="00ED45B5" w:rsidRPr="00597FFB">
        <w:rPr>
          <w:rFonts w:ascii="Times New Roman" w:eastAsia="Times New Roman" w:hAnsi="Times New Roman" w:cs="Times New Roman"/>
          <w:b/>
          <w:sz w:val="24"/>
          <w:szCs w:val="24"/>
        </w:rPr>
        <w:tab/>
      </w:r>
      <w:r w:rsidRPr="00597FFB">
        <w:rPr>
          <w:rFonts w:ascii="Times New Roman" w:hAnsi="Times New Roman" w:cs="Times New Roman"/>
          <w:sz w:val="24"/>
          <w:szCs w:val="24"/>
        </w:rPr>
        <w:t xml:space="preserve">Privacy </w:t>
      </w:r>
      <w:r w:rsidR="000D7765" w:rsidRPr="00597FFB">
        <w:rPr>
          <w:rFonts w:ascii="Times New Roman" w:hAnsi="Times New Roman" w:cs="Times New Roman"/>
          <w:sz w:val="24"/>
          <w:szCs w:val="24"/>
        </w:rPr>
        <w:t>c</w:t>
      </w:r>
      <w:r w:rsidRPr="00597FFB">
        <w:rPr>
          <w:rFonts w:ascii="Times New Roman" w:hAnsi="Times New Roman" w:cs="Times New Roman"/>
          <w:sz w:val="24"/>
          <w:szCs w:val="24"/>
        </w:rPr>
        <w:t>oncern</w:t>
      </w:r>
    </w:p>
    <w:p w14:paraId="713AA2C3" w14:textId="68F93359"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PCA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Principal </w:t>
      </w:r>
      <w:r w:rsidR="000D7765"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 xml:space="preserve">omponent </w:t>
      </w:r>
      <w:r w:rsidR="000D7765"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nalysis</w:t>
      </w:r>
    </w:p>
    <w:p w14:paraId="0FAE3E62" w14:textId="4CDB4411" w:rsidR="001556A9" w:rsidRPr="00597FFB" w:rsidRDefault="001556A9" w:rsidP="001556A9">
      <w:pPr>
        <w:spacing w:after="0" w:line="360" w:lineRule="auto"/>
        <w:rPr>
          <w:rFonts w:ascii="Times New Roman" w:eastAsia="Times New Roman" w:hAnsi="Times New Roman" w:cs="Times New Roman"/>
          <w:b/>
          <w:bCs/>
          <w:sz w:val="24"/>
          <w:szCs w:val="24"/>
        </w:rPr>
      </w:pPr>
      <w:bookmarkStart w:id="12" w:name="_Hlk123382641"/>
      <w:r w:rsidRPr="00597FFB">
        <w:rPr>
          <w:rFonts w:ascii="Times New Roman" w:hAnsi="Times New Roman" w:cs="Times New Roman"/>
          <w:b/>
          <w:bCs/>
          <w:sz w:val="24"/>
          <w:szCs w:val="24"/>
        </w:rPr>
        <w:t>PM</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 xml:space="preserve">Protection </w:t>
      </w:r>
      <w:r w:rsidR="000D7765" w:rsidRPr="00597FFB">
        <w:rPr>
          <w:rFonts w:ascii="Times New Roman" w:hAnsi="Times New Roman" w:cs="Times New Roman"/>
          <w:sz w:val="24"/>
          <w:szCs w:val="24"/>
        </w:rPr>
        <w:t>m</w:t>
      </w:r>
      <w:r w:rsidRPr="00597FFB">
        <w:rPr>
          <w:rFonts w:ascii="Times New Roman" w:hAnsi="Times New Roman" w:cs="Times New Roman"/>
          <w:sz w:val="24"/>
          <w:szCs w:val="24"/>
        </w:rPr>
        <w:t>otivation</w:t>
      </w:r>
    </w:p>
    <w:p w14:paraId="2A9BFC8F" w14:textId="1752B52A" w:rsidR="001556A9" w:rsidRPr="00597FFB" w:rsidRDefault="001556A9" w:rsidP="001556A9">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PMT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Protection </w:t>
      </w:r>
      <w:r w:rsidR="000D7765"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otivation </w:t>
      </w:r>
      <w:r w:rsidR="000D7765"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heory </w:t>
      </w:r>
    </w:p>
    <w:p w14:paraId="417803FF" w14:textId="4EAADCAC" w:rsidR="001556A9" w:rsidRPr="00597FFB" w:rsidRDefault="001556A9"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PN</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 xml:space="preserve">Personal </w:t>
      </w:r>
      <w:r w:rsidR="00F62572" w:rsidRPr="00597FFB">
        <w:rPr>
          <w:rFonts w:ascii="Times New Roman" w:hAnsi="Times New Roman" w:cs="Times New Roman"/>
          <w:sz w:val="24"/>
          <w:szCs w:val="24"/>
        </w:rPr>
        <w:t>n</w:t>
      </w:r>
      <w:r w:rsidRPr="00597FFB">
        <w:rPr>
          <w:rFonts w:ascii="Times New Roman" w:hAnsi="Times New Roman" w:cs="Times New Roman"/>
          <w:sz w:val="24"/>
          <w:szCs w:val="24"/>
        </w:rPr>
        <w:t>orm</w:t>
      </w:r>
    </w:p>
    <w:bookmarkEnd w:id="12"/>
    <w:p w14:paraId="22AA3F61" w14:textId="51BED647" w:rsidR="00BC252D" w:rsidRPr="00597FFB" w:rsidRDefault="00BC252D" w:rsidP="00BC252D">
      <w:pPr>
        <w:spacing w:after="0" w:line="360" w:lineRule="auto"/>
        <w:rPr>
          <w:rFonts w:ascii="Times New Roman" w:eastAsia="Times New Roman" w:hAnsi="Times New Roman" w:cs="Times New Roman"/>
          <w:b/>
          <w:bCs/>
          <w:sz w:val="24"/>
          <w:szCs w:val="24"/>
        </w:rPr>
      </w:pPr>
      <w:r w:rsidRPr="00597FFB">
        <w:rPr>
          <w:rFonts w:ascii="Times New Roman" w:hAnsi="Times New Roman" w:cs="Times New Roman"/>
          <w:b/>
          <w:bCs/>
          <w:sz w:val="24"/>
          <w:szCs w:val="24"/>
        </w:rPr>
        <w:t>SN</w:t>
      </w:r>
      <w:r w:rsidR="00ED45B5" w:rsidRPr="00597FFB">
        <w:rPr>
          <w:rFonts w:ascii="Times New Roman" w:hAnsi="Times New Roman" w:cs="Times New Roman"/>
          <w:b/>
          <w:bCs/>
          <w:sz w:val="24"/>
          <w:szCs w:val="24"/>
        </w:rPr>
        <w:tab/>
      </w:r>
      <w:r w:rsidR="00ED45B5" w:rsidRPr="00597FFB">
        <w:rPr>
          <w:rFonts w:ascii="Times New Roman" w:hAnsi="Times New Roman" w:cs="Times New Roman"/>
          <w:b/>
          <w:bCs/>
          <w:sz w:val="24"/>
          <w:szCs w:val="24"/>
        </w:rPr>
        <w:tab/>
      </w:r>
      <w:r w:rsidRPr="00597FFB">
        <w:rPr>
          <w:rFonts w:ascii="Times New Roman" w:hAnsi="Times New Roman" w:cs="Times New Roman"/>
          <w:sz w:val="24"/>
          <w:szCs w:val="24"/>
        </w:rPr>
        <w:t xml:space="preserve">Subjective </w:t>
      </w:r>
      <w:r w:rsidR="00F62572" w:rsidRPr="00597FFB">
        <w:rPr>
          <w:rFonts w:ascii="Times New Roman" w:hAnsi="Times New Roman" w:cs="Times New Roman"/>
          <w:sz w:val="24"/>
          <w:szCs w:val="24"/>
        </w:rPr>
        <w:t>n</w:t>
      </w:r>
      <w:r w:rsidRPr="00597FFB">
        <w:rPr>
          <w:rFonts w:ascii="Times New Roman" w:hAnsi="Times New Roman" w:cs="Times New Roman"/>
          <w:sz w:val="24"/>
          <w:szCs w:val="24"/>
        </w:rPr>
        <w:t>orm</w:t>
      </w:r>
    </w:p>
    <w:p w14:paraId="4B142F0A" w14:textId="5317B5D9"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SPSS</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Statistical </w:t>
      </w:r>
      <w:r w:rsidR="00F62572"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ackage </w:t>
      </w:r>
      <w:r w:rsidR="00F62572" w:rsidRPr="00597FFB">
        <w:rPr>
          <w:rFonts w:ascii="Times New Roman" w:eastAsia="Times New Roman" w:hAnsi="Times New Roman" w:cs="Times New Roman"/>
          <w:bCs/>
          <w:sz w:val="24"/>
          <w:szCs w:val="24"/>
        </w:rPr>
        <w:t>f</w:t>
      </w:r>
      <w:r w:rsidR="00ED45B5" w:rsidRPr="00597FFB">
        <w:rPr>
          <w:rFonts w:ascii="Times New Roman" w:eastAsia="Times New Roman" w:hAnsi="Times New Roman" w:cs="Times New Roman"/>
          <w:bCs/>
          <w:sz w:val="24"/>
          <w:szCs w:val="24"/>
        </w:rPr>
        <w:t xml:space="preserve">or </w:t>
      </w:r>
      <w:r w:rsidR="00F62572"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ocial </w:t>
      </w:r>
      <w:r w:rsidR="00F62572"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cience</w:t>
      </w:r>
    </w:p>
    <w:p w14:paraId="605D613B" w14:textId="08B1714D" w:rsidR="00BC252D" w:rsidRPr="00597FFB" w:rsidRDefault="00ED45B5"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Step</w:t>
      </w:r>
      <w:r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ab/>
      </w:r>
      <w:r w:rsidR="00BC252D" w:rsidRPr="00597FFB">
        <w:rPr>
          <w:rFonts w:ascii="Times New Roman" w:eastAsia="Times New Roman" w:hAnsi="Times New Roman" w:cs="Times New Roman"/>
          <w:bCs/>
          <w:sz w:val="24"/>
          <w:szCs w:val="24"/>
        </w:rPr>
        <w:t xml:space="preserve">Solving </w:t>
      </w:r>
      <w:r w:rsidR="00F62572"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 </w:t>
      </w:r>
      <w:r w:rsidR="00F62572"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w:t>
      </w:r>
      <w:r w:rsidR="00F62572"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A27128" w:rsidRPr="00597FFB">
        <w:rPr>
          <w:rFonts w:ascii="Times New Roman" w:eastAsia="Times New Roman" w:hAnsi="Times New Roman" w:cs="Times New Roman"/>
          <w:bCs/>
          <w:sz w:val="24"/>
          <w:szCs w:val="24"/>
        </w:rPr>
        <w:t>problem</w:t>
      </w:r>
    </w:p>
    <w:p w14:paraId="79680306" w14:textId="38771E75"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SWM</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Solid </w:t>
      </w:r>
      <w:r w:rsidR="00A27128"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A27128"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p>
    <w:p w14:paraId="26490148" w14:textId="7444A66C"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SWMS</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Solid </w:t>
      </w:r>
      <w:r w:rsidR="00A27128"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A27128"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w:t>
      </w:r>
      <w:r w:rsidR="00A27128"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ystem </w:t>
      </w:r>
    </w:p>
    <w:p w14:paraId="35D77D25" w14:textId="30CF9765" w:rsidR="001556A9" w:rsidRPr="00597FFB" w:rsidRDefault="001556A9" w:rsidP="00BC252D">
      <w:pPr>
        <w:spacing w:after="0" w:line="360" w:lineRule="auto"/>
        <w:rPr>
          <w:rFonts w:ascii="Times New Roman" w:eastAsia="Times New Roman" w:hAnsi="Times New Roman" w:cs="Times New Roman"/>
          <w:b/>
          <w:sz w:val="24"/>
          <w:szCs w:val="24"/>
        </w:rPr>
      </w:pPr>
      <w:r w:rsidRPr="00597FFB">
        <w:rPr>
          <w:rFonts w:ascii="Times New Roman" w:hAnsi="Times New Roman" w:cs="Times New Roman"/>
          <w:b/>
          <w:bCs/>
          <w:color w:val="000000"/>
          <w:sz w:val="24"/>
          <w:szCs w:val="24"/>
        </w:rPr>
        <w:t>TA</w:t>
      </w:r>
      <w:r w:rsidR="00ED45B5" w:rsidRPr="00597FFB">
        <w:rPr>
          <w:rFonts w:ascii="Times New Roman" w:hAnsi="Times New Roman" w:cs="Times New Roman"/>
          <w:b/>
          <w:bCs/>
          <w:color w:val="000000"/>
          <w:sz w:val="28"/>
          <w:szCs w:val="28"/>
        </w:rPr>
        <w:tab/>
      </w:r>
      <w:r w:rsidR="00ED45B5" w:rsidRPr="00597FFB">
        <w:rPr>
          <w:rFonts w:ascii="Times New Roman" w:hAnsi="Times New Roman" w:cs="Times New Roman"/>
          <w:b/>
          <w:bCs/>
          <w:color w:val="000000"/>
          <w:sz w:val="28"/>
          <w:szCs w:val="28"/>
        </w:rPr>
        <w:tab/>
      </w:r>
      <w:r w:rsidRPr="00597FFB">
        <w:rPr>
          <w:rFonts w:ascii="Times New Roman" w:hAnsi="Times New Roman" w:cs="Times New Roman"/>
          <w:color w:val="000000"/>
          <w:sz w:val="24"/>
          <w:szCs w:val="24"/>
        </w:rPr>
        <w:t xml:space="preserve">Threat </w:t>
      </w:r>
      <w:r w:rsidR="00A27128" w:rsidRPr="00597FFB">
        <w:rPr>
          <w:rFonts w:ascii="Times New Roman" w:hAnsi="Times New Roman" w:cs="Times New Roman"/>
          <w:color w:val="000000"/>
          <w:sz w:val="24"/>
          <w:szCs w:val="24"/>
        </w:rPr>
        <w:t>a</w:t>
      </w:r>
      <w:r w:rsidR="00ED45B5" w:rsidRPr="00597FFB">
        <w:rPr>
          <w:rFonts w:ascii="Times New Roman" w:hAnsi="Times New Roman" w:cs="Times New Roman"/>
          <w:color w:val="000000"/>
          <w:sz w:val="24"/>
          <w:szCs w:val="24"/>
        </w:rPr>
        <w:t>ppraisal</w:t>
      </w:r>
    </w:p>
    <w:p w14:paraId="59C2E39F" w14:textId="2738C1FA"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TPB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Theory </w:t>
      </w:r>
      <w:r w:rsidR="00A27128" w:rsidRPr="00597FFB">
        <w:rPr>
          <w:rFonts w:ascii="Times New Roman" w:eastAsia="Times New Roman" w:hAnsi="Times New Roman" w:cs="Times New Roman"/>
          <w:bCs/>
          <w:sz w:val="24"/>
          <w:szCs w:val="24"/>
        </w:rPr>
        <w:t>o</w:t>
      </w:r>
      <w:r w:rsidR="00ED45B5" w:rsidRPr="00597FFB">
        <w:rPr>
          <w:rFonts w:ascii="Times New Roman" w:eastAsia="Times New Roman" w:hAnsi="Times New Roman" w:cs="Times New Roman"/>
          <w:bCs/>
          <w:sz w:val="24"/>
          <w:szCs w:val="24"/>
        </w:rPr>
        <w:t xml:space="preserve">f </w:t>
      </w:r>
      <w:r w:rsidR="00A27128"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lanned </w:t>
      </w:r>
      <w:r w:rsidR="00A27128" w:rsidRPr="00597FFB">
        <w:rPr>
          <w:rFonts w:ascii="Times New Roman" w:eastAsia="Times New Roman" w:hAnsi="Times New Roman" w:cs="Times New Roman"/>
          <w:bCs/>
          <w:sz w:val="24"/>
          <w:szCs w:val="24"/>
        </w:rPr>
        <w:t>b</w:t>
      </w:r>
      <w:r w:rsidRPr="00597FFB">
        <w:rPr>
          <w:rFonts w:ascii="Times New Roman" w:eastAsia="Times New Roman" w:hAnsi="Times New Roman" w:cs="Times New Roman"/>
          <w:bCs/>
          <w:sz w:val="24"/>
          <w:szCs w:val="24"/>
        </w:rPr>
        <w:t xml:space="preserve">ehavior </w:t>
      </w:r>
    </w:p>
    <w:p w14:paraId="24A33B02" w14:textId="3EEB349E"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UAE</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Arab Emirates </w:t>
      </w:r>
    </w:p>
    <w:p w14:paraId="251B72F3" w14:textId="3CA4A384"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UK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Kingdom </w:t>
      </w:r>
    </w:p>
    <w:p w14:paraId="2915A919" w14:textId="286D249E"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UN    </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Nations </w:t>
      </w:r>
    </w:p>
    <w:p w14:paraId="3F04EF3C" w14:textId="6ABDC121"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UNEP</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w:t>
      </w:r>
      <w:r w:rsidR="00A27128" w:rsidRPr="00597FFB">
        <w:rPr>
          <w:rFonts w:ascii="Times New Roman" w:eastAsia="Times New Roman" w:hAnsi="Times New Roman" w:cs="Times New Roman"/>
          <w:bCs/>
          <w:sz w:val="24"/>
          <w:szCs w:val="24"/>
        </w:rPr>
        <w:t>n</w:t>
      </w:r>
      <w:r w:rsidRPr="00597FFB">
        <w:rPr>
          <w:rFonts w:ascii="Times New Roman" w:eastAsia="Times New Roman" w:hAnsi="Times New Roman" w:cs="Times New Roman"/>
          <w:bCs/>
          <w:sz w:val="24"/>
          <w:szCs w:val="24"/>
        </w:rPr>
        <w:t xml:space="preserve">ations </w:t>
      </w:r>
      <w:r w:rsidR="00A27128"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nvironment </w:t>
      </w:r>
      <w:r w:rsidR="00A27128"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rogram </w:t>
      </w:r>
    </w:p>
    <w:p w14:paraId="3B5AB1C1" w14:textId="104BBCC8"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UNU</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w:t>
      </w:r>
      <w:r w:rsidR="001F2D9B" w:rsidRPr="00597FFB">
        <w:rPr>
          <w:rFonts w:ascii="Times New Roman" w:eastAsia="Times New Roman" w:hAnsi="Times New Roman" w:cs="Times New Roman"/>
          <w:bCs/>
          <w:sz w:val="24"/>
          <w:szCs w:val="24"/>
        </w:rPr>
        <w:t>n</w:t>
      </w:r>
      <w:r w:rsidRPr="00597FFB">
        <w:rPr>
          <w:rFonts w:ascii="Times New Roman" w:eastAsia="Times New Roman" w:hAnsi="Times New Roman" w:cs="Times New Roman"/>
          <w:bCs/>
          <w:sz w:val="24"/>
          <w:szCs w:val="24"/>
        </w:rPr>
        <w:t xml:space="preserve">ations </w:t>
      </w:r>
      <w:r w:rsidR="001F2D9B" w:rsidRPr="00597FFB">
        <w:rPr>
          <w:rFonts w:ascii="Times New Roman" w:eastAsia="Times New Roman" w:hAnsi="Times New Roman" w:cs="Times New Roman"/>
          <w:bCs/>
          <w:sz w:val="24"/>
          <w:szCs w:val="24"/>
        </w:rPr>
        <w:t>u</w:t>
      </w:r>
      <w:r w:rsidRPr="00597FFB">
        <w:rPr>
          <w:rFonts w:ascii="Times New Roman" w:eastAsia="Times New Roman" w:hAnsi="Times New Roman" w:cs="Times New Roman"/>
          <w:bCs/>
          <w:sz w:val="24"/>
          <w:szCs w:val="24"/>
        </w:rPr>
        <w:t>niversity</w:t>
      </w:r>
    </w:p>
    <w:p w14:paraId="2162149A" w14:textId="4429DF8B"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US</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States </w:t>
      </w:r>
    </w:p>
    <w:p w14:paraId="4ABD2978" w14:textId="46EFF273"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USA</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States </w:t>
      </w:r>
      <w:r w:rsidR="001F2D9B" w:rsidRPr="00597FFB">
        <w:rPr>
          <w:rFonts w:ascii="Times New Roman" w:eastAsia="Times New Roman" w:hAnsi="Times New Roman" w:cs="Times New Roman"/>
          <w:bCs/>
          <w:sz w:val="24"/>
          <w:szCs w:val="24"/>
        </w:rPr>
        <w:t>o</w:t>
      </w:r>
      <w:r w:rsidR="00ED45B5" w:rsidRPr="00597FFB">
        <w:rPr>
          <w:rFonts w:ascii="Times New Roman" w:eastAsia="Times New Roman" w:hAnsi="Times New Roman" w:cs="Times New Roman"/>
          <w:bCs/>
          <w:sz w:val="24"/>
          <w:szCs w:val="24"/>
        </w:rPr>
        <w:t xml:space="preserve">f </w:t>
      </w:r>
      <w:r w:rsidRPr="00597FFB">
        <w:rPr>
          <w:rFonts w:ascii="Times New Roman" w:eastAsia="Times New Roman" w:hAnsi="Times New Roman" w:cs="Times New Roman"/>
          <w:bCs/>
          <w:sz w:val="24"/>
          <w:szCs w:val="24"/>
        </w:rPr>
        <w:t xml:space="preserve">America </w:t>
      </w:r>
    </w:p>
    <w:p w14:paraId="55ECAC0C" w14:textId="09FE7FCF"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USEPA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United </w:t>
      </w:r>
      <w:r w:rsidR="001F2D9B"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tates </w:t>
      </w:r>
      <w:r w:rsidR="001F2D9B"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nvironmental </w:t>
      </w:r>
      <w:r w:rsidR="001F2D9B"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rotection </w:t>
      </w:r>
      <w:r w:rsidR="001F2D9B"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 xml:space="preserve">gency  </w:t>
      </w:r>
    </w:p>
    <w:p w14:paraId="73911ED3" w14:textId="2B44FA78"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 xml:space="preserve">WEEE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Waste </w:t>
      </w:r>
      <w:r w:rsidR="00BF1087"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lectrical </w:t>
      </w:r>
      <w:r w:rsidR="00BF1087" w:rsidRPr="00597FFB">
        <w:rPr>
          <w:rFonts w:ascii="Times New Roman" w:eastAsia="Times New Roman" w:hAnsi="Times New Roman" w:cs="Times New Roman"/>
          <w:bCs/>
          <w:sz w:val="24"/>
          <w:szCs w:val="24"/>
        </w:rPr>
        <w:t>a</w:t>
      </w:r>
      <w:r w:rsidR="00ED45B5" w:rsidRPr="00597FFB">
        <w:rPr>
          <w:rFonts w:ascii="Times New Roman" w:eastAsia="Times New Roman" w:hAnsi="Times New Roman" w:cs="Times New Roman"/>
          <w:bCs/>
          <w:sz w:val="24"/>
          <w:szCs w:val="24"/>
        </w:rPr>
        <w:t xml:space="preserve">nd </w:t>
      </w:r>
      <w:r w:rsidR="00BF1087"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lectronic </w:t>
      </w:r>
      <w:r w:rsidR="00BF1087"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quipment </w:t>
      </w:r>
    </w:p>
    <w:p w14:paraId="21587605" w14:textId="3EE07717" w:rsidR="00BC252D" w:rsidRPr="00597FFB" w:rsidRDefault="00BC252D" w:rsidP="00BC252D">
      <w:pPr>
        <w:spacing w:after="0" w:line="360" w:lineRule="auto"/>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WHO</w:t>
      </w:r>
      <w:r w:rsidRPr="00597FFB">
        <w:rPr>
          <w:rFonts w:ascii="Times New Roman" w:eastAsia="Times New Roman" w:hAnsi="Times New Roman" w:cs="Times New Roman"/>
          <w:bCs/>
          <w:sz w:val="24"/>
          <w:szCs w:val="24"/>
        </w:rPr>
        <w:t xml:space="preserve">   </w:t>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 xml:space="preserve">World </w:t>
      </w:r>
      <w:r w:rsidR="00BF1087" w:rsidRPr="00597FFB">
        <w:rPr>
          <w:rFonts w:ascii="Times New Roman" w:eastAsia="Times New Roman" w:hAnsi="Times New Roman" w:cs="Times New Roman"/>
          <w:bCs/>
          <w:sz w:val="24"/>
          <w:szCs w:val="24"/>
        </w:rPr>
        <w:t>h</w:t>
      </w:r>
      <w:r w:rsidRPr="00597FFB">
        <w:rPr>
          <w:rFonts w:ascii="Times New Roman" w:eastAsia="Times New Roman" w:hAnsi="Times New Roman" w:cs="Times New Roman"/>
          <w:bCs/>
          <w:sz w:val="24"/>
          <w:szCs w:val="24"/>
        </w:rPr>
        <w:t xml:space="preserve">ealth </w:t>
      </w:r>
      <w:r w:rsidR="00BF1087" w:rsidRPr="00597FFB">
        <w:rPr>
          <w:rFonts w:ascii="Times New Roman" w:eastAsia="Times New Roman" w:hAnsi="Times New Roman" w:cs="Times New Roman"/>
          <w:bCs/>
          <w:sz w:val="24"/>
          <w:szCs w:val="24"/>
        </w:rPr>
        <w:t>o</w:t>
      </w:r>
      <w:r w:rsidRPr="00597FFB">
        <w:rPr>
          <w:rFonts w:ascii="Times New Roman" w:eastAsia="Times New Roman" w:hAnsi="Times New Roman" w:cs="Times New Roman"/>
          <w:bCs/>
          <w:sz w:val="24"/>
          <w:szCs w:val="24"/>
        </w:rPr>
        <w:t>rganisation</w:t>
      </w:r>
    </w:p>
    <w:p w14:paraId="4D89D2F3" w14:textId="1325AC5B" w:rsidR="00BC252D" w:rsidRPr="00597FFB" w:rsidRDefault="00BC252D" w:rsidP="002001A2">
      <w:pPr>
        <w:spacing w:after="0" w:line="360" w:lineRule="auto"/>
        <w:jc w:val="both"/>
        <w:rPr>
          <w:rFonts w:ascii="Times New Roman" w:eastAsia="Times New Roman" w:hAnsi="Times New Roman" w:cs="Times New Roman"/>
          <w:bCs/>
          <w:sz w:val="24"/>
          <w:szCs w:val="24"/>
        </w:rPr>
        <w:sectPr w:rsidR="00BC252D" w:rsidRPr="00597FFB" w:rsidSect="002668B3">
          <w:pgSz w:w="11909" w:h="16834" w:code="9"/>
          <w:pgMar w:top="1800" w:right="2160" w:bottom="1800" w:left="2160" w:header="720" w:footer="720" w:gutter="0"/>
          <w:pgNumType w:fmt="lowerRoman"/>
          <w:cols w:space="720"/>
          <w:docGrid w:linePitch="360"/>
        </w:sectPr>
      </w:pPr>
      <w:r w:rsidRPr="00597FFB">
        <w:rPr>
          <w:rFonts w:ascii="Times New Roman" w:eastAsia="Times New Roman" w:hAnsi="Times New Roman" w:cs="Times New Roman"/>
          <w:b/>
          <w:sz w:val="24"/>
          <w:szCs w:val="24"/>
        </w:rPr>
        <w:t xml:space="preserve">WTE </w:t>
      </w:r>
      <w:r w:rsidR="00ED45B5" w:rsidRPr="00597FFB">
        <w:rPr>
          <w:rFonts w:ascii="Times New Roman" w:eastAsia="Times New Roman" w:hAnsi="Times New Roman" w:cs="Times New Roman"/>
          <w:bCs/>
          <w:sz w:val="24"/>
          <w:szCs w:val="24"/>
        </w:rPr>
        <w:tab/>
      </w:r>
      <w:r w:rsidR="00ED45B5" w:rsidRPr="00597FFB">
        <w:rPr>
          <w:rFonts w:ascii="Times New Roman" w:eastAsia="Times New Roman" w:hAnsi="Times New Roman" w:cs="Times New Roman"/>
          <w:bCs/>
          <w:sz w:val="24"/>
          <w:szCs w:val="24"/>
        </w:rPr>
        <w:tab/>
      </w:r>
      <w:r w:rsidRPr="00597FFB">
        <w:rPr>
          <w:rFonts w:ascii="Times New Roman" w:eastAsia="Times New Roman" w:hAnsi="Times New Roman" w:cs="Times New Roman"/>
          <w:bCs/>
          <w:sz w:val="24"/>
          <w:szCs w:val="24"/>
        </w:rPr>
        <w:t>Waste</w:t>
      </w:r>
      <w:r w:rsidR="00ED45B5" w:rsidRPr="00597FFB">
        <w:rPr>
          <w:rFonts w:ascii="Times New Roman" w:eastAsia="Times New Roman" w:hAnsi="Times New Roman" w:cs="Times New Roman"/>
          <w:bCs/>
          <w:sz w:val="24"/>
          <w:szCs w:val="24"/>
        </w:rPr>
        <w:t>-</w:t>
      </w:r>
      <w:r w:rsidR="00BF1087"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o</w:t>
      </w:r>
      <w:r w:rsidR="00ED45B5" w:rsidRPr="00597FFB">
        <w:rPr>
          <w:rFonts w:ascii="Times New Roman" w:eastAsia="Times New Roman" w:hAnsi="Times New Roman" w:cs="Times New Roman"/>
          <w:bCs/>
          <w:sz w:val="24"/>
          <w:szCs w:val="24"/>
        </w:rPr>
        <w:t>-</w:t>
      </w:r>
      <w:r w:rsidR="00BF1087"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nergy</w:t>
      </w:r>
    </w:p>
    <w:p w14:paraId="3B6E9AEE" w14:textId="3B0E9C28" w:rsidR="005960A5" w:rsidRPr="00597FFB" w:rsidRDefault="00A03E54" w:rsidP="005672BA">
      <w:pPr>
        <w:pStyle w:val="Heading1"/>
        <w:jc w:val="center"/>
        <w:rPr>
          <w:rFonts w:asciiTheme="majorBidi" w:eastAsia="Times New Roman" w:hAnsiTheme="majorBidi"/>
          <w:b/>
          <w:bCs/>
          <w:color w:val="000000" w:themeColor="text1"/>
          <w:sz w:val="28"/>
          <w:szCs w:val="28"/>
        </w:rPr>
      </w:pPr>
      <w:bookmarkStart w:id="13" w:name="_Toc127170244"/>
      <w:r w:rsidRPr="00597FFB">
        <w:rPr>
          <w:rFonts w:asciiTheme="majorBidi" w:eastAsia="Times New Roman" w:hAnsiTheme="majorBidi"/>
          <w:b/>
          <w:bCs/>
          <w:color w:val="000000" w:themeColor="text1"/>
          <w:sz w:val="28"/>
          <w:szCs w:val="28"/>
        </w:rPr>
        <w:t>ACKNOWLEDGMENT</w:t>
      </w:r>
      <w:bookmarkEnd w:id="13"/>
    </w:p>
    <w:p w14:paraId="1D3A7075" w14:textId="77777777" w:rsidR="00A03E54" w:rsidRPr="00597FFB" w:rsidRDefault="00A03E54" w:rsidP="00A03E54">
      <w:pPr>
        <w:spacing w:line="480" w:lineRule="auto"/>
        <w:jc w:val="center"/>
        <w:rPr>
          <w:rFonts w:ascii="Times New Roman" w:hAnsi="Times New Roman" w:cs="Times New Roman"/>
          <w:b/>
          <w:sz w:val="24"/>
          <w:szCs w:val="24"/>
        </w:rPr>
      </w:pPr>
    </w:p>
    <w:p w14:paraId="65F903BB" w14:textId="33E12171" w:rsidR="00A03E54" w:rsidRPr="00597FFB" w:rsidRDefault="00777174" w:rsidP="00B134AF">
      <w:pPr>
        <w:spacing w:before="26" w:after="26"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 xml:space="preserve">I would like to express my special thanks and gratitude to the following people and institutions: </w:t>
      </w:r>
      <w:r w:rsidR="00FB7FB0" w:rsidRPr="00597FFB">
        <w:rPr>
          <w:rFonts w:ascii="Times New Roman" w:hAnsi="Times New Roman" w:cs="Times New Roman"/>
          <w:sz w:val="24"/>
          <w:szCs w:val="24"/>
        </w:rPr>
        <w:t>First and foremost</w:t>
      </w:r>
      <w:r w:rsidR="00A03E54" w:rsidRPr="00597FFB">
        <w:rPr>
          <w:rFonts w:ascii="Times New Roman" w:hAnsi="Times New Roman" w:cs="Times New Roman"/>
          <w:sz w:val="24"/>
          <w:szCs w:val="24"/>
        </w:rPr>
        <w:t>, I would like to express my sincere gratitude to my advisor, Dr</w:t>
      </w:r>
      <w:r w:rsidR="00647BF4" w:rsidRPr="00597FFB">
        <w:rPr>
          <w:rFonts w:ascii="Times New Roman" w:hAnsi="Times New Roman" w:cs="Times New Roman"/>
          <w:sz w:val="24"/>
          <w:szCs w:val="24"/>
        </w:rPr>
        <w:t>.</w:t>
      </w:r>
      <w:r w:rsidR="00A03E54" w:rsidRPr="00597FFB">
        <w:rPr>
          <w:rFonts w:ascii="Times New Roman" w:hAnsi="Times New Roman" w:cs="Times New Roman"/>
          <w:sz w:val="24"/>
          <w:szCs w:val="24"/>
        </w:rPr>
        <w:t xml:space="preserve"> </w:t>
      </w:r>
      <w:r w:rsidR="002001A2" w:rsidRPr="00597FFB">
        <w:rPr>
          <w:rFonts w:ascii="Times New Roman" w:hAnsi="Times New Roman" w:cs="Times New Roman"/>
          <w:sz w:val="24"/>
          <w:szCs w:val="24"/>
        </w:rPr>
        <w:t>Syed Zamberi</w:t>
      </w:r>
      <w:r w:rsidR="00A03E54" w:rsidRPr="00597FFB">
        <w:rPr>
          <w:rFonts w:ascii="Times New Roman" w:hAnsi="Times New Roman" w:cs="Times New Roman"/>
          <w:sz w:val="24"/>
          <w:szCs w:val="24"/>
        </w:rPr>
        <w:t xml:space="preserve">, </w:t>
      </w:r>
      <w:r w:rsidR="002001A2" w:rsidRPr="00597FFB">
        <w:rPr>
          <w:rFonts w:ascii="Times New Roman" w:eastAsia="Times New Roman" w:hAnsi="Times New Roman" w:cs="Times New Roman"/>
          <w:bCs/>
          <w:sz w:val="24"/>
          <w:szCs w:val="24"/>
        </w:rPr>
        <w:t>for being the best supervisor ever. Thank for his believing in me and guiding me through this work. His patience with me and passion for his work inspired me the most.</w:t>
      </w:r>
      <w:r w:rsidR="00A03E54" w:rsidRPr="00597FFB">
        <w:rPr>
          <w:rFonts w:ascii="Times New Roman" w:hAnsi="Times New Roman" w:cs="Times New Roman"/>
          <w:sz w:val="24"/>
          <w:szCs w:val="24"/>
        </w:rPr>
        <w:t xml:space="preserve">, and for her extensive knowledge. </w:t>
      </w:r>
      <w:r w:rsidR="002001A2" w:rsidRPr="00597FFB">
        <w:rPr>
          <w:rFonts w:ascii="Times New Roman" w:eastAsia="Times New Roman" w:hAnsi="Times New Roman" w:cs="Times New Roman"/>
          <w:bCs/>
          <w:sz w:val="24"/>
          <w:szCs w:val="24"/>
        </w:rPr>
        <w:t>Thank</w:t>
      </w:r>
      <w:r w:rsidR="002001A2" w:rsidRPr="00597FFB">
        <w:rPr>
          <w:rFonts w:ascii="Times New Roman" w:hAnsi="Times New Roman" w:cs="Times New Roman"/>
          <w:sz w:val="24"/>
          <w:szCs w:val="24"/>
        </w:rPr>
        <w:t xml:space="preserve"> for his </w:t>
      </w:r>
      <w:r w:rsidR="00A03E54" w:rsidRPr="00597FFB">
        <w:rPr>
          <w:rFonts w:ascii="Times New Roman" w:hAnsi="Times New Roman" w:cs="Times New Roman"/>
          <w:sz w:val="24"/>
          <w:szCs w:val="24"/>
        </w:rPr>
        <w:t>help</w:t>
      </w:r>
      <w:r w:rsidR="002001A2" w:rsidRPr="00597FFB">
        <w:rPr>
          <w:rFonts w:ascii="Times New Roman" w:hAnsi="Times New Roman" w:cs="Times New Roman"/>
          <w:sz w:val="24"/>
          <w:szCs w:val="24"/>
        </w:rPr>
        <w:t>ing</w:t>
      </w:r>
      <w:r w:rsidR="00A03E54" w:rsidRPr="00597FFB">
        <w:rPr>
          <w:rFonts w:ascii="Times New Roman" w:hAnsi="Times New Roman" w:cs="Times New Roman"/>
          <w:sz w:val="24"/>
          <w:szCs w:val="24"/>
        </w:rPr>
        <w:t xml:space="preserve"> me a lot throughout my research journey. Next, I would like to thank the rest of my thesis committee, particularly Dr</w:t>
      </w:r>
      <w:r w:rsidR="00647BF4" w:rsidRPr="00597FFB">
        <w:rPr>
          <w:rFonts w:ascii="Times New Roman" w:hAnsi="Times New Roman" w:cs="Times New Roman"/>
          <w:sz w:val="24"/>
          <w:szCs w:val="24"/>
        </w:rPr>
        <w:t>.</w:t>
      </w:r>
      <w:r w:rsidR="00A03E54" w:rsidRPr="00597FFB">
        <w:rPr>
          <w:rFonts w:ascii="Times New Roman" w:hAnsi="Times New Roman" w:cs="Times New Roman"/>
          <w:sz w:val="24"/>
          <w:szCs w:val="24"/>
        </w:rPr>
        <w:t xml:space="preserve"> </w:t>
      </w:r>
      <w:r w:rsidR="00FB7FB0" w:rsidRPr="00597FFB">
        <w:rPr>
          <w:rFonts w:ascii="Times New Roman" w:hAnsi="Times New Roman" w:cs="Times New Roman"/>
          <w:sz w:val="24"/>
          <w:szCs w:val="24"/>
        </w:rPr>
        <w:t>Matloub Hussain</w:t>
      </w:r>
      <w:r w:rsidR="00A03E54" w:rsidRPr="00597FFB">
        <w:rPr>
          <w:rFonts w:ascii="Times New Roman" w:hAnsi="Times New Roman" w:cs="Times New Roman"/>
          <w:sz w:val="24"/>
          <w:szCs w:val="24"/>
        </w:rPr>
        <w:t xml:space="preserve">, for his insightful comments and encouragement. </w:t>
      </w:r>
      <w:r w:rsidR="009D7B09" w:rsidRPr="00597FFB">
        <w:rPr>
          <w:rFonts w:ascii="Times New Roman" w:eastAsia="Times New Roman" w:hAnsi="Times New Roman" w:cs="Times New Roman"/>
          <w:bCs/>
          <w:sz w:val="24"/>
          <w:szCs w:val="24"/>
        </w:rPr>
        <w:t xml:space="preserve">I appreciate his </w:t>
      </w:r>
      <w:r w:rsidR="00CB52F0" w:rsidRPr="00597FFB">
        <w:rPr>
          <w:rFonts w:ascii="Times New Roman" w:eastAsia="Times New Roman" w:hAnsi="Times New Roman" w:cs="Times New Roman"/>
          <w:bCs/>
          <w:sz w:val="24"/>
          <w:szCs w:val="24"/>
        </w:rPr>
        <w:t>helping me out with data analysis during his busiest schedule</w:t>
      </w:r>
      <w:r w:rsidR="009D7B09" w:rsidRPr="00597FFB">
        <w:rPr>
          <w:rFonts w:ascii="Times New Roman" w:eastAsia="Times New Roman" w:hAnsi="Times New Roman" w:cs="Times New Roman"/>
          <w:bCs/>
          <w:sz w:val="24"/>
          <w:szCs w:val="24"/>
        </w:rPr>
        <w:t>.</w:t>
      </w:r>
      <w:r w:rsidR="00CB52F0" w:rsidRPr="00597FFB">
        <w:rPr>
          <w:rFonts w:ascii="Times New Roman" w:hAnsi="Times New Roman" w:cs="Times New Roman"/>
          <w:sz w:val="24"/>
          <w:szCs w:val="24"/>
        </w:rPr>
        <w:t xml:space="preserve"> </w:t>
      </w:r>
    </w:p>
    <w:p w14:paraId="717D1E91" w14:textId="510EF5B7" w:rsidR="004A4F6F" w:rsidRPr="00597FFB" w:rsidRDefault="00A03E54" w:rsidP="00647BF4">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Last but not the least; I would love to extend my gratitude to all </w:t>
      </w:r>
      <w:r w:rsidR="00E57176" w:rsidRPr="00597FFB">
        <w:rPr>
          <w:rFonts w:ascii="Times New Roman" w:hAnsi="Times New Roman" w:cs="Times New Roman"/>
          <w:sz w:val="24"/>
          <w:szCs w:val="24"/>
        </w:rPr>
        <w:t>my children</w:t>
      </w:r>
      <w:r w:rsidRPr="00597FFB">
        <w:rPr>
          <w:rFonts w:ascii="Times New Roman" w:hAnsi="Times New Roman" w:cs="Times New Roman"/>
          <w:sz w:val="24"/>
          <w:szCs w:val="24"/>
        </w:rPr>
        <w:t xml:space="preserve">, for always believing in me, my </w:t>
      </w:r>
      <w:r w:rsidR="00E35942" w:rsidRPr="00597FFB">
        <w:rPr>
          <w:rFonts w:ascii="Times New Roman" w:hAnsi="Times New Roman" w:cs="Times New Roman"/>
          <w:sz w:val="24"/>
          <w:szCs w:val="24"/>
        </w:rPr>
        <w:t>son</w:t>
      </w:r>
      <w:r w:rsidR="00861025" w:rsidRPr="00597FFB">
        <w:rPr>
          <w:rFonts w:ascii="Times New Roman" w:hAnsi="Times New Roman" w:cs="Times New Roman"/>
          <w:sz w:val="24"/>
          <w:szCs w:val="24"/>
        </w:rPr>
        <w:t>s</w:t>
      </w:r>
      <w:r w:rsidR="00E35942" w:rsidRPr="00597FFB">
        <w:rPr>
          <w:rFonts w:ascii="Times New Roman" w:hAnsi="Times New Roman" w:cs="Times New Roman"/>
          <w:sz w:val="24"/>
          <w:szCs w:val="24"/>
        </w:rPr>
        <w:t xml:space="preserve"> Dheya</w:t>
      </w:r>
      <w:r w:rsidR="00861025" w:rsidRPr="00597FFB">
        <w:rPr>
          <w:rFonts w:ascii="Times New Roman" w:hAnsi="Times New Roman" w:cs="Times New Roman"/>
          <w:sz w:val="24"/>
          <w:szCs w:val="24"/>
        </w:rPr>
        <w:t>b, Salem, Suhail, and Mohammed</w:t>
      </w:r>
      <w:r w:rsidRPr="00597FFB">
        <w:rPr>
          <w:rFonts w:ascii="Times New Roman" w:hAnsi="Times New Roman" w:cs="Times New Roman"/>
          <w:sz w:val="24"/>
          <w:szCs w:val="24"/>
        </w:rPr>
        <w:t xml:space="preserve"> </w:t>
      </w:r>
      <w:r w:rsidR="00BC29B2" w:rsidRPr="00597FFB">
        <w:rPr>
          <w:rFonts w:ascii="Times New Roman" w:eastAsia="Times New Roman" w:hAnsi="Times New Roman" w:cs="Times New Roman"/>
          <w:bCs/>
          <w:sz w:val="24"/>
          <w:szCs w:val="24"/>
        </w:rPr>
        <w:t>being good</w:t>
      </w:r>
      <w:r w:rsidR="008178BF" w:rsidRPr="00597FFB">
        <w:rPr>
          <w:rFonts w:ascii="Times New Roman" w:eastAsia="Times New Roman" w:hAnsi="Times New Roman" w:cs="Times New Roman"/>
          <w:bCs/>
          <w:sz w:val="24"/>
          <w:szCs w:val="24"/>
        </w:rPr>
        <w:t xml:space="preserve"> boy</w:t>
      </w:r>
      <w:r w:rsidR="002B433B" w:rsidRPr="00597FFB">
        <w:rPr>
          <w:rFonts w:ascii="Times New Roman" w:eastAsia="Times New Roman" w:hAnsi="Times New Roman" w:cs="Times New Roman"/>
          <w:bCs/>
          <w:sz w:val="24"/>
          <w:szCs w:val="24"/>
        </w:rPr>
        <w:t>s</w:t>
      </w:r>
      <w:r w:rsidR="004A4F6F" w:rsidRPr="00597FFB">
        <w:rPr>
          <w:rFonts w:ascii="Times New Roman" w:eastAsia="Times New Roman" w:hAnsi="Times New Roman" w:cs="Times New Roman"/>
          <w:bCs/>
          <w:sz w:val="24"/>
          <w:szCs w:val="24"/>
        </w:rPr>
        <w:t xml:space="preserve"> and not adding to mommy’s stress during the most difficult time of my </w:t>
      </w:r>
      <w:r w:rsidR="008178BF" w:rsidRPr="00597FFB">
        <w:rPr>
          <w:rFonts w:ascii="Times New Roman" w:eastAsia="Times New Roman" w:hAnsi="Times New Roman" w:cs="Times New Roman"/>
          <w:bCs/>
          <w:sz w:val="24"/>
          <w:szCs w:val="24"/>
        </w:rPr>
        <w:t>studies</w:t>
      </w:r>
      <w:r w:rsidRPr="00597FFB">
        <w:rPr>
          <w:rFonts w:ascii="Times New Roman" w:hAnsi="Times New Roman" w:cs="Times New Roman"/>
          <w:sz w:val="24"/>
          <w:szCs w:val="24"/>
        </w:rPr>
        <w:t xml:space="preserve">, as well as my </w:t>
      </w:r>
      <w:r w:rsidR="00861025" w:rsidRPr="00597FFB">
        <w:rPr>
          <w:rFonts w:ascii="Times New Roman" w:hAnsi="Times New Roman" w:cs="Times New Roman"/>
          <w:sz w:val="24"/>
          <w:szCs w:val="24"/>
        </w:rPr>
        <w:t>daughters</w:t>
      </w:r>
      <w:r w:rsidR="00980D90" w:rsidRPr="00597FFB">
        <w:rPr>
          <w:rFonts w:ascii="Times New Roman" w:hAnsi="Times New Roman" w:cs="Times New Roman"/>
          <w:sz w:val="24"/>
          <w:szCs w:val="24"/>
        </w:rPr>
        <w:t xml:space="preserve"> Ruwaya, Sagheera, and Shrina</w:t>
      </w:r>
      <w:r w:rsidRPr="00597FFB">
        <w:rPr>
          <w:rFonts w:ascii="Times New Roman" w:hAnsi="Times New Roman" w:cs="Times New Roman"/>
          <w:sz w:val="24"/>
          <w:szCs w:val="24"/>
        </w:rPr>
        <w:t xml:space="preserve"> </w:t>
      </w:r>
      <w:r w:rsidR="00AB42D3" w:rsidRPr="00597FFB">
        <w:rPr>
          <w:rFonts w:ascii="Times New Roman" w:hAnsi="Times New Roman" w:cs="Times New Roman"/>
          <w:sz w:val="24"/>
          <w:szCs w:val="24"/>
        </w:rPr>
        <w:t>f</w:t>
      </w:r>
      <w:r w:rsidR="008178BF" w:rsidRPr="00597FFB">
        <w:rPr>
          <w:rFonts w:ascii="Times New Roman" w:hAnsi="Times New Roman" w:cs="Times New Roman"/>
          <w:sz w:val="24"/>
          <w:szCs w:val="24"/>
        </w:rPr>
        <w:t>or their constant support and encouragement.</w:t>
      </w:r>
    </w:p>
    <w:p w14:paraId="6B6A3EED" w14:textId="77777777" w:rsidR="003020B7" w:rsidRPr="00597FFB" w:rsidRDefault="00B134AF" w:rsidP="00694F84">
      <w:pPr>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hAnsi="Times New Roman" w:cs="Times New Roman"/>
          <w:sz w:val="24"/>
          <w:szCs w:val="24"/>
        </w:rPr>
        <w:t xml:space="preserve">Not to be left out, I am indebted to my two dear friends for their encouragement and </w:t>
      </w:r>
      <w:r w:rsidR="00A03E54" w:rsidRPr="00597FFB">
        <w:rPr>
          <w:rFonts w:ascii="Times New Roman" w:hAnsi="Times New Roman" w:cs="Times New Roman"/>
          <w:sz w:val="24"/>
          <w:szCs w:val="24"/>
        </w:rPr>
        <w:t>for supporting me spiritually throughout my journey</w:t>
      </w:r>
      <w:r w:rsidRPr="00597FFB">
        <w:rPr>
          <w:rFonts w:ascii="Times New Roman" w:hAnsi="Times New Roman" w:cs="Times New Roman"/>
          <w:sz w:val="24"/>
          <w:szCs w:val="24"/>
        </w:rPr>
        <w:t>.</w:t>
      </w:r>
      <w:r w:rsidR="00A03E54" w:rsidRPr="00597FFB">
        <w:rPr>
          <w:rFonts w:ascii="Times New Roman" w:hAnsi="Times New Roman" w:cs="Times New Roman"/>
          <w:sz w:val="24"/>
          <w:szCs w:val="24"/>
        </w:rPr>
        <w:t xml:space="preserve"> This journey would not have been accomplished without</w:t>
      </w:r>
      <w:r w:rsidR="00C164E6" w:rsidRPr="00597FFB">
        <w:rPr>
          <w:rFonts w:ascii="Times New Roman" w:hAnsi="Times New Roman" w:cs="Times New Roman"/>
          <w:sz w:val="24"/>
          <w:szCs w:val="24"/>
        </w:rPr>
        <w:t xml:space="preserve"> their</w:t>
      </w:r>
      <w:r w:rsidR="00A03E54" w:rsidRPr="00597FFB">
        <w:rPr>
          <w:rFonts w:ascii="Times New Roman" w:hAnsi="Times New Roman" w:cs="Times New Roman"/>
          <w:sz w:val="24"/>
          <w:szCs w:val="24"/>
        </w:rPr>
        <w:t xml:space="preserve"> care and support.</w:t>
      </w:r>
    </w:p>
    <w:p w14:paraId="33596D92" w14:textId="77777777" w:rsidR="00541EB7" w:rsidRPr="00597FFB" w:rsidRDefault="00541EB7" w:rsidP="00541EB7">
      <w:pPr>
        <w:spacing w:before="26" w:after="26" w:line="480" w:lineRule="auto"/>
        <w:jc w:val="both"/>
        <w:rPr>
          <w:rFonts w:ascii="Times New Roman" w:eastAsia="Times New Roman" w:hAnsi="Times New Roman" w:cs="Times New Roman"/>
          <w:bCs/>
          <w:sz w:val="24"/>
          <w:szCs w:val="24"/>
        </w:rPr>
      </w:pPr>
    </w:p>
    <w:p w14:paraId="74C5C376" w14:textId="77777777" w:rsidR="00541EB7" w:rsidRPr="00597FFB" w:rsidRDefault="00541EB7" w:rsidP="00541EB7">
      <w:pPr>
        <w:spacing w:before="26" w:after="26" w:line="480" w:lineRule="auto"/>
        <w:jc w:val="both"/>
        <w:rPr>
          <w:rFonts w:ascii="Times New Roman" w:eastAsia="Times New Roman" w:hAnsi="Times New Roman" w:cs="Times New Roman"/>
          <w:bCs/>
          <w:sz w:val="24"/>
          <w:szCs w:val="24"/>
        </w:rPr>
      </w:pPr>
    </w:p>
    <w:p w14:paraId="7BF0C6D1" w14:textId="75362074" w:rsidR="007F414F" w:rsidRPr="00597FFB" w:rsidRDefault="007F414F" w:rsidP="00947E56">
      <w:pPr>
        <w:pStyle w:val="TOCHeading"/>
        <w:tabs>
          <w:tab w:val="left" w:pos="3222"/>
        </w:tabs>
        <w:rPr>
          <w:rFonts w:asciiTheme="minorHAnsi" w:eastAsiaTheme="minorEastAsia" w:hAnsiTheme="minorHAnsi" w:cstheme="minorBidi"/>
          <w:color w:val="auto"/>
          <w:sz w:val="22"/>
          <w:szCs w:val="22"/>
        </w:rPr>
      </w:pPr>
    </w:p>
    <w:p w14:paraId="3F166A45" w14:textId="77777777" w:rsidR="00E9650A" w:rsidRPr="00597FFB" w:rsidRDefault="00E9650A" w:rsidP="00E9650A"/>
    <w:p w14:paraId="22B6AFF3" w14:textId="3C581B1B" w:rsidR="00E9650A" w:rsidRPr="00597FFB" w:rsidRDefault="008E5ACA" w:rsidP="00E9650A">
      <w:pPr>
        <w:pStyle w:val="Heading1"/>
        <w:jc w:val="center"/>
        <w:rPr>
          <w:rFonts w:asciiTheme="majorBidi" w:eastAsia="Times New Roman" w:hAnsiTheme="majorBidi"/>
          <w:b/>
          <w:bCs/>
          <w:color w:val="000000" w:themeColor="text1"/>
          <w:sz w:val="28"/>
          <w:szCs w:val="28"/>
        </w:rPr>
      </w:pPr>
      <w:bookmarkStart w:id="14" w:name="_Toc127170245"/>
      <w:r w:rsidRPr="00597FFB">
        <w:rPr>
          <w:rFonts w:asciiTheme="majorBidi" w:eastAsia="Times New Roman" w:hAnsiTheme="majorBidi"/>
          <w:b/>
          <w:bCs/>
          <w:color w:val="000000" w:themeColor="text1"/>
          <w:sz w:val="28"/>
          <w:szCs w:val="28"/>
        </w:rPr>
        <w:t>PUBLICATION (S) ARISING FROM THE DISSERTATION.</w:t>
      </w:r>
      <w:bookmarkEnd w:id="14"/>
    </w:p>
    <w:p w14:paraId="5588C3B5" w14:textId="77777777" w:rsidR="00E9650A" w:rsidRPr="00597FFB" w:rsidRDefault="00E9650A" w:rsidP="00E9650A">
      <w:pPr>
        <w:spacing w:line="480" w:lineRule="auto"/>
        <w:jc w:val="center"/>
        <w:rPr>
          <w:rFonts w:ascii="Times New Roman" w:hAnsi="Times New Roman" w:cs="Times New Roman"/>
          <w:b/>
          <w:sz w:val="24"/>
          <w:szCs w:val="24"/>
        </w:rPr>
      </w:pPr>
    </w:p>
    <w:p w14:paraId="59A9D271" w14:textId="2D53C851" w:rsidR="00BB749D" w:rsidRPr="00597FFB" w:rsidRDefault="00570AA8" w:rsidP="004C758C">
      <w:pPr>
        <w:pStyle w:val="ListParagraph"/>
        <w:numPr>
          <w:ilvl w:val="0"/>
          <w:numId w:val="34"/>
        </w:numPr>
        <w:spacing w:before="26" w:after="26" w:line="360" w:lineRule="auto"/>
        <w:jc w:val="both"/>
        <w:rPr>
          <w:rFonts w:ascii="Times New Roman" w:eastAsia="Times New Roman" w:hAnsi="Times New Roman" w:cs="Times New Roman"/>
          <w:bCs/>
          <w:sz w:val="24"/>
          <w:szCs w:val="24"/>
        </w:rPr>
      </w:pPr>
      <w:bookmarkStart w:id="15" w:name="_Hlk125890446"/>
      <w:r w:rsidRPr="00597FFB">
        <w:rPr>
          <w:rFonts w:ascii="Times New Roman" w:eastAsia="Times New Roman" w:hAnsi="Times New Roman" w:cs="Times New Roman"/>
          <w:bCs/>
          <w:sz w:val="24"/>
          <w:szCs w:val="24"/>
        </w:rPr>
        <w:t xml:space="preserve">Alblooshi, B. G. K. M., Ahmad, S. Z., Hussain, M., &amp; Singh, S. K. (2022). Sustainable management of electronic waste: Empirical evidences from a stakeholders' perspective. Business Strategy and the Environment,1–19. </w:t>
      </w:r>
      <w:hyperlink r:id="rId15" w:history="1">
        <w:r w:rsidRPr="00597FFB">
          <w:rPr>
            <w:rStyle w:val="Hyperlink"/>
            <w:rFonts w:ascii="Times New Roman" w:eastAsia="Times New Roman" w:hAnsi="Times New Roman" w:cs="Times New Roman"/>
            <w:bCs/>
            <w:sz w:val="24"/>
            <w:szCs w:val="24"/>
          </w:rPr>
          <w:t>https://doi.org/10.1002/bse.2987</w:t>
        </w:r>
      </w:hyperlink>
      <w:bookmarkEnd w:id="15"/>
      <w:r w:rsidRPr="00597FFB">
        <w:rPr>
          <w:rFonts w:ascii="Times New Roman" w:eastAsia="Times New Roman" w:hAnsi="Times New Roman" w:cs="Times New Roman"/>
          <w:bCs/>
          <w:sz w:val="24"/>
          <w:szCs w:val="24"/>
        </w:rPr>
        <w:t>.</w:t>
      </w:r>
    </w:p>
    <w:p w14:paraId="0247BD99" w14:textId="77777777" w:rsidR="00ED39A9" w:rsidRPr="00597FFB" w:rsidRDefault="00ED39A9" w:rsidP="00ED39A9">
      <w:pPr>
        <w:pStyle w:val="ListParagraph"/>
        <w:spacing w:before="26" w:after="26" w:line="360" w:lineRule="auto"/>
        <w:jc w:val="both"/>
        <w:rPr>
          <w:rFonts w:ascii="Times New Roman" w:eastAsia="Times New Roman" w:hAnsi="Times New Roman" w:cs="Times New Roman"/>
          <w:bCs/>
          <w:sz w:val="24"/>
          <w:szCs w:val="24"/>
        </w:rPr>
      </w:pPr>
    </w:p>
    <w:p w14:paraId="33F31FF1" w14:textId="63BEE507" w:rsidR="00570AA8" w:rsidRPr="00597FFB" w:rsidRDefault="009C1AA8" w:rsidP="00ED39A9">
      <w:pPr>
        <w:pStyle w:val="ListParagraph"/>
        <w:numPr>
          <w:ilvl w:val="0"/>
          <w:numId w:val="34"/>
        </w:numPr>
        <w:spacing w:before="26" w:after="26" w:line="36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Al Bloushi, B. G., Ahmad, S. Z., &amp; Mfarrej, M. F. B. (2020). Tadweer: Improving municipal solid waste sustainability practices. Emerald Emerging Markets Case Studies, 10(2), 1-26.</w:t>
      </w:r>
    </w:p>
    <w:p w14:paraId="1ACEACD0" w14:textId="77777777" w:rsidR="009C1AA8" w:rsidRPr="00597FFB" w:rsidRDefault="009C1AA8" w:rsidP="00570AA8">
      <w:pPr>
        <w:pStyle w:val="ListParagraph"/>
        <w:spacing w:before="26" w:after="26" w:line="360" w:lineRule="auto"/>
        <w:jc w:val="both"/>
        <w:rPr>
          <w:rFonts w:ascii="Times New Roman" w:eastAsia="Times New Roman" w:hAnsi="Times New Roman" w:cs="Times New Roman"/>
          <w:bCs/>
          <w:sz w:val="24"/>
          <w:szCs w:val="24"/>
        </w:rPr>
      </w:pPr>
    </w:p>
    <w:p w14:paraId="402C6E76" w14:textId="270D5285" w:rsidR="002C7E2A" w:rsidRPr="00597FFB" w:rsidRDefault="00334044" w:rsidP="002C7E2A">
      <w:pPr>
        <w:pStyle w:val="ListParagraph"/>
        <w:numPr>
          <w:ilvl w:val="0"/>
          <w:numId w:val="34"/>
        </w:numPr>
        <w:spacing w:before="26" w:after="26" w:line="36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E-</w:t>
      </w:r>
      <w:r w:rsidR="00B57B74" w:rsidRPr="00597FFB">
        <w:rPr>
          <w:rFonts w:ascii="Times New Roman" w:eastAsia="Times New Roman" w:hAnsi="Times New Roman" w:cs="Times New Roman"/>
          <w:bCs/>
          <w:sz w:val="24"/>
          <w:szCs w:val="24"/>
        </w:rPr>
        <w:t>w</w:t>
      </w:r>
      <w:r w:rsidRPr="00597FFB">
        <w:rPr>
          <w:rFonts w:ascii="Times New Roman" w:eastAsia="Times New Roman" w:hAnsi="Times New Roman" w:cs="Times New Roman"/>
          <w:bCs/>
          <w:sz w:val="24"/>
          <w:szCs w:val="24"/>
        </w:rPr>
        <w:t xml:space="preserve">aste </w:t>
      </w:r>
      <w:r w:rsidR="00B57B74" w:rsidRPr="00597FFB">
        <w:rPr>
          <w:rFonts w:ascii="Times New Roman" w:eastAsia="Times New Roman" w:hAnsi="Times New Roman" w:cs="Times New Roman"/>
          <w:bCs/>
          <w:sz w:val="24"/>
          <w:szCs w:val="24"/>
        </w:rPr>
        <w:t>b</w:t>
      </w:r>
      <w:r w:rsidRPr="00597FFB">
        <w:rPr>
          <w:rFonts w:ascii="Times New Roman" w:eastAsia="Times New Roman" w:hAnsi="Times New Roman" w:cs="Times New Roman"/>
          <w:bCs/>
          <w:sz w:val="24"/>
          <w:szCs w:val="24"/>
        </w:rPr>
        <w:t xml:space="preserve">ehavior </w:t>
      </w:r>
      <w:r w:rsidR="00B57B74"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anagement among UAE </w:t>
      </w:r>
      <w:r w:rsidR="00B57B74" w:rsidRPr="00597FFB">
        <w:rPr>
          <w:rFonts w:ascii="Times New Roman" w:eastAsia="Times New Roman" w:hAnsi="Times New Roman" w:cs="Times New Roman"/>
          <w:bCs/>
          <w:sz w:val="24"/>
          <w:szCs w:val="24"/>
        </w:rPr>
        <w:t>m</w:t>
      </w:r>
      <w:r w:rsidRPr="00597FFB">
        <w:rPr>
          <w:rFonts w:ascii="Times New Roman" w:eastAsia="Times New Roman" w:hAnsi="Times New Roman" w:cs="Times New Roman"/>
          <w:bCs/>
          <w:sz w:val="24"/>
          <w:szCs w:val="24"/>
        </w:rPr>
        <w:t xml:space="preserve">illennials: </w:t>
      </w:r>
      <w:r w:rsidR="00B57B74" w:rsidRPr="00597FFB">
        <w:rPr>
          <w:rFonts w:ascii="Times New Roman" w:eastAsia="Times New Roman" w:hAnsi="Times New Roman" w:cs="Times New Roman"/>
          <w:bCs/>
          <w:sz w:val="24"/>
          <w:szCs w:val="24"/>
        </w:rPr>
        <w:t>u</w:t>
      </w:r>
      <w:r w:rsidRPr="00597FFB">
        <w:rPr>
          <w:rFonts w:ascii="Times New Roman" w:eastAsia="Times New Roman" w:hAnsi="Times New Roman" w:cs="Times New Roman"/>
          <w:bCs/>
          <w:sz w:val="24"/>
          <w:szCs w:val="24"/>
        </w:rPr>
        <w:t xml:space="preserve">sing an </w:t>
      </w:r>
      <w:r w:rsidR="00B57B74" w:rsidRPr="00597FFB">
        <w:rPr>
          <w:rFonts w:ascii="Times New Roman" w:eastAsia="Times New Roman" w:hAnsi="Times New Roman" w:cs="Times New Roman"/>
          <w:bCs/>
          <w:sz w:val="24"/>
          <w:szCs w:val="24"/>
        </w:rPr>
        <w:t>e</w:t>
      </w:r>
      <w:r w:rsidRPr="00597FFB">
        <w:rPr>
          <w:rFonts w:ascii="Times New Roman" w:eastAsia="Times New Roman" w:hAnsi="Times New Roman" w:cs="Times New Roman"/>
          <w:bCs/>
          <w:sz w:val="24"/>
          <w:szCs w:val="24"/>
        </w:rPr>
        <w:t xml:space="preserve">xtend </w:t>
      </w:r>
      <w:r w:rsidR="00B57B74"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heory of </w:t>
      </w:r>
      <w:r w:rsidR="00B57B74" w:rsidRPr="00597FFB">
        <w:rPr>
          <w:rFonts w:ascii="Times New Roman" w:eastAsia="Times New Roman" w:hAnsi="Times New Roman" w:cs="Times New Roman"/>
          <w:bCs/>
          <w:sz w:val="24"/>
          <w:szCs w:val="24"/>
        </w:rPr>
        <w:t>p</w:t>
      </w:r>
      <w:r w:rsidRPr="00597FFB">
        <w:rPr>
          <w:rFonts w:ascii="Times New Roman" w:eastAsia="Times New Roman" w:hAnsi="Times New Roman" w:cs="Times New Roman"/>
          <w:bCs/>
          <w:sz w:val="24"/>
          <w:szCs w:val="24"/>
        </w:rPr>
        <w:t xml:space="preserve">lanned </w:t>
      </w:r>
      <w:r w:rsidR="00C85F92" w:rsidRPr="00597FFB">
        <w:rPr>
          <w:rFonts w:ascii="Times New Roman" w:eastAsia="Times New Roman" w:hAnsi="Times New Roman" w:cs="Times New Roman"/>
          <w:bCs/>
          <w:sz w:val="24"/>
          <w:szCs w:val="24"/>
        </w:rPr>
        <w:t>b</w:t>
      </w:r>
      <w:r w:rsidRPr="00597FFB">
        <w:rPr>
          <w:rFonts w:ascii="Times New Roman" w:eastAsia="Times New Roman" w:hAnsi="Times New Roman" w:cs="Times New Roman"/>
          <w:bCs/>
          <w:sz w:val="24"/>
          <w:szCs w:val="24"/>
        </w:rPr>
        <w:t xml:space="preserve">ehavior </w:t>
      </w:r>
      <w:r w:rsidR="00AC53C3" w:rsidRPr="00597FFB">
        <w:rPr>
          <w:rFonts w:ascii="Times New Roman" w:eastAsia="Times New Roman" w:hAnsi="Times New Roman" w:cs="Times New Roman"/>
          <w:bCs/>
          <w:sz w:val="24"/>
          <w:szCs w:val="24"/>
        </w:rPr>
        <w:t xml:space="preserve">(TPB) </w:t>
      </w:r>
      <w:r w:rsidR="00C85F92"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pproach</w:t>
      </w:r>
      <w:bookmarkStart w:id="16" w:name="_Hlk125890705"/>
      <w:r w:rsidR="002C7E2A" w:rsidRPr="00597FFB">
        <w:rPr>
          <w:rFonts w:ascii="Times New Roman" w:eastAsia="Times New Roman" w:hAnsi="Times New Roman" w:cs="Times New Roman"/>
          <w:bCs/>
          <w:sz w:val="24"/>
          <w:szCs w:val="24"/>
        </w:rPr>
        <w:t xml:space="preserve">; </w:t>
      </w:r>
      <w:r w:rsidR="00395C1E" w:rsidRPr="00597FFB">
        <w:rPr>
          <w:rFonts w:asciiTheme="majorBidi" w:eastAsia="Times New Roman" w:hAnsiTheme="majorBidi" w:cstheme="majorBidi"/>
          <w:b/>
          <w:sz w:val="24"/>
          <w:szCs w:val="24"/>
        </w:rPr>
        <w:t>Submitted</w:t>
      </w:r>
      <w:r w:rsidR="00570AA8" w:rsidRPr="00597FFB">
        <w:rPr>
          <w:rFonts w:asciiTheme="majorBidi" w:hAnsiTheme="majorBidi" w:cstheme="majorBidi"/>
          <w:color w:val="222222"/>
          <w:sz w:val="24"/>
          <w:szCs w:val="24"/>
          <w:shd w:val="clear" w:color="auto" w:fill="FFFFFF"/>
        </w:rPr>
        <w:t xml:space="preserve"> the International Journal of Logistics </w:t>
      </w:r>
      <w:bookmarkEnd w:id="16"/>
      <w:r w:rsidR="00570AA8" w:rsidRPr="00597FFB">
        <w:rPr>
          <w:rFonts w:asciiTheme="majorBidi" w:hAnsiTheme="majorBidi" w:cstheme="majorBidi"/>
          <w:color w:val="222222"/>
          <w:sz w:val="24"/>
          <w:szCs w:val="24"/>
          <w:shd w:val="clear" w:color="auto" w:fill="FFFFFF"/>
        </w:rPr>
        <w:t>Management</w:t>
      </w:r>
      <w:r w:rsidR="00570AA8" w:rsidRPr="00597FFB">
        <w:rPr>
          <w:rFonts w:asciiTheme="majorBidi" w:eastAsia="Times New Roman" w:hAnsiTheme="majorBidi" w:cstheme="majorBidi"/>
          <w:b/>
          <w:sz w:val="24"/>
          <w:szCs w:val="24"/>
        </w:rPr>
        <w:t>.</w:t>
      </w:r>
    </w:p>
    <w:p w14:paraId="118DBE94" w14:textId="77777777" w:rsidR="00570AA8" w:rsidRPr="00597FFB" w:rsidRDefault="00570AA8" w:rsidP="00570AA8">
      <w:pPr>
        <w:pStyle w:val="ListParagraph"/>
        <w:rPr>
          <w:rFonts w:ascii="Times New Roman" w:eastAsia="Times New Roman" w:hAnsi="Times New Roman" w:cs="Times New Roman"/>
          <w:bCs/>
          <w:sz w:val="24"/>
          <w:szCs w:val="24"/>
        </w:rPr>
      </w:pPr>
    </w:p>
    <w:p w14:paraId="3006D7B3" w14:textId="77777777" w:rsidR="00570AA8" w:rsidRPr="00597FFB" w:rsidRDefault="00570AA8" w:rsidP="00570AA8">
      <w:pPr>
        <w:pStyle w:val="ListParagraph"/>
        <w:spacing w:before="26" w:after="26" w:line="360" w:lineRule="auto"/>
        <w:jc w:val="both"/>
        <w:rPr>
          <w:rFonts w:ascii="Times New Roman" w:eastAsia="Times New Roman" w:hAnsi="Times New Roman" w:cs="Times New Roman"/>
          <w:bCs/>
          <w:sz w:val="24"/>
          <w:szCs w:val="24"/>
        </w:rPr>
      </w:pPr>
    </w:p>
    <w:p w14:paraId="1D9B4F6D" w14:textId="004C32DE" w:rsidR="00395C1E" w:rsidRPr="00597FFB" w:rsidRDefault="00395C1E" w:rsidP="00570AA8">
      <w:pPr>
        <w:pStyle w:val="ListParagraph"/>
        <w:numPr>
          <w:ilvl w:val="0"/>
          <w:numId w:val="34"/>
        </w:numPr>
        <w:spacing w:before="26" w:after="26" w:line="36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Electrical and electronic waste recycling behavioral intention of young adult consumers: application of protection motivation theory</w:t>
      </w:r>
      <w:r w:rsidR="00AC53C3" w:rsidRPr="00597FFB">
        <w:rPr>
          <w:rFonts w:ascii="Times New Roman" w:eastAsia="Times New Roman" w:hAnsi="Times New Roman" w:cs="Times New Roman"/>
          <w:bCs/>
          <w:sz w:val="24"/>
          <w:szCs w:val="24"/>
        </w:rPr>
        <w:t xml:space="preserve"> (PMT)</w:t>
      </w:r>
      <w:r w:rsidRPr="00597FFB">
        <w:rPr>
          <w:rFonts w:ascii="Times New Roman" w:eastAsia="Times New Roman" w:hAnsi="Times New Roman" w:cs="Times New Roman"/>
          <w:bCs/>
          <w:sz w:val="24"/>
          <w:szCs w:val="24"/>
        </w:rPr>
        <w:t xml:space="preserve">; </w:t>
      </w:r>
      <w:r w:rsidRPr="00597FFB">
        <w:rPr>
          <w:rFonts w:asciiTheme="majorBidi" w:eastAsia="Times New Roman" w:hAnsiTheme="majorBidi" w:cstheme="majorBidi"/>
          <w:b/>
          <w:sz w:val="24"/>
          <w:szCs w:val="24"/>
        </w:rPr>
        <w:t>Submitted</w:t>
      </w:r>
      <w:r w:rsidR="00570AA8" w:rsidRPr="00597FFB">
        <w:rPr>
          <w:rFonts w:asciiTheme="majorBidi" w:hAnsiTheme="majorBidi" w:cstheme="majorBidi"/>
          <w:b/>
          <w:color w:val="222222"/>
          <w:sz w:val="24"/>
          <w:szCs w:val="24"/>
          <w:shd w:val="clear" w:color="auto" w:fill="FFFFFF"/>
        </w:rPr>
        <w:t xml:space="preserve"> </w:t>
      </w:r>
      <w:r w:rsidR="00570AA8" w:rsidRPr="00597FFB">
        <w:rPr>
          <w:rFonts w:asciiTheme="majorBidi" w:hAnsiTheme="majorBidi" w:cstheme="majorBidi"/>
          <w:bCs/>
          <w:color w:val="222222"/>
          <w:sz w:val="24"/>
          <w:szCs w:val="24"/>
          <w:shd w:val="clear" w:color="auto" w:fill="FFFFFF"/>
        </w:rPr>
        <w:t xml:space="preserve">to </w:t>
      </w:r>
      <w:r w:rsidR="00570AA8" w:rsidRPr="00597FFB">
        <w:rPr>
          <w:rFonts w:asciiTheme="majorBidi" w:eastAsia="Times New Roman" w:hAnsiTheme="majorBidi" w:cstheme="majorBidi"/>
          <w:bCs/>
          <w:sz w:val="24"/>
          <w:szCs w:val="24"/>
        </w:rPr>
        <w:t>Young Consumers</w:t>
      </w:r>
      <w:r w:rsidRPr="00597FFB">
        <w:rPr>
          <w:rFonts w:asciiTheme="majorBidi" w:eastAsia="Times New Roman" w:hAnsiTheme="majorBidi" w:cstheme="majorBidi"/>
          <w:bCs/>
          <w:sz w:val="24"/>
          <w:szCs w:val="24"/>
        </w:rPr>
        <w:t>.</w:t>
      </w:r>
    </w:p>
    <w:p w14:paraId="1AEDBC0C" w14:textId="77777777" w:rsidR="00570AA8" w:rsidRPr="00597FFB" w:rsidRDefault="00570AA8" w:rsidP="00570AA8">
      <w:pPr>
        <w:pStyle w:val="ListParagraph"/>
        <w:spacing w:before="26" w:after="26" w:line="360" w:lineRule="auto"/>
        <w:jc w:val="both"/>
        <w:rPr>
          <w:rFonts w:ascii="Times New Roman" w:eastAsia="Times New Roman" w:hAnsi="Times New Roman" w:cs="Times New Roman"/>
          <w:bCs/>
          <w:sz w:val="24"/>
          <w:szCs w:val="24"/>
        </w:rPr>
      </w:pPr>
    </w:p>
    <w:p w14:paraId="30A8A792" w14:textId="0ADC5384" w:rsidR="00395C1E" w:rsidRPr="00597FFB" w:rsidRDefault="009A31B8" w:rsidP="00395C1E">
      <w:pPr>
        <w:pStyle w:val="ListParagraph"/>
        <w:numPr>
          <w:ilvl w:val="0"/>
          <w:numId w:val="34"/>
        </w:numPr>
        <w:spacing w:before="26" w:after="26" w:line="36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 xml:space="preserve">Incorporating moral norm and privacy concern into norm activation </w:t>
      </w:r>
      <w:r w:rsidR="00AC53C3"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heory (NAT) to explain </w:t>
      </w:r>
      <w:r w:rsidR="00AC53C3" w:rsidRPr="00597FFB">
        <w:rPr>
          <w:rFonts w:ascii="Times New Roman" w:eastAsia="Times New Roman" w:hAnsi="Times New Roman" w:cs="Times New Roman"/>
          <w:bCs/>
          <w:sz w:val="24"/>
          <w:szCs w:val="24"/>
        </w:rPr>
        <w:t>y</w:t>
      </w:r>
      <w:r w:rsidRPr="00597FFB">
        <w:rPr>
          <w:rFonts w:ascii="Times New Roman" w:eastAsia="Times New Roman" w:hAnsi="Times New Roman" w:cs="Times New Roman"/>
          <w:bCs/>
          <w:sz w:val="24"/>
          <w:szCs w:val="24"/>
        </w:rPr>
        <w:t xml:space="preserve">oung </w:t>
      </w:r>
      <w:r w:rsidR="00AC53C3" w:rsidRPr="00597FFB">
        <w:rPr>
          <w:rFonts w:ascii="Times New Roman" w:eastAsia="Times New Roman" w:hAnsi="Times New Roman" w:cs="Times New Roman"/>
          <w:bCs/>
          <w:sz w:val="24"/>
          <w:szCs w:val="24"/>
        </w:rPr>
        <w:t>c</w:t>
      </w:r>
      <w:r w:rsidRPr="00597FFB">
        <w:rPr>
          <w:rFonts w:ascii="Times New Roman" w:eastAsia="Times New Roman" w:hAnsi="Times New Roman" w:cs="Times New Roman"/>
          <w:bCs/>
          <w:sz w:val="24"/>
          <w:szCs w:val="24"/>
        </w:rPr>
        <w:t xml:space="preserve">onsumers’ e-waste recycling </w:t>
      </w:r>
      <w:r w:rsidR="00AC53C3" w:rsidRPr="00597FFB">
        <w:rPr>
          <w:rFonts w:ascii="Times New Roman" w:eastAsia="Times New Roman" w:hAnsi="Times New Roman" w:cs="Times New Roman"/>
          <w:bCs/>
          <w:sz w:val="24"/>
          <w:szCs w:val="24"/>
        </w:rPr>
        <w:t>i</w:t>
      </w:r>
      <w:r w:rsidRPr="00597FFB">
        <w:rPr>
          <w:rFonts w:ascii="Times New Roman" w:eastAsia="Times New Roman" w:hAnsi="Times New Roman" w:cs="Times New Roman"/>
          <w:bCs/>
          <w:sz w:val="24"/>
          <w:szCs w:val="24"/>
        </w:rPr>
        <w:t xml:space="preserve">ntention in </w:t>
      </w:r>
      <w:r w:rsidR="00AC53C3" w:rsidRPr="00597FFB">
        <w:rPr>
          <w:rFonts w:ascii="Times New Roman" w:eastAsia="Times New Roman" w:hAnsi="Times New Roman" w:cs="Times New Roman"/>
          <w:bCs/>
          <w:sz w:val="24"/>
          <w:szCs w:val="24"/>
        </w:rPr>
        <w:t>UAE;</w:t>
      </w:r>
      <w:r w:rsidR="00395C1E" w:rsidRPr="00597FFB">
        <w:rPr>
          <w:rFonts w:ascii="Times New Roman" w:eastAsia="Times New Roman" w:hAnsi="Times New Roman" w:cs="Times New Roman"/>
          <w:bCs/>
          <w:sz w:val="24"/>
          <w:szCs w:val="24"/>
        </w:rPr>
        <w:t xml:space="preserve"> </w:t>
      </w:r>
      <w:r w:rsidR="00395C1E" w:rsidRPr="00597FFB">
        <w:rPr>
          <w:rFonts w:ascii="Times New Roman" w:eastAsia="Times New Roman" w:hAnsi="Times New Roman" w:cs="Times New Roman"/>
          <w:b/>
          <w:sz w:val="24"/>
          <w:szCs w:val="24"/>
        </w:rPr>
        <w:t>Submitted.</w:t>
      </w:r>
    </w:p>
    <w:p w14:paraId="62D47F04" w14:textId="77777777" w:rsidR="00395C1E" w:rsidRPr="00597FFB" w:rsidRDefault="00395C1E" w:rsidP="00395C1E">
      <w:pPr>
        <w:pStyle w:val="ListParagraph"/>
        <w:spacing w:before="26" w:after="26" w:line="360" w:lineRule="auto"/>
        <w:jc w:val="both"/>
        <w:rPr>
          <w:rFonts w:ascii="Times New Roman" w:eastAsia="Times New Roman" w:hAnsi="Times New Roman" w:cs="Times New Roman"/>
          <w:bCs/>
          <w:sz w:val="24"/>
          <w:szCs w:val="24"/>
        </w:rPr>
      </w:pPr>
    </w:p>
    <w:p w14:paraId="696305C6" w14:textId="77777777" w:rsidR="002C7E2A" w:rsidRPr="00597FFB" w:rsidRDefault="002C7E2A" w:rsidP="00395C1E">
      <w:pPr>
        <w:spacing w:before="26" w:after="26" w:line="360" w:lineRule="auto"/>
        <w:jc w:val="both"/>
        <w:rPr>
          <w:rFonts w:ascii="Times New Roman" w:eastAsia="Times New Roman" w:hAnsi="Times New Roman" w:cs="Times New Roman"/>
          <w:bCs/>
          <w:sz w:val="24"/>
          <w:szCs w:val="24"/>
        </w:rPr>
      </w:pPr>
    </w:p>
    <w:p w14:paraId="6601EB98" w14:textId="77777777" w:rsidR="00395C1E" w:rsidRPr="00597FFB" w:rsidRDefault="00395C1E" w:rsidP="00395C1E">
      <w:pPr>
        <w:spacing w:before="26" w:after="26" w:line="360" w:lineRule="auto"/>
        <w:jc w:val="both"/>
        <w:rPr>
          <w:rFonts w:ascii="Times New Roman" w:eastAsia="Times New Roman" w:hAnsi="Times New Roman" w:cs="Times New Roman"/>
          <w:bCs/>
          <w:sz w:val="24"/>
          <w:szCs w:val="24"/>
        </w:rPr>
      </w:pPr>
    </w:p>
    <w:p w14:paraId="106BCAE0" w14:textId="77777777" w:rsidR="00E9650A" w:rsidRPr="00597FFB" w:rsidRDefault="00E9650A" w:rsidP="00E9650A">
      <w:pPr>
        <w:rPr>
          <w:rFonts w:ascii="Times New Roman" w:hAnsi="Times New Roman" w:cs="Times New Roman"/>
          <w:sz w:val="24"/>
          <w:szCs w:val="24"/>
        </w:rPr>
      </w:pPr>
    </w:p>
    <w:p w14:paraId="5FF1D40D" w14:textId="77777777" w:rsidR="00BB749D" w:rsidRPr="00597FFB" w:rsidRDefault="00BB749D" w:rsidP="00E9650A">
      <w:pPr>
        <w:rPr>
          <w:rFonts w:ascii="Times New Roman" w:hAnsi="Times New Roman" w:cs="Times New Roman"/>
          <w:sz w:val="24"/>
          <w:szCs w:val="24"/>
        </w:rPr>
      </w:pPr>
    </w:p>
    <w:p w14:paraId="2E4A5DAC" w14:textId="77777777" w:rsidR="00BB749D" w:rsidRPr="00597FFB" w:rsidRDefault="00BB749D" w:rsidP="00E9650A">
      <w:pPr>
        <w:rPr>
          <w:rFonts w:ascii="Times New Roman" w:hAnsi="Times New Roman" w:cs="Times New Roman"/>
          <w:sz w:val="24"/>
          <w:szCs w:val="24"/>
        </w:rPr>
      </w:pPr>
    </w:p>
    <w:p w14:paraId="6A304196" w14:textId="36B2CD96" w:rsidR="007F414F" w:rsidRPr="00597FFB" w:rsidRDefault="007F414F" w:rsidP="007F414F"/>
    <w:p w14:paraId="77F45E5B" w14:textId="0246DA30" w:rsidR="003C07FC" w:rsidRPr="00597FFB" w:rsidRDefault="003C07FC" w:rsidP="003C07FC">
      <w:pPr>
        <w:pStyle w:val="Heading1"/>
        <w:jc w:val="center"/>
        <w:rPr>
          <w:rFonts w:asciiTheme="majorBidi" w:eastAsia="Times New Roman" w:hAnsiTheme="majorBidi"/>
          <w:b/>
          <w:bCs/>
          <w:color w:val="000000" w:themeColor="text1"/>
          <w:sz w:val="28"/>
          <w:szCs w:val="28"/>
        </w:rPr>
      </w:pPr>
      <w:bookmarkStart w:id="17" w:name="_Toc127170246"/>
      <w:r w:rsidRPr="00597FFB">
        <w:rPr>
          <w:rFonts w:asciiTheme="majorBidi" w:eastAsia="Times New Roman" w:hAnsiTheme="majorBidi"/>
          <w:b/>
          <w:bCs/>
          <w:color w:val="000000" w:themeColor="text1"/>
          <w:sz w:val="28"/>
          <w:szCs w:val="28"/>
        </w:rPr>
        <w:t>PROPOSED TABLE OF CONTENTS</w:t>
      </w:r>
      <w:bookmarkEnd w:id="17"/>
    </w:p>
    <w:p w14:paraId="5C27A511" w14:textId="77777777" w:rsidR="003C07FC" w:rsidRPr="00597FFB" w:rsidRDefault="003C07FC" w:rsidP="00475A1B">
      <w:pPr>
        <w:pStyle w:val="BodyText"/>
        <w:spacing w:line="480" w:lineRule="auto"/>
        <w:jc w:val="center"/>
        <w:rPr>
          <w:b/>
          <w:color w:val="161616"/>
          <w:w w:val="110"/>
        </w:rPr>
      </w:pPr>
    </w:p>
    <w:sdt>
      <w:sdtPr>
        <w:rPr>
          <w:rFonts w:asciiTheme="minorHAnsi" w:eastAsiaTheme="minorEastAsia" w:hAnsiTheme="minorHAnsi" w:cstheme="minorBidi"/>
          <w:color w:val="auto"/>
          <w:sz w:val="22"/>
          <w:szCs w:val="22"/>
        </w:rPr>
        <w:id w:val="1676768769"/>
        <w:docPartObj>
          <w:docPartGallery w:val="Table of Contents"/>
          <w:docPartUnique/>
        </w:docPartObj>
      </w:sdtPr>
      <w:sdtEndPr>
        <w:rPr>
          <w:b/>
          <w:bCs/>
          <w:noProof/>
        </w:rPr>
      </w:sdtEndPr>
      <w:sdtContent>
        <w:p w14:paraId="4DDAFB80" w14:textId="6DA55D14" w:rsidR="00947E56" w:rsidRPr="00597FFB" w:rsidRDefault="00947E56" w:rsidP="00947E56">
          <w:pPr>
            <w:pStyle w:val="TOCHeading"/>
            <w:tabs>
              <w:tab w:val="left" w:pos="3222"/>
            </w:tabs>
            <w:rPr>
              <w:rFonts w:asciiTheme="minorHAnsi" w:eastAsiaTheme="minorEastAsia" w:hAnsiTheme="minorHAnsi" w:cstheme="minorBidi"/>
              <w:color w:val="auto"/>
              <w:sz w:val="22"/>
              <w:szCs w:val="22"/>
            </w:rPr>
          </w:pPr>
          <w:r w:rsidRPr="00597FFB">
            <w:rPr>
              <w:rFonts w:asciiTheme="minorHAnsi" w:eastAsiaTheme="minorEastAsia" w:hAnsiTheme="minorHAnsi" w:cstheme="minorBidi"/>
              <w:color w:val="auto"/>
              <w:sz w:val="22"/>
              <w:szCs w:val="22"/>
            </w:rPr>
            <w:tab/>
          </w:r>
        </w:p>
        <w:p w14:paraId="16445D4F" w14:textId="1A52CB04" w:rsidR="00877A69" w:rsidRDefault="00CB4EB1">
          <w:pPr>
            <w:pStyle w:val="TOC1"/>
            <w:rPr>
              <w:rFonts w:asciiTheme="minorHAnsi" w:eastAsiaTheme="minorEastAsia" w:hAnsiTheme="minorHAnsi" w:cstheme="minorBidi"/>
              <w:b w:val="0"/>
              <w:bCs w:val="0"/>
              <w:kern w:val="0"/>
              <w:sz w:val="22"/>
              <w:szCs w:val="22"/>
              <w:lang w:val="en-US" w:eastAsia="en-US"/>
            </w:rPr>
          </w:pPr>
          <w:r w:rsidRPr="00597FFB">
            <w:fldChar w:fldCharType="begin"/>
          </w:r>
          <w:r w:rsidRPr="00597FFB">
            <w:instrText xml:space="preserve"> TOC \o "1-3" \h \z \u </w:instrText>
          </w:r>
          <w:r w:rsidRPr="00597FFB">
            <w:fldChar w:fldCharType="separate"/>
          </w:r>
          <w:hyperlink w:anchor="_Toc127170240" w:history="1">
            <w:r w:rsidR="00877A69" w:rsidRPr="00956E4F">
              <w:rPr>
                <w:rStyle w:val="Hyperlink"/>
                <w:rFonts w:asciiTheme="majorBidi" w:hAnsiTheme="majorBidi"/>
              </w:rPr>
              <w:t>COPYRIGHT STATEMENT</w:t>
            </w:r>
            <w:r w:rsidR="00877A69">
              <w:rPr>
                <w:webHidden/>
              </w:rPr>
              <w:tab/>
            </w:r>
            <w:r w:rsidR="00877A69">
              <w:rPr>
                <w:webHidden/>
              </w:rPr>
              <w:fldChar w:fldCharType="begin"/>
            </w:r>
            <w:r w:rsidR="00877A69">
              <w:rPr>
                <w:webHidden/>
              </w:rPr>
              <w:instrText xml:space="preserve"> PAGEREF _Toc127170240 \h </w:instrText>
            </w:r>
            <w:r w:rsidR="00877A69">
              <w:rPr>
                <w:webHidden/>
              </w:rPr>
            </w:r>
            <w:r w:rsidR="00877A69">
              <w:rPr>
                <w:webHidden/>
              </w:rPr>
              <w:fldChar w:fldCharType="separate"/>
            </w:r>
            <w:r w:rsidR="00877A69">
              <w:rPr>
                <w:webHidden/>
              </w:rPr>
              <w:t>iii</w:t>
            </w:r>
            <w:r w:rsidR="00877A69">
              <w:rPr>
                <w:webHidden/>
              </w:rPr>
              <w:fldChar w:fldCharType="end"/>
            </w:r>
          </w:hyperlink>
        </w:p>
        <w:p w14:paraId="57BC52B9" w14:textId="772AF497"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1" w:history="1">
            <w:r w:rsidRPr="00956E4F">
              <w:rPr>
                <w:rStyle w:val="Hyperlink"/>
                <w:rFonts w:asciiTheme="majorBidi" w:eastAsia="Times New Roman" w:hAnsiTheme="majorBidi"/>
              </w:rPr>
              <w:t>LIBRARY COPYRIGHT PERMISSION AGREEMENT</w:t>
            </w:r>
            <w:r>
              <w:rPr>
                <w:webHidden/>
              </w:rPr>
              <w:tab/>
            </w:r>
            <w:r>
              <w:rPr>
                <w:webHidden/>
              </w:rPr>
              <w:fldChar w:fldCharType="begin"/>
            </w:r>
            <w:r>
              <w:rPr>
                <w:webHidden/>
              </w:rPr>
              <w:instrText xml:space="preserve"> PAGEREF _Toc127170241 \h </w:instrText>
            </w:r>
            <w:r>
              <w:rPr>
                <w:webHidden/>
              </w:rPr>
            </w:r>
            <w:r>
              <w:rPr>
                <w:webHidden/>
              </w:rPr>
              <w:fldChar w:fldCharType="separate"/>
            </w:r>
            <w:r>
              <w:rPr>
                <w:webHidden/>
              </w:rPr>
              <w:t>iv</w:t>
            </w:r>
            <w:r>
              <w:rPr>
                <w:webHidden/>
              </w:rPr>
              <w:fldChar w:fldCharType="end"/>
            </w:r>
          </w:hyperlink>
        </w:p>
        <w:p w14:paraId="6EBE77CB" w14:textId="1E31ED6E"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2" w:history="1">
            <w:r w:rsidRPr="00956E4F">
              <w:rPr>
                <w:rStyle w:val="Hyperlink"/>
                <w:rFonts w:asciiTheme="majorBidi" w:eastAsia="Times New Roman" w:hAnsiTheme="majorBidi"/>
              </w:rPr>
              <w:t>ABSTRACT</w:t>
            </w:r>
            <w:r>
              <w:rPr>
                <w:webHidden/>
              </w:rPr>
              <w:tab/>
            </w:r>
            <w:r>
              <w:rPr>
                <w:webHidden/>
              </w:rPr>
              <w:fldChar w:fldCharType="begin"/>
            </w:r>
            <w:r>
              <w:rPr>
                <w:webHidden/>
              </w:rPr>
              <w:instrText xml:space="preserve"> PAGEREF _Toc127170242 \h </w:instrText>
            </w:r>
            <w:r>
              <w:rPr>
                <w:webHidden/>
              </w:rPr>
            </w:r>
            <w:r>
              <w:rPr>
                <w:webHidden/>
              </w:rPr>
              <w:fldChar w:fldCharType="separate"/>
            </w:r>
            <w:r>
              <w:rPr>
                <w:webHidden/>
              </w:rPr>
              <w:t>v</w:t>
            </w:r>
            <w:r>
              <w:rPr>
                <w:webHidden/>
              </w:rPr>
              <w:fldChar w:fldCharType="end"/>
            </w:r>
          </w:hyperlink>
        </w:p>
        <w:p w14:paraId="1C0698DD" w14:textId="52E94907"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3" w:history="1">
            <w:r w:rsidRPr="00956E4F">
              <w:rPr>
                <w:rStyle w:val="Hyperlink"/>
                <w:rFonts w:asciiTheme="majorBidi" w:eastAsia="Times New Roman" w:hAnsiTheme="majorBidi"/>
              </w:rPr>
              <w:t>LIST OF ABBREVIATIONS</w:t>
            </w:r>
            <w:r>
              <w:rPr>
                <w:webHidden/>
              </w:rPr>
              <w:tab/>
            </w:r>
            <w:r>
              <w:rPr>
                <w:webHidden/>
              </w:rPr>
              <w:fldChar w:fldCharType="begin"/>
            </w:r>
            <w:r>
              <w:rPr>
                <w:webHidden/>
              </w:rPr>
              <w:instrText xml:space="preserve"> PAGEREF _Toc127170243 \h </w:instrText>
            </w:r>
            <w:r>
              <w:rPr>
                <w:webHidden/>
              </w:rPr>
            </w:r>
            <w:r>
              <w:rPr>
                <w:webHidden/>
              </w:rPr>
              <w:fldChar w:fldCharType="separate"/>
            </w:r>
            <w:r>
              <w:rPr>
                <w:webHidden/>
              </w:rPr>
              <w:t>viii</w:t>
            </w:r>
            <w:r>
              <w:rPr>
                <w:webHidden/>
              </w:rPr>
              <w:fldChar w:fldCharType="end"/>
            </w:r>
          </w:hyperlink>
        </w:p>
        <w:p w14:paraId="44232256" w14:textId="27FABEE2"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4" w:history="1">
            <w:r w:rsidRPr="00956E4F">
              <w:rPr>
                <w:rStyle w:val="Hyperlink"/>
                <w:rFonts w:asciiTheme="majorBidi" w:eastAsia="Times New Roman" w:hAnsiTheme="majorBidi"/>
              </w:rPr>
              <w:t>ACKNOWLEDGMENT</w:t>
            </w:r>
            <w:r>
              <w:rPr>
                <w:webHidden/>
              </w:rPr>
              <w:tab/>
            </w:r>
            <w:r>
              <w:rPr>
                <w:webHidden/>
              </w:rPr>
              <w:fldChar w:fldCharType="begin"/>
            </w:r>
            <w:r>
              <w:rPr>
                <w:webHidden/>
              </w:rPr>
              <w:instrText xml:space="preserve"> PAGEREF _Toc127170244 \h </w:instrText>
            </w:r>
            <w:r>
              <w:rPr>
                <w:webHidden/>
              </w:rPr>
            </w:r>
            <w:r>
              <w:rPr>
                <w:webHidden/>
              </w:rPr>
              <w:fldChar w:fldCharType="separate"/>
            </w:r>
            <w:r>
              <w:rPr>
                <w:webHidden/>
              </w:rPr>
              <w:t>x</w:t>
            </w:r>
            <w:r>
              <w:rPr>
                <w:webHidden/>
              </w:rPr>
              <w:fldChar w:fldCharType="end"/>
            </w:r>
          </w:hyperlink>
        </w:p>
        <w:p w14:paraId="12E92519" w14:textId="4ABB0744"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5" w:history="1">
            <w:r w:rsidRPr="00956E4F">
              <w:rPr>
                <w:rStyle w:val="Hyperlink"/>
                <w:rFonts w:asciiTheme="majorBidi" w:eastAsia="Times New Roman" w:hAnsiTheme="majorBidi"/>
              </w:rPr>
              <w:t>PUBLICATION (S) ARISING FROM THE DISSERTATION.</w:t>
            </w:r>
            <w:r>
              <w:rPr>
                <w:webHidden/>
              </w:rPr>
              <w:tab/>
            </w:r>
            <w:r>
              <w:rPr>
                <w:webHidden/>
              </w:rPr>
              <w:fldChar w:fldCharType="begin"/>
            </w:r>
            <w:r>
              <w:rPr>
                <w:webHidden/>
              </w:rPr>
              <w:instrText xml:space="preserve"> PAGEREF _Toc127170245 \h </w:instrText>
            </w:r>
            <w:r>
              <w:rPr>
                <w:webHidden/>
              </w:rPr>
            </w:r>
            <w:r>
              <w:rPr>
                <w:webHidden/>
              </w:rPr>
              <w:fldChar w:fldCharType="separate"/>
            </w:r>
            <w:r>
              <w:rPr>
                <w:webHidden/>
              </w:rPr>
              <w:t>xi</w:t>
            </w:r>
            <w:r>
              <w:rPr>
                <w:webHidden/>
              </w:rPr>
              <w:fldChar w:fldCharType="end"/>
            </w:r>
          </w:hyperlink>
        </w:p>
        <w:p w14:paraId="1540DA1F" w14:textId="0A6978E8"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6" w:history="1">
            <w:r w:rsidRPr="00956E4F">
              <w:rPr>
                <w:rStyle w:val="Hyperlink"/>
                <w:rFonts w:asciiTheme="majorBidi" w:eastAsia="Times New Roman" w:hAnsiTheme="majorBidi"/>
              </w:rPr>
              <w:t>PROPOSED TABLE OF CONTENTS</w:t>
            </w:r>
            <w:r>
              <w:rPr>
                <w:webHidden/>
              </w:rPr>
              <w:tab/>
            </w:r>
            <w:r>
              <w:rPr>
                <w:webHidden/>
              </w:rPr>
              <w:fldChar w:fldCharType="begin"/>
            </w:r>
            <w:r>
              <w:rPr>
                <w:webHidden/>
              </w:rPr>
              <w:instrText xml:space="preserve"> PAGEREF _Toc127170246 \h </w:instrText>
            </w:r>
            <w:r>
              <w:rPr>
                <w:webHidden/>
              </w:rPr>
            </w:r>
            <w:r>
              <w:rPr>
                <w:webHidden/>
              </w:rPr>
              <w:fldChar w:fldCharType="separate"/>
            </w:r>
            <w:r>
              <w:rPr>
                <w:webHidden/>
              </w:rPr>
              <w:t>xii</w:t>
            </w:r>
            <w:r>
              <w:rPr>
                <w:webHidden/>
              </w:rPr>
              <w:fldChar w:fldCharType="end"/>
            </w:r>
          </w:hyperlink>
        </w:p>
        <w:p w14:paraId="73FC86EA" w14:textId="19D3779C"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7" w:history="1">
            <w:r w:rsidRPr="00956E4F">
              <w:rPr>
                <w:rStyle w:val="Hyperlink"/>
                <w:rFonts w:asciiTheme="majorBidi" w:eastAsia="Times New Roman" w:hAnsiTheme="majorBidi"/>
              </w:rPr>
              <w:t>LIST OF TABLES</w:t>
            </w:r>
            <w:r>
              <w:rPr>
                <w:webHidden/>
              </w:rPr>
              <w:tab/>
            </w:r>
            <w:r>
              <w:rPr>
                <w:webHidden/>
              </w:rPr>
              <w:fldChar w:fldCharType="begin"/>
            </w:r>
            <w:r>
              <w:rPr>
                <w:webHidden/>
              </w:rPr>
              <w:instrText xml:space="preserve"> PAGEREF _Toc127170247 \h </w:instrText>
            </w:r>
            <w:r>
              <w:rPr>
                <w:webHidden/>
              </w:rPr>
            </w:r>
            <w:r>
              <w:rPr>
                <w:webHidden/>
              </w:rPr>
              <w:fldChar w:fldCharType="separate"/>
            </w:r>
            <w:r>
              <w:rPr>
                <w:webHidden/>
              </w:rPr>
              <w:t>xvi</w:t>
            </w:r>
            <w:r>
              <w:rPr>
                <w:webHidden/>
              </w:rPr>
              <w:fldChar w:fldCharType="end"/>
            </w:r>
          </w:hyperlink>
        </w:p>
        <w:p w14:paraId="39D0ACEE" w14:textId="2DD171B4"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8" w:history="1">
            <w:r w:rsidRPr="00956E4F">
              <w:rPr>
                <w:rStyle w:val="Hyperlink"/>
                <w:rFonts w:asciiTheme="majorBidi" w:eastAsia="Times New Roman" w:hAnsiTheme="majorBidi"/>
              </w:rPr>
              <w:t>LIST OF FIGURES</w:t>
            </w:r>
            <w:r>
              <w:rPr>
                <w:webHidden/>
              </w:rPr>
              <w:tab/>
            </w:r>
            <w:r>
              <w:rPr>
                <w:webHidden/>
              </w:rPr>
              <w:fldChar w:fldCharType="begin"/>
            </w:r>
            <w:r>
              <w:rPr>
                <w:webHidden/>
              </w:rPr>
              <w:instrText xml:space="preserve"> PAGEREF _Toc127170248 \h </w:instrText>
            </w:r>
            <w:r>
              <w:rPr>
                <w:webHidden/>
              </w:rPr>
            </w:r>
            <w:r>
              <w:rPr>
                <w:webHidden/>
              </w:rPr>
              <w:fldChar w:fldCharType="separate"/>
            </w:r>
            <w:r>
              <w:rPr>
                <w:webHidden/>
              </w:rPr>
              <w:t>xviii</w:t>
            </w:r>
            <w:r>
              <w:rPr>
                <w:webHidden/>
              </w:rPr>
              <w:fldChar w:fldCharType="end"/>
            </w:r>
          </w:hyperlink>
        </w:p>
        <w:p w14:paraId="1586EBEC" w14:textId="42456F5C"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49" w:history="1">
            <w:r w:rsidRPr="00956E4F">
              <w:rPr>
                <w:rStyle w:val="Hyperlink"/>
                <w:rFonts w:asciiTheme="majorBidi" w:eastAsia="Times New Roman" w:hAnsiTheme="majorBidi"/>
              </w:rPr>
              <w:t>CHAPTER 1</w:t>
            </w:r>
            <w:r>
              <w:rPr>
                <w:webHidden/>
              </w:rPr>
              <w:tab/>
            </w:r>
            <w:r>
              <w:rPr>
                <w:webHidden/>
              </w:rPr>
              <w:fldChar w:fldCharType="begin"/>
            </w:r>
            <w:r>
              <w:rPr>
                <w:webHidden/>
              </w:rPr>
              <w:instrText xml:space="preserve"> PAGEREF _Toc127170249 \h </w:instrText>
            </w:r>
            <w:r>
              <w:rPr>
                <w:webHidden/>
              </w:rPr>
            </w:r>
            <w:r>
              <w:rPr>
                <w:webHidden/>
              </w:rPr>
              <w:fldChar w:fldCharType="separate"/>
            </w:r>
            <w:r>
              <w:rPr>
                <w:webHidden/>
              </w:rPr>
              <w:t>1</w:t>
            </w:r>
            <w:r>
              <w:rPr>
                <w:webHidden/>
              </w:rPr>
              <w:fldChar w:fldCharType="end"/>
            </w:r>
          </w:hyperlink>
        </w:p>
        <w:p w14:paraId="74157ED1" w14:textId="712526C1"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50" w:history="1">
            <w:r w:rsidRPr="00956E4F">
              <w:rPr>
                <w:rStyle w:val="Hyperlink"/>
                <w:rFonts w:asciiTheme="majorBidi" w:eastAsia="Times New Roman" w:hAnsiTheme="majorBidi"/>
              </w:rPr>
              <w:t>Introduction to the Dissertation</w:t>
            </w:r>
            <w:r>
              <w:rPr>
                <w:webHidden/>
              </w:rPr>
              <w:tab/>
            </w:r>
            <w:r>
              <w:rPr>
                <w:webHidden/>
              </w:rPr>
              <w:fldChar w:fldCharType="begin"/>
            </w:r>
            <w:r>
              <w:rPr>
                <w:webHidden/>
              </w:rPr>
              <w:instrText xml:space="preserve"> PAGEREF _Toc127170250 \h </w:instrText>
            </w:r>
            <w:r>
              <w:rPr>
                <w:webHidden/>
              </w:rPr>
            </w:r>
            <w:r>
              <w:rPr>
                <w:webHidden/>
              </w:rPr>
              <w:fldChar w:fldCharType="separate"/>
            </w:r>
            <w:r>
              <w:rPr>
                <w:webHidden/>
              </w:rPr>
              <w:t>1</w:t>
            </w:r>
            <w:r>
              <w:rPr>
                <w:webHidden/>
              </w:rPr>
              <w:fldChar w:fldCharType="end"/>
            </w:r>
          </w:hyperlink>
        </w:p>
        <w:p w14:paraId="77AF2011" w14:textId="70CD5671"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1" w:history="1">
            <w:r w:rsidRPr="00956E4F">
              <w:rPr>
                <w:rStyle w:val="Hyperlink"/>
                <w:rFonts w:asciiTheme="majorBidi" w:hAnsiTheme="majorBidi"/>
              </w:rPr>
              <w:t>1.0. Introduction.</w:t>
            </w:r>
            <w:r>
              <w:rPr>
                <w:webHidden/>
              </w:rPr>
              <w:tab/>
            </w:r>
            <w:r>
              <w:rPr>
                <w:webHidden/>
              </w:rPr>
              <w:fldChar w:fldCharType="begin"/>
            </w:r>
            <w:r>
              <w:rPr>
                <w:webHidden/>
              </w:rPr>
              <w:instrText xml:space="preserve"> PAGEREF _Toc127170251 \h </w:instrText>
            </w:r>
            <w:r>
              <w:rPr>
                <w:webHidden/>
              </w:rPr>
            </w:r>
            <w:r>
              <w:rPr>
                <w:webHidden/>
              </w:rPr>
              <w:fldChar w:fldCharType="separate"/>
            </w:r>
            <w:r>
              <w:rPr>
                <w:webHidden/>
              </w:rPr>
              <w:t>1</w:t>
            </w:r>
            <w:r>
              <w:rPr>
                <w:webHidden/>
              </w:rPr>
              <w:fldChar w:fldCharType="end"/>
            </w:r>
          </w:hyperlink>
        </w:p>
        <w:p w14:paraId="146E2E08" w14:textId="4B34DCEC"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2" w:history="1">
            <w:r w:rsidRPr="00956E4F">
              <w:rPr>
                <w:rStyle w:val="Hyperlink"/>
              </w:rPr>
              <w:t xml:space="preserve">1.1 </w:t>
            </w:r>
            <w:r w:rsidRPr="00956E4F">
              <w:rPr>
                <w:rStyle w:val="Hyperlink"/>
                <w:rFonts w:asciiTheme="majorBidi" w:hAnsiTheme="majorBidi"/>
              </w:rPr>
              <w:t>Background and Problem Definition.</w:t>
            </w:r>
            <w:r>
              <w:rPr>
                <w:webHidden/>
              </w:rPr>
              <w:tab/>
            </w:r>
            <w:r>
              <w:rPr>
                <w:webHidden/>
              </w:rPr>
              <w:fldChar w:fldCharType="begin"/>
            </w:r>
            <w:r>
              <w:rPr>
                <w:webHidden/>
              </w:rPr>
              <w:instrText xml:space="preserve"> PAGEREF _Toc127170252 \h </w:instrText>
            </w:r>
            <w:r>
              <w:rPr>
                <w:webHidden/>
              </w:rPr>
            </w:r>
            <w:r>
              <w:rPr>
                <w:webHidden/>
              </w:rPr>
              <w:fldChar w:fldCharType="separate"/>
            </w:r>
            <w:r>
              <w:rPr>
                <w:webHidden/>
              </w:rPr>
              <w:t>1</w:t>
            </w:r>
            <w:r>
              <w:rPr>
                <w:webHidden/>
              </w:rPr>
              <w:fldChar w:fldCharType="end"/>
            </w:r>
          </w:hyperlink>
        </w:p>
        <w:p w14:paraId="61E89423" w14:textId="6280DD0B"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3" w:history="1">
            <w:r w:rsidRPr="00956E4F">
              <w:rPr>
                <w:rStyle w:val="Hyperlink"/>
                <w:rFonts w:asciiTheme="majorBidi" w:hAnsiTheme="majorBidi"/>
              </w:rPr>
              <w:t xml:space="preserve">1.2. </w:t>
            </w:r>
            <w:r w:rsidRPr="00956E4F">
              <w:rPr>
                <w:rStyle w:val="Hyperlink"/>
                <w:rFonts w:eastAsia="Times New Roman"/>
              </w:rPr>
              <w:t>Problem Statement.</w:t>
            </w:r>
            <w:r>
              <w:rPr>
                <w:webHidden/>
              </w:rPr>
              <w:tab/>
            </w:r>
            <w:r>
              <w:rPr>
                <w:webHidden/>
              </w:rPr>
              <w:fldChar w:fldCharType="begin"/>
            </w:r>
            <w:r>
              <w:rPr>
                <w:webHidden/>
              </w:rPr>
              <w:instrText xml:space="preserve"> PAGEREF _Toc127170253 \h </w:instrText>
            </w:r>
            <w:r>
              <w:rPr>
                <w:webHidden/>
              </w:rPr>
            </w:r>
            <w:r>
              <w:rPr>
                <w:webHidden/>
              </w:rPr>
              <w:fldChar w:fldCharType="separate"/>
            </w:r>
            <w:r>
              <w:rPr>
                <w:webHidden/>
              </w:rPr>
              <w:t>26</w:t>
            </w:r>
            <w:r>
              <w:rPr>
                <w:webHidden/>
              </w:rPr>
              <w:fldChar w:fldCharType="end"/>
            </w:r>
          </w:hyperlink>
        </w:p>
        <w:p w14:paraId="3287FB80" w14:textId="34CF639B"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4" w:history="1">
            <w:r w:rsidRPr="00956E4F">
              <w:rPr>
                <w:rStyle w:val="Hyperlink"/>
                <w:iCs/>
              </w:rPr>
              <w:t>1.3. Purpose of the Research.</w:t>
            </w:r>
            <w:r>
              <w:rPr>
                <w:webHidden/>
              </w:rPr>
              <w:tab/>
            </w:r>
            <w:r>
              <w:rPr>
                <w:webHidden/>
              </w:rPr>
              <w:fldChar w:fldCharType="begin"/>
            </w:r>
            <w:r>
              <w:rPr>
                <w:webHidden/>
              </w:rPr>
              <w:instrText xml:space="preserve"> PAGEREF _Toc127170254 \h </w:instrText>
            </w:r>
            <w:r>
              <w:rPr>
                <w:webHidden/>
              </w:rPr>
            </w:r>
            <w:r>
              <w:rPr>
                <w:webHidden/>
              </w:rPr>
              <w:fldChar w:fldCharType="separate"/>
            </w:r>
            <w:r>
              <w:rPr>
                <w:webHidden/>
              </w:rPr>
              <w:t>29</w:t>
            </w:r>
            <w:r>
              <w:rPr>
                <w:webHidden/>
              </w:rPr>
              <w:fldChar w:fldCharType="end"/>
            </w:r>
          </w:hyperlink>
        </w:p>
        <w:p w14:paraId="25C82FD9" w14:textId="52C415F3"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5" w:history="1">
            <w:r w:rsidRPr="00956E4F">
              <w:rPr>
                <w:rStyle w:val="Hyperlink"/>
                <w:rFonts w:asciiTheme="majorBidi" w:hAnsiTheme="majorBidi"/>
              </w:rPr>
              <w:t xml:space="preserve">1.4. </w:t>
            </w:r>
            <w:r w:rsidRPr="00956E4F">
              <w:rPr>
                <w:rStyle w:val="Hyperlink"/>
                <w:iCs/>
              </w:rPr>
              <w:t>Research Objectives and Questions.</w:t>
            </w:r>
            <w:r>
              <w:rPr>
                <w:webHidden/>
              </w:rPr>
              <w:tab/>
            </w:r>
            <w:r>
              <w:rPr>
                <w:webHidden/>
              </w:rPr>
              <w:fldChar w:fldCharType="begin"/>
            </w:r>
            <w:r>
              <w:rPr>
                <w:webHidden/>
              </w:rPr>
              <w:instrText xml:space="preserve"> PAGEREF _Toc127170255 \h </w:instrText>
            </w:r>
            <w:r>
              <w:rPr>
                <w:webHidden/>
              </w:rPr>
            </w:r>
            <w:r>
              <w:rPr>
                <w:webHidden/>
              </w:rPr>
              <w:fldChar w:fldCharType="separate"/>
            </w:r>
            <w:r>
              <w:rPr>
                <w:webHidden/>
              </w:rPr>
              <w:t>31</w:t>
            </w:r>
            <w:r>
              <w:rPr>
                <w:webHidden/>
              </w:rPr>
              <w:fldChar w:fldCharType="end"/>
            </w:r>
          </w:hyperlink>
        </w:p>
        <w:p w14:paraId="0BE06337" w14:textId="0C3475A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6" w:history="1">
            <w:r w:rsidRPr="00956E4F">
              <w:rPr>
                <w:rStyle w:val="Hyperlink"/>
                <w:rFonts w:asciiTheme="majorBidi" w:hAnsiTheme="majorBidi"/>
              </w:rPr>
              <w:t>1.5. Significance of The Research.</w:t>
            </w:r>
            <w:r>
              <w:rPr>
                <w:webHidden/>
              </w:rPr>
              <w:tab/>
            </w:r>
            <w:r>
              <w:rPr>
                <w:webHidden/>
              </w:rPr>
              <w:fldChar w:fldCharType="begin"/>
            </w:r>
            <w:r>
              <w:rPr>
                <w:webHidden/>
              </w:rPr>
              <w:instrText xml:space="preserve"> PAGEREF _Toc127170256 \h </w:instrText>
            </w:r>
            <w:r>
              <w:rPr>
                <w:webHidden/>
              </w:rPr>
            </w:r>
            <w:r>
              <w:rPr>
                <w:webHidden/>
              </w:rPr>
              <w:fldChar w:fldCharType="separate"/>
            </w:r>
            <w:r>
              <w:rPr>
                <w:webHidden/>
              </w:rPr>
              <w:t>37</w:t>
            </w:r>
            <w:r>
              <w:rPr>
                <w:webHidden/>
              </w:rPr>
              <w:fldChar w:fldCharType="end"/>
            </w:r>
          </w:hyperlink>
        </w:p>
        <w:p w14:paraId="3A4ADE1E" w14:textId="21E567D9"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7" w:history="1">
            <w:r w:rsidRPr="00956E4F">
              <w:rPr>
                <w:rStyle w:val="Hyperlink"/>
                <w:rFonts w:asciiTheme="majorBidi" w:hAnsiTheme="majorBidi"/>
              </w:rPr>
              <w:t>1.6. Contribution of the Research.</w:t>
            </w:r>
            <w:r>
              <w:rPr>
                <w:webHidden/>
              </w:rPr>
              <w:tab/>
            </w:r>
            <w:r>
              <w:rPr>
                <w:webHidden/>
              </w:rPr>
              <w:fldChar w:fldCharType="begin"/>
            </w:r>
            <w:r>
              <w:rPr>
                <w:webHidden/>
              </w:rPr>
              <w:instrText xml:space="preserve"> PAGEREF _Toc127170257 \h </w:instrText>
            </w:r>
            <w:r>
              <w:rPr>
                <w:webHidden/>
              </w:rPr>
            </w:r>
            <w:r>
              <w:rPr>
                <w:webHidden/>
              </w:rPr>
              <w:fldChar w:fldCharType="separate"/>
            </w:r>
            <w:r>
              <w:rPr>
                <w:webHidden/>
              </w:rPr>
              <w:t>38</w:t>
            </w:r>
            <w:r>
              <w:rPr>
                <w:webHidden/>
              </w:rPr>
              <w:fldChar w:fldCharType="end"/>
            </w:r>
          </w:hyperlink>
        </w:p>
        <w:p w14:paraId="6537F405" w14:textId="20D2A5C7"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8" w:history="1">
            <w:r w:rsidRPr="00956E4F">
              <w:rPr>
                <w:rStyle w:val="Hyperlink"/>
                <w:rFonts w:asciiTheme="majorBidi" w:hAnsiTheme="majorBidi"/>
              </w:rPr>
              <w:t xml:space="preserve">1.7. </w:t>
            </w:r>
            <w:r w:rsidRPr="00956E4F">
              <w:rPr>
                <w:rStyle w:val="Hyperlink"/>
                <w:iCs/>
              </w:rPr>
              <w:t>Overall Research Structure.</w:t>
            </w:r>
            <w:r>
              <w:rPr>
                <w:webHidden/>
              </w:rPr>
              <w:tab/>
            </w:r>
            <w:r>
              <w:rPr>
                <w:webHidden/>
              </w:rPr>
              <w:fldChar w:fldCharType="begin"/>
            </w:r>
            <w:r>
              <w:rPr>
                <w:webHidden/>
              </w:rPr>
              <w:instrText xml:space="preserve"> PAGEREF _Toc127170258 \h </w:instrText>
            </w:r>
            <w:r>
              <w:rPr>
                <w:webHidden/>
              </w:rPr>
            </w:r>
            <w:r>
              <w:rPr>
                <w:webHidden/>
              </w:rPr>
              <w:fldChar w:fldCharType="separate"/>
            </w:r>
            <w:r>
              <w:rPr>
                <w:webHidden/>
              </w:rPr>
              <w:t>39</w:t>
            </w:r>
            <w:r>
              <w:rPr>
                <w:webHidden/>
              </w:rPr>
              <w:fldChar w:fldCharType="end"/>
            </w:r>
          </w:hyperlink>
        </w:p>
        <w:p w14:paraId="2E995CD4" w14:textId="660D5950"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59" w:history="1">
            <w:r w:rsidRPr="00956E4F">
              <w:rPr>
                <w:rStyle w:val="Hyperlink"/>
                <w:rFonts w:asciiTheme="majorBidi" w:hAnsiTheme="majorBidi"/>
              </w:rPr>
              <w:t xml:space="preserve">1.8. </w:t>
            </w:r>
            <w:r w:rsidRPr="00956E4F">
              <w:rPr>
                <w:rStyle w:val="Hyperlink"/>
                <w:iCs/>
              </w:rPr>
              <w:t>Research Process.</w:t>
            </w:r>
            <w:r>
              <w:rPr>
                <w:webHidden/>
              </w:rPr>
              <w:tab/>
            </w:r>
            <w:r>
              <w:rPr>
                <w:webHidden/>
              </w:rPr>
              <w:fldChar w:fldCharType="begin"/>
            </w:r>
            <w:r>
              <w:rPr>
                <w:webHidden/>
              </w:rPr>
              <w:instrText xml:space="preserve"> PAGEREF _Toc127170259 \h </w:instrText>
            </w:r>
            <w:r>
              <w:rPr>
                <w:webHidden/>
              </w:rPr>
            </w:r>
            <w:r>
              <w:rPr>
                <w:webHidden/>
              </w:rPr>
              <w:fldChar w:fldCharType="separate"/>
            </w:r>
            <w:r>
              <w:rPr>
                <w:webHidden/>
              </w:rPr>
              <w:t>41</w:t>
            </w:r>
            <w:r>
              <w:rPr>
                <w:webHidden/>
              </w:rPr>
              <w:fldChar w:fldCharType="end"/>
            </w:r>
          </w:hyperlink>
        </w:p>
        <w:p w14:paraId="4C8AF1E7" w14:textId="47B2C10A"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0" w:history="1">
            <w:r w:rsidRPr="00956E4F">
              <w:rPr>
                <w:rStyle w:val="Hyperlink"/>
                <w:rFonts w:asciiTheme="majorBidi" w:hAnsiTheme="majorBidi"/>
              </w:rPr>
              <w:t>1.9. Organization of the Dissertation</w:t>
            </w:r>
            <w:r>
              <w:rPr>
                <w:webHidden/>
              </w:rPr>
              <w:tab/>
            </w:r>
            <w:r>
              <w:rPr>
                <w:webHidden/>
              </w:rPr>
              <w:fldChar w:fldCharType="begin"/>
            </w:r>
            <w:r>
              <w:rPr>
                <w:webHidden/>
              </w:rPr>
              <w:instrText xml:space="preserve"> PAGEREF _Toc127170260 \h </w:instrText>
            </w:r>
            <w:r>
              <w:rPr>
                <w:webHidden/>
              </w:rPr>
            </w:r>
            <w:r>
              <w:rPr>
                <w:webHidden/>
              </w:rPr>
              <w:fldChar w:fldCharType="separate"/>
            </w:r>
            <w:r>
              <w:rPr>
                <w:webHidden/>
              </w:rPr>
              <w:t>42</w:t>
            </w:r>
            <w:r>
              <w:rPr>
                <w:webHidden/>
              </w:rPr>
              <w:fldChar w:fldCharType="end"/>
            </w:r>
          </w:hyperlink>
        </w:p>
        <w:p w14:paraId="096F104D" w14:textId="066C65BD"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1" w:history="1">
            <w:r w:rsidRPr="00956E4F">
              <w:rPr>
                <w:rStyle w:val="Hyperlink"/>
                <w:rFonts w:asciiTheme="majorBidi" w:hAnsiTheme="majorBidi"/>
              </w:rPr>
              <w:t>1.10. Assumptions, Limitations, and Delimitations.</w:t>
            </w:r>
            <w:r>
              <w:rPr>
                <w:webHidden/>
              </w:rPr>
              <w:tab/>
            </w:r>
            <w:r>
              <w:rPr>
                <w:webHidden/>
              </w:rPr>
              <w:fldChar w:fldCharType="begin"/>
            </w:r>
            <w:r>
              <w:rPr>
                <w:webHidden/>
              </w:rPr>
              <w:instrText xml:space="preserve"> PAGEREF _Toc127170261 \h </w:instrText>
            </w:r>
            <w:r>
              <w:rPr>
                <w:webHidden/>
              </w:rPr>
            </w:r>
            <w:r>
              <w:rPr>
                <w:webHidden/>
              </w:rPr>
              <w:fldChar w:fldCharType="separate"/>
            </w:r>
            <w:r>
              <w:rPr>
                <w:webHidden/>
              </w:rPr>
              <w:t>44</w:t>
            </w:r>
            <w:r>
              <w:rPr>
                <w:webHidden/>
              </w:rPr>
              <w:fldChar w:fldCharType="end"/>
            </w:r>
          </w:hyperlink>
        </w:p>
        <w:p w14:paraId="04D1043C" w14:textId="1681539B"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2" w:history="1">
            <w:r w:rsidRPr="00956E4F">
              <w:rPr>
                <w:rStyle w:val="Hyperlink"/>
                <w:rFonts w:asciiTheme="majorBidi" w:hAnsiTheme="majorBidi"/>
              </w:rPr>
              <w:t>1.11. Definition of Key Terms.</w:t>
            </w:r>
            <w:r>
              <w:rPr>
                <w:webHidden/>
              </w:rPr>
              <w:tab/>
            </w:r>
            <w:r>
              <w:rPr>
                <w:webHidden/>
              </w:rPr>
              <w:fldChar w:fldCharType="begin"/>
            </w:r>
            <w:r>
              <w:rPr>
                <w:webHidden/>
              </w:rPr>
              <w:instrText xml:space="preserve"> PAGEREF _Toc127170262 \h </w:instrText>
            </w:r>
            <w:r>
              <w:rPr>
                <w:webHidden/>
              </w:rPr>
            </w:r>
            <w:r>
              <w:rPr>
                <w:webHidden/>
              </w:rPr>
              <w:fldChar w:fldCharType="separate"/>
            </w:r>
            <w:r>
              <w:rPr>
                <w:webHidden/>
              </w:rPr>
              <w:t>45</w:t>
            </w:r>
            <w:r>
              <w:rPr>
                <w:webHidden/>
              </w:rPr>
              <w:fldChar w:fldCharType="end"/>
            </w:r>
          </w:hyperlink>
        </w:p>
        <w:p w14:paraId="619C365B" w14:textId="386212CA"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3" w:history="1">
            <w:r w:rsidRPr="00956E4F">
              <w:rPr>
                <w:rStyle w:val="Hyperlink"/>
                <w:rFonts w:asciiTheme="majorBidi" w:hAnsiTheme="majorBidi"/>
              </w:rPr>
              <w:t>1.12. Chapter Summary</w:t>
            </w:r>
            <w:r>
              <w:rPr>
                <w:webHidden/>
              </w:rPr>
              <w:tab/>
            </w:r>
            <w:r>
              <w:rPr>
                <w:webHidden/>
              </w:rPr>
              <w:fldChar w:fldCharType="begin"/>
            </w:r>
            <w:r>
              <w:rPr>
                <w:webHidden/>
              </w:rPr>
              <w:instrText xml:space="preserve"> PAGEREF _Toc127170263 \h </w:instrText>
            </w:r>
            <w:r>
              <w:rPr>
                <w:webHidden/>
              </w:rPr>
            </w:r>
            <w:r>
              <w:rPr>
                <w:webHidden/>
              </w:rPr>
              <w:fldChar w:fldCharType="separate"/>
            </w:r>
            <w:r>
              <w:rPr>
                <w:webHidden/>
              </w:rPr>
              <w:t>50</w:t>
            </w:r>
            <w:r>
              <w:rPr>
                <w:webHidden/>
              </w:rPr>
              <w:fldChar w:fldCharType="end"/>
            </w:r>
          </w:hyperlink>
        </w:p>
        <w:p w14:paraId="40DE229E" w14:textId="4C10A60C"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64" w:history="1">
            <w:r w:rsidRPr="00956E4F">
              <w:rPr>
                <w:rStyle w:val="Hyperlink"/>
                <w:rFonts w:asciiTheme="majorBidi" w:hAnsiTheme="majorBidi"/>
              </w:rPr>
              <w:t>CHAPTER 2</w:t>
            </w:r>
            <w:r>
              <w:rPr>
                <w:webHidden/>
              </w:rPr>
              <w:tab/>
            </w:r>
            <w:r>
              <w:rPr>
                <w:webHidden/>
              </w:rPr>
              <w:fldChar w:fldCharType="begin"/>
            </w:r>
            <w:r>
              <w:rPr>
                <w:webHidden/>
              </w:rPr>
              <w:instrText xml:space="preserve"> PAGEREF _Toc127170264 \h </w:instrText>
            </w:r>
            <w:r>
              <w:rPr>
                <w:webHidden/>
              </w:rPr>
            </w:r>
            <w:r>
              <w:rPr>
                <w:webHidden/>
              </w:rPr>
              <w:fldChar w:fldCharType="separate"/>
            </w:r>
            <w:r>
              <w:rPr>
                <w:webHidden/>
              </w:rPr>
              <w:t>52</w:t>
            </w:r>
            <w:r>
              <w:rPr>
                <w:webHidden/>
              </w:rPr>
              <w:fldChar w:fldCharType="end"/>
            </w:r>
          </w:hyperlink>
        </w:p>
        <w:p w14:paraId="24E2CDE8" w14:textId="24655AFB"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265" w:history="1">
            <w:r w:rsidRPr="00956E4F">
              <w:rPr>
                <w:rStyle w:val="Hyperlink"/>
                <w:rFonts w:asciiTheme="majorBidi" w:hAnsiTheme="majorBidi"/>
              </w:rPr>
              <w:t>Literature Review</w:t>
            </w:r>
            <w:r>
              <w:rPr>
                <w:webHidden/>
              </w:rPr>
              <w:tab/>
            </w:r>
            <w:r>
              <w:rPr>
                <w:webHidden/>
              </w:rPr>
              <w:fldChar w:fldCharType="begin"/>
            </w:r>
            <w:r>
              <w:rPr>
                <w:webHidden/>
              </w:rPr>
              <w:instrText xml:space="preserve"> PAGEREF _Toc127170265 \h </w:instrText>
            </w:r>
            <w:r>
              <w:rPr>
                <w:webHidden/>
              </w:rPr>
            </w:r>
            <w:r>
              <w:rPr>
                <w:webHidden/>
              </w:rPr>
              <w:fldChar w:fldCharType="separate"/>
            </w:r>
            <w:r>
              <w:rPr>
                <w:webHidden/>
              </w:rPr>
              <w:t>52</w:t>
            </w:r>
            <w:r>
              <w:rPr>
                <w:webHidden/>
              </w:rPr>
              <w:fldChar w:fldCharType="end"/>
            </w:r>
          </w:hyperlink>
        </w:p>
        <w:p w14:paraId="2C021433" w14:textId="4B3A94BB"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6" w:history="1">
            <w:r w:rsidRPr="00956E4F">
              <w:rPr>
                <w:rStyle w:val="Hyperlink"/>
                <w:rFonts w:asciiTheme="majorBidi" w:hAnsiTheme="majorBidi"/>
              </w:rPr>
              <w:t>2.0. Introduction.</w:t>
            </w:r>
            <w:r>
              <w:rPr>
                <w:webHidden/>
              </w:rPr>
              <w:tab/>
            </w:r>
            <w:r>
              <w:rPr>
                <w:webHidden/>
              </w:rPr>
              <w:fldChar w:fldCharType="begin"/>
            </w:r>
            <w:r>
              <w:rPr>
                <w:webHidden/>
              </w:rPr>
              <w:instrText xml:space="preserve"> PAGEREF _Toc127170266 \h </w:instrText>
            </w:r>
            <w:r>
              <w:rPr>
                <w:webHidden/>
              </w:rPr>
            </w:r>
            <w:r>
              <w:rPr>
                <w:webHidden/>
              </w:rPr>
              <w:fldChar w:fldCharType="separate"/>
            </w:r>
            <w:r>
              <w:rPr>
                <w:webHidden/>
              </w:rPr>
              <w:t>52</w:t>
            </w:r>
            <w:r>
              <w:rPr>
                <w:webHidden/>
              </w:rPr>
              <w:fldChar w:fldCharType="end"/>
            </w:r>
          </w:hyperlink>
        </w:p>
        <w:p w14:paraId="66CDB6FA" w14:textId="0A258112"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7" w:history="1">
            <w:r w:rsidRPr="00956E4F">
              <w:rPr>
                <w:rStyle w:val="Hyperlink"/>
                <w:rFonts w:eastAsia="Calibri"/>
              </w:rPr>
              <w:t>2.1. E-Waste and Circular Economy Concept.</w:t>
            </w:r>
            <w:r>
              <w:rPr>
                <w:webHidden/>
              </w:rPr>
              <w:tab/>
            </w:r>
            <w:r>
              <w:rPr>
                <w:webHidden/>
              </w:rPr>
              <w:fldChar w:fldCharType="begin"/>
            </w:r>
            <w:r>
              <w:rPr>
                <w:webHidden/>
              </w:rPr>
              <w:instrText xml:space="preserve"> PAGEREF _Toc127170267 \h </w:instrText>
            </w:r>
            <w:r>
              <w:rPr>
                <w:webHidden/>
              </w:rPr>
            </w:r>
            <w:r>
              <w:rPr>
                <w:webHidden/>
              </w:rPr>
              <w:fldChar w:fldCharType="separate"/>
            </w:r>
            <w:r>
              <w:rPr>
                <w:webHidden/>
              </w:rPr>
              <w:t>53</w:t>
            </w:r>
            <w:r>
              <w:rPr>
                <w:webHidden/>
              </w:rPr>
              <w:fldChar w:fldCharType="end"/>
            </w:r>
          </w:hyperlink>
        </w:p>
        <w:p w14:paraId="7CF17579" w14:textId="0E87B8A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68" w:history="1">
            <w:r w:rsidRPr="00956E4F">
              <w:rPr>
                <w:rStyle w:val="Hyperlink"/>
                <w:rFonts w:asciiTheme="majorBidi" w:hAnsiTheme="majorBidi"/>
              </w:rPr>
              <w:t>2.2. Contributing Factors to E-waste.</w:t>
            </w:r>
            <w:r>
              <w:rPr>
                <w:webHidden/>
              </w:rPr>
              <w:tab/>
            </w:r>
            <w:r>
              <w:rPr>
                <w:webHidden/>
              </w:rPr>
              <w:fldChar w:fldCharType="begin"/>
            </w:r>
            <w:r>
              <w:rPr>
                <w:webHidden/>
              </w:rPr>
              <w:instrText xml:space="preserve"> PAGEREF _Toc127170268 \h </w:instrText>
            </w:r>
            <w:r>
              <w:rPr>
                <w:webHidden/>
              </w:rPr>
            </w:r>
            <w:r>
              <w:rPr>
                <w:webHidden/>
              </w:rPr>
              <w:fldChar w:fldCharType="separate"/>
            </w:r>
            <w:r>
              <w:rPr>
                <w:webHidden/>
              </w:rPr>
              <w:t>55</w:t>
            </w:r>
            <w:r>
              <w:rPr>
                <w:webHidden/>
              </w:rPr>
              <w:fldChar w:fldCharType="end"/>
            </w:r>
          </w:hyperlink>
        </w:p>
        <w:p w14:paraId="5634AF4C" w14:textId="2C92EFF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69" w:history="1">
            <w:r w:rsidRPr="00956E4F">
              <w:rPr>
                <w:rStyle w:val="Hyperlink"/>
                <w:rFonts w:ascii="Times New Roman" w:hAnsi="Times New Roman"/>
                <w:i/>
                <w:iCs/>
              </w:rPr>
              <w:t>2.2.1. Rising Demand for EEE.</w:t>
            </w:r>
            <w:r>
              <w:rPr>
                <w:webHidden/>
              </w:rPr>
              <w:tab/>
            </w:r>
            <w:r>
              <w:rPr>
                <w:webHidden/>
              </w:rPr>
              <w:fldChar w:fldCharType="begin"/>
            </w:r>
            <w:r>
              <w:rPr>
                <w:webHidden/>
              </w:rPr>
              <w:instrText xml:space="preserve"> PAGEREF _Toc127170269 \h </w:instrText>
            </w:r>
            <w:r>
              <w:rPr>
                <w:webHidden/>
              </w:rPr>
            </w:r>
            <w:r>
              <w:rPr>
                <w:webHidden/>
              </w:rPr>
              <w:fldChar w:fldCharType="separate"/>
            </w:r>
            <w:r>
              <w:rPr>
                <w:webHidden/>
              </w:rPr>
              <w:t>55</w:t>
            </w:r>
            <w:r>
              <w:rPr>
                <w:webHidden/>
              </w:rPr>
              <w:fldChar w:fldCharType="end"/>
            </w:r>
          </w:hyperlink>
        </w:p>
        <w:p w14:paraId="3E35D8B1" w14:textId="082A4BBC"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0" w:history="1">
            <w:r w:rsidRPr="00956E4F">
              <w:rPr>
                <w:rStyle w:val="Hyperlink"/>
                <w:rFonts w:ascii="Times New Roman" w:hAnsi="Times New Roman"/>
                <w:i/>
                <w:iCs/>
              </w:rPr>
              <w:t>2.2.2. Legislation.</w:t>
            </w:r>
            <w:r>
              <w:rPr>
                <w:webHidden/>
              </w:rPr>
              <w:tab/>
            </w:r>
            <w:r>
              <w:rPr>
                <w:webHidden/>
              </w:rPr>
              <w:fldChar w:fldCharType="begin"/>
            </w:r>
            <w:r>
              <w:rPr>
                <w:webHidden/>
              </w:rPr>
              <w:instrText xml:space="preserve"> PAGEREF _Toc127170270 \h </w:instrText>
            </w:r>
            <w:r>
              <w:rPr>
                <w:webHidden/>
              </w:rPr>
            </w:r>
            <w:r>
              <w:rPr>
                <w:webHidden/>
              </w:rPr>
              <w:fldChar w:fldCharType="separate"/>
            </w:r>
            <w:r>
              <w:rPr>
                <w:webHidden/>
              </w:rPr>
              <w:t>58</w:t>
            </w:r>
            <w:r>
              <w:rPr>
                <w:webHidden/>
              </w:rPr>
              <w:fldChar w:fldCharType="end"/>
            </w:r>
          </w:hyperlink>
        </w:p>
        <w:p w14:paraId="32C6CF39" w14:textId="09B49B03"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1" w:history="1">
            <w:r w:rsidRPr="00956E4F">
              <w:rPr>
                <w:rStyle w:val="Hyperlink"/>
                <w:rFonts w:ascii="Times New Roman" w:hAnsi="Times New Roman"/>
                <w:i/>
                <w:iCs/>
              </w:rPr>
              <w:t>2.2.3. Consumers.</w:t>
            </w:r>
            <w:r>
              <w:rPr>
                <w:webHidden/>
              </w:rPr>
              <w:tab/>
            </w:r>
            <w:r>
              <w:rPr>
                <w:webHidden/>
              </w:rPr>
              <w:fldChar w:fldCharType="begin"/>
            </w:r>
            <w:r>
              <w:rPr>
                <w:webHidden/>
              </w:rPr>
              <w:instrText xml:space="preserve"> PAGEREF _Toc127170271 \h </w:instrText>
            </w:r>
            <w:r>
              <w:rPr>
                <w:webHidden/>
              </w:rPr>
            </w:r>
            <w:r>
              <w:rPr>
                <w:webHidden/>
              </w:rPr>
              <w:fldChar w:fldCharType="separate"/>
            </w:r>
            <w:r>
              <w:rPr>
                <w:webHidden/>
              </w:rPr>
              <w:t>60</w:t>
            </w:r>
            <w:r>
              <w:rPr>
                <w:webHidden/>
              </w:rPr>
              <w:fldChar w:fldCharType="end"/>
            </w:r>
          </w:hyperlink>
        </w:p>
        <w:p w14:paraId="10089E25" w14:textId="77F15D30"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72" w:history="1">
            <w:r w:rsidRPr="00956E4F">
              <w:rPr>
                <w:rStyle w:val="Hyperlink"/>
                <w:rFonts w:asciiTheme="majorBidi" w:hAnsiTheme="majorBidi"/>
              </w:rPr>
              <w:t>2.3. E-waste Management Practices.</w:t>
            </w:r>
            <w:r>
              <w:rPr>
                <w:webHidden/>
              </w:rPr>
              <w:tab/>
            </w:r>
            <w:r>
              <w:rPr>
                <w:webHidden/>
              </w:rPr>
              <w:fldChar w:fldCharType="begin"/>
            </w:r>
            <w:r>
              <w:rPr>
                <w:webHidden/>
              </w:rPr>
              <w:instrText xml:space="preserve"> PAGEREF _Toc127170272 \h </w:instrText>
            </w:r>
            <w:r>
              <w:rPr>
                <w:webHidden/>
              </w:rPr>
            </w:r>
            <w:r>
              <w:rPr>
                <w:webHidden/>
              </w:rPr>
              <w:fldChar w:fldCharType="separate"/>
            </w:r>
            <w:r>
              <w:rPr>
                <w:webHidden/>
              </w:rPr>
              <w:t>62</w:t>
            </w:r>
            <w:r>
              <w:rPr>
                <w:webHidden/>
              </w:rPr>
              <w:fldChar w:fldCharType="end"/>
            </w:r>
          </w:hyperlink>
        </w:p>
        <w:p w14:paraId="35A79C27" w14:textId="2CC53D9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3" w:history="1">
            <w:r w:rsidRPr="00956E4F">
              <w:rPr>
                <w:rStyle w:val="Hyperlink"/>
                <w:rFonts w:ascii="Times New Roman" w:hAnsi="Times New Roman"/>
                <w:i/>
                <w:iCs/>
              </w:rPr>
              <w:t>2.3.1. EWM Practices in Developed Economies.</w:t>
            </w:r>
            <w:r>
              <w:rPr>
                <w:webHidden/>
              </w:rPr>
              <w:tab/>
            </w:r>
            <w:r>
              <w:rPr>
                <w:webHidden/>
              </w:rPr>
              <w:fldChar w:fldCharType="begin"/>
            </w:r>
            <w:r>
              <w:rPr>
                <w:webHidden/>
              </w:rPr>
              <w:instrText xml:space="preserve"> PAGEREF _Toc127170273 \h </w:instrText>
            </w:r>
            <w:r>
              <w:rPr>
                <w:webHidden/>
              </w:rPr>
            </w:r>
            <w:r>
              <w:rPr>
                <w:webHidden/>
              </w:rPr>
              <w:fldChar w:fldCharType="separate"/>
            </w:r>
            <w:r>
              <w:rPr>
                <w:webHidden/>
              </w:rPr>
              <w:t>64</w:t>
            </w:r>
            <w:r>
              <w:rPr>
                <w:webHidden/>
              </w:rPr>
              <w:fldChar w:fldCharType="end"/>
            </w:r>
          </w:hyperlink>
        </w:p>
        <w:p w14:paraId="7A1E4C2C" w14:textId="6935B90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4" w:history="1">
            <w:r w:rsidRPr="00956E4F">
              <w:rPr>
                <w:rStyle w:val="Hyperlink"/>
                <w:rFonts w:ascii="Times New Roman" w:hAnsi="Times New Roman"/>
                <w:i/>
                <w:iCs/>
              </w:rPr>
              <w:t>2.3.2. EWM Practices in Developing</w:t>
            </w:r>
            <w:r w:rsidRPr="00956E4F">
              <w:rPr>
                <w:rStyle w:val="Hyperlink"/>
                <w:rFonts w:ascii="Times New Roman" w:eastAsia="Times New Roman" w:hAnsi="Times New Roman"/>
                <w:i/>
                <w:iCs/>
              </w:rPr>
              <w:t xml:space="preserve"> Countries.</w:t>
            </w:r>
            <w:r>
              <w:rPr>
                <w:webHidden/>
              </w:rPr>
              <w:tab/>
            </w:r>
            <w:r>
              <w:rPr>
                <w:webHidden/>
              </w:rPr>
              <w:fldChar w:fldCharType="begin"/>
            </w:r>
            <w:r>
              <w:rPr>
                <w:webHidden/>
              </w:rPr>
              <w:instrText xml:space="preserve"> PAGEREF _Toc127170274 \h </w:instrText>
            </w:r>
            <w:r>
              <w:rPr>
                <w:webHidden/>
              </w:rPr>
            </w:r>
            <w:r>
              <w:rPr>
                <w:webHidden/>
              </w:rPr>
              <w:fldChar w:fldCharType="separate"/>
            </w:r>
            <w:r>
              <w:rPr>
                <w:webHidden/>
              </w:rPr>
              <w:t>65</w:t>
            </w:r>
            <w:r>
              <w:rPr>
                <w:webHidden/>
              </w:rPr>
              <w:fldChar w:fldCharType="end"/>
            </w:r>
          </w:hyperlink>
        </w:p>
        <w:p w14:paraId="775D232D" w14:textId="66D8302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5" w:history="1">
            <w:r w:rsidRPr="00956E4F">
              <w:rPr>
                <w:rStyle w:val="Hyperlink"/>
                <w:rFonts w:ascii="Times New Roman" w:hAnsi="Times New Roman"/>
                <w:i/>
                <w:iCs/>
              </w:rPr>
              <w:t>2.3.3. EWM in the Middle East.</w:t>
            </w:r>
            <w:r>
              <w:rPr>
                <w:webHidden/>
              </w:rPr>
              <w:tab/>
            </w:r>
            <w:r>
              <w:rPr>
                <w:webHidden/>
              </w:rPr>
              <w:fldChar w:fldCharType="begin"/>
            </w:r>
            <w:r>
              <w:rPr>
                <w:webHidden/>
              </w:rPr>
              <w:instrText xml:space="preserve"> PAGEREF _Toc127170275 \h </w:instrText>
            </w:r>
            <w:r>
              <w:rPr>
                <w:webHidden/>
              </w:rPr>
            </w:r>
            <w:r>
              <w:rPr>
                <w:webHidden/>
              </w:rPr>
              <w:fldChar w:fldCharType="separate"/>
            </w:r>
            <w:r>
              <w:rPr>
                <w:webHidden/>
              </w:rPr>
              <w:t>70</w:t>
            </w:r>
            <w:r>
              <w:rPr>
                <w:webHidden/>
              </w:rPr>
              <w:fldChar w:fldCharType="end"/>
            </w:r>
          </w:hyperlink>
        </w:p>
        <w:p w14:paraId="4B1B6477" w14:textId="11E1044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6" w:history="1">
            <w:r w:rsidRPr="00956E4F">
              <w:rPr>
                <w:rStyle w:val="Hyperlink"/>
                <w:rFonts w:ascii="Times New Roman" w:hAnsi="Times New Roman"/>
                <w:i/>
                <w:iCs/>
              </w:rPr>
              <w:t>2.3.4. EWM in the UAE.</w:t>
            </w:r>
            <w:r>
              <w:rPr>
                <w:webHidden/>
              </w:rPr>
              <w:tab/>
            </w:r>
            <w:r>
              <w:rPr>
                <w:webHidden/>
              </w:rPr>
              <w:fldChar w:fldCharType="begin"/>
            </w:r>
            <w:r>
              <w:rPr>
                <w:webHidden/>
              </w:rPr>
              <w:instrText xml:space="preserve"> PAGEREF _Toc127170276 \h </w:instrText>
            </w:r>
            <w:r>
              <w:rPr>
                <w:webHidden/>
              </w:rPr>
            </w:r>
            <w:r>
              <w:rPr>
                <w:webHidden/>
              </w:rPr>
              <w:fldChar w:fldCharType="separate"/>
            </w:r>
            <w:r>
              <w:rPr>
                <w:webHidden/>
              </w:rPr>
              <w:t>75</w:t>
            </w:r>
            <w:r>
              <w:rPr>
                <w:webHidden/>
              </w:rPr>
              <w:fldChar w:fldCharType="end"/>
            </w:r>
          </w:hyperlink>
        </w:p>
        <w:p w14:paraId="74EA1174" w14:textId="305C34BC"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77" w:history="1">
            <w:r w:rsidRPr="00956E4F">
              <w:rPr>
                <w:rStyle w:val="Hyperlink"/>
                <w:rFonts w:asciiTheme="majorBidi" w:hAnsiTheme="majorBidi"/>
              </w:rPr>
              <w:t>2.4. E-waste Disposal.</w:t>
            </w:r>
            <w:r>
              <w:rPr>
                <w:webHidden/>
              </w:rPr>
              <w:tab/>
            </w:r>
            <w:r>
              <w:rPr>
                <w:webHidden/>
              </w:rPr>
              <w:fldChar w:fldCharType="begin"/>
            </w:r>
            <w:r>
              <w:rPr>
                <w:webHidden/>
              </w:rPr>
              <w:instrText xml:space="preserve"> PAGEREF _Toc127170277 \h </w:instrText>
            </w:r>
            <w:r>
              <w:rPr>
                <w:webHidden/>
              </w:rPr>
            </w:r>
            <w:r>
              <w:rPr>
                <w:webHidden/>
              </w:rPr>
              <w:fldChar w:fldCharType="separate"/>
            </w:r>
            <w:r>
              <w:rPr>
                <w:webHidden/>
              </w:rPr>
              <w:t>77</w:t>
            </w:r>
            <w:r>
              <w:rPr>
                <w:webHidden/>
              </w:rPr>
              <w:fldChar w:fldCharType="end"/>
            </w:r>
          </w:hyperlink>
        </w:p>
        <w:p w14:paraId="52AC8261" w14:textId="028A368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8" w:history="1">
            <w:r w:rsidRPr="00956E4F">
              <w:rPr>
                <w:rStyle w:val="Hyperlink"/>
                <w:rFonts w:ascii="Times New Roman" w:hAnsi="Times New Roman"/>
                <w:i/>
                <w:iCs/>
              </w:rPr>
              <w:t>2.4.1. Disposal Into Municipal Waste.</w:t>
            </w:r>
            <w:r>
              <w:rPr>
                <w:webHidden/>
              </w:rPr>
              <w:tab/>
            </w:r>
            <w:r>
              <w:rPr>
                <w:webHidden/>
              </w:rPr>
              <w:fldChar w:fldCharType="begin"/>
            </w:r>
            <w:r>
              <w:rPr>
                <w:webHidden/>
              </w:rPr>
              <w:instrText xml:space="preserve"> PAGEREF _Toc127170278 \h </w:instrText>
            </w:r>
            <w:r>
              <w:rPr>
                <w:webHidden/>
              </w:rPr>
            </w:r>
            <w:r>
              <w:rPr>
                <w:webHidden/>
              </w:rPr>
              <w:fldChar w:fldCharType="separate"/>
            </w:r>
            <w:r>
              <w:rPr>
                <w:webHidden/>
              </w:rPr>
              <w:t>80</w:t>
            </w:r>
            <w:r>
              <w:rPr>
                <w:webHidden/>
              </w:rPr>
              <w:fldChar w:fldCharType="end"/>
            </w:r>
          </w:hyperlink>
        </w:p>
        <w:p w14:paraId="3F12AB2A" w14:textId="639E1DC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79" w:history="1">
            <w:r w:rsidRPr="00956E4F">
              <w:rPr>
                <w:rStyle w:val="Hyperlink"/>
                <w:rFonts w:ascii="Times New Roman" w:hAnsi="Times New Roman"/>
                <w:i/>
                <w:iCs/>
              </w:rPr>
              <w:t>2.4.2. Informal Disposal.</w:t>
            </w:r>
            <w:r>
              <w:rPr>
                <w:webHidden/>
              </w:rPr>
              <w:tab/>
            </w:r>
            <w:r>
              <w:rPr>
                <w:webHidden/>
              </w:rPr>
              <w:fldChar w:fldCharType="begin"/>
            </w:r>
            <w:r>
              <w:rPr>
                <w:webHidden/>
              </w:rPr>
              <w:instrText xml:space="preserve"> PAGEREF _Toc127170279 \h </w:instrText>
            </w:r>
            <w:r>
              <w:rPr>
                <w:webHidden/>
              </w:rPr>
            </w:r>
            <w:r>
              <w:rPr>
                <w:webHidden/>
              </w:rPr>
              <w:fldChar w:fldCharType="separate"/>
            </w:r>
            <w:r>
              <w:rPr>
                <w:webHidden/>
              </w:rPr>
              <w:t>82</w:t>
            </w:r>
            <w:r>
              <w:rPr>
                <w:webHidden/>
              </w:rPr>
              <w:fldChar w:fldCharType="end"/>
            </w:r>
          </w:hyperlink>
        </w:p>
        <w:p w14:paraId="4A3D41A0" w14:textId="7CFB86D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0" w:history="1">
            <w:r w:rsidRPr="00956E4F">
              <w:rPr>
                <w:rStyle w:val="Hyperlink"/>
                <w:rFonts w:ascii="Times New Roman" w:hAnsi="Times New Roman"/>
                <w:i/>
                <w:iCs/>
              </w:rPr>
              <w:t>2.4.3. Formal Disposal.</w:t>
            </w:r>
            <w:r>
              <w:rPr>
                <w:webHidden/>
              </w:rPr>
              <w:tab/>
            </w:r>
            <w:r>
              <w:rPr>
                <w:webHidden/>
              </w:rPr>
              <w:fldChar w:fldCharType="begin"/>
            </w:r>
            <w:r>
              <w:rPr>
                <w:webHidden/>
              </w:rPr>
              <w:instrText xml:space="preserve"> PAGEREF _Toc127170280 \h </w:instrText>
            </w:r>
            <w:r>
              <w:rPr>
                <w:webHidden/>
              </w:rPr>
            </w:r>
            <w:r>
              <w:rPr>
                <w:webHidden/>
              </w:rPr>
              <w:fldChar w:fldCharType="separate"/>
            </w:r>
            <w:r>
              <w:rPr>
                <w:webHidden/>
              </w:rPr>
              <w:t>84</w:t>
            </w:r>
            <w:r>
              <w:rPr>
                <w:webHidden/>
              </w:rPr>
              <w:fldChar w:fldCharType="end"/>
            </w:r>
          </w:hyperlink>
        </w:p>
        <w:p w14:paraId="2B0B6906" w14:textId="37ECF36E"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81" w:history="1">
            <w:r w:rsidRPr="00956E4F">
              <w:rPr>
                <w:rStyle w:val="Hyperlink"/>
                <w:rFonts w:asciiTheme="majorBidi" w:hAnsiTheme="majorBidi"/>
              </w:rPr>
              <w:t>2.5. E-waste Recycling (EWR).</w:t>
            </w:r>
            <w:r>
              <w:rPr>
                <w:webHidden/>
              </w:rPr>
              <w:tab/>
            </w:r>
            <w:r>
              <w:rPr>
                <w:webHidden/>
              </w:rPr>
              <w:fldChar w:fldCharType="begin"/>
            </w:r>
            <w:r>
              <w:rPr>
                <w:webHidden/>
              </w:rPr>
              <w:instrText xml:space="preserve"> PAGEREF _Toc127170281 \h </w:instrText>
            </w:r>
            <w:r>
              <w:rPr>
                <w:webHidden/>
              </w:rPr>
            </w:r>
            <w:r>
              <w:rPr>
                <w:webHidden/>
              </w:rPr>
              <w:fldChar w:fldCharType="separate"/>
            </w:r>
            <w:r>
              <w:rPr>
                <w:webHidden/>
              </w:rPr>
              <w:t>85</w:t>
            </w:r>
            <w:r>
              <w:rPr>
                <w:webHidden/>
              </w:rPr>
              <w:fldChar w:fldCharType="end"/>
            </w:r>
          </w:hyperlink>
        </w:p>
        <w:p w14:paraId="6FC8D31C" w14:textId="28AA4B0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2" w:history="1">
            <w:r w:rsidRPr="00956E4F">
              <w:rPr>
                <w:rStyle w:val="Hyperlink"/>
                <w:rFonts w:ascii="Times New Roman" w:hAnsi="Times New Roman"/>
                <w:i/>
                <w:iCs/>
              </w:rPr>
              <w:t>2.5.1. E-waste Recycling Processes.</w:t>
            </w:r>
            <w:r>
              <w:rPr>
                <w:webHidden/>
              </w:rPr>
              <w:tab/>
            </w:r>
            <w:r>
              <w:rPr>
                <w:webHidden/>
              </w:rPr>
              <w:fldChar w:fldCharType="begin"/>
            </w:r>
            <w:r>
              <w:rPr>
                <w:webHidden/>
              </w:rPr>
              <w:instrText xml:space="preserve"> PAGEREF _Toc127170282 \h </w:instrText>
            </w:r>
            <w:r>
              <w:rPr>
                <w:webHidden/>
              </w:rPr>
            </w:r>
            <w:r>
              <w:rPr>
                <w:webHidden/>
              </w:rPr>
              <w:fldChar w:fldCharType="separate"/>
            </w:r>
            <w:r>
              <w:rPr>
                <w:webHidden/>
              </w:rPr>
              <w:t>87</w:t>
            </w:r>
            <w:r>
              <w:rPr>
                <w:webHidden/>
              </w:rPr>
              <w:fldChar w:fldCharType="end"/>
            </w:r>
          </w:hyperlink>
        </w:p>
        <w:p w14:paraId="0657C167" w14:textId="12A7A6D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3" w:history="1">
            <w:r w:rsidRPr="00956E4F">
              <w:rPr>
                <w:rStyle w:val="Hyperlink"/>
                <w:rFonts w:ascii="Times New Roman" w:hAnsi="Times New Roman"/>
                <w:i/>
                <w:iCs/>
              </w:rPr>
              <w:t>2.5.2. E-waste Recycling Impact.</w:t>
            </w:r>
            <w:r>
              <w:rPr>
                <w:webHidden/>
              </w:rPr>
              <w:tab/>
            </w:r>
            <w:r>
              <w:rPr>
                <w:webHidden/>
              </w:rPr>
              <w:fldChar w:fldCharType="begin"/>
            </w:r>
            <w:r>
              <w:rPr>
                <w:webHidden/>
              </w:rPr>
              <w:instrText xml:space="preserve"> PAGEREF _Toc127170283 \h </w:instrText>
            </w:r>
            <w:r>
              <w:rPr>
                <w:webHidden/>
              </w:rPr>
            </w:r>
            <w:r>
              <w:rPr>
                <w:webHidden/>
              </w:rPr>
              <w:fldChar w:fldCharType="separate"/>
            </w:r>
            <w:r>
              <w:rPr>
                <w:webHidden/>
              </w:rPr>
              <w:t>90</w:t>
            </w:r>
            <w:r>
              <w:rPr>
                <w:webHidden/>
              </w:rPr>
              <w:fldChar w:fldCharType="end"/>
            </w:r>
          </w:hyperlink>
        </w:p>
        <w:p w14:paraId="6FA33301" w14:textId="4DE9046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4" w:history="1">
            <w:r w:rsidRPr="00956E4F">
              <w:rPr>
                <w:rStyle w:val="Hyperlink"/>
                <w:i/>
                <w:iCs/>
              </w:rPr>
              <w:t xml:space="preserve">2.5.2.1. </w:t>
            </w:r>
            <w:r w:rsidRPr="00956E4F">
              <w:rPr>
                <w:rStyle w:val="Hyperlink"/>
                <w:rFonts w:ascii="Times New Roman" w:eastAsia="Times New Roman" w:hAnsi="Times New Roman"/>
                <w:i/>
                <w:iCs/>
              </w:rPr>
              <w:t>Environmental Impact.</w:t>
            </w:r>
            <w:r>
              <w:rPr>
                <w:webHidden/>
              </w:rPr>
              <w:tab/>
            </w:r>
            <w:r>
              <w:rPr>
                <w:webHidden/>
              </w:rPr>
              <w:fldChar w:fldCharType="begin"/>
            </w:r>
            <w:r>
              <w:rPr>
                <w:webHidden/>
              </w:rPr>
              <w:instrText xml:space="preserve"> PAGEREF _Toc127170284 \h </w:instrText>
            </w:r>
            <w:r>
              <w:rPr>
                <w:webHidden/>
              </w:rPr>
            </w:r>
            <w:r>
              <w:rPr>
                <w:webHidden/>
              </w:rPr>
              <w:fldChar w:fldCharType="separate"/>
            </w:r>
            <w:r>
              <w:rPr>
                <w:webHidden/>
              </w:rPr>
              <w:t>91</w:t>
            </w:r>
            <w:r>
              <w:rPr>
                <w:webHidden/>
              </w:rPr>
              <w:fldChar w:fldCharType="end"/>
            </w:r>
          </w:hyperlink>
        </w:p>
        <w:p w14:paraId="62E89C1B" w14:textId="01B155E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5" w:history="1">
            <w:r w:rsidRPr="00956E4F">
              <w:rPr>
                <w:rStyle w:val="Hyperlink"/>
                <w:i/>
                <w:iCs/>
              </w:rPr>
              <w:t xml:space="preserve">2.5.2.2. </w:t>
            </w:r>
            <w:r w:rsidRPr="00956E4F">
              <w:rPr>
                <w:rStyle w:val="Hyperlink"/>
                <w:rFonts w:ascii="Times New Roman" w:eastAsia="Times New Roman" w:hAnsi="Times New Roman"/>
                <w:i/>
                <w:iCs/>
              </w:rPr>
              <w:t>Human Health Impact.</w:t>
            </w:r>
            <w:r>
              <w:rPr>
                <w:webHidden/>
              </w:rPr>
              <w:tab/>
            </w:r>
            <w:r>
              <w:rPr>
                <w:webHidden/>
              </w:rPr>
              <w:fldChar w:fldCharType="begin"/>
            </w:r>
            <w:r>
              <w:rPr>
                <w:webHidden/>
              </w:rPr>
              <w:instrText xml:space="preserve"> PAGEREF _Toc127170285 \h </w:instrText>
            </w:r>
            <w:r>
              <w:rPr>
                <w:webHidden/>
              </w:rPr>
            </w:r>
            <w:r>
              <w:rPr>
                <w:webHidden/>
              </w:rPr>
              <w:fldChar w:fldCharType="separate"/>
            </w:r>
            <w:r>
              <w:rPr>
                <w:webHidden/>
              </w:rPr>
              <w:t>93</w:t>
            </w:r>
            <w:r>
              <w:rPr>
                <w:webHidden/>
              </w:rPr>
              <w:fldChar w:fldCharType="end"/>
            </w:r>
          </w:hyperlink>
        </w:p>
        <w:p w14:paraId="10B9A3A2" w14:textId="7A4401E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6" w:history="1">
            <w:r w:rsidRPr="00956E4F">
              <w:rPr>
                <w:rStyle w:val="Hyperlink"/>
                <w:i/>
                <w:iCs/>
              </w:rPr>
              <w:t xml:space="preserve">2.5.2.3. </w:t>
            </w:r>
            <w:r w:rsidRPr="00956E4F">
              <w:rPr>
                <w:rStyle w:val="Hyperlink"/>
                <w:rFonts w:ascii="Times New Roman" w:eastAsia="Times New Roman" w:hAnsi="Times New Roman"/>
                <w:i/>
                <w:iCs/>
              </w:rPr>
              <w:t>Social Impact.</w:t>
            </w:r>
            <w:r>
              <w:rPr>
                <w:webHidden/>
              </w:rPr>
              <w:tab/>
            </w:r>
            <w:r>
              <w:rPr>
                <w:webHidden/>
              </w:rPr>
              <w:fldChar w:fldCharType="begin"/>
            </w:r>
            <w:r>
              <w:rPr>
                <w:webHidden/>
              </w:rPr>
              <w:instrText xml:space="preserve"> PAGEREF _Toc127170286 \h </w:instrText>
            </w:r>
            <w:r>
              <w:rPr>
                <w:webHidden/>
              </w:rPr>
            </w:r>
            <w:r>
              <w:rPr>
                <w:webHidden/>
              </w:rPr>
              <w:fldChar w:fldCharType="separate"/>
            </w:r>
            <w:r>
              <w:rPr>
                <w:webHidden/>
              </w:rPr>
              <w:t>94</w:t>
            </w:r>
            <w:r>
              <w:rPr>
                <w:webHidden/>
              </w:rPr>
              <w:fldChar w:fldCharType="end"/>
            </w:r>
          </w:hyperlink>
        </w:p>
        <w:p w14:paraId="3CC73FF0" w14:textId="3DD839B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7" w:history="1">
            <w:r w:rsidRPr="00956E4F">
              <w:rPr>
                <w:rStyle w:val="Hyperlink"/>
                <w:i/>
                <w:iCs/>
              </w:rPr>
              <w:t xml:space="preserve">2.5.2.4. </w:t>
            </w:r>
            <w:r w:rsidRPr="00956E4F">
              <w:rPr>
                <w:rStyle w:val="Hyperlink"/>
                <w:rFonts w:ascii="Times New Roman" w:eastAsia="Times New Roman" w:hAnsi="Times New Roman"/>
                <w:i/>
                <w:iCs/>
              </w:rPr>
              <w:t>Economic Impact.</w:t>
            </w:r>
            <w:r>
              <w:rPr>
                <w:webHidden/>
              </w:rPr>
              <w:tab/>
            </w:r>
            <w:r>
              <w:rPr>
                <w:webHidden/>
              </w:rPr>
              <w:fldChar w:fldCharType="begin"/>
            </w:r>
            <w:r>
              <w:rPr>
                <w:webHidden/>
              </w:rPr>
              <w:instrText xml:space="preserve"> PAGEREF _Toc127170287 \h </w:instrText>
            </w:r>
            <w:r>
              <w:rPr>
                <w:webHidden/>
              </w:rPr>
            </w:r>
            <w:r>
              <w:rPr>
                <w:webHidden/>
              </w:rPr>
              <w:fldChar w:fldCharType="separate"/>
            </w:r>
            <w:r>
              <w:rPr>
                <w:webHidden/>
              </w:rPr>
              <w:t>96</w:t>
            </w:r>
            <w:r>
              <w:rPr>
                <w:webHidden/>
              </w:rPr>
              <w:fldChar w:fldCharType="end"/>
            </w:r>
          </w:hyperlink>
        </w:p>
        <w:p w14:paraId="42ECBBF8" w14:textId="7EE97E76"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88" w:history="1">
            <w:r w:rsidRPr="00956E4F">
              <w:rPr>
                <w:rStyle w:val="Hyperlink"/>
                <w:rFonts w:asciiTheme="majorBidi" w:hAnsiTheme="majorBidi"/>
              </w:rPr>
              <w:t>2.6. Consumers’ Recycling Behavior.</w:t>
            </w:r>
            <w:r>
              <w:rPr>
                <w:webHidden/>
              </w:rPr>
              <w:tab/>
            </w:r>
            <w:r>
              <w:rPr>
                <w:webHidden/>
              </w:rPr>
              <w:fldChar w:fldCharType="begin"/>
            </w:r>
            <w:r>
              <w:rPr>
                <w:webHidden/>
              </w:rPr>
              <w:instrText xml:space="preserve"> PAGEREF _Toc127170288 \h </w:instrText>
            </w:r>
            <w:r>
              <w:rPr>
                <w:webHidden/>
              </w:rPr>
            </w:r>
            <w:r>
              <w:rPr>
                <w:webHidden/>
              </w:rPr>
              <w:fldChar w:fldCharType="separate"/>
            </w:r>
            <w:r>
              <w:rPr>
                <w:webHidden/>
              </w:rPr>
              <w:t>98</w:t>
            </w:r>
            <w:r>
              <w:rPr>
                <w:webHidden/>
              </w:rPr>
              <w:fldChar w:fldCharType="end"/>
            </w:r>
          </w:hyperlink>
        </w:p>
        <w:p w14:paraId="0EF3F482" w14:textId="660C212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89" w:history="1">
            <w:r w:rsidRPr="00956E4F">
              <w:rPr>
                <w:rStyle w:val="Hyperlink"/>
                <w:rFonts w:ascii="Times New Roman" w:hAnsi="Times New Roman"/>
                <w:i/>
                <w:iCs/>
              </w:rPr>
              <w:t>2.6.1. Internal</w:t>
            </w:r>
            <w:r w:rsidRPr="00956E4F">
              <w:rPr>
                <w:rStyle w:val="Hyperlink"/>
                <w:rFonts w:ascii="Times New Roman" w:eastAsia="Times New Roman" w:hAnsi="Times New Roman"/>
                <w:i/>
                <w:iCs/>
              </w:rPr>
              <w:t xml:space="preserve"> </w:t>
            </w:r>
            <w:r w:rsidRPr="00956E4F">
              <w:rPr>
                <w:rStyle w:val="Hyperlink"/>
                <w:rFonts w:ascii="Times New Roman" w:hAnsi="Times New Roman"/>
                <w:i/>
                <w:iCs/>
              </w:rPr>
              <w:t>Factors.</w:t>
            </w:r>
            <w:r>
              <w:rPr>
                <w:webHidden/>
              </w:rPr>
              <w:tab/>
            </w:r>
            <w:r>
              <w:rPr>
                <w:webHidden/>
              </w:rPr>
              <w:fldChar w:fldCharType="begin"/>
            </w:r>
            <w:r>
              <w:rPr>
                <w:webHidden/>
              </w:rPr>
              <w:instrText xml:space="preserve"> PAGEREF _Toc127170289 \h </w:instrText>
            </w:r>
            <w:r>
              <w:rPr>
                <w:webHidden/>
              </w:rPr>
            </w:r>
            <w:r>
              <w:rPr>
                <w:webHidden/>
              </w:rPr>
              <w:fldChar w:fldCharType="separate"/>
            </w:r>
            <w:r>
              <w:rPr>
                <w:webHidden/>
              </w:rPr>
              <w:t>100</w:t>
            </w:r>
            <w:r>
              <w:rPr>
                <w:webHidden/>
              </w:rPr>
              <w:fldChar w:fldCharType="end"/>
            </w:r>
          </w:hyperlink>
        </w:p>
        <w:p w14:paraId="3FF7E9C8" w14:textId="02CED7A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0" w:history="1">
            <w:r w:rsidRPr="00956E4F">
              <w:rPr>
                <w:rStyle w:val="Hyperlink"/>
                <w:i/>
                <w:iCs/>
              </w:rPr>
              <w:t>2.6.1.1. Personal and Social Norms.</w:t>
            </w:r>
            <w:r>
              <w:rPr>
                <w:webHidden/>
              </w:rPr>
              <w:tab/>
            </w:r>
            <w:r>
              <w:rPr>
                <w:webHidden/>
              </w:rPr>
              <w:fldChar w:fldCharType="begin"/>
            </w:r>
            <w:r>
              <w:rPr>
                <w:webHidden/>
              </w:rPr>
              <w:instrText xml:space="preserve"> PAGEREF _Toc127170290 \h </w:instrText>
            </w:r>
            <w:r>
              <w:rPr>
                <w:webHidden/>
              </w:rPr>
            </w:r>
            <w:r>
              <w:rPr>
                <w:webHidden/>
              </w:rPr>
              <w:fldChar w:fldCharType="separate"/>
            </w:r>
            <w:r>
              <w:rPr>
                <w:webHidden/>
              </w:rPr>
              <w:t>100</w:t>
            </w:r>
            <w:r>
              <w:rPr>
                <w:webHidden/>
              </w:rPr>
              <w:fldChar w:fldCharType="end"/>
            </w:r>
          </w:hyperlink>
        </w:p>
        <w:p w14:paraId="24D06D3B" w14:textId="4CFC8D8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1" w:history="1">
            <w:r w:rsidRPr="00956E4F">
              <w:rPr>
                <w:rStyle w:val="Hyperlink"/>
                <w:i/>
                <w:iCs/>
              </w:rPr>
              <w:t>2.6.1.2. Habits and Attitudes.</w:t>
            </w:r>
            <w:r>
              <w:rPr>
                <w:webHidden/>
              </w:rPr>
              <w:tab/>
            </w:r>
            <w:r>
              <w:rPr>
                <w:webHidden/>
              </w:rPr>
              <w:fldChar w:fldCharType="begin"/>
            </w:r>
            <w:r>
              <w:rPr>
                <w:webHidden/>
              </w:rPr>
              <w:instrText xml:space="preserve"> PAGEREF _Toc127170291 \h </w:instrText>
            </w:r>
            <w:r>
              <w:rPr>
                <w:webHidden/>
              </w:rPr>
            </w:r>
            <w:r>
              <w:rPr>
                <w:webHidden/>
              </w:rPr>
              <w:fldChar w:fldCharType="separate"/>
            </w:r>
            <w:r>
              <w:rPr>
                <w:webHidden/>
              </w:rPr>
              <w:t>101</w:t>
            </w:r>
            <w:r>
              <w:rPr>
                <w:webHidden/>
              </w:rPr>
              <w:fldChar w:fldCharType="end"/>
            </w:r>
          </w:hyperlink>
        </w:p>
        <w:p w14:paraId="6AFB4686" w14:textId="51482F9F"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2" w:history="1">
            <w:r w:rsidRPr="00956E4F">
              <w:rPr>
                <w:rStyle w:val="Hyperlink"/>
                <w:i/>
                <w:iCs/>
              </w:rPr>
              <w:t>2.6.1.3. Knowledge and Awareness.</w:t>
            </w:r>
            <w:r>
              <w:rPr>
                <w:webHidden/>
              </w:rPr>
              <w:tab/>
            </w:r>
            <w:r>
              <w:rPr>
                <w:webHidden/>
              </w:rPr>
              <w:fldChar w:fldCharType="begin"/>
            </w:r>
            <w:r>
              <w:rPr>
                <w:webHidden/>
              </w:rPr>
              <w:instrText xml:space="preserve"> PAGEREF _Toc127170292 \h </w:instrText>
            </w:r>
            <w:r>
              <w:rPr>
                <w:webHidden/>
              </w:rPr>
            </w:r>
            <w:r>
              <w:rPr>
                <w:webHidden/>
              </w:rPr>
              <w:fldChar w:fldCharType="separate"/>
            </w:r>
            <w:r>
              <w:rPr>
                <w:webHidden/>
              </w:rPr>
              <w:t>103</w:t>
            </w:r>
            <w:r>
              <w:rPr>
                <w:webHidden/>
              </w:rPr>
              <w:fldChar w:fldCharType="end"/>
            </w:r>
          </w:hyperlink>
        </w:p>
        <w:p w14:paraId="44CD7791" w14:textId="0EFC7EB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3" w:history="1">
            <w:r w:rsidRPr="00956E4F">
              <w:rPr>
                <w:rStyle w:val="Hyperlink"/>
                <w:rFonts w:ascii="Times New Roman" w:hAnsi="Times New Roman"/>
                <w:i/>
                <w:iCs/>
              </w:rPr>
              <w:t>2.6.2. External Factors.</w:t>
            </w:r>
            <w:r>
              <w:rPr>
                <w:webHidden/>
              </w:rPr>
              <w:tab/>
            </w:r>
            <w:r>
              <w:rPr>
                <w:webHidden/>
              </w:rPr>
              <w:fldChar w:fldCharType="begin"/>
            </w:r>
            <w:r>
              <w:rPr>
                <w:webHidden/>
              </w:rPr>
              <w:instrText xml:space="preserve"> PAGEREF _Toc127170293 \h </w:instrText>
            </w:r>
            <w:r>
              <w:rPr>
                <w:webHidden/>
              </w:rPr>
            </w:r>
            <w:r>
              <w:rPr>
                <w:webHidden/>
              </w:rPr>
              <w:fldChar w:fldCharType="separate"/>
            </w:r>
            <w:r>
              <w:rPr>
                <w:webHidden/>
              </w:rPr>
              <w:t>104</w:t>
            </w:r>
            <w:r>
              <w:rPr>
                <w:webHidden/>
              </w:rPr>
              <w:fldChar w:fldCharType="end"/>
            </w:r>
          </w:hyperlink>
        </w:p>
        <w:p w14:paraId="1970DD4E" w14:textId="41F7E0B0"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4" w:history="1">
            <w:r w:rsidRPr="00956E4F">
              <w:rPr>
                <w:rStyle w:val="Hyperlink"/>
                <w:i/>
                <w:iCs/>
              </w:rPr>
              <w:t>2.6.2.1. Incentives (monetary or nonmonetary).</w:t>
            </w:r>
            <w:r>
              <w:rPr>
                <w:webHidden/>
              </w:rPr>
              <w:tab/>
            </w:r>
            <w:r>
              <w:rPr>
                <w:webHidden/>
              </w:rPr>
              <w:fldChar w:fldCharType="begin"/>
            </w:r>
            <w:r>
              <w:rPr>
                <w:webHidden/>
              </w:rPr>
              <w:instrText xml:space="preserve"> PAGEREF _Toc127170294 \h </w:instrText>
            </w:r>
            <w:r>
              <w:rPr>
                <w:webHidden/>
              </w:rPr>
            </w:r>
            <w:r>
              <w:rPr>
                <w:webHidden/>
              </w:rPr>
              <w:fldChar w:fldCharType="separate"/>
            </w:r>
            <w:r>
              <w:rPr>
                <w:webHidden/>
              </w:rPr>
              <w:t>105</w:t>
            </w:r>
            <w:r>
              <w:rPr>
                <w:webHidden/>
              </w:rPr>
              <w:fldChar w:fldCharType="end"/>
            </w:r>
          </w:hyperlink>
        </w:p>
        <w:p w14:paraId="19E6B4D5" w14:textId="14CD9B80"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5" w:history="1">
            <w:r w:rsidRPr="00956E4F">
              <w:rPr>
                <w:rStyle w:val="Hyperlink"/>
                <w:i/>
                <w:iCs/>
              </w:rPr>
              <w:t>2.6.2.2. The Infrastructure to Recycle E-waste.</w:t>
            </w:r>
            <w:r>
              <w:rPr>
                <w:webHidden/>
              </w:rPr>
              <w:tab/>
            </w:r>
            <w:r>
              <w:rPr>
                <w:webHidden/>
              </w:rPr>
              <w:fldChar w:fldCharType="begin"/>
            </w:r>
            <w:r>
              <w:rPr>
                <w:webHidden/>
              </w:rPr>
              <w:instrText xml:space="preserve"> PAGEREF _Toc127170295 \h </w:instrText>
            </w:r>
            <w:r>
              <w:rPr>
                <w:webHidden/>
              </w:rPr>
            </w:r>
            <w:r>
              <w:rPr>
                <w:webHidden/>
              </w:rPr>
              <w:fldChar w:fldCharType="separate"/>
            </w:r>
            <w:r>
              <w:rPr>
                <w:webHidden/>
              </w:rPr>
              <w:t>107</w:t>
            </w:r>
            <w:r>
              <w:rPr>
                <w:webHidden/>
              </w:rPr>
              <w:fldChar w:fldCharType="end"/>
            </w:r>
          </w:hyperlink>
        </w:p>
        <w:p w14:paraId="42B40B66" w14:textId="35B8760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6" w:history="1">
            <w:r w:rsidRPr="00956E4F">
              <w:rPr>
                <w:rStyle w:val="Hyperlink"/>
                <w:i/>
                <w:iCs/>
              </w:rPr>
              <w:t>2.6.2.3. Legislation, Policy, and Government Participation.</w:t>
            </w:r>
            <w:r>
              <w:rPr>
                <w:webHidden/>
              </w:rPr>
              <w:tab/>
            </w:r>
            <w:r>
              <w:rPr>
                <w:webHidden/>
              </w:rPr>
              <w:fldChar w:fldCharType="begin"/>
            </w:r>
            <w:r>
              <w:rPr>
                <w:webHidden/>
              </w:rPr>
              <w:instrText xml:space="preserve"> PAGEREF _Toc127170296 \h </w:instrText>
            </w:r>
            <w:r>
              <w:rPr>
                <w:webHidden/>
              </w:rPr>
            </w:r>
            <w:r>
              <w:rPr>
                <w:webHidden/>
              </w:rPr>
              <w:fldChar w:fldCharType="separate"/>
            </w:r>
            <w:r>
              <w:rPr>
                <w:webHidden/>
              </w:rPr>
              <w:t>108</w:t>
            </w:r>
            <w:r>
              <w:rPr>
                <w:webHidden/>
              </w:rPr>
              <w:fldChar w:fldCharType="end"/>
            </w:r>
          </w:hyperlink>
        </w:p>
        <w:p w14:paraId="10260E7E" w14:textId="0929349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7" w:history="1">
            <w:r w:rsidRPr="00956E4F">
              <w:rPr>
                <w:rStyle w:val="Hyperlink"/>
                <w:i/>
                <w:iCs/>
              </w:rPr>
              <w:t>2.6.2.4. Education and Communication.</w:t>
            </w:r>
            <w:r>
              <w:rPr>
                <w:webHidden/>
              </w:rPr>
              <w:tab/>
            </w:r>
            <w:r>
              <w:rPr>
                <w:webHidden/>
              </w:rPr>
              <w:fldChar w:fldCharType="begin"/>
            </w:r>
            <w:r>
              <w:rPr>
                <w:webHidden/>
              </w:rPr>
              <w:instrText xml:space="preserve"> PAGEREF _Toc127170297 \h </w:instrText>
            </w:r>
            <w:r>
              <w:rPr>
                <w:webHidden/>
              </w:rPr>
            </w:r>
            <w:r>
              <w:rPr>
                <w:webHidden/>
              </w:rPr>
              <w:fldChar w:fldCharType="separate"/>
            </w:r>
            <w:r>
              <w:rPr>
                <w:webHidden/>
              </w:rPr>
              <w:t>109</w:t>
            </w:r>
            <w:r>
              <w:rPr>
                <w:webHidden/>
              </w:rPr>
              <w:fldChar w:fldCharType="end"/>
            </w:r>
          </w:hyperlink>
        </w:p>
        <w:p w14:paraId="1F06A15C" w14:textId="7767251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298" w:history="1">
            <w:r w:rsidRPr="00956E4F">
              <w:rPr>
                <w:rStyle w:val="Hyperlink"/>
                <w:i/>
                <w:iCs/>
              </w:rPr>
              <w:t>2.6.2.5. Sociodemographic Variables.</w:t>
            </w:r>
            <w:r>
              <w:rPr>
                <w:webHidden/>
              </w:rPr>
              <w:tab/>
            </w:r>
            <w:r>
              <w:rPr>
                <w:webHidden/>
              </w:rPr>
              <w:fldChar w:fldCharType="begin"/>
            </w:r>
            <w:r>
              <w:rPr>
                <w:webHidden/>
              </w:rPr>
              <w:instrText xml:space="preserve"> PAGEREF _Toc127170298 \h </w:instrText>
            </w:r>
            <w:r>
              <w:rPr>
                <w:webHidden/>
              </w:rPr>
            </w:r>
            <w:r>
              <w:rPr>
                <w:webHidden/>
              </w:rPr>
              <w:fldChar w:fldCharType="separate"/>
            </w:r>
            <w:r>
              <w:rPr>
                <w:webHidden/>
              </w:rPr>
              <w:t>110</w:t>
            </w:r>
            <w:r>
              <w:rPr>
                <w:webHidden/>
              </w:rPr>
              <w:fldChar w:fldCharType="end"/>
            </w:r>
          </w:hyperlink>
        </w:p>
        <w:p w14:paraId="5C6918FE" w14:textId="3FF024EE"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299" w:history="1">
            <w:r w:rsidRPr="00956E4F">
              <w:rPr>
                <w:rStyle w:val="Hyperlink"/>
                <w:rFonts w:asciiTheme="majorBidi" w:hAnsiTheme="majorBidi"/>
              </w:rPr>
              <w:t>2.7. Millennials.</w:t>
            </w:r>
            <w:r>
              <w:rPr>
                <w:webHidden/>
              </w:rPr>
              <w:tab/>
            </w:r>
            <w:r>
              <w:rPr>
                <w:webHidden/>
              </w:rPr>
              <w:fldChar w:fldCharType="begin"/>
            </w:r>
            <w:r>
              <w:rPr>
                <w:webHidden/>
              </w:rPr>
              <w:instrText xml:space="preserve"> PAGEREF _Toc127170299 \h </w:instrText>
            </w:r>
            <w:r>
              <w:rPr>
                <w:webHidden/>
              </w:rPr>
            </w:r>
            <w:r>
              <w:rPr>
                <w:webHidden/>
              </w:rPr>
              <w:fldChar w:fldCharType="separate"/>
            </w:r>
            <w:r>
              <w:rPr>
                <w:webHidden/>
              </w:rPr>
              <w:t>114</w:t>
            </w:r>
            <w:r>
              <w:rPr>
                <w:webHidden/>
              </w:rPr>
              <w:fldChar w:fldCharType="end"/>
            </w:r>
          </w:hyperlink>
        </w:p>
        <w:p w14:paraId="46F0A88E" w14:textId="60E5B6E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00" w:history="1">
            <w:r w:rsidRPr="00956E4F">
              <w:rPr>
                <w:rStyle w:val="Hyperlink"/>
                <w:rFonts w:ascii="Times New Roman" w:hAnsi="Times New Roman"/>
                <w:i/>
                <w:iCs/>
              </w:rPr>
              <w:t>2.7.1. Millennials Generation.</w:t>
            </w:r>
            <w:r>
              <w:rPr>
                <w:webHidden/>
              </w:rPr>
              <w:tab/>
            </w:r>
            <w:r>
              <w:rPr>
                <w:webHidden/>
              </w:rPr>
              <w:fldChar w:fldCharType="begin"/>
            </w:r>
            <w:r>
              <w:rPr>
                <w:webHidden/>
              </w:rPr>
              <w:instrText xml:space="preserve"> PAGEREF _Toc127170300 \h </w:instrText>
            </w:r>
            <w:r>
              <w:rPr>
                <w:webHidden/>
              </w:rPr>
            </w:r>
            <w:r>
              <w:rPr>
                <w:webHidden/>
              </w:rPr>
              <w:fldChar w:fldCharType="separate"/>
            </w:r>
            <w:r>
              <w:rPr>
                <w:webHidden/>
              </w:rPr>
              <w:t>114</w:t>
            </w:r>
            <w:r>
              <w:rPr>
                <w:webHidden/>
              </w:rPr>
              <w:fldChar w:fldCharType="end"/>
            </w:r>
          </w:hyperlink>
        </w:p>
        <w:p w14:paraId="197F3916" w14:textId="6C6E9E2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01" w:history="1">
            <w:r w:rsidRPr="00956E4F">
              <w:rPr>
                <w:rStyle w:val="Hyperlink"/>
                <w:rFonts w:ascii="Times New Roman" w:hAnsi="Times New Roman"/>
                <w:i/>
                <w:iCs/>
              </w:rPr>
              <w:t>2.7.2. Millennials and Technology.</w:t>
            </w:r>
            <w:r>
              <w:rPr>
                <w:webHidden/>
              </w:rPr>
              <w:tab/>
            </w:r>
            <w:r>
              <w:rPr>
                <w:webHidden/>
              </w:rPr>
              <w:fldChar w:fldCharType="begin"/>
            </w:r>
            <w:r>
              <w:rPr>
                <w:webHidden/>
              </w:rPr>
              <w:instrText xml:space="preserve"> PAGEREF _Toc127170301 \h </w:instrText>
            </w:r>
            <w:r>
              <w:rPr>
                <w:webHidden/>
              </w:rPr>
            </w:r>
            <w:r>
              <w:rPr>
                <w:webHidden/>
              </w:rPr>
              <w:fldChar w:fldCharType="separate"/>
            </w:r>
            <w:r>
              <w:rPr>
                <w:webHidden/>
              </w:rPr>
              <w:t>116</w:t>
            </w:r>
            <w:r>
              <w:rPr>
                <w:webHidden/>
              </w:rPr>
              <w:fldChar w:fldCharType="end"/>
            </w:r>
          </w:hyperlink>
        </w:p>
        <w:p w14:paraId="40BDD13E" w14:textId="4674E4F8"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02" w:history="1">
            <w:r w:rsidRPr="00956E4F">
              <w:rPr>
                <w:rStyle w:val="Hyperlink"/>
                <w:rFonts w:ascii="Times New Roman" w:hAnsi="Times New Roman"/>
                <w:i/>
                <w:iCs/>
              </w:rPr>
              <w:t>2.7.3. Millennials as Consumers.</w:t>
            </w:r>
            <w:r>
              <w:rPr>
                <w:webHidden/>
              </w:rPr>
              <w:tab/>
            </w:r>
            <w:r>
              <w:rPr>
                <w:webHidden/>
              </w:rPr>
              <w:fldChar w:fldCharType="begin"/>
            </w:r>
            <w:r>
              <w:rPr>
                <w:webHidden/>
              </w:rPr>
              <w:instrText xml:space="preserve"> PAGEREF _Toc127170302 \h </w:instrText>
            </w:r>
            <w:r>
              <w:rPr>
                <w:webHidden/>
              </w:rPr>
            </w:r>
            <w:r>
              <w:rPr>
                <w:webHidden/>
              </w:rPr>
              <w:fldChar w:fldCharType="separate"/>
            </w:r>
            <w:r>
              <w:rPr>
                <w:webHidden/>
              </w:rPr>
              <w:t>117</w:t>
            </w:r>
            <w:r>
              <w:rPr>
                <w:webHidden/>
              </w:rPr>
              <w:fldChar w:fldCharType="end"/>
            </w:r>
          </w:hyperlink>
        </w:p>
        <w:p w14:paraId="4D10FF9B" w14:textId="10CA388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03" w:history="1">
            <w:r w:rsidRPr="00956E4F">
              <w:rPr>
                <w:rStyle w:val="Hyperlink"/>
                <w:rFonts w:ascii="Times New Roman" w:hAnsi="Times New Roman"/>
                <w:i/>
                <w:iCs/>
              </w:rPr>
              <w:t>2.7.4. Millennials and the Attitude-Intention Gap.</w:t>
            </w:r>
            <w:r>
              <w:rPr>
                <w:webHidden/>
              </w:rPr>
              <w:tab/>
            </w:r>
            <w:r>
              <w:rPr>
                <w:webHidden/>
              </w:rPr>
              <w:fldChar w:fldCharType="begin"/>
            </w:r>
            <w:r>
              <w:rPr>
                <w:webHidden/>
              </w:rPr>
              <w:instrText xml:space="preserve"> PAGEREF _Toc127170303 \h </w:instrText>
            </w:r>
            <w:r>
              <w:rPr>
                <w:webHidden/>
              </w:rPr>
            </w:r>
            <w:r>
              <w:rPr>
                <w:webHidden/>
              </w:rPr>
              <w:fldChar w:fldCharType="separate"/>
            </w:r>
            <w:r>
              <w:rPr>
                <w:webHidden/>
              </w:rPr>
              <w:t>121</w:t>
            </w:r>
            <w:r>
              <w:rPr>
                <w:webHidden/>
              </w:rPr>
              <w:fldChar w:fldCharType="end"/>
            </w:r>
          </w:hyperlink>
        </w:p>
        <w:p w14:paraId="202AAD1C" w14:textId="43752A83"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04" w:history="1">
            <w:r w:rsidRPr="00956E4F">
              <w:rPr>
                <w:rStyle w:val="Hyperlink"/>
                <w:rFonts w:eastAsia="Calibri"/>
              </w:rPr>
              <w:t>2.8. Chapter Summary.</w:t>
            </w:r>
            <w:r>
              <w:rPr>
                <w:webHidden/>
              </w:rPr>
              <w:tab/>
            </w:r>
            <w:r>
              <w:rPr>
                <w:webHidden/>
              </w:rPr>
              <w:fldChar w:fldCharType="begin"/>
            </w:r>
            <w:r>
              <w:rPr>
                <w:webHidden/>
              </w:rPr>
              <w:instrText xml:space="preserve"> PAGEREF _Toc127170304 \h </w:instrText>
            </w:r>
            <w:r>
              <w:rPr>
                <w:webHidden/>
              </w:rPr>
            </w:r>
            <w:r>
              <w:rPr>
                <w:webHidden/>
              </w:rPr>
              <w:fldChar w:fldCharType="separate"/>
            </w:r>
            <w:r>
              <w:rPr>
                <w:webHidden/>
              </w:rPr>
              <w:t>122</w:t>
            </w:r>
            <w:r>
              <w:rPr>
                <w:webHidden/>
              </w:rPr>
              <w:fldChar w:fldCharType="end"/>
            </w:r>
          </w:hyperlink>
        </w:p>
        <w:p w14:paraId="203FCFCF" w14:textId="04007872"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05" w:history="1">
            <w:r w:rsidRPr="00956E4F">
              <w:rPr>
                <w:rStyle w:val="Hyperlink"/>
              </w:rPr>
              <w:t>CHAPTER 3</w:t>
            </w:r>
            <w:r>
              <w:rPr>
                <w:webHidden/>
              </w:rPr>
              <w:tab/>
            </w:r>
            <w:r>
              <w:rPr>
                <w:webHidden/>
              </w:rPr>
              <w:fldChar w:fldCharType="begin"/>
            </w:r>
            <w:r>
              <w:rPr>
                <w:webHidden/>
              </w:rPr>
              <w:instrText xml:space="preserve"> PAGEREF _Toc127170305 \h </w:instrText>
            </w:r>
            <w:r>
              <w:rPr>
                <w:webHidden/>
              </w:rPr>
            </w:r>
            <w:r>
              <w:rPr>
                <w:webHidden/>
              </w:rPr>
              <w:fldChar w:fldCharType="separate"/>
            </w:r>
            <w:r>
              <w:rPr>
                <w:webHidden/>
              </w:rPr>
              <w:t>124</w:t>
            </w:r>
            <w:r>
              <w:rPr>
                <w:webHidden/>
              </w:rPr>
              <w:fldChar w:fldCharType="end"/>
            </w:r>
          </w:hyperlink>
        </w:p>
        <w:p w14:paraId="4B13FA5C" w14:textId="2BAB0013"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06" w:history="1">
            <w:r w:rsidRPr="00956E4F">
              <w:rPr>
                <w:rStyle w:val="Hyperlink"/>
              </w:rPr>
              <w:t>Theoretical Background</w:t>
            </w:r>
            <w:r>
              <w:rPr>
                <w:webHidden/>
              </w:rPr>
              <w:tab/>
            </w:r>
            <w:r>
              <w:rPr>
                <w:webHidden/>
              </w:rPr>
              <w:fldChar w:fldCharType="begin"/>
            </w:r>
            <w:r>
              <w:rPr>
                <w:webHidden/>
              </w:rPr>
              <w:instrText xml:space="preserve"> PAGEREF _Toc127170306 \h </w:instrText>
            </w:r>
            <w:r>
              <w:rPr>
                <w:webHidden/>
              </w:rPr>
            </w:r>
            <w:r>
              <w:rPr>
                <w:webHidden/>
              </w:rPr>
              <w:fldChar w:fldCharType="separate"/>
            </w:r>
            <w:r>
              <w:rPr>
                <w:webHidden/>
              </w:rPr>
              <w:t>124</w:t>
            </w:r>
            <w:r>
              <w:rPr>
                <w:webHidden/>
              </w:rPr>
              <w:fldChar w:fldCharType="end"/>
            </w:r>
          </w:hyperlink>
        </w:p>
        <w:p w14:paraId="5878842C" w14:textId="6D3DB6D9"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07" w:history="1">
            <w:r w:rsidRPr="00956E4F">
              <w:rPr>
                <w:rStyle w:val="Hyperlink"/>
                <w:rFonts w:asciiTheme="majorBidi" w:hAnsiTheme="majorBidi"/>
              </w:rPr>
              <w:t>3.0. Introduction.</w:t>
            </w:r>
            <w:r>
              <w:rPr>
                <w:webHidden/>
              </w:rPr>
              <w:tab/>
            </w:r>
            <w:r>
              <w:rPr>
                <w:webHidden/>
              </w:rPr>
              <w:fldChar w:fldCharType="begin"/>
            </w:r>
            <w:r>
              <w:rPr>
                <w:webHidden/>
              </w:rPr>
              <w:instrText xml:space="preserve"> PAGEREF _Toc127170307 \h </w:instrText>
            </w:r>
            <w:r>
              <w:rPr>
                <w:webHidden/>
              </w:rPr>
            </w:r>
            <w:r>
              <w:rPr>
                <w:webHidden/>
              </w:rPr>
              <w:fldChar w:fldCharType="separate"/>
            </w:r>
            <w:r>
              <w:rPr>
                <w:webHidden/>
              </w:rPr>
              <w:t>124</w:t>
            </w:r>
            <w:r>
              <w:rPr>
                <w:webHidden/>
              </w:rPr>
              <w:fldChar w:fldCharType="end"/>
            </w:r>
          </w:hyperlink>
        </w:p>
        <w:p w14:paraId="22736347" w14:textId="7D66B6D1"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08" w:history="1">
            <w:r w:rsidRPr="00956E4F">
              <w:rPr>
                <w:rStyle w:val="Hyperlink"/>
                <w:rFonts w:asciiTheme="majorBidi" w:hAnsiTheme="majorBidi"/>
              </w:rPr>
              <w:t>3.1. Theories of Consumer Behavior Intention.</w:t>
            </w:r>
            <w:r>
              <w:rPr>
                <w:webHidden/>
              </w:rPr>
              <w:tab/>
            </w:r>
            <w:r>
              <w:rPr>
                <w:webHidden/>
              </w:rPr>
              <w:fldChar w:fldCharType="begin"/>
            </w:r>
            <w:r>
              <w:rPr>
                <w:webHidden/>
              </w:rPr>
              <w:instrText xml:space="preserve"> PAGEREF _Toc127170308 \h </w:instrText>
            </w:r>
            <w:r>
              <w:rPr>
                <w:webHidden/>
              </w:rPr>
            </w:r>
            <w:r>
              <w:rPr>
                <w:webHidden/>
              </w:rPr>
              <w:fldChar w:fldCharType="separate"/>
            </w:r>
            <w:r>
              <w:rPr>
                <w:webHidden/>
              </w:rPr>
              <w:t>126</w:t>
            </w:r>
            <w:r>
              <w:rPr>
                <w:webHidden/>
              </w:rPr>
              <w:fldChar w:fldCharType="end"/>
            </w:r>
          </w:hyperlink>
        </w:p>
        <w:p w14:paraId="3FB465B9" w14:textId="4838450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09" w:history="1">
            <w:r w:rsidRPr="00956E4F">
              <w:rPr>
                <w:rStyle w:val="Hyperlink"/>
                <w:rFonts w:ascii="Times New Roman" w:eastAsiaTheme="majorEastAsia" w:hAnsi="Times New Roman" w:cstheme="majorBidi"/>
                <w:i/>
                <w:iCs/>
              </w:rPr>
              <w:t>3.1.1. The Theory of Planned Behavior (TPB).</w:t>
            </w:r>
            <w:r>
              <w:rPr>
                <w:webHidden/>
              </w:rPr>
              <w:tab/>
            </w:r>
            <w:r>
              <w:rPr>
                <w:webHidden/>
              </w:rPr>
              <w:fldChar w:fldCharType="begin"/>
            </w:r>
            <w:r>
              <w:rPr>
                <w:webHidden/>
              </w:rPr>
              <w:instrText xml:space="preserve"> PAGEREF _Toc127170309 \h </w:instrText>
            </w:r>
            <w:r>
              <w:rPr>
                <w:webHidden/>
              </w:rPr>
            </w:r>
            <w:r>
              <w:rPr>
                <w:webHidden/>
              </w:rPr>
              <w:fldChar w:fldCharType="separate"/>
            </w:r>
            <w:r>
              <w:rPr>
                <w:webHidden/>
              </w:rPr>
              <w:t>128</w:t>
            </w:r>
            <w:r>
              <w:rPr>
                <w:webHidden/>
              </w:rPr>
              <w:fldChar w:fldCharType="end"/>
            </w:r>
          </w:hyperlink>
        </w:p>
        <w:p w14:paraId="06AF3643" w14:textId="615A3D1E"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0" w:history="1">
            <w:r w:rsidRPr="00956E4F">
              <w:rPr>
                <w:rStyle w:val="Hyperlink"/>
                <w:i/>
                <w:iCs/>
              </w:rPr>
              <w:t>3.1.1.1. TPB, Waste and Environment.</w:t>
            </w:r>
            <w:r>
              <w:rPr>
                <w:webHidden/>
              </w:rPr>
              <w:tab/>
            </w:r>
            <w:r>
              <w:rPr>
                <w:webHidden/>
              </w:rPr>
              <w:fldChar w:fldCharType="begin"/>
            </w:r>
            <w:r>
              <w:rPr>
                <w:webHidden/>
              </w:rPr>
              <w:instrText xml:space="preserve"> PAGEREF _Toc127170310 \h </w:instrText>
            </w:r>
            <w:r>
              <w:rPr>
                <w:webHidden/>
              </w:rPr>
            </w:r>
            <w:r>
              <w:rPr>
                <w:webHidden/>
              </w:rPr>
              <w:fldChar w:fldCharType="separate"/>
            </w:r>
            <w:r>
              <w:rPr>
                <w:webHidden/>
              </w:rPr>
              <w:t>131</w:t>
            </w:r>
            <w:r>
              <w:rPr>
                <w:webHidden/>
              </w:rPr>
              <w:fldChar w:fldCharType="end"/>
            </w:r>
          </w:hyperlink>
        </w:p>
        <w:p w14:paraId="0AC169D5" w14:textId="17EB3A4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1" w:history="1">
            <w:r w:rsidRPr="00956E4F">
              <w:rPr>
                <w:rStyle w:val="Hyperlink"/>
                <w:i/>
                <w:iCs/>
              </w:rPr>
              <w:t>3.1.1.2. TPB and Consumer’s EWR Behavioral Intention.</w:t>
            </w:r>
            <w:r>
              <w:rPr>
                <w:webHidden/>
              </w:rPr>
              <w:tab/>
            </w:r>
            <w:r>
              <w:rPr>
                <w:webHidden/>
              </w:rPr>
              <w:fldChar w:fldCharType="begin"/>
            </w:r>
            <w:r>
              <w:rPr>
                <w:webHidden/>
              </w:rPr>
              <w:instrText xml:space="preserve"> PAGEREF _Toc127170311 \h </w:instrText>
            </w:r>
            <w:r>
              <w:rPr>
                <w:webHidden/>
              </w:rPr>
            </w:r>
            <w:r>
              <w:rPr>
                <w:webHidden/>
              </w:rPr>
              <w:fldChar w:fldCharType="separate"/>
            </w:r>
            <w:r>
              <w:rPr>
                <w:webHidden/>
              </w:rPr>
              <w:t>133</w:t>
            </w:r>
            <w:r>
              <w:rPr>
                <w:webHidden/>
              </w:rPr>
              <w:fldChar w:fldCharType="end"/>
            </w:r>
          </w:hyperlink>
        </w:p>
        <w:p w14:paraId="3905BA6A" w14:textId="6FD382D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2" w:history="1">
            <w:r w:rsidRPr="00956E4F">
              <w:rPr>
                <w:rStyle w:val="Hyperlink"/>
                <w:i/>
                <w:iCs/>
              </w:rPr>
              <w:t>3.1.1.3. Attitude towards EWR.</w:t>
            </w:r>
            <w:r>
              <w:rPr>
                <w:webHidden/>
              </w:rPr>
              <w:tab/>
            </w:r>
            <w:r>
              <w:rPr>
                <w:webHidden/>
              </w:rPr>
              <w:fldChar w:fldCharType="begin"/>
            </w:r>
            <w:r>
              <w:rPr>
                <w:webHidden/>
              </w:rPr>
              <w:instrText xml:space="preserve"> PAGEREF _Toc127170312 \h </w:instrText>
            </w:r>
            <w:r>
              <w:rPr>
                <w:webHidden/>
              </w:rPr>
            </w:r>
            <w:r>
              <w:rPr>
                <w:webHidden/>
              </w:rPr>
              <w:fldChar w:fldCharType="separate"/>
            </w:r>
            <w:r>
              <w:rPr>
                <w:webHidden/>
              </w:rPr>
              <w:t>138</w:t>
            </w:r>
            <w:r>
              <w:rPr>
                <w:webHidden/>
              </w:rPr>
              <w:fldChar w:fldCharType="end"/>
            </w:r>
          </w:hyperlink>
        </w:p>
        <w:p w14:paraId="2BCD4A87" w14:textId="7801184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3" w:history="1">
            <w:r w:rsidRPr="00956E4F">
              <w:rPr>
                <w:rStyle w:val="Hyperlink"/>
                <w:i/>
                <w:iCs/>
              </w:rPr>
              <w:t>3.1.1.4. Subjective Norm towards EWR.</w:t>
            </w:r>
            <w:r>
              <w:rPr>
                <w:webHidden/>
              </w:rPr>
              <w:tab/>
            </w:r>
            <w:r>
              <w:rPr>
                <w:webHidden/>
              </w:rPr>
              <w:fldChar w:fldCharType="begin"/>
            </w:r>
            <w:r>
              <w:rPr>
                <w:webHidden/>
              </w:rPr>
              <w:instrText xml:space="preserve"> PAGEREF _Toc127170313 \h </w:instrText>
            </w:r>
            <w:r>
              <w:rPr>
                <w:webHidden/>
              </w:rPr>
            </w:r>
            <w:r>
              <w:rPr>
                <w:webHidden/>
              </w:rPr>
              <w:fldChar w:fldCharType="separate"/>
            </w:r>
            <w:r>
              <w:rPr>
                <w:webHidden/>
              </w:rPr>
              <w:t>139</w:t>
            </w:r>
            <w:r>
              <w:rPr>
                <w:webHidden/>
              </w:rPr>
              <w:fldChar w:fldCharType="end"/>
            </w:r>
          </w:hyperlink>
        </w:p>
        <w:p w14:paraId="7DB0E499" w14:textId="5E28801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4" w:history="1">
            <w:r w:rsidRPr="00956E4F">
              <w:rPr>
                <w:rStyle w:val="Hyperlink"/>
                <w:i/>
                <w:iCs/>
              </w:rPr>
              <w:t>3.1.1.5. Perceived Behavioral Control (PBC) About EWR.</w:t>
            </w:r>
            <w:r>
              <w:rPr>
                <w:webHidden/>
              </w:rPr>
              <w:tab/>
            </w:r>
            <w:r>
              <w:rPr>
                <w:webHidden/>
              </w:rPr>
              <w:fldChar w:fldCharType="begin"/>
            </w:r>
            <w:r>
              <w:rPr>
                <w:webHidden/>
              </w:rPr>
              <w:instrText xml:space="preserve"> PAGEREF _Toc127170314 \h </w:instrText>
            </w:r>
            <w:r>
              <w:rPr>
                <w:webHidden/>
              </w:rPr>
            </w:r>
            <w:r>
              <w:rPr>
                <w:webHidden/>
              </w:rPr>
              <w:fldChar w:fldCharType="separate"/>
            </w:r>
            <w:r>
              <w:rPr>
                <w:webHidden/>
              </w:rPr>
              <w:t>140</w:t>
            </w:r>
            <w:r>
              <w:rPr>
                <w:webHidden/>
              </w:rPr>
              <w:fldChar w:fldCharType="end"/>
            </w:r>
          </w:hyperlink>
        </w:p>
        <w:p w14:paraId="063EAD55" w14:textId="2AE58F2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5" w:history="1">
            <w:r w:rsidRPr="00956E4F">
              <w:rPr>
                <w:rStyle w:val="Hyperlink"/>
                <w:i/>
                <w:iCs/>
              </w:rPr>
              <w:t>3.1.1.6. Extending the TPB with Additional Factors.</w:t>
            </w:r>
            <w:r>
              <w:rPr>
                <w:webHidden/>
              </w:rPr>
              <w:tab/>
            </w:r>
            <w:r>
              <w:rPr>
                <w:webHidden/>
              </w:rPr>
              <w:fldChar w:fldCharType="begin"/>
            </w:r>
            <w:r>
              <w:rPr>
                <w:webHidden/>
              </w:rPr>
              <w:instrText xml:space="preserve"> PAGEREF _Toc127170315 \h </w:instrText>
            </w:r>
            <w:r>
              <w:rPr>
                <w:webHidden/>
              </w:rPr>
            </w:r>
            <w:r>
              <w:rPr>
                <w:webHidden/>
              </w:rPr>
              <w:fldChar w:fldCharType="separate"/>
            </w:r>
            <w:r>
              <w:rPr>
                <w:webHidden/>
              </w:rPr>
              <w:t>141</w:t>
            </w:r>
            <w:r>
              <w:rPr>
                <w:webHidden/>
              </w:rPr>
              <w:fldChar w:fldCharType="end"/>
            </w:r>
          </w:hyperlink>
        </w:p>
        <w:p w14:paraId="2D8C5126" w14:textId="4B9AA8F8"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6" w:history="1">
            <w:r w:rsidRPr="00956E4F">
              <w:rPr>
                <w:rStyle w:val="Hyperlink"/>
                <w:rFonts w:ascii="Times New Roman" w:eastAsiaTheme="majorEastAsia" w:hAnsi="Times New Roman" w:cstheme="majorBidi"/>
                <w:i/>
                <w:iCs/>
              </w:rPr>
              <w:t>3.1.2. The Norm Activation Theory (NAT).</w:t>
            </w:r>
            <w:r>
              <w:rPr>
                <w:webHidden/>
              </w:rPr>
              <w:tab/>
            </w:r>
            <w:r>
              <w:rPr>
                <w:webHidden/>
              </w:rPr>
              <w:fldChar w:fldCharType="begin"/>
            </w:r>
            <w:r>
              <w:rPr>
                <w:webHidden/>
              </w:rPr>
              <w:instrText xml:space="preserve"> PAGEREF _Toc127170316 \h </w:instrText>
            </w:r>
            <w:r>
              <w:rPr>
                <w:webHidden/>
              </w:rPr>
            </w:r>
            <w:r>
              <w:rPr>
                <w:webHidden/>
              </w:rPr>
              <w:fldChar w:fldCharType="separate"/>
            </w:r>
            <w:r>
              <w:rPr>
                <w:webHidden/>
              </w:rPr>
              <w:t>144</w:t>
            </w:r>
            <w:r>
              <w:rPr>
                <w:webHidden/>
              </w:rPr>
              <w:fldChar w:fldCharType="end"/>
            </w:r>
          </w:hyperlink>
        </w:p>
        <w:p w14:paraId="7B11EC47" w14:textId="4196D2E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7" w:history="1">
            <w:r w:rsidRPr="00956E4F">
              <w:rPr>
                <w:rStyle w:val="Hyperlink"/>
                <w:i/>
                <w:iCs/>
              </w:rPr>
              <w:t>3.1.2.1. Extending NAT, Waste, and Environment.</w:t>
            </w:r>
            <w:r>
              <w:rPr>
                <w:webHidden/>
              </w:rPr>
              <w:tab/>
            </w:r>
            <w:r>
              <w:rPr>
                <w:webHidden/>
              </w:rPr>
              <w:fldChar w:fldCharType="begin"/>
            </w:r>
            <w:r>
              <w:rPr>
                <w:webHidden/>
              </w:rPr>
              <w:instrText xml:space="preserve"> PAGEREF _Toc127170317 \h </w:instrText>
            </w:r>
            <w:r>
              <w:rPr>
                <w:webHidden/>
              </w:rPr>
            </w:r>
            <w:r>
              <w:rPr>
                <w:webHidden/>
              </w:rPr>
              <w:fldChar w:fldCharType="separate"/>
            </w:r>
            <w:r>
              <w:rPr>
                <w:webHidden/>
              </w:rPr>
              <w:t>148</w:t>
            </w:r>
            <w:r>
              <w:rPr>
                <w:webHidden/>
              </w:rPr>
              <w:fldChar w:fldCharType="end"/>
            </w:r>
          </w:hyperlink>
        </w:p>
        <w:p w14:paraId="79A258F3" w14:textId="239F1103"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8" w:history="1">
            <w:r w:rsidRPr="00956E4F">
              <w:rPr>
                <w:rStyle w:val="Hyperlink"/>
                <w:i/>
                <w:iCs/>
              </w:rPr>
              <w:t>3.1.2.2. NAT and consumer’s EWR Behavioral Intention.</w:t>
            </w:r>
            <w:r>
              <w:rPr>
                <w:webHidden/>
              </w:rPr>
              <w:tab/>
            </w:r>
            <w:r>
              <w:rPr>
                <w:webHidden/>
              </w:rPr>
              <w:fldChar w:fldCharType="begin"/>
            </w:r>
            <w:r>
              <w:rPr>
                <w:webHidden/>
              </w:rPr>
              <w:instrText xml:space="preserve"> PAGEREF _Toc127170318 \h </w:instrText>
            </w:r>
            <w:r>
              <w:rPr>
                <w:webHidden/>
              </w:rPr>
            </w:r>
            <w:r>
              <w:rPr>
                <w:webHidden/>
              </w:rPr>
              <w:fldChar w:fldCharType="separate"/>
            </w:r>
            <w:r>
              <w:rPr>
                <w:webHidden/>
              </w:rPr>
              <w:t>149</w:t>
            </w:r>
            <w:r>
              <w:rPr>
                <w:webHidden/>
              </w:rPr>
              <w:fldChar w:fldCharType="end"/>
            </w:r>
          </w:hyperlink>
        </w:p>
        <w:p w14:paraId="643B578A" w14:textId="32A805D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19" w:history="1">
            <w:r w:rsidRPr="00956E4F">
              <w:rPr>
                <w:rStyle w:val="Hyperlink"/>
                <w:i/>
                <w:iCs/>
              </w:rPr>
              <w:t>3.1.2.3. Awareness of E-waste Consequences.</w:t>
            </w:r>
            <w:r>
              <w:rPr>
                <w:webHidden/>
              </w:rPr>
              <w:tab/>
            </w:r>
            <w:r>
              <w:rPr>
                <w:webHidden/>
              </w:rPr>
              <w:fldChar w:fldCharType="begin"/>
            </w:r>
            <w:r>
              <w:rPr>
                <w:webHidden/>
              </w:rPr>
              <w:instrText xml:space="preserve"> PAGEREF _Toc127170319 \h </w:instrText>
            </w:r>
            <w:r>
              <w:rPr>
                <w:webHidden/>
              </w:rPr>
            </w:r>
            <w:r>
              <w:rPr>
                <w:webHidden/>
              </w:rPr>
              <w:fldChar w:fldCharType="separate"/>
            </w:r>
            <w:r>
              <w:rPr>
                <w:webHidden/>
              </w:rPr>
              <w:t>149</w:t>
            </w:r>
            <w:r>
              <w:rPr>
                <w:webHidden/>
              </w:rPr>
              <w:fldChar w:fldCharType="end"/>
            </w:r>
          </w:hyperlink>
        </w:p>
        <w:p w14:paraId="539A2D50" w14:textId="732B0F3E"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0" w:history="1">
            <w:r w:rsidRPr="00956E4F">
              <w:rPr>
                <w:rStyle w:val="Hyperlink"/>
                <w:i/>
                <w:iCs/>
              </w:rPr>
              <w:t>3.1.2.4. Ascription of Responsibility.</w:t>
            </w:r>
            <w:r>
              <w:rPr>
                <w:webHidden/>
              </w:rPr>
              <w:tab/>
            </w:r>
            <w:r>
              <w:rPr>
                <w:webHidden/>
              </w:rPr>
              <w:fldChar w:fldCharType="begin"/>
            </w:r>
            <w:r>
              <w:rPr>
                <w:webHidden/>
              </w:rPr>
              <w:instrText xml:space="preserve"> PAGEREF _Toc127170320 \h </w:instrText>
            </w:r>
            <w:r>
              <w:rPr>
                <w:webHidden/>
              </w:rPr>
            </w:r>
            <w:r>
              <w:rPr>
                <w:webHidden/>
              </w:rPr>
              <w:fldChar w:fldCharType="separate"/>
            </w:r>
            <w:r>
              <w:rPr>
                <w:webHidden/>
              </w:rPr>
              <w:t>150</w:t>
            </w:r>
            <w:r>
              <w:rPr>
                <w:webHidden/>
              </w:rPr>
              <w:fldChar w:fldCharType="end"/>
            </w:r>
          </w:hyperlink>
        </w:p>
        <w:p w14:paraId="5CC92A48" w14:textId="5CDD39D0"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1" w:history="1">
            <w:r w:rsidRPr="00956E4F">
              <w:rPr>
                <w:rStyle w:val="Hyperlink"/>
                <w:i/>
                <w:iCs/>
              </w:rPr>
              <w:t>3.1.2.5. Extending the NAT With Additional Factors.</w:t>
            </w:r>
            <w:r>
              <w:rPr>
                <w:webHidden/>
              </w:rPr>
              <w:tab/>
            </w:r>
            <w:r>
              <w:rPr>
                <w:webHidden/>
              </w:rPr>
              <w:fldChar w:fldCharType="begin"/>
            </w:r>
            <w:r>
              <w:rPr>
                <w:webHidden/>
              </w:rPr>
              <w:instrText xml:space="preserve"> PAGEREF _Toc127170321 \h </w:instrText>
            </w:r>
            <w:r>
              <w:rPr>
                <w:webHidden/>
              </w:rPr>
            </w:r>
            <w:r>
              <w:rPr>
                <w:webHidden/>
              </w:rPr>
              <w:fldChar w:fldCharType="separate"/>
            </w:r>
            <w:r>
              <w:rPr>
                <w:webHidden/>
              </w:rPr>
              <w:t>151</w:t>
            </w:r>
            <w:r>
              <w:rPr>
                <w:webHidden/>
              </w:rPr>
              <w:fldChar w:fldCharType="end"/>
            </w:r>
          </w:hyperlink>
        </w:p>
        <w:p w14:paraId="2C67EC4A" w14:textId="3488AA97"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2" w:history="1">
            <w:r w:rsidRPr="00956E4F">
              <w:rPr>
                <w:rStyle w:val="Hyperlink"/>
                <w:rFonts w:ascii="Times New Roman" w:eastAsiaTheme="majorEastAsia" w:hAnsi="Times New Roman" w:cstheme="majorBidi"/>
                <w:i/>
                <w:iCs/>
              </w:rPr>
              <w:t>3.1.3. The Protection Motivation Theory (PMT).</w:t>
            </w:r>
            <w:r>
              <w:rPr>
                <w:webHidden/>
              </w:rPr>
              <w:tab/>
            </w:r>
            <w:r>
              <w:rPr>
                <w:webHidden/>
              </w:rPr>
              <w:fldChar w:fldCharType="begin"/>
            </w:r>
            <w:r>
              <w:rPr>
                <w:webHidden/>
              </w:rPr>
              <w:instrText xml:space="preserve"> PAGEREF _Toc127170322 \h </w:instrText>
            </w:r>
            <w:r>
              <w:rPr>
                <w:webHidden/>
              </w:rPr>
            </w:r>
            <w:r>
              <w:rPr>
                <w:webHidden/>
              </w:rPr>
              <w:fldChar w:fldCharType="separate"/>
            </w:r>
            <w:r>
              <w:rPr>
                <w:webHidden/>
              </w:rPr>
              <w:t>152</w:t>
            </w:r>
            <w:r>
              <w:rPr>
                <w:webHidden/>
              </w:rPr>
              <w:fldChar w:fldCharType="end"/>
            </w:r>
          </w:hyperlink>
        </w:p>
        <w:p w14:paraId="29E0AE72" w14:textId="582F18E1"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3" w:history="1">
            <w:r w:rsidRPr="00956E4F">
              <w:rPr>
                <w:rStyle w:val="Hyperlink"/>
                <w:i/>
                <w:iCs/>
              </w:rPr>
              <w:t>3.1.3.1. PMT, Waste, and Environment.</w:t>
            </w:r>
            <w:r>
              <w:rPr>
                <w:webHidden/>
              </w:rPr>
              <w:tab/>
            </w:r>
            <w:r>
              <w:rPr>
                <w:webHidden/>
              </w:rPr>
              <w:fldChar w:fldCharType="begin"/>
            </w:r>
            <w:r>
              <w:rPr>
                <w:webHidden/>
              </w:rPr>
              <w:instrText xml:space="preserve"> PAGEREF _Toc127170323 \h </w:instrText>
            </w:r>
            <w:r>
              <w:rPr>
                <w:webHidden/>
              </w:rPr>
            </w:r>
            <w:r>
              <w:rPr>
                <w:webHidden/>
              </w:rPr>
              <w:fldChar w:fldCharType="separate"/>
            </w:r>
            <w:r>
              <w:rPr>
                <w:webHidden/>
              </w:rPr>
              <w:t>155</w:t>
            </w:r>
            <w:r>
              <w:rPr>
                <w:webHidden/>
              </w:rPr>
              <w:fldChar w:fldCharType="end"/>
            </w:r>
          </w:hyperlink>
        </w:p>
        <w:p w14:paraId="2B9123E8" w14:textId="090B53BA"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4" w:history="1">
            <w:r w:rsidRPr="00956E4F">
              <w:rPr>
                <w:rStyle w:val="Hyperlink"/>
                <w:i/>
                <w:iCs/>
              </w:rPr>
              <w:t>3.1.3.2. PMT and Consumer’s EWR Behavioral Intention</w:t>
            </w:r>
            <w:r>
              <w:rPr>
                <w:webHidden/>
              </w:rPr>
              <w:tab/>
            </w:r>
            <w:r>
              <w:rPr>
                <w:webHidden/>
              </w:rPr>
              <w:fldChar w:fldCharType="begin"/>
            </w:r>
            <w:r>
              <w:rPr>
                <w:webHidden/>
              </w:rPr>
              <w:instrText xml:space="preserve"> PAGEREF _Toc127170324 \h </w:instrText>
            </w:r>
            <w:r>
              <w:rPr>
                <w:webHidden/>
              </w:rPr>
            </w:r>
            <w:r>
              <w:rPr>
                <w:webHidden/>
              </w:rPr>
              <w:fldChar w:fldCharType="separate"/>
            </w:r>
            <w:r>
              <w:rPr>
                <w:webHidden/>
              </w:rPr>
              <w:t>156</w:t>
            </w:r>
            <w:r>
              <w:rPr>
                <w:webHidden/>
              </w:rPr>
              <w:fldChar w:fldCharType="end"/>
            </w:r>
          </w:hyperlink>
        </w:p>
        <w:p w14:paraId="7A1B429C" w14:textId="0E364B74"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5" w:history="1">
            <w:r w:rsidRPr="00956E4F">
              <w:rPr>
                <w:rStyle w:val="Hyperlink"/>
                <w:i/>
                <w:iCs/>
              </w:rPr>
              <w:t>3.1.3.3. Perceived E-waste Threat Appraisal.</w:t>
            </w:r>
            <w:r>
              <w:rPr>
                <w:webHidden/>
              </w:rPr>
              <w:tab/>
            </w:r>
            <w:r>
              <w:rPr>
                <w:webHidden/>
              </w:rPr>
              <w:fldChar w:fldCharType="begin"/>
            </w:r>
            <w:r>
              <w:rPr>
                <w:webHidden/>
              </w:rPr>
              <w:instrText xml:space="preserve"> PAGEREF _Toc127170325 \h </w:instrText>
            </w:r>
            <w:r>
              <w:rPr>
                <w:webHidden/>
              </w:rPr>
            </w:r>
            <w:r>
              <w:rPr>
                <w:webHidden/>
              </w:rPr>
              <w:fldChar w:fldCharType="separate"/>
            </w:r>
            <w:r>
              <w:rPr>
                <w:webHidden/>
              </w:rPr>
              <w:t>157</w:t>
            </w:r>
            <w:r>
              <w:rPr>
                <w:webHidden/>
              </w:rPr>
              <w:fldChar w:fldCharType="end"/>
            </w:r>
          </w:hyperlink>
        </w:p>
        <w:p w14:paraId="02D757E2" w14:textId="27DD59A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6" w:history="1">
            <w:r w:rsidRPr="00956E4F">
              <w:rPr>
                <w:rStyle w:val="Hyperlink"/>
                <w:i/>
                <w:iCs/>
              </w:rPr>
              <w:t>3.1.3.4. Information/Knowledge about EWR.</w:t>
            </w:r>
            <w:r>
              <w:rPr>
                <w:webHidden/>
              </w:rPr>
              <w:tab/>
            </w:r>
            <w:r>
              <w:rPr>
                <w:webHidden/>
              </w:rPr>
              <w:fldChar w:fldCharType="begin"/>
            </w:r>
            <w:r>
              <w:rPr>
                <w:webHidden/>
              </w:rPr>
              <w:instrText xml:space="preserve"> PAGEREF _Toc127170326 \h </w:instrText>
            </w:r>
            <w:r>
              <w:rPr>
                <w:webHidden/>
              </w:rPr>
            </w:r>
            <w:r>
              <w:rPr>
                <w:webHidden/>
              </w:rPr>
              <w:fldChar w:fldCharType="separate"/>
            </w:r>
            <w:r>
              <w:rPr>
                <w:webHidden/>
              </w:rPr>
              <w:t>159</w:t>
            </w:r>
            <w:r>
              <w:rPr>
                <w:webHidden/>
              </w:rPr>
              <w:fldChar w:fldCharType="end"/>
            </w:r>
          </w:hyperlink>
        </w:p>
        <w:p w14:paraId="1A531A4C" w14:textId="119956BF"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27" w:history="1">
            <w:r w:rsidRPr="00956E4F">
              <w:rPr>
                <w:rStyle w:val="Hyperlink"/>
                <w:i/>
                <w:iCs/>
              </w:rPr>
              <w:t>3.1.3.5. Extending the PMT with Additional Factors.</w:t>
            </w:r>
            <w:r>
              <w:rPr>
                <w:webHidden/>
              </w:rPr>
              <w:tab/>
            </w:r>
            <w:r>
              <w:rPr>
                <w:webHidden/>
              </w:rPr>
              <w:fldChar w:fldCharType="begin"/>
            </w:r>
            <w:r>
              <w:rPr>
                <w:webHidden/>
              </w:rPr>
              <w:instrText xml:space="preserve"> PAGEREF _Toc127170327 \h </w:instrText>
            </w:r>
            <w:r>
              <w:rPr>
                <w:webHidden/>
              </w:rPr>
            </w:r>
            <w:r>
              <w:rPr>
                <w:webHidden/>
              </w:rPr>
              <w:fldChar w:fldCharType="separate"/>
            </w:r>
            <w:r>
              <w:rPr>
                <w:webHidden/>
              </w:rPr>
              <w:t>160</w:t>
            </w:r>
            <w:r>
              <w:rPr>
                <w:webHidden/>
              </w:rPr>
              <w:fldChar w:fldCharType="end"/>
            </w:r>
          </w:hyperlink>
        </w:p>
        <w:p w14:paraId="01249B00" w14:textId="213F9522"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28" w:history="1">
            <w:r w:rsidRPr="00956E4F">
              <w:rPr>
                <w:rStyle w:val="Hyperlink"/>
                <w:rFonts w:eastAsia="Times New Roman"/>
              </w:rPr>
              <w:t>3.2. Literature Sources of the Proposed Research Model.</w:t>
            </w:r>
            <w:r>
              <w:rPr>
                <w:webHidden/>
              </w:rPr>
              <w:tab/>
            </w:r>
            <w:r>
              <w:rPr>
                <w:webHidden/>
              </w:rPr>
              <w:fldChar w:fldCharType="begin"/>
            </w:r>
            <w:r>
              <w:rPr>
                <w:webHidden/>
              </w:rPr>
              <w:instrText xml:space="preserve"> PAGEREF _Toc127170328 \h </w:instrText>
            </w:r>
            <w:r>
              <w:rPr>
                <w:webHidden/>
              </w:rPr>
            </w:r>
            <w:r>
              <w:rPr>
                <w:webHidden/>
              </w:rPr>
              <w:fldChar w:fldCharType="separate"/>
            </w:r>
            <w:r>
              <w:rPr>
                <w:webHidden/>
              </w:rPr>
              <w:t>164</w:t>
            </w:r>
            <w:r>
              <w:rPr>
                <w:webHidden/>
              </w:rPr>
              <w:fldChar w:fldCharType="end"/>
            </w:r>
          </w:hyperlink>
        </w:p>
        <w:p w14:paraId="745AFAC1" w14:textId="4E1B8EF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29" w:history="1">
            <w:r w:rsidRPr="00956E4F">
              <w:rPr>
                <w:rStyle w:val="Hyperlink"/>
                <w:rFonts w:eastAsia="Times New Roman"/>
              </w:rPr>
              <w:t>3.3. Chapter Summary.</w:t>
            </w:r>
            <w:r>
              <w:rPr>
                <w:webHidden/>
              </w:rPr>
              <w:tab/>
            </w:r>
            <w:r>
              <w:rPr>
                <w:webHidden/>
              </w:rPr>
              <w:fldChar w:fldCharType="begin"/>
            </w:r>
            <w:r>
              <w:rPr>
                <w:webHidden/>
              </w:rPr>
              <w:instrText xml:space="preserve"> PAGEREF _Toc127170329 \h </w:instrText>
            </w:r>
            <w:r>
              <w:rPr>
                <w:webHidden/>
              </w:rPr>
            </w:r>
            <w:r>
              <w:rPr>
                <w:webHidden/>
              </w:rPr>
              <w:fldChar w:fldCharType="separate"/>
            </w:r>
            <w:r>
              <w:rPr>
                <w:webHidden/>
              </w:rPr>
              <w:t>171</w:t>
            </w:r>
            <w:r>
              <w:rPr>
                <w:webHidden/>
              </w:rPr>
              <w:fldChar w:fldCharType="end"/>
            </w:r>
          </w:hyperlink>
        </w:p>
        <w:p w14:paraId="6152C150" w14:textId="7DDD5986"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30" w:history="1">
            <w:r w:rsidRPr="00956E4F">
              <w:rPr>
                <w:rStyle w:val="Hyperlink"/>
              </w:rPr>
              <w:t>CHAPTER 4</w:t>
            </w:r>
            <w:r>
              <w:rPr>
                <w:webHidden/>
              </w:rPr>
              <w:tab/>
            </w:r>
            <w:r>
              <w:rPr>
                <w:webHidden/>
              </w:rPr>
              <w:fldChar w:fldCharType="begin"/>
            </w:r>
            <w:r>
              <w:rPr>
                <w:webHidden/>
              </w:rPr>
              <w:instrText xml:space="preserve"> PAGEREF _Toc127170330 \h </w:instrText>
            </w:r>
            <w:r>
              <w:rPr>
                <w:webHidden/>
              </w:rPr>
            </w:r>
            <w:r>
              <w:rPr>
                <w:webHidden/>
              </w:rPr>
              <w:fldChar w:fldCharType="separate"/>
            </w:r>
            <w:r>
              <w:rPr>
                <w:webHidden/>
              </w:rPr>
              <w:t>173</w:t>
            </w:r>
            <w:r>
              <w:rPr>
                <w:webHidden/>
              </w:rPr>
              <w:fldChar w:fldCharType="end"/>
            </w:r>
          </w:hyperlink>
        </w:p>
        <w:p w14:paraId="3ECF018A" w14:textId="4F823151"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31" w:history="1">
            <w:r w:rsidRPr="00956E4F">
              <w:rPr>
                <w:rStyle w:val="Hyperlink"/>
              </w:rPr>
              <w:t>Research Methods</w:t>
            </w:r>
            <w:r>
              <w:rPr>
                <w:webHidden/>
              </w:rPr>
              <w:tab/>
            </w:r>
            <w:r>
              <w:rPr>
                <w:webHidden/>
              </w:rPr>
              <w:fldChar w:fldCharType="begin"/>
            </w:r>
            <w:r>
              <w:rPr>
                <w:webHidden/>
              </w:rPr>
              <w:instrText xml:space="preserve"> PAGEREF _Toc127170331 \h </w:instrText>
            </w:r>
            <w:r>
              <w:rPr>
                <w:webHidden/>
              </w:rPr>
            </w:r>
            <w:r>
              <w:rPr>
                <w:webHidden/>
              </w:rPr>
              <w:fldChar w:fldCharType="separate"/>
            </w:r>
            <w:r>
              <w:rPr>
                <w:webHidden/>
              </w:rPr>
              <w:t>173</w:t>
            </w:r>
            <w:r>
              <w:rPr>
                <w:webHidden/>
              </w:rPr>
              <w:fldChar w:fldCharType="end"/>
            </w:r>
          </w:hyperlink>
        </w:p>
        <w:p w14:paraId="267ADF0E" w14:textId="1D3F9BDE"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32" w:history="1">
            <w:r w:rsidRPr="00956E4F">
              <w:rPr>
                <w:rStyle w:val="Hyperlink"/>
                <w:rFonts w:eastAsiaTheme="majorEastAsia"/>
              </w:rPr>
              <w:t>4.0. Introduction.</w:t>
            </w:r>
            <w:r>
              <w:rPr>
                <w:webHidden/>
              </w:rPr>
              <w:tab/>
            </w:r>
            <w:r>
              <w:rPr>
                <w:webHidden/>
              </w:rPr>
              <w:fldChar w:fldCharType="begin"/>
            </w:r>
            <w:r>
              <w:rPr>
                <w:webHidden/>
              </w:rPr>
              <w:instrText xml:space="preserve"> PAGEREF _Toc127170332 \h </w:instrText>
            </w:r>
            <w:r>
              <w:rPr>
                <w:webHidden/>
              </w:rPr>
            </w:r>
            <w:r>
              <w:rPr>
                <w:webHidden/>
              </w:rPr>
              <w:fldChar w:fldCharType="separate"/>
            </w:r>
            <w:r>
              <w:rPr>
                <w:webHidden/>
              </w:rPr>
              <w:t>173</w:t>
            </w:r>
            <w:r>
              <w:rPr>
                <w:webHidden/>
              </w:rPr>
              <w:fldChar w:fldCharType="end"/>
            </w:r>
          </w:hyperlink>
        </w:p>
        <w:p w14:paraId="52CBE058" w14:textId="222659ED"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33" w:history="1">
            <w:r w:rsidRPr="00956E4F">
              <w:rPr>
                <w:rStyle w:val="Hyperlink"/>
                <w:rFonts w:eastAsiaTheme="majorEastAsia"/>
              </w:rPr>
              <w:t>4.1. Research Philosophy, Purpose and Approach.</w:t>
            </w:r>
            <w:r>
              <w:rPr>
                <w:webHidden/>
              </w:rPr>
              <w:tab/>
            </w:r>
            <w:r>
              <w:rPr>
                <w:webHidden/>
              </w:rPr>
              <w:fldChar w:fldCharType="begin"/>
            </w:r>
            <w:r>
              <w:rPr>
                <w:webHidden/>
              </w:rPr>
              <w:instrText xml:space="preserve"> PAGEREF _Toc127170333 \h </w:instrText>
            </w:r>
            <w:r>
              <w:rPr>
                <w:webHidden/>
              </w:rPr>
            </w:r>
            <w:r>
              <w:rPr>
                <w:webHidden/>
              </w:rPr>
              <w:fldChar w:fldCharType="separate"/>
            </w:r>
            <w:r>
              <w:rPr>
                <w:webHidden/>
              </w:rPr>
              <w:t>174</w:t>
            </w:r>
            <w:r>
              <w:rPr>
                <w:webHidden/>
              </w:rPr>
              <w:fldChar w:fldCharType="end"/>
            </w:r>
          </w:hyperlink>
        </w:p>
        <w:p w14:paraId="726A7C03" w14:textId="182FFEDE"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34" w:history="1">
            <w:r w:rsidRPr="00956E4F">
              <w:rPr>
                <w:rStyle w:val="Hyperlink"/>
                <w:rFonts w:eastAsiaTheme="majorEastAsia"/>
              </w:rPr>
              <w:t>4.2. Research Design.</w:t>
            </w:r>
            <w:r>
              <w:rPr>
                <w:webHidden/>
              </w:rPr>
              <w:tab/>
            </w:r>
            <w:r>
              <w:rPr>
                <w:webHidden/>
              </w:rPr>
              <w:fldChar w:fldCharType="begin"/>
            </w:r>
            <w:r>
              <w:rPr>
                <w:webHidden/>
              </w:rPr>
              <w:instrText xml:space="preserve"> PAGEREF _Toc127170334 \h </w:instrText>
            </w:r>
            <w:r>
              <w:rPr>
                <w:webHidden/>
              </w:rPr>
            </w:r>
            <w:r>
              <w:rPr>
                <w:webHidden/>
              </w:rPr>
              <w:fldChar w:fldCharType="separate"/>
            </w:r>
            <w:r>
              <w:rPr>
                <w:webHidden/>
              </w:rPr>
              <w:t>178</w:t>
            </w:r>
            <w:r>
              <w:rPr>
                <w:webHidden/>
              </w:rPr>
              <w:fldChar w:fldCharType="end"/>
            </w:r>
          </w:hyperlink>
        </w:p>
        <w:p w14:paraId="7A247C71" w14:textId="4DA400C5"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35" w:history="1">
            <w:r w:rsidRPr="00956E4F">
              <w:rPr>
                <w:rStyle w:val="Hyperlink"/>
                <w:rFonts w:eastAsiaTheme="majorEastAsia"/>
              </w:rPr>
              <w:t>4.3. Sampling, Questionnaire, and Data Collection.</w:t>
            </w:r>
            <w:r>
              <w:rPr>
                <w:webHidden/>
              </w:rPr>
              <w:tab/>
            </w:r>
            <w:r>
              <w:rPr>
                <w:webHidden/>
              </w:rPr>
              <w:fldChar w:fldCharType="begin"/>
            </w:r>
            <w:r>
              <w:rPr>
                <w:webHidden/>
              </w:rPr>
              <w:instrText xml:space="preserve"> PAGEREF _Toc127170335 \h </w:instrText>
            </w:r>
            <w:r>
              <w:rPr>
                <w:webHidden/>
              </w:rPr>
            </w:r>
            <w:r>
              <w:rPr>
                <w:webHidden/>
              </w:rPr>
              <w:fldChar w:fldCharType="separate"/>
            </w:r>
            <w:r>
              <w:rPr>
                <w:webHidden/>
              </w:rPr>
              <w:t>180</w:t>
            </w:r>
            <w:r>
              <w:rPr>
                <w:webHidden/>
              </w:rPr>
              <w:fldChar w:fldCharType="end"/>
            </w:r>
          </w:hyperlink>
        </w:p>
        <w:p w14:paraId="64C6F6E8" w14:textId="18479850"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36" w:history="1">
            <w:r w:rsidRPr="00956E4F">
              <w:rPr>
                <w:rStyle w:val="Hyperlink"/>
                <w:rFonts w:ascii="Times New Roman" w:eastAsiaTheme="majorEastAsia" w:hAnsi="Times New Roman"/>
                <w:i/>
                <w:iCs/>
              </w:rPr>
              <w:t>4.3.1. Research Area and Population.</w:t>
            </w:r>
            <w:r>
              <w:rPr>
                <w:webHidden/>
              </w:rPr>
              <w:tab/>
            </w:r>
            <w:r>
              <w:rPr>
                <w:webHidden/>
              </w:rPr>
              <w:fldChar w:fldCharType="begin"/>
            </w:r>
            <w:r>
              <w:rPr>
                <w:webHidden/>
              </w:rPr>
              <w:instrText xml:space="preserve"> PAGEREF _Toc127170336 \h </w:instrText>
            </w:r>
            <w:r>
              <w:rPr>
                <w:webHidden/>
              </w:rPr>
            </w:r>
            <w:r>
              <w:rPr>
                <w:webHidden/>
              </w:rPr>
              <w:fldChar w:fldCharType="separate"/>
            </w:r>
            <w:r>
              <w:rPr>
                <w:webHidden/>
              </w:rPr>
              <w:t>180</w:t>
            </w:r>
            <w:r>
              <w:rPr>
                <w:webHidden/>
              </w:rPr>
              <w:fldChar w:fldCharType="end"/>
            </w:r>
          </w:hyperlink>
        </w:p>
        <w:p w14:paraId="3FFB05DC" w14:textId="2E967417"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37" w:history="1">
            <w:r w:rsidRPr="00956E4F">
              <w:rPr>
                <w:rStyle w:val="Hyperlink"/>
                <w:rFonts w:ascii="Times New Roman" w:eastAsiaTheme="majorEastAsia" w:hAnsi="Times New Roman"/>
                <w:i/>
                <w:iCs/>
              </w:rPr>
              <w:t>4.3.2. Sampling Procedure.</w:t>
            </w:r>
            <w:r>
              <w:rPr>
                <w:webHidden/>
              </w:rPr>
              <w:tab/>
            </w:r>
            <w:r>
              <w:rPr>
                <w:webHidden/>
              </w:rPr>
              <w:fldChar w:fldCharType="begin"/>
            </w:r>
            <w:r>
              <w:rPr>
                <w:webHidden/>
              </w:rPr>
              <w:instrText xml:space="preserve"> PAGEREF _Toc127170337 \h </w:instrText>
            </w:r>
            <w:r>
              <w:rPr>
                <w:webHidden/>
              </w:rPr>
            </w:r>
            <w:r>
              <w:rPr>
                <w:webHidden/>
              </w:rPr>
              <w:fldChar w:fldCharType="separate"/>
            </w:r>
            <w:r>
              <w:rPr>
                <w:webHidden/>
              </w:rPr>
              <w:t>182</w:t>
            </w:r>
            <w:r>
              <w:rPr>
                <w:webHidden/>
              </w:rPr>
              <w:fldChar w:fldCharType="end"/>
            </w:r>
          </w:hyperlink>
        </w:p>
        <w:p w14:paraId="1C1CB220" w14:textId="69ECDD5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38" w:history="1">
            <w:r w:rsidRPr="00956E4F">
              <w:rPr>
                <w:rStyle w:val="Hyperlink"/>
                <w:rFonts w:ascii="Times New Roman" w:eastAsiaTheme="majorEastAsia" w:hAnsi="Times New Roman"/>
                <w:i/>
                <w:iCs/>
              </w:rPr>
              <w:t>4.3.3. Survey Design.</w:t>
            </w:r>
            <w:r>
              <w:rPr>
                <w:webHidden/>
              </w:rPr>
              <w:tab/>
            </w:r>
            <w:r>
              <w:rPr>
                <w:webHidden/>
              </w:rPr>
              <w:fldChar w:fldCharType="begin"/>
            </w:r>
            <w:r>
              <w:rPr>
                <w:webHidden/>
              </w:rPr>
              <w:instrText xml:space="preserve"> PAGEREF _Toc127170338 \h </w:instrText>
            </w:r>
            <w:r>
              <w:rPr>
                <w:webHidden/>
              </w:rPr>
            </w:r>
            <w:r>
              <w:rPr>
                <w:webHidden/>
              </w:rPr>
              <w:fldChar w:fldCharType="separate"/>
            </w:r>
            <w:r>
              <w:rPr>
                <w:webHidden/>
              </w:rPr>
              <w:t>183</w:t>
            </w:r>
            <w:r>
              <w:rPr>
                <w:webHidden/>
              </w:rPr>
              <w:fldChar w:fldCharType="end"/>
            </w:r>
          </w:hyperlink>
        </w:p>
        <w:p w14:paraId="13EA2A01" w14:textId="41C3A3B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39" w:history="1">
            <w:r w:rsidRPr="00956E4F">
              <w:rPr>
                <w:rStyle w:val="Hyperlink"/>
                <w:rFonts w:ascii="Times New Roman" w:eastAsiaTheme="majorEastAsia" w:hAnsi="Times New Roman"/>
                <w:i/>
                <w:iCs/>
              </w:rPr>
              <w:t>4.3.4. Pilot Test.</w:t>
            </w:r>
            <w:r>
              <w:rPr>
                <w:webHidden/>
              </w:rPr>
              <w:tab/>
            </w:r>
            <w:r>
              <w:rPr>
                <w:webHidden/>
              </w:rPr>
              <w:fldChar w:fldCharType="begin"/>
            </w:r>
            <w:r>
              <w:rPr>
                <w:webHidden/>
              </w:rPr>
              <w:instrText xml:space="preserve"> PAGEREF _Toc127170339 \h </w:instrText>
            </w:r>
            <w:r>
              <w:rPr>
                <w:webHidden/>
              </w:rPr>
            </w:r>
            <w:r>
              <w:rPr>
                <w:webHidden/>
              </w:rPr>
              <w:fldChar w:fldCharType="separate"/>
            </w:r>
            <w:r>
              <w:rPr>
                <w:webHidden/>
              </w:rPr>
              <w:t>186</w:t>
            </w:r>
            <w:r>
              <w:rPr>
                <w:webHidden/>
              </w:rPr>
              <w:fldChar w:fldCharType="end"/>
            </w:r>
          </w:hyperlink>
        </w:p>
        <w:p w14:paraId="195A1A91" w14:textId="3289BB3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0" w:history="1">
            <w:r w:rsidRPr="00956E4F">
              <w:rPr>
                <w:rStyle w:val="Hyperlink"/>
                <w:rFonts w:ascii="Times New Roman" w:eastAsiaTheme="majorEastAsia" w:hAnsi="Times New Roman"/>
                <w:i/>
                <w:iCs/>
              </w:rPr>
              <w:t>4.3.5. Data Collection, Preparation, and Management.</w:t>
            </w:r>
            <w:r>
              <w:rPr>
                <w:webHidden/>
              </w:rPr>
              <w:tab/>
            </w:r>
            <w:r>
              <w:rPr>
                <w:webHidden/>
              </w:rPr>
              <w:fldChar w:fldCharType="begin"/>
            </w:r>
            <w:r>
              <w:rPr>
                <w:webHidden/>
              </w:rPr>
              <w:instrText xml:space="preserve"> PAGEREF _Toc127170340 \h </w:instrText>
            </w:r>
            <w:r>
              <w:rPr>
                <w:webHidden/>
              </w:rPr>
            </w:r>
            <w:r>
              <w:rPr>
                <w:webHidden/>
              </w:rPr>
              <w:fldChar w:fldCharType="separate"/>
            </w:r>
            <w:r>
              <w:rPr>
                <w:webHidden/>
              </w:rPr>
              <w:t>188</w:t>
            </w:r>
            <w:r>
              <w:rPr>
                <w:webHidden/>
              </w:rPr>
              <w:fldChar w:fldCharType="end"/>
            </w:r>
          </w:hyperlink>
        </w:p>
        <w:p w14:paraId="30B9FAFA" w14:textId="786A678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41" w:history="1">
            <w:r w:rsidRPr="00956E4F">
              <w:rPr>
                <w:rStyle w:val="Hyperlink"/>
                <w:rFonts w:eastAsiaTheme="majorEastAsia"/>
              </w:rPr>
              <w:t>4.4. Data Processing and Analysis.</w:t>
            </w:r>
            <w:r>
              <w:rPr>
                <w:webHidden/>
              </w:rPr>
              <w:tab/>
            </w:r>
            <w:r>
              <w:rPr>
                <w:webHidden/>
              </w:rPr>
              <w:fldChar w:fldCharType="begin"/>
            </w:r>
            <w:r>
              <w:rPr>
                <w:webHidden/>
              </w:rPr>
              <w:instrText xml:space="preserve"> PAGEREF _Toc127170341 \h </w:instrText>
            </w:r>
            <w:r>
              <w:rPr>
                <w:webHidden/>
              </w:rPr>
            </w:r>
            <w:r>
              <w:rPr>
                <w:webHidden/>
              </w:rPr>
              <w:fldChar w:fldCharType="separate"/>
            </w:r>
            <w:r>
              <w:rPr>
                <w:webHidden/>
              </w:rPr>
              <w:t>189</w:t>
            </w:r>
            <w:r>
              <w:rPr>
                <w:webHidden/>
              </w:rPr>
              <w:fldChar w:fldCharType="end"/>
            </w:r>
          </w:hyperlink>
        </w:p>
        <w:p w14:paraId="69DE1B8A" w14:textId="0B6D571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2" w:history="1">
            <w:r w:rsidRPr="00956E4F">
              <w:rPr>
                <w:rStyle w:val="Hyperlink"/>
                <w:rFonts w:ascii="Times New Roman" w:eastAsiaTheme="majorEastAsia" w:hAnsi="Times New Roman"/>
                <w:i/>
                <w:iCs/>
              </w:rPr>
              <w:t>4.4.1. Common Method Bias and Social Desirability.</w:t>
            </w:r>
            <w:r>
              <w:rPr>
                <w:webHidden/>
              </w:rPr>
              <w:tab/>
            </w:r>
            <w:r>
              <w:rPr>
                <w:webHidden/>
              </w:rPr>
              <w:fldChar w:fldCharType="begin"/>
            </w:r>
            <w:r>
              <w:rPr>
                <w:webHidden/>
              </w:rPr>
              <w:instrText xml:space="preserve"> PAGEREF _Toc127170342 \h </w:instrText>
            </w:r>
            <w:r>
              <w:rPr>
                <w:webHidden/>
              </w:rPr>
            </w:r>
            <w:r>
              <w:rPr>
                <w:webHidden/>
              </w:rPr>
              <w:fldChar w:fldCharType="separate"/>
            </w:r>
            <w:r>
              <w:rPr>
                <w:webHidden/>
              </w:rPr>
              <w:t>190</w:t>
            </w:r>
            <w:r>
              <w:rPr>
                <w:webHidden/>
              </w:rPr>
              <w:fldChar w:fldCharType="end"/>
            </w:r>
          </w:hyperlink>
        </w:p>
        <w:p w14:paraId="08D36B5B" w14:textId="6BF337B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3" w:history="1">
            <w:r w:rsidRPr="00956E4F">
              <w:rPr>
                <w:rStyle w:val="Hyperlink"/>
                <w:rFonts w:ascii="Times New Roman" w:eastAsiaTheme="majorEastAsia" w:hAnsi="Times New Roman"/>
                <w:i/>
                <w:iCs/>
              </w:rPr>
              <w:t>4.4.2. Descriptive Analysis.</w:t>
            </w:r>
            <w:r>
              <w:rPr>
                <w:webHidden/>
              </w:rPr>
              <w:tab/>
            </w:r>
            <w:r>
              <w:rPr>
                <w:webHidden/>
              </w:rPr>
              <w:fldChar w:fldCharType="begin"/>
            </w:r>
            <w:r>
              <w:rPr>
                <w:webHidden/>
              </w:rPr>
              <w:instrText xml:space="preserve"> PAGEREF _Toc127170343 \h </w:instrText>
            </w:r>
            <w:r>
              <w:rPr>
                <w:webHidden/>
              </w:rPr>
            </w:r>
            <w:r>
              <w:rPr>
                <w:webHidden/>
              </w:rPr>
              <w:fldChar w:fldCharType="separate"/>
            </w:r>
            <w:r>
              <w:rPr>
                <w:webHidden/>
              </w:rPr>
              <w:t>193</w:t>
            </w:r>
            <w:r>
              <w:rPr>
                <w:webHidden/>
              </w:rPr>
              <w:fldChar w:fldCharType="end"/>
            </w:r>
          </w:hyperlink>
        </w:p>
        <w:p w14:paraId="31CA3CF4" w14:textId="3BAE005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4" w:history="1">
            <w:r w:rsidRPr="00956E4F">
              <w:rPr>
                <w:rStyle w:val="Hyperlink"/>
                <w:rFonts w:ascii="Times New Roman" w:eastAsiaTheme="majorEastAsia" w:hAnsi="Times New Roman"/>
                <w:i/>
                <w:iCs/>
              </w:rPr>
              <w:t>4.4.3. Inferential Analysis.</w:t>
            </w:r>
            <w:r>
              <w:rPr>
                <w:webHidden/>
              </w:rPr>
              <w:tab/>
            </w:r>
            <w:r>
              <w:rPr>
                <w:webHidden/>
              </w:rPr>
              <w:fldChar w:fldCharType="begin"/>
            </w:r>
            <w:r>
              <w:rPr>
                <w:webHidden/>
              </w:rPr>
              <w:instrText xml:space="preserve"> PAGEREF _Toc127170344 \h </w:instrText>
            </w:r>
            <w:r>
              <w:rPr>
                <w:webHidden/>
              </w:rPr>
            </w:r>
            <w:r>
              <w:rPr>
                <w:webHidden/>
              </w:rPr>
              <w:fldChar w:fldCharType="separate"/>
            </w:r>
            <w:r>
              <w:rPr>
                <w:webHidden/>
              </w:rPr>
              <w:t>193</w:t>
            </w:r>
            <w:r>
              <w:rPr>
                <w:webHidden/>
              </w:rPr>
              <w:fldChar w:fldCharType="end"/>
            </w:r>
          </w:hyperlink>
        </w:p>
        <w:p w14:paraId="36912DA4" w14:textId="5E8D476F"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5" w:history="1">
            <w:r w:rsidRPr="00956E4F">
              <w:rPr>
                <w:rStyle w:val="Hyperlink"/>
                <w:rFonts w:ascii="Times New Roman" w:eastAsiaTheme="majorEastAsia" w:hAnsi="Times New Roman"/>
                <w:i/>
                <w:iCs/>
              </w:rPr>
              <w:t>4.4.4. Partial Least Squares-Multi Group (PLS-MGA).</w:t>
            </w:r>
            <w:r>
              <w:rPr>
                <w:webHidden/>
              </w:rPr>
              <w:tab/>
            </w:r>
            <w:r>
              <w:rPr>
                <w:webHidden/>
              </w:rPr>
              <w:fldChar w:fldCharType="begin"/>
            </w:r>
            <w:r>
              <w:rPr>
                <w:webHidden/>
              </w:rPr>
              <w:instrText xml:space="preserve"> PAGEREF _Toc127170345 \h </w:instrText>
            </w:r>
            <w:r>
              <w:rPr>
                <w:webHidden/>
              </w:rPr>
            </w:r>
            <w:r>
              <w:rPr>
                <w:webHidden/>
              </w:rPr>
              <w:fldChar w:fldCharType="separate"/>
            </w:r>
            <w:r>
              <w:rPr>
                <w:webHidden/>
              </w:rPr>
              <w:t>196</w:t>
            </w:r>
            <w:r>
              <w:rPr>
                <w:webHidden/>
              </w:rPr>
              <w:fldChar w:fldCharType="end"/>
            </w:r>
          </w:hyperlink>
        </w:p>
        <w:p w14:paraId="7A90AD9D" w14:textId="0EA1F5E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6" w:history="1">
            <w:r w:rsidRPr="00956E4F">
              <w:rPr>
                <w:rStyle w:val="Hyperlink"/>
                <w:rFonts w:ascii="Times New Roman" w:eastAsiaTheme="majorEastAsia" w:hAnsi="Times New Roman"/>
                <w:i/>
                <w:iCs/>
              </w:rPr>
              <w:t>4.4.5. Multi-Group Analysis Procedure in PLS-SEM.</w:t>
            </w:r>
            <w:r>
              <w:rPr>
                <w:webHidden/>
              </w:rPr>
              <w:tab/>
            </w:r>
            <w:r>
              <w:rPr>
                <w:webHidden/>
              </w:rPr>
              <w:fldChar w:fldCharType="begin"/>
            </w:r>
            <w:r>
              <w:rPr>
                <w:webHidden/>
              </w:rPr>
              <w:instrText xml:space="preserve"> PAGEREF _Toc127170346 \h </w:instrText>
            </w:r>
            <w:r>
              <w:rPr>
                <w:webHidden/>
              </w:rPr>
            </w:r>
            <w:r>
              <w:rPr>
                <w:webHidden/>
              </w:rPr>
              <w:fldChar w:fldCharType="separate"/>
            </w:r>
            <w:r>
              <w:rPr>
                <w:webHidden/>
              </w:rPr>
              <w:t>197</w:t>
            </w:r>
            <w:r>
              <w:rPr>
                <w:webHidden/>
              </w:rPr>
              <w:fldChar w:fldCharType="end"/>
            </w:r>
          </w:hyperlink>
        </w:p>
        <w:p w14:paraId="1B61535A" w14:textId="72A99430"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7" w:history="1">
            <w:r w:rsidRPr="00956E4F">
              <w:rPr>
                <w:rStyle w:val="Hyperlink"/>
                <w:rFonts w:ascii="Times New Roman" w:eastAsiaTheme="majorEastAsia" w:hAnsi="Times New Roman"/>
                <w:i/>
                <w:iCs/>
              </w:rPr>
              <w:t>4.4.6. Reliability.</w:t>
            </w:r>
            <w:r>
              <w:rPr>
                <w:webHidden/>
              </w:rPr>
              <w:tab/>
            </w:r>
            <w:r>
              <w:rPr>
                <w:webHidden/>
              </w:rPr>
              <w:fldChar w:fldCharType="begin"/>
            </w:r>
            <w:r>
              <w:rPr>
                <w:webHidden/>
              </w:rPr>
              <w:instrText xml:space="preserve"> PAGEREF _Toc127170347 \h </w:instrText>
            </w:r>
            <w:r>
              <w:rPr>
                <w:webHidden/>
              </w:rPr>
            </w:r>
            <w:r>
              <w:rPr>
                <w:webHidden/>
              </w:rPr>
              <w:fldChar w:fldCharType="separate"/>
            </w:r>
            <w:r>
              <w:rPr>
                <w:webHidden/>
              </w:rPr>
              <w:t>198</w:t>
            </w:r>
            <w:r>
              <w:rPr>
                <w:webHidden/>
              </w:rPr>
              <w:fldChar w:fldCharType="end"/>
            </w:r>
          </w:hyperlink>
        </w:p>
        <w:p w14:paraId="7FC76C26" w14:textId="38FE4A6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48" w:history="1">
            <w:r w:rsidRPr="00956E4F">
              <w:rPr>
                <w:rStyle w:val="Hyperlink"/>
                <w:rFonts w:ascii="Times New Roman" w:eastAsiaTheme="majorEastAsia" w:hAnsi="Times New Roman"/>
                <w:i/>
                <w:iCs/>
              </w:rPr>
              <w:t>4.4.7. Validity.</w:t>
            </w:r>
            <w:r>
              <w:rPr>
                <w:webHidden/>
              </w:rPr>
              <w:tab/>
            </w:r>
            <w:r>
              <w:rPr>
                <w:webHidden/>
              </w:rPr>
              <w:fldChar w:fldCharType="begin"/>
            </w:r>
            <w:r>
              <w:rPr>
                <w:webHidden/>
              </w:rPr>
              <w:instrText xml:space="preserve"> PAGEREF _Toc127170348 \h </w:instrText>
            </w:r>
            <w:r>
              <w:rPr>
                <w:webHidden/>
              </w:rPr>
            </w:r>
            <w:r>
              <w:rPr>
                <w:webHidden/>
              </w:rPr>
              <w:fldChar w:fldCharType="separate"/>
            </w:r>
            <w:r>
              <w:rPr>
                <w:webHidden/>
              </w:rPr>
              <w:t>199</w:t>
            </w:r>
            <w:r>
              <w:rPr>
                <w:webHidden/>
              </w:rPr>
              <w:fldChar w:fldCharType="end"/>
            </w:r>
          </w:hyperlink>
        </w:p>
        <w:p w14:paraId="208CE072" w14:textId="1136B306"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49" w:history="1">
            <w:r w:rsidRPr="00956E4F">
              <w:rPr>
                <w:rStyle w:val="Hyperlink"/>
                <w:rFonts w:eastAsiaTheme="majorEastAsia"/>
              </w:rPr>
              <w:t>4.5. Ethical Considerations.</w:t>
            </w:r>
            <w:r>
              <w:rPr>
                <w:webHidden/>
              </w:rPr>
              <w:tab/>
            </w:r>
            <w:r>
              <w:rPr>
                <w:webHidden/>
              </w:rPr>
              <w:fldChar w:fldCharType="begin"/>
            </w:r>
            <w:r>
              <w:rPr>
                <w:webHidden/>
              </w:rPr>
              <w:instrText xml:space="preserve"> PAGEREF _Toc127170349 \h </w:instrText>
            </w:r>
            <w:r>
              <w:rPr>
                <w:webHidden/>
              </w:rPr>
            </w:r>
            <w:r>
              <w:rPr>
                <w:webHidden/>
              </w:rPr>
              <w:fldChar w:fldCharType="separate"/>
            </w:r>
            <w:r>
              <w:rPr>
                <w:webHidden/>
              </w:rPr>
              <w:t>200</w:t>
            </w:r>
            <w:r>
              <w:rPr>
                <w:webHidden/>
              </w:rPr>
              <w:fldChar w:fldCharType="end"/>
            </w:r>
          </w:hyperlink>
        </w:p>
        <w:p w14:paraId="578B4BF5" w14:textId="441F6E61"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50" w:history="1">
            <w:r w:rsidRPr="00956E4F">
              <w:rPr>
                <w:rStyle w:val="Hyperlink"/>
                <w:rFonts w:eastAsiaTheme="majorEastAsia"/>
              </w:rPr>
              <w:t>4.6. Chapter Summary.</w:t>
            </w:r>
            <w:r>
              <w:rPr>
                <w:webHidden/>
              </w:rPr>
              <w:tab/>
            </w:r>
            <w:r>
              <w:rPr>
                <w:webHidden/>
              </w:rPr>
              <w:fldChar w:fldCharType="begin"/>
            </w:r>
            <w:r>
              <w:rPr>
                <w:webHidden/>
              </w:rPr>
              <w:instrText xml:space="preserve"> PAGEREF _Toc127170350 \h </w:instrText>
            </w:r>
            <w:r>
              <w:rPr>
                <w:webHidden/>
              </w:rPr>
            </w:r>
            <w:r>
              <w:rPr>
                <w:webHidden/>
              </w:rPr>
              <w:fldChar w:fldCharType="separate"/>
            </w:r>
            <w:r>
              <w:rPr>
                <w:webHidden/>
              </w:rPr>
              <w:t>201</w:t>
            </w:r>
            <w:r>
              <w:rPr>
                <w:webHidden/>
              </w:rPr>
              <w:fldChar w:fldCharType="end"/>
            </w:r>
          </w:hyperlink>
        </w:p>
        <w:p w14:paraId="15EDC7FA" w14:textId="01954761"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51" w:history="1">
            <w:r w:rsidRPr="00956E4F">
              <w:rPr>
                <w:rStyle w:val="Hyperlink"/>
                <w:rFonts w:asciiTheme="majorBidi" w:hAnsiTheme="majorBidi"/>
              </w:rPr>
              <w:t>CHAPTER 5</w:t>
            </w:r>
            <w:r>
              <w:rPr>
                <w:webHidden/>
              </w:rPr>
              <w:tab/>
            </w:r>
            <w:r>
              <w:rPr>
                <w:webHidden/>
              </w:rPr>
              <w:fldChar w:fldCharType="begin"/>
            </w:r>
            <w:r>
              <w:rPr>
                <w:webHidden/>
              </w:rPr>
              <w:instrText xml:space="preserve"> PAGEREF _Toc127170351 \h </w:instrText>
            </w:r>
            <w:r>
              <w:rPr>
                <w:webHidden/>
              </w:rPr>
            </w:r>
            <w:r>
              <w:rPr>
                <w:webHidden/>
              </w:rPr>
              <w:fldChar w:fldCharType="separate"/>
            </w:r>
            <w:r>
              <w:rPr>
                <w:webHidden/>
              </w:rPr>
              <w:t>203</w:t>
            </w:r>
            <w:r>
              <w:rPr>
                <w:webHidden/>
              </w:rPr>
              <w:fldChar w:fldCharType="end"/>
            </w:r>
          </w:hyperlink>
        </w:p>
        <w:p w14:paraId="5E1D90B8" w14:textId="0A78C1F9"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52" w:history="1">
            <w:r w:rsidRPr="00956E4F">
              <w:rPr>
                <w:rStyle w:val="Hyperlink"/>
                <w:rFonts w:asciiTheme="majorBidi" w:hAnsiTheme="majorBidi"/>
              </w:rPr>
              <w:t>Findings, Analysis, and Discussion</w:t>
            </w:r>
            <w:r>
              <w:rPr>
                <w:webHidden/>
              </w:rPr>
              <w:tab/>
            </w:r>
            <w:r>
              <w:rPr>
                <w:webHidden/>
              </w:rPr>
              <w:fldChar w:fldCharType="begin"/>
            </w:r>
            <w:r>
              <w:rPr>
                <w:webHidden/>
              </w:rPr>
              <w:instrText xml:space="preserve"> PAGEREF _Toc127170352 \h </w:instrText>
            </w:r>
            <w:r>
              <w:rPr>
                <w:webHidden/>
              </w:rPr>
            </w:r>
            <w:r>
              <w:rPr>
                <w:webHidden/>
              </w:rPr>
              <w:fldChar w:fldCharType="separate"/>
            </w:r>
            <w:r>
              <w:rPr>
                <w:webHidden/>
              </w:rPr>
              <w:t>203</w:t>
            </w:r>
            <w:r>
              <w:rPr>
                <w:webHidden/>
              </w:rPr>
              <w:fldChar w:fldCharType="end"/>
            </w:r>
          </w:hyperlink>
        </w:p>
        <w:p w14:paraId="2F45C6F3" w14:textId="12D9BFA6"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53" w:history="1">
            <w:r w:rsidRPr="00956E4F">
              <w:rPr>
                <w:rStyle w:val="Hyperlink"/>
              </w:rPr>
              <w:t>5.0. Introduction.</w:t>
            </w:r>
            <w:r>
              <w:rPr>
                <w:webHidden/>
              </w:rPr>
              <w:tab/>
            </w:r>
            <w:r>
              <w:rPr>
                <w:webHidden/>
              </w:rPr>
              <w:fldChar w:fldCharType="begin"/>
            </w:r>
            <w:r>
              <w:rPr>
                <w:webHidden/>
              </w:rPr>
              <w:instrText xml:space="preserve"> PAGEREF _Toc127170353 \h </w:instrText>
            </w:r>
            <w:r>
              <w:rPr>
                <w:webHidden/>
              </w:rPr>
            </w:r>
            <w:r>
              <w:rPr>
                <w:webHidden/>
              </w:rPr>
              <w:fldChar w:fldCharType="separate"/>
            </w:r>
            <w:r>
              <w:rPr>
                <w:webHidden/>
              </w:rPr>
              <w:t>203</w:t>
            </w:r>
            <w:r>
              <w:rPr>
                <w:webHidden/>
              </w:rPr>
              <w:fldChar w:fldCharType="end"/>
            </w:r>
          </w:hyperlink>
        </w:p>
        <w:p w14:paraId="22EE2588" w14:textId="7F19DF7A"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54" w:history="1">
            <w:r w:rsidRPr="00956E4F">
              <w:rPr>
                <w:rStyle w:val="Hyperlink"/>
              </w:rPr>
              <w:t>5.1. Respondents’ Characteristics.</w:t>
            </w:r>
            <w:r>
              <w:rPr>
                <w:webHidden/>
              </w:rPr>
              <w:tab/>
            </w:r>
            <w:r>
              <w:rPr>
                <w:webHidden/>
              </w:rPr>
              <w:fldChar w:fldCharType="begin"/>
            </w:r>
            <w:r>
              <w:rPr>
                <w:webHidden/>
              </w:rPr>
              <w:instrText xml:space="preserve"> PAGEREF _Toc127170354 \h </w:instrText>
            </w:r>
            <w:r>
              <w:rPr>
                <w:webHidden/>
              </w:rPr>
            </w:r>
            <w:r>
              <w:rPr>
                <w:webHidden/>
              </w:rPr>
              <w:fldChar w:fldCharType="separate"/>
            </w:r>
            <w:r>
              <w:rPr>
                <w:webHidden/>
              </w:rPr>
              <w:t>204</w:t>
            </w:r>
            <w:r>
              <w:rPr>
                <w:webHidden/>
              </w:rPr>
              <w:fldChar w:fldCharType="end"/>
            </w:r>
          </w:hyperlink>
        </w:p>
        <w:p w14:paraId="2522904D" w14:textId="62B3D7CD"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55" w:history="1">
            <w:r w:rsidRPr="00956E4F">
              <w:rPr>
                <w:rStyle w:val="Hyperlink"/>
              </w:rPr>
              <w:t>5.2. Section A: Extended Theory of Planned Behavior (TPB).</w:t>
            </w:r>
            <w:r>
              <w:rPr>
                <w:webHidden/>
              </w:rPr>
              <w:tab/>
            </w:r>
            <w:r>
              <w:rPr>
                <w:webHidden/>
              </w:rPr>
              <w:fldChar w:fldCharType="begin"/>
            </w:r>
            <w:r>
              <w:rPr>
                <w:webHidden/>
              </w:rPr>
              <w:instrText xml:space="preserve"> PAGEREF _Toc127170355 \h </w:instrText>
            </w:r>
            <w:r>
              <w:rPr>
                <w:webHidden/>
              </w:rPr>
            </w:r>
            <w:r>
              <w:rPr>
                <w:webHidden/>
              </w:rPr>
              <w:fldChar w:fldCharType="separate"/>
            </w:r>
            <w:r>
              <w:rPr>
                <w:webHidden/>
              </w:rPr>
              <w:t>208</w:t>
            </w:r>
            <w:r>
              <w:rPr>
                <w:webHidden/>
              </w:rPr>
              <w:fldChar w:fldCharType="end"/>
            </w:r>
          </w:hyperlink>
        </w:p>
        <w:p w14:paraId="3A068ECC" w14:textId="6CBEC7E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56" w:history="1">
            <w:r w:rsidRPr="00956E4F">
              <w:rPr>
                <w:rStyle w:val="Hyperlink"/>
                <w:rFonts w:ascii="Times New Roman" w:hAnsi="Times New Roman"/>
                <w:i/>
                <w:iCs/>
              </w:rPr>
              <w:t>5.2.1. The Measurement Model</w:t>
            </w:r>
            <w:r w:rsidRPr="00956E4F">
              <w:rPr>
                <w:rStyle w:val="Hyperlink"/>
              </w:rPr>
              <w:t>.</w:t>
            </w:r>
            <w:r>
              <w:rPr>
                <w:webHidden/>
              </w:rPr>
              <w:tab/>
            </w:r>
            <w:r>
              <w:rPr>
                <w:webHidden/>
              </w:rPr>
              <w:fldChar w:fldCharType="begin"/>
            </w:r>
            <w:r>
              <w:rPr>
                <w:webHidden/>
              </w:rPr>
              <w:instrText xml:space="preserve"> PAGEREF _Toc127170356 \h </w:instrText>
            </w:r>
            <w:r>
              <w:rPr>
                <w:webHidden/>
              </w:rPr>
            </w:r>
            <w:r>
              <w:rPr>
                <w:webHidden/>
              </w:rPr>
              <w:fldChar w:fldCharType="separate"/>
            </w:r>
            <w:r>
              <w:rPr>
                <w:webHidden/>
              </w:rPr>
              <w:t>208</w:t>
            </w:r>
            <w:r>
              <w:rPr>
                <w:webHidden/>
              </w:rPr>
              <w:fldChar w:fldCharType="end"/>
            </w:r>
          </w:hyperlink>
        </w:p>
        <w:p w14:paraId="28A10420" w14:textId="139B9014"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57" w:history="1">
            <w:r w:rsidRPr="00956E4F">
              <w:rPr>
                <w:rStyle w:val="Hyperlink"/>
                <w:rFonts w:ascii="Times New Roman" w:hAnsi="Times New Roman"/>
                <w:i/>
                <w:iCs/>
              </w:rPr>
              <w:t xml:space="preserve">5.2.2. The Structural Equation </w:t>
            </w:r>
            <w:r w:rsidRPr="00956E4F">
              <w:rPr>
                <w:rStyle w:val="Hyperlink"/>
                <w:rFonts w:ascii="Times New Roman" w:hAnsi="Times New Roman"/>
              </w:rPr>
              <w:t>Model.</w:t>
            </w:r>
            <w:r>
              <w:rPr>
                <w:webHidden/>
              </w:rPr>
              <w:tab/>
            </w:r>
            <w:r>
              <w:rPr>
                <w:webHidden/>
              </w:rPr>
              <w:fldChar w:fldCharType="begin"/>
            </w:r>
            <w:r>
              <w:rPr>
                <w:webHidden/>
              </w:rPr>
              <w:instrText xml:space="preserve"> PAGEREF _Toc127170357 \h </w:instrText>
            </w:r>
            <w:r>
              <w:rPr>
                <w:webHidden/>
              </w:rPr>
            </w:r>
            <w:r>
              <w:rPr>
                <w:webHidden/>
              </w:rPr>
              <w:fldChar w:fldCharType="separate"/>
            </w:r>
            <w:r>
              <w:rPr>
                <w:webHidden/>
              </w:rPr>
              <w:t>216</w:t>
            </w:r>
            <w:r>
              <w:rPr>
                <w:webHidden/>
              </w:rPr>
              <w:fldChar w:fldCharType="end"/>
            </w:r>
          </w:hyperlink>
        </w:p>
        <w:p w14:paraId="4427F533" w14:textId="5C56DF49"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58" w:history="1">
            <w:r w:rsidRPr="00956E4F">
              <w:rPr>
                <w:rStyle w:val="Hyperlink"/>
                <w:rFonts w:ascii="Times New Roman" w:hAnsi="Times New Roman"/>
                <w:i/>
                <w:iCs/>
              </w:rPr>
              <w:t>5.2.3. Hypotheses’ Testing.</w:t>
            </w:r>
            <w:r>
              <w:rPr>
                <w:webHidden/>
              </w:rPr>
              <w:tab/>
            </w:r>
            <w:r>
              <w:rPr>
                <w:webHidden/>
              </w:rPr>
              <w:fldChar w:fldCharType="begin"/>
            </w:r>
            <w:r>
              <w:rPr>
                <w:webHidden/>
              </w:rPr>
              <w:instrText xml:space="preserve"> PAGEREF _Toc127170358 \h </w:instrText>
            </w:r>
            <w:r>
              <w:rPr>
                <w:webHidden/>
              </w:rPr>
            </w:r>
            <w:r>
              <w:rPr>
                <w:webHidden/>
              </w:rPr>
              <w:fldChar w:fldCharType="separate"/>
            </w:r>
            <w:r>
              <w:rPr>
                <w:webHidden/>
              </w:rPr>
              <w:t>216</w:t>
            </w:r>
            <w:r>
              <w:rPr>
                <w:webHidden/>
              </w:rPr>
              <w:fldChar w:fldCharType="end"/>
            </w:r>
          </w:hyperlink>
        </w:p>
        <w:p w14:paraId="4BF67A7F" w14:textId="4748DB3F"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59" w:history="1">
            <w:r w:rsidRPr="00956E4F">
              <w:rPr>
                <w:rStyle w:val="Hyperlink"/>
              </w:rPr>
              <w:t>5.3. Section B: Extended Norm Activation Theory (NAT).</w:t>
            </w:r>
            <w:r>
              <w:rPr>
                <w:webHidden/>
              </w:rPr>
              <w:tab/>
            </w:r>
            <w:r>
              <w:rPr>
                <w:webHidden/>
              </w:rPr>
              <w:fldChar w:fldCharType="begin"/>
            </w:r>
            <w:r>
              <w:rPr>
                <w:webHidden/>
              </w:rPr>
              <w:instrText xml:space="preserve"> PAGEREF _Toc127170359 \h </w:instrText>
            </w:r>
            <w:r>
              <w:rPr>
                <w:webHidden/>
              </w:rPr>
            </w:r>
            <w:r>
              <w:rPr>
                <w:webHidden/>
              </w:rPr>
              <w:fldChar w:fldCharType="separate"/>
            </w:r>
            <w:r>
              <w:rPr>
                <w:webHidden/>
              </w:rPr>
              <w:t>219</w:t>
            </w:r>
            <w:r>
              <w:rPr>
                <w:webHidden/>
              </w:rPr>
              <w:fldChar w:fldCharType="end"/>
            </w:r>
          </w:hyperlink>
        </w:p>
        <w:p w14:paraId="49C6333A" w14:textId="263A8EC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0" w:history="1">
            <w:r w:rsidRPr="00956E4F">
              <w:rPr>
                <w:rStyle w:val="Hyperlink"/>
                <w:rFonts w:ascii="Times New Roman" w:hAnsi="Times New Roman"/>
                <w:i/>
                <w:iCs/>
              </w:rPr>
              <w:t>5.3.1. The Measurement Model.</w:t>
            </w:r>
            <w:r>
              <w:rPr>
                <w:webHidden/>
              </w:rPr>
              <w:tab/>
            </w:r>
            <w:r>
              <w:rPr>
                <w:webHidden/>
              </w:rPr>
              <w:fldChar w:fldCharType="begin"/>
            </w:r>
            <w:r>
              <w:rPr>
                <w:webHidden/>
              </w:rPr>
              <w:instrText xml:space="preserve"> PAGEREF _Toc127170360 \h </w:instrText>
            </w:r>
            <w:r>
              <w:rPr>
                <w:webHidden/>
              </w:rPr>
            </w:r>
            <w:r>
              <w:rPr>
                <w:webHidden/>
              </w:rPr>
              <w:fldChar w:fldCharType="separate"/>
            </w:r>
            <w:r>
              <w:rPr>
                <w:webHidden/>
              </w:rPr>
              <w:t>219</w:t>
            </w:r>
            <w:r>
              <w:rPr>
                <w:webHidden/>
              </w:rPr>
              <w:fldChar w:fldCharType="end"/>
            </w:r>
          </w:hyperlink>
        </w:p>
        <w:p w14:paraId="53A810C9" w14:textId="37F61C3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1" w:history="1">
            <w:r w:rsidRPr="00956E4F">
              <w:rPr>
                <w:rStyle w:val="Hyperlink"/>
                <w:rFonts w:ascii="Times New Roman" w:hAnsi="Times New Roman"/>
                <w:i/>
                <w:iCs/>
              </w:rPr>
              <w:t>5.3.2. The Extended NAT Structural Model.</w:t>
            </w:r>
            <w:r>
              <w:rPr>
                <w:webHidden/>
              </w:rPr>
              <w:tab/>
            </w:r>
            <w:r>
              <w:rPr>
                <w:webHidden/>
              </w:rPr>
              <w:fldChar w:fldCharType="begin"/>
            </w:r>
            <w:r>
              <w:rPr>
                <w:webHidden/>
              </w:rPr>
              <w:instrText xml:space="preserve"> PAGEREF _Toc127170361 \h </w:instrText>
            </w:r>
            <w:r>
              <w:rPr>
                <w:webHidden/>
              </w:rPr>
            </w:r>
            <w:r>
              <w:rPr>
                <w:webHidden/>
              </w:rPr>
              <w:fldChar w:fldCharType="separate"/>
            </w:r>
            <w:r>
              <w:rPr>
                <w:webHidden/>
              </w:rPr>
              <w:t>221</w:t>
            </w:r>
            <w:r>
              <w:rPr>
                <w:webHidden/>
              </w:rPr>
              <w:fldChar w:fldCharType="end"/>
            </w:r>
          </w:hyperlink>
        </w:p>
        <w:p w14:paraId="7198CB41" w14:textId="6631BC64"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2" w:history="1">
            <w:r w:rsidRPr="00956E4F">
              <w:rPr>
                <w:rStyle w:val="Hyperlink"/>
                <w:i/>
                <w:iCs/>
              </w:rPr>
              <w:t>5.3.3. Hypotheses Testing</w:t>
            </w:r>
            <w:r>
              <w:rPr>
                <w:webHidden/>
              </w:rPr>
              <w:tab/>
            </w:r>
            <w:r>
              <w:rPr>
                <w:webHidden/>
              </w:rPr>
              <w:fldChar w:fldCharType="begin"/>
            </w:r>
            <w:r>
              <w:rPr>
                <w:webHidden/>
              </w:rPr>
              <w:instrText xml:space="preserve"> PAGEREF _Toc127170362 \h </w:instrText>
            </w:r>
            <w:r>
              <w:rPr>
                <w:webHidden/>
              </w:rPr>
            </w:r>
            <w:r>
              <w:rPr>
                <w:webHidden/>
              </w:rPr>
              <w:fldChar w:fldCharType="separate"/>
            </w:r>
            <w:r>
              <w:rPr>
                <w:webHidden/>
              </w:rPr>
              <w:t>223</w:t>
            </w:r>
            <w:r>
              <w:rPr>
                <w:webHidden/>
              </w:rPr>
              <w:fldChar w:fldCharType="end"/>
            </w:r>
          </w:hyperlink>
        </w:p>
        <w:p w14:paraId="0DBA6D75" w14:textId="18B51E78"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63" w:history="1">
            <w:r w:rsidRPr="00956E4F">
              <w:rPr>
                <w:rStyle w:val="Hyperlink"/>
              </w:rPr>
              <w:t>5.4. Section C: Extended Protection Motivation (PMT).</w:t>
            </w:r>
            <w:r>
              <w:rPr>
                <w:webHidden/>
              </w:rPr>
              <w:tab/>
            </w:r>
            <w:r>
              <w:rPr>
                <w:webHidden/>
              </w:rPr>
              <w:fldChar w:fldCharType="begin"/>
            </w:r>
            <w:r>
              <w:rPr>
                <w:webHidden/>
              </w:rPr>
              <w:instrText xml:space="preserve"> PAGEREF _Toc127170363 \h </w:instrText>
            </w:r>
            <w:r>
              <w:rPr>
                <w:webHidden/>
              </w:rPr>
            </w:r>
            <w:r>
              <w:rPr>
                <w:webHidden/>
              </w:rPr>
              <w:fldChar w:fldCharType="separate"/>
            </w:r>
            <w:r>
              <w:rPr>
                <w:webHidden/>
              </w:rPr>
              <w:t>225</w:t>
            </w:r>
            <w:r>
              <w:rPr>
                <w:webHidden/>
              </w:rPr>
              <w:fldChar w:fldCharType="end"/>
            </w:r>
          </w:hyperlink>
        </w:p>
        <w:p w14:paraId="4405EA42" w14:textId="26D3BF1A"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4" w:history="1">
            <w:r w:rsidRPr="00956E4F">
              <w:rPr>
                <w:rStyle w:val="Hyperlink"/>
                <w:rFonts w:ascii="Times New Roman" w:hAnsi="Times New Roman"/>
                <w:i/>
                <w:iCs/>
              </w:rPr>
              <w:t xml:space="preserve">5.4.1. </w:t>
            </w:r>
            <w:r w:rsidRPr="00956E4F">
              <w:rPr>
                <w:rStyle w:val="Hyperlink"/>
                <w:i/>
                <w:iCs/>
              </w:rPr>
              <w:t>The Measurement Model.</w:t>
            </w:r>
            <w:r>
              <w:rPr>
                <w:webHidden/>
              </w:rPr>
              <w:tab/>
            </w:r>
            <w:r>
              <w:rPr>
                <w:webHidden/>
              </w:rPr>
              <w:fldChar w:fldCharType="begin"/>
            </w:r>
            <w:r>
              <w:rPr>
                <w:webHidden/>
              </w:rPr>
              <w:instrText xml:space="preserve"> PAGEREF _Toc127170364 \h </w:instrText>
            </w:r>
            <w:r>
              <w:rPr>
                <w:webHidden/>
              </w:rPr>
            </w:r>
            <w:r>
              <w:rPr>
                <w:webHidden/>
              </w:rPr>
              <w:fldChar w:fldCharType="separate"/>
            </w:r>
            <w:r>
              <w:rPr>
                <w:webHidden/>
              </w:rPr>
              <w:t>225</w:t>
            </w:r>
            <w:r>
              <w:rPr>
                <w:webHidden/>
              </w:rPr>
              <w:fldChar w:fldCharType="end"/>
            </w:r>
          </w:hyperlink>
        </w:p>
        <w:p w14:paraId="31F8CE21" w14:textId="691509E6"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5" w:history="1">
            <w:r w:rsidRPr="00956E4F">
              <w:rPr>
                <w:rStyle w:val="Hyperlink"/>
                <w:rFonts w:ascii="Times New Roman" w:hAnsi="Times New Roman"/>
                <w:i/>
                <w:iCs/>
              </w:rPr>
              <w:t xml:space="preserve">5.4.2. </w:t>
            </w:r>
            <w:r w:rsidRPr="00956E4F">
              <w:rPr>
                <w:rStyle w:val="Hyperlink"/>
                <w:i/>
                <w:iCs/>
              </w:rPr>
              <w:t>The Extended PMT Structural Model.</w:t>
            </w:r>
            <w:r>
              <w:rPr>
                <w:webHidden/>
              </w:rPr>
              <w:tab/>
            </w:r>
            <w:r>
              <w:rPr>
                <w:webHidden/>
              </w:rPr>
              <w:fldChar w:fldCharType="begin"/>
            </w:r>
            <w:r>
              <w:rPr>
                <w:webHidden/>
              </w:rPr>
              <w:instrText xml:space="preserve"> PAGEREF _Toc127170365 \h </w:instrText>
            </w:r>
            <w:r>
              <w:rPr>
                <w:webHidden/>
              </w:rPr>
            </w:r>
            <w:r>
              <w:rPr>
                <w:webHidden/>
              </w:rPr>
              <w:fldChar w:fldCharType="separate"/>
            </w:r>
            <w:r>
              <w:rPr>
                <w:webHidden/>
              </w:rPr>
              <w:t>228</w:t>
            </w:r>
            <w:r>
              <w:rPr>
                <w:webHidden/>
              </w:rPr>
              <w:fldChar w:fldCharType="end"/>
            </w:r>
          </w:hyperlink>
        </w:p>
        <w:p w14:paraId="31088DE6" w14:textId="4ED1010C"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6" w:history="1">
            <w:r w:rsidRPr="00956E4F">
              <w:rPr>
                <w:rStyle w:val="Hyperlink"/>
                <w:rFonts w:ascii="Times New Roman" w:hAnsi="Times New Roman"/>
                <w:i/>
                <w:iCs/>
              </w:rPr>
              <w:t>5.4.3. Hypothesis Testing.</w:t>
            </w:r>
            <w:r>
              <w:rPr>
                <w:webHidden/>
              </w:rPr>
              <w:tab/>
            </w:r>
            <w:r>
              <w:rPr>
                <w:webHidden/>
              </w:rPr>
              <w:fldChar w:fldCharType="begin"/>
            </w:r>
            <w:r>
              <w:rPr>
                <w:webHidden/>
              </w:rPr>
              <w:instrText xml:space="preserve"> PAGEREF _Toc127170366 \h </w:instrText>
            </w:r>
            <w:r>
              <w:rPr>
                <w:webHidden/>
              </w:rPr>
            </w:r>
            <w:r>
              <w:rPr>
                <w:webHidden/>
              </w:rPr>
              <w:fldChar w:fldCharType="separate"/>
            </w:r>
            <w:r>
              <w:rPr>
                <w:webHidden/>
              </w:rPr>
              <w:t>229</w:t>
            </w:r>
            <w:r>
              <w:rPr>
                <w:webHidden/>
              </w:rPr>
              <w:fldChar w:fldCharType="end"/>
            </w:r>
          </w:hyperlink>
        </w:p>
        <w:p w14:paraId="30387617" w14:textId="118E472D"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67" w:history="1">
            <w:r w:rsidRPr="00956E4F">
              <w:rPr>
                <w:rStyle w:val="Hyperlink"/>
              </w:rPr>
              <w:t>5.5. Discussion of Findings.</w:t>
            </w:r>
            <w:r>
              <w:rPr>
                <w:webHidden/>
              </w:rPr>
              <w:tab/>
            </w:r>
            <w:r>
              <w:rPr>
                <w:webHidden/>
              </w:rPr>
              <w:fldChar w:fldCharType="begin"/>
            </w:r>
            <w:r>
              <w:rPr>
                <w:webHidden/>
              </w:rPr>
              <w:instrText xml:space="preserve"> PAGEREF _Toc127170367 \h </w:instrText>
            </w:r>
            <w:r>
              <w:rPr>
                <w:webHidden/>
              </w:rPr>
            </w:r>
            <w:r>
              <w:rPr>
                <w:webHidden/>
              </w:rPr>
              <w:fldChar w:fldCharType="separate"/>
            </w:r>
            <w:r>
              <w:rPr>
                <w:webHidden/>
              </w:rPr>
              <w:t>232</w:t>
            </w:r>
            <w:r>
              <w:rPr>
                <w:webHidden/>
              </w:rPr>
              <w:fldChar w:fldCharType="end"/>
            </w:r>
          </w:hyperlink>
        </w:p>
        <w:p w14:paraId="0117196A" w14:textId="576201BF"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8" w:history="1">
            <w:r w:rsidRPr="00956E4F">
              <w:rPr>
                <w:rStyle w:val="Hyperlink"/>
                <w:rFonts w:ascii="Times New Roman" w:hAnsi="Times New Roman"/>
                <w:i/>
                <w:iCs/>
              </w:rPr>
              <w:t>5.5.1. Discussion of Extended TPB Findings.</w:t>
            </w:r>
            <w:r>
              <w:rPr>
                <w:webHidden/>
              </w:rPr>
              <w:tab/>
            </w:r>
            <w:r>
              <w:rPr>
                <w:webHidden/>
              </w:rPr>
              <w:fldChar w:fldCharType="begin"/>
            </w:r>
            <w:r>
              <w:rPr>
                <w:webHidden/>
              </w:rPr>
              <w:instrText xml:space="preserve"> PAGEREF _Toc127170368 \h </w:instrText>
            </w:r>
            <w:r>
              <w:rPr>
                <w:webHidden/>
              </w:rPr>
            </w:r>
            <w:r>
              <w:rPr>
                <w:webHidden/>
              </w:rPr>
              <w:fldChar w:fldCharType="separate"/>
            </w:r>
            <w:r>
              <w:rPr>
                <w:webHidden/>
              </w:rPr>
              <w:t>232</w:t>
            </w:r>
            <w:r>
              <w:rPr>
                <w:webHidden/>
              </w:rPr>
              <w:fldChar w:fldCharType="end"/>
            </w:r>
          </w:hyperlink>
        </w:p>
        <w:p w14:paraId="6E36AECD" w14:textId="571E1262"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69" w:history="1">
            <w:r w:rsidRPr="00956E4F">
              <w:rPr>
                <w:rStyle w:val="Hyperlink"/>
                <w:rFonts w:ascii="Times New Roman" w:hAnsi="Times New Roman"/>
                <w:i/>
                <w:iCs/>
              </w:rPr>
              <w:t>5.5.2. Discussion of Extended NAT Findings.</w:t>
            </w:r>
            <w:r>
              <w:rPr>
                <w:webHidden/>
              </w:rPr>
              <w:tab/>
            </w:r>
            <w:r>
              <w:rPr>
                <w:webHidden/>
              </w:rPr>
              <w:fldChar w:fldCharType="begin"/>
            </w:r>
            <w:r>
              <w:rPr>
                <w:webHidden/>
              </w:rPr>
              <w:instrText xml:space="preserve"> PAGEREF _Toc127170369 \h </w:instrText>
            </w:r>
            <w:r>
              <w:rPr>
                <w:webHidden/>
              </w:rPr>
            </w:r>
            <w:r>
              <w:rPr>
                <w:webHidden/>
              </w:rPr>
              <w:fldChar w:fldCharType="separate"/>
            </w:r>
            <w:r>
              <w:rPr>
                <w:webHidden/>
              </w:rPr>
              <w:t>244</w:t>
            </w:r>
            <w:r>
              <w:rPr>
                <w:webHidden/>
              </w:rPr>
              <w:fldChar w:fldCharType="end"/>
            </w:r>
          </w:hyperlink>
        </w:p>
        <w:p w14:paraId="42DCF0A0" w14:textId="6186A068"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70" w:history="1">
            <w:r w:rsidRPr="00956E4F">
              <w:rPr>
                <w:rStyle w:val="Hyperlink"/>
                <w:rFonts w:ascii="Times New Roman" w:hAnsi="Times New Roman"/>
                <w:i/>
                <w:iCs/>
              </w:rPr>
              <w:t>5.5.3. Discussion of Extended PMT Findings.</w:t>
            </w:r>
            <w:r>
              <w:rPr>
                <w:webHidden/>
              </w:rPr>
              <w:tab/>
            </w:r>
            <w:r>
              <w:rPr>
                <w:webHidden/>
              </w:rPr>
              <w:fldChar w:fldCharType="begin"/>
            </w:r>
            <w:r>
              <w:rPr>
                <w:webHidden/>
              </w:rPr>
              <w:instrText xml:space="preserve"> PAGEREF _Toc127170370 \h </w:instrText>
            </w:r>
            <w:r>
              <w:rPr>
                <w:webHidden/>
              </w:rPr>
            </w:r>
            <w:r>
              <w:rPr>
                <w:webHidden/>
              </w:rPr>
              <w:fldChar w:fldCharType="separate"/>
            </w:r>
            <w:r>
              <w:rPr>
                <w:webHidden/>
              </w:rPr>
              <w:t>248</w:t>
            </w:r>
            <w:r>
              <w:rPr>
                <w:webHidden/>
              </w:rPr>
              <w:fldChar w:fldCharType="end"/>
            </w:r>
          </w:hyperlink>
        </w:p>
        <w:p w14:paraId="3107FCC6" w14:textId="4AF02CA9"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71" w:history="1">
            <w:r w:rsidRPr="00956E4F">
              <w:rPr>
                <w:rStyle w:val="Hyperlink"/>
              </w:rPr>
              <w:t>5.6. General Summary.</w:t>
            </w:r>
            <w:r>
              <w:rPr>
                <w:webHidden/>
              </w:rPr>
              <w:tab/>
            </w:r>
            <w:r>
              <w:rPr>
                <w:webHidden/>
              </w:rPr>
              <w:fldChar w:fldCharType="begin"/>
            </w:r>
            <w:r>
              <w:rPr>
                <w:webHidden/>
              </w:rPr>
              <w:instrText xml:space="preserve"> PAGEREF _Toc127170371 \h </w:instrText>
            </w:r>
            <w:r>
              <w:rPr>
                <w:webHidden/>
              </w:rPr>
            </w:r>
            <w:r>
              <w:rPr>
                <w:webHidden/>
              </w:rPr>
              <w:fldChar w:fldCharType="separate"/>
            </w:r>
            <w:r>
              <w:rPr>
                <w:webHidden/>
              </w:rPr>
              <w:t>253</w:t>
            </w:r>
            <w:r>
              <w:rPr>
                <w:webHidden/>
              </w:rPr>
              <w:fldChar w:fldCharType="end"/>
            </w:r>
          </w:hyperlink>
        </w:p>
        <w:p w14:paraId="1A78F8D2" w14:textId="6F51E8B5"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72" w:history="1">
            <w:r w:rsidRPr="00956E4F">
              <w:rPr>
                <w:rStyle w:val="Hyperlink"/>
                <w:rFonts w:eastAsia="Times New Roman" w:cs="Times New Roman"/>
                <w:kern w:val="32"/>
              </w:rPr>
              <w:t>CHAPTER 6</w:t>
            </w:r>
            <w:r>
              <w:rPr>
                <w:webHidden/>
              </w:rPr>
              <w:tab/>
            </w:r>
            <w:r>
              <w:rPr>
                <w:webHidden/>
              </w:rPr>
              <w:fldChar w:fldCharType="begin"/>
            </w:r>
            <w:r>
              <w:rPr>
                <w:webHidden/>
              </w:rPr>
              <w:instrText xml:space="preserve"> PAGEREF _Toc127170372 \h </w:instrText>
            </w:r>
            <w:r>
              <w:rPr>
                <w:webHidden/>
              </w:rPr>
            </w:r>
            <w:r>
              <w:rPr>
                <w:webHidden/>
              </w:rPr>
              <w:fldChar w:fldCharType="separate"/>
            </w:r>
            <w:r>
              <w:rPr>
                <w:webHidden/>
              </w:rPr>
              <w:t>258</w:t>
            </w:r>
            <w:r>
              <w:rPr>
                <w:webHidden/>
              </w:rPr>
              <w:fldChar w:fldCharType="end"/>
            </w:r>
          </w:hyperlink>
        </w:p>
        <w:p w14:paraId="2DEE4F4E" w14:textId="007F3DF4"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73" w:history="1">
            <w:r w:rsidRPr="00956E4F">
              <w:rPr>
                <w:rStyle w:val="Hyperlink"/>
                <w:rFonts w:eastAsia="Times New Roman" w:cs="Times New Roman"/>
                <w:kern w:val="32"/>
              </w:rPr>
              <w:t>Summary and Conclusions</w:t>
            </w:r>
            <w:r>
              <w:rPr>
                <w:webHidden/>
              </w:rPr>
              <w:tab/>
            </w:r>
            <w:r>
              <w:rPr>
                <w:webHidden/>
              </w:rPr>
              <w:fldChar w:fldCharType="begin"/>
            </w:r>
            <w:r>
              <w:rPr>
                <w:webHidden/>
              </w:rPr>
              <w:instrText xml:space="preserve"> PAGEREF _Toc127170373 \h </w:instrText>
            </w:r>
            <w:r>
              <w:rPr>
                <w:webHidden/>
              </w:rPr>
            </w:r>
            <w:r>
              <w:rPr>
                <w:webHidden/>
              </w:rPr>
              <w:fldChar w:fldCharType="separate"/>
            </w:r>
            <w:r>
              <w:rPr>
                <w:webHidden/>
              </w:rPr>
              <w:t>258</w:t>
            </w:r>
            <w:r>
              <w:rPr>
                <w:webHidden/>
              </w:rPr>
              <w:fldChar w:fldCharType="end"/>
            </w:r>
          </w:hyperlink>
        </w:p>
        <w:p w14:paraId="2A6533F6" w14:textId="424422D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74" w:history="1">
            <w:r w:rsidRPr="00956E4F">
              <w:rPr>
                <w:rStyle w:val="Hyperlink"/>
                <w:rFonts w:asciiTheme="majorBidi" w:hAnsiTheme="majorBidi"/>
              </w:rPr>
              <w:t>6.0. Introduction.</w:t>
            </w:r>
            <w:r>
              <w:rPr>
                <w:webHidden/>
              </w:rPr>
              <w:tab/>
            </w:r>
            <w:r>
              <w:rPr>
                <w:webHidden/>
              </w:rPr>
              <w:fldChar w:fldCharType="begin"/>
            </w:r>
            <w:r>
              <w:rPr>
                <w:webHidden/>
              </w:rPr>
              <w:instrText xml:space="preserve"> PAGEREF _Toc127170374 \h </w:instrText>
            </w:r>
            <w:r>
              <w:rPr>
                <w:webHidden/>
              </w:rPr>
            </w:r>
            <w:r>
              <w:rPr>
                <w:webHidden/>
              </w:rPr>
              <w:fldChar w:fldCharType="separate"/>
            </w:r>
            <w:r>
              <w:rPr>
                <w:webHidden/>
              </w:rPr>
              <w:t>258</w:t>
            </w:r>
            <w:r>
              <w:rPr>
                <w:webHidden/>
              </w:rPr>
              <w:fldChar w:fldCharType="end"/>
            </w:r>
          </w:hyperlink>
        </w:p>
        <w:p w14:paraId="078728EE" w14:textId="02EC1800"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75" w:history="1">
            <w:r w:rsidRPr="00956E4F">
              <w:rPr>
                <w:rStyle w:val="Hyperlink"/>
                <w:rFonts w:eastAsia="Times New Roman"/>
              </w:rPr>
              <w:t>6.1. Research Summary.</w:t>
            </w:r>
            <w:r>
              <w:rPr>
                <w:webHidden/>
              </w:rPr>
              <w:tab/>
            </w:r>
            <w:r>
              <w:rPr>
                <w:webHidden/>
              </w:rPr>
              <w:fldChar w:fldCharType="begin"/>
            </w:r>
            <w:r>
              <w:rPr>
                <w:webHidden/>
              </w:rPr>
              <w:instrText xml:space="preserve"> PAGEREF _Toc127170375 \h </w:instrText>
            </w:r>
            <w:r>
              <w:rPr>
                <w:webHidden/>
              </w:rPr>
            </w:r>
            <w:r>
              <w:rPr>
                <w:webHidden/>
              </w:rPr>
              <w:fldChar w:fldCharType="separate"/>
            </w:r>
            <w:r>
              <w:rPr>
                <w:webHidden/>
              </w:rPr>
              <w:t>259</w:t>
            </w:r>
            <w:r>
              <w:rPr>
                <w:webHidden/>
              </w:rPr>
              <w:fldChar w:fldCharType="end"/>
            </w:r>
          </w:hyperlink>
        </w:p>
        <w:p w14:paraId="6739EDA7" w14:textId="0ADC381E"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76" w:history="1">
            <w:r w:rsidRPr="00956E4F">
              <w:rPr>
                <w:rStyle w:val="Hyperlink"/>
                <w:rFonts w:asciiTheme="majorBidi" w:hAnsiTheme="majorBidi"/>
              </w:rPr>
              <w:t>6.2. Conclusions.</w:t>
            </w:r>
            <w:r>
              <w:rPr>
                <w:webHidden/>
              </w:rPr>
              <w:tab/>
            </w:r>
            <w:r>
              <w:rPr>
                <w:webHidden/>
              </w:rPr>
              <w:fldChar w:fldCharType="begin"/>
            </w:r>
            <w:r>
              <w:rPr>
                <w:webHidden/>
              </w:rPr>
              <w:instrText xml:space="preserve"> PAGEREF _Toc127170376 \h </w:instrText>
            </w:r>
            <w:r>
              <w:rPr>
                <w:webHidden/>
              </w:rPr>
            </w:r>
            <w:r>
              <w:rPr>
                <w:webHidden/>
              </w:rPr>
              <w:fldChar w:fldCharType="separate"/>
            </w:r>
            <w:r>
              <w:rPr>
                <w:webHidden/>
              </w:rPr>
              <w:t>264</w:t>
            </w:r>
            <w:r>
              <w:rPr>
                <w:webHidden/>
              </w:rPr>
              <w:fldChar w:fldCharType="end"/>
            </w:r>
          </w:hyperlink>
        </w:p>
        <w:p w14:paraId="345F0C8A" w14:textId="72C815B4"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77" w:history="1">
            <w:r w:rsidRPr="00956E4F">
              <w:rPr>
                <w:rStyle w:val="Hyperlink"/>
                <w:rFonts w:asciiTheme="majorBidi" w:hAnsiTheme="majorBidi"/>
              </w:rPr>
              <w:t>6.3. Contribution of the Research.</w:t>
            </w:r>
            <w:r>
              <w:rPr>
                <w:webHidden/>
              </w:rPr>
              <w:tab/>
            </w:r>
            <w:r>
              <w:rPr>
                <w:webHidden/>
              </w:rPr>
              <w:fldChar w:fldCharType="begin"/>
            </w:r>
            <w:r>
              <w:rPr>
                <w:webHidden/>
              </w:rPr>
              <w:instrText xml:space="preserve"> PAGEREF _Toc127170377 \h </w:instrText>
            </w:r>
            <w:r>
              <w:rPr>
                <w:webHidden/>
              </w:rPr>
            </w:r>
            <w:r>
              <w:rPr>
                <w:webHidden/>
              </w:rPr>
              <w:fldChar w:fldCharType="separate"/>
            </w:r>
            <w:r>
              <w:rPr>
                <w:webHidden/>
              </w:rPr>
              <w:t>268</w:t>
            </w:r>
            <w:r>
              <w:rPr>
                <w:webHidden/>
              </w:rPr>
              <w:fldChar w:fldCharType="end"/>
            </w:r>
          </w:hyperlink>
        </w:p>
        <w:p w14:paraId="3D70E10D" w14:textId="5CAB324F"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78" w:history="1">
            <w:r w:rsidRPr="00956E4F">
              <w:rPr>
                <w:rStyle w:val="Hyperlink"/>
                <w:rFonts w:ascii="Times New Roman" w:eastAsia="Times New Roman" w:hAnsi="Times New Roman"/>
                <w:i/>
                <w:iCs/>
              </w:rPr>
              <w:t>6.3.1. Theoretical Contributions.</w:t>
            </w:r>
            <w:r>
              <w:rPr>
                <w:webHidden/>
              </w:rPr>
              <w:tab/>
            </w:r>
            <w:r>
              <w:rPr>
                <w:webHidden/>
              </w:rPr>
              <w:fldChar w:fldCharType="begin"/>
            </w:r>
            <w:r>
              <w:rPr>
                <w:webHidden/>
              </w:rPr>
              <w:instrText xml:space="preserve"> PAGEREF _Toc127170378 \h </w:instrText>
            </w:r>
            <w:r>
              <w:rPr>
                <w:webHidden/>
              </w:rPr>
            </w:r>
            <w:r>
              <w:rPr>
                <w:webHidden/>
              </w:rPr>
              <w:fldChar w:fldCharType="separate"/>
            </w:r>
            <w:r>
              <w:rPr>
                <w:webHidden/>
              </w:rPr>
              <w:t>268</w:t>
            </w:r>
            <w:r>
              <w:rPr>
                <w:webHidden/>
              </w:rPr>
              <w:fldChar w:fldCharType="end"/>
            </w:r>
          </w:hyperlink>
        </w:p>
        <w:p w14:paraId="2E767E2D" w14:textId="277D4E8E"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79" w:history="1">
            <w:r w:rsidRPr="00956E4F">
              <w:rPr>
                <w:rStyle w:val="Hyperlink"/>
                <w:rFonts w:ascii="Times New Roman" w:hAnsi="Times New Roman"/>
                <w:i/>
                <w:iCs/>
              </w:rPr>
              <w:t>6.3.2. Practical Contributions.</w:t>
            </w:r>
            <w:r>
              <w:rPr>
                <w:webHidden/>
              </w:rPr>
              <w:tab/>
            </w:r>
            <w:r>
              <w:rPr>
                <w:webHidden/>
              </w:rPr>
              <w:fldChar w:fldCharType="begin"/>
            </w:r>
            <w:r>
              <w:rPr>
                <w:webHidden/>
              </w:rPr>
              <w:instrText xml:space="preserve"> PAGEREF _Toc127170379 \h </w:instrText>
            </w:r>
            <w:r>
              <w:rPr>
                <w:webHidden/>
              </w:rPr>
            </w:r>
            <w:r>
              <w:rPr>
                <w:webHidden/>
              </w:rPr>
              <w:fldChar w:fldCharType="separate"/>
            </w:r>
            <w:r>
              <w:rPr>
                <w:webHidden/>
              </w:rPr>
              <w:t>270</w:t>
            </w:r>
            <w:r>
              <w:rPr>
                <w:webHidden/>
              </w:rPr>
              <w:fldChar w:fldCharType="end"/>
            </w:r>
          </w:hyperlink>
        </w:p>
        <w:p w14:paraId="12D33EA5" w14:textId="493D1C08"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80" w:history="1">
            <w:r w:rsidRPr="00956E4F">
              <w:rPr>
                <w:rStyle w:val="Hyperlink"/>
                <w:rFonts w:ascii="Times New Roman" w:hAnsi="Times New Roman"/>
                <w:i/>
                <w:iCs/>
              </w:rPr>
              <w:t>6.3.3 Methodological Contribution</w:t>
            </w:r>
            <w:r>
              <w:rPr>
                <w:webHidden/>
              </w:rPr>
              <w:tab/>
            </w:r>
            <w:r>
              <w:rPr>
                <w:webHidden/>
              </w:rPr>
              <w:fldChar w:fldCharType="begin"/>
            </w:r>
            <w:r>
              <w:rPr>
                <w:webHidden/>
              </w:rPr>
              <w:instrText xml:space="preserve"> PAGEREF _Toc127170380 \h </w:instrText>
            </w:r>
            <w:r>
              <w:rPr>
                <w:webHidden/>
              </w:rPr>
            </w:r>
            <w:r>
              <w:rPr>
                <w:webHidden/>
              </w:rPr>
              <w:fldChar w:fldCharType="separate"/>
            </w:r>
            <w:r>
              <w:rPr>
                <w:webHidden/>
              </w:rPr>
              <w:t>272</w:t>
            </w:r>
            <w:r>
              <w:rPr>
                <w:webHidden/>
              </w:rPr>
              <w:fldChar w:fldCharType="end"/>
            </w:r>
          </w:hyperlink>
        </w:p>
        <w:p w14:paraId="4D16FF8E" w14:textId="0E7780C3"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81" w:history="1">
            <w:r w:rsidRPr="00956E4F">
              <w:rPr>
                <w:rStyle w:val="Hyperlink"/>
                <w:rFonts w:asciiTheme="majorBidi" w:hAnsiTheme="majorBidi"/>
              </w:rPr>
              <w:t>6.4. Implications of the Research.</w:t>
            </w:r>
            <w:r>
              <w:rPr>
                <w:webHidden/>
              </w:rPr>
              <w:tab/>
            </w:r>
            <w:r>
              <w:rPr>
                <w:webHidden/>
              </w:rPr>
              <w:fldChar w:fldCharType="begin"/>
            </w:r>
            <w:r>
              <w:rPr>
                <w:webHidden/>
              </w:rPr>
              <w:instrText xml:space="preserve"> PAGEREF _Toc127170381 \h </w:instrText>
            </w:r>
            <w:r>
              <w:rPr>
                <w:webHidden/>
              </w:rPr>
            </w:r>
            <w:r>
              <w:rPr>
                <w:webHidden/>
              </w:rPr>
              <w:fldChar w:fldCharType="separate"/>
            </w:r>
            <w:r>
              <w:rPr>
                <w:webHidden/>
              </w:rPr>
              <w:t>273</w:t>
            </w:r>
            <w:r>
              <w:rPr>
                <w:webHidden/>
              </w:rPr>
              <w:fldChar w:fldCharType="end"/>
            </w:r>
          </w:hyperlink>
        </w:p>
        <w:p w14:paraId="0656CC99" w14:textId="0349FF0B"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82" w:history="1">
            <w:r w:rsidRPr="00956E4F">
              <w:rPr>
                <w:rStyle w:val="Hyperlink"/>
                <w:rFonts w:ascii="Times New Roman" w:eastAsia="Times New Roman" w:hAnsi="Times New Roman"/>
                <w:i/>
                <w:iCs/>
              </w:rPr>
              <w:t>6.4.1. Implications for Theory.</w:t>
            </w:r>
            <w:r>
              <w:rPr>
                <w:webHidden/>
              </w:rPr>
              <w:tab/>
            </w:r>
            <w:r>
              <w:rPr>
                <w:webHidden/>
              </w:rPr>
              <w:fldChar w:fldCharType="begin"/>
            </w:r>
            <w:r>
              <w:rPr>
                <w:webHidden/>
              </w:rPr>
              <w:instrText xml:space="preserve"> PAGEREF _Toc127170382 \h </w:instrText>
            </w:r>
            <w:r>
              <w:rPr>
                <w:webHidden/>
              </w:rPr>
            </w:r>
            <w:r>
              <w:rPr>
                <w:webHidden/>
              </w:rPr>
              <w:fldChar w:fldCharType="separate"/>
            </w:r>
            <w:r>
              <w:rPr>
                <w:webHidden/>
              </w:rPr>
              <w:t>273</w:t>
            </w:r>
            <w:r>
              <w:rPr>
                <w:webHidden/>
              </w:rPr>
              <w:fldChar w:fldCharType="end"/>
            </w:r>
          </w:hyperlink>
        </w:p>
        <w:p w14:paraId="4AF3AD2C" w14:textId="532B4EA5"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83" w:history="1">
            <w:r w:rsidRPr="00956E4F">
              <w:rPr>
                <w:rStyle w:val="Hyperlink"/>
                <w:rFonts w:ascii="Times New Roman" w:eastAsia="Times New Roman" w:hAnsi="Times New Roman"/>
                <w:i/>
                <w:iCs/>
              </w:rPr>
              <w:t>6.4.2. Implications for Practice.</w:t>
            </w:r>
            <w:r>
              <w:rPr>
                <w:webHidden/>
              </w:rPr>
              <w:tab/>
            </w:r>
            <w:r>
              <w:rPr>
                <w:webHidden/>
              </w:rPr>
              <w:fldChar w:fldCharType="begin"/>
            </w:r>
            <w:r>
              <w:rPr>
                <w:webHidden/>
              </w:rPr>
              <w:instrText xml:space="preserve"> PAGEREF _Toc127170383 \h </w:instrText>
            </w:r>
            <w:r>
              <w:rPr>
                <w:webHidden/>
              </w:rPr>
            </w:r>
            <w:r>
              <w:rPr>
                <w:webHidden/>
              </w:rPr>
              <w:fldChar w:fldCharType="separate"/>
            </w:r>
            <w:r>
              <w:rPr>
                <w:webHidden/>
              </w:rPr>
              <w:t>273</w:t>
            </w:r>
            <w:r>
              <w:rPr>
                <w:webHidden/>
              </w:rPr>
              <w:fldChar w:fldCharType="end"/>
            </w:r>
          </w:hyperlink>
        </w:p>
        <w:p w14:paraId="0147558B" w14:textId="62B9E6ED" w:rsidR="00877A69" w:rsidRDefault="00877A69">
          <w:pPr>
            <w:pStyle w:val="TOC3"/>
            <w:rPr>
              <w:rFonts w:asciiTheme="minorHAnsi" w:eastAsiaTheme="minorEastAsia" w:hAnsiTheme="minorHAnsi" w:cstheme="minorBidi"/>
              <w:b w:val="0"/>
              <w:bCs w:val="0"/>
              <w:kern w:val="0"/>
              <w:sz w:val="22"/>
              <w:szCs w:val="22"/>
              <w:lang w:val="en-US" w:eastAsia="en-US"/>
            </w:rPr>
          </w:pPr>
          <w:hyperlink w:anchor="_Toc127170384" w:history="1">
            <w:r w:rsidRPr="00956E4F">
              <w:rPr>
                <w:rStyle w:val="Hyperlink"/>
                <w:rFonts w:ascii="Times New Roman" w:eastAsia="Times New Roman" w:hAnsi="Times New Roman"/>
                <w:i/>
                <w:iCs/>
              </w:rPr>
              <w:t>6.4.3. Societal Implications.</w:t>
            </w:r>
            <w:r>
              <w:rPr>
                <w:webHidden/>
              </w:rPr>
              <w:tab/>
            </w:r>
            <w:r>
              <w:rPr>
                <w:webHidden/>
              </w:rPr>
              <w:fldChar w:fldCharType="begin"/>
            </w:r>
            <w:r>
              <w:rPr>
                <w:webHidden/>
              </w:rPr>
              <w:instrText xml:space="preserve"> PAGEREF _Toc127170384 \h </w:instrText>
            </w:r>
            <w:r>
              <w:rPr>
                <w:webHidden/>
              </w:rPr>
            </w:r>
            <w:r>
              <w:rPr>
                <w:webHidden/>
              </w:rPr>
              <w:fldChar w:fldCharType="separate"/>
            </w:r>
            <w:r>
              <w:rPr>
                <w:webHidden/>
              </w:rPr>
              <w:t>280</w:t>
            </w:r>
            <w:r>
              <w:rPr>
                <w:webHidden/>
              </w:rPr>
              <w:fldChar w:fldCharType="end"/>
            </w:r>
          </w:hyperlink>
        </w:p>
        <w:p w14:paraId="28A95FD5" w14:textId="7E81CB5A"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85" w:history="1">
            <w:r w:rsidRPr="00956E4F">
              <w:rPr>
                <w:rStyle w:val="Hyperlink"/>
                <w:rFonts w:asciiTheme="majorBidi" w:hAnsiTheme="majorBidi"/>
              </w:rPr>
              <w:t>6.5. Research Limitations.</w:t>
            </w:r>
            <w:r>
              <w:rPr>
                <w:webHidden/>
              </w:rPr>
              <w:tab/>
            </w:r>
            <w:r>
              <w:rPr>
                <w:webHidden/>
              </w:rPr>
              <w:fldChar w:fldCharType="begin"/>
            </w:r>
            <w:r>
              <w:rPr>
                <w:webHidden/>
              </w:rPr>
              <w:instrText xml:space="preserve"> PAGEREF _Toc127170385 \h </w:instrText>
            </w:r>
            <w:r>
              <w:rPr>
                <w:webHidden/>
              </w:rPr>
            </w:r>
            <w:r>
              <w:rPr>
                <w:webHidden/>
              </w:rPr>
              <w:fldChar w:fldCharType="separate"/>
            </w:r>
            <w:r>
              <w:rPr>
                <w:webHidden/>
              </w:rPr>
              <w:t>281</w:t>
            </w:r>
            <w:r>
              <w:rPr>
                <w:webHidden/>
              </w:rPr>
              <w:fldChar w:fldCharType="end"/>
            </w:r>
          </w:hyperlink>
        </w:p>
        <w:p w14:paraId="04CE39E9" w14:textId="1B50B850"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86" w:history="1">
            <w:r w:rsidRPr="00956E4F">
              <w:rPr>
                <w:rStyle w:val="Hyperlink"/>
                <w:rFonts w:asciiTheme="majorBidi" w:hAnsiTheme="majorBidi"/>
              </w:rPr>
              <w:t>6.6. Suggestions for Further Research.</w:t>
            </w:r>
            <w:r>
              <w:rPr>
                <w:webHidden/>
              </w:rPr>
              <w:tab/>
            </w:r>
            <w:r>
              <w:rPr>
                <w:webHidden/>
              </w:rPr>
              <w:fldChar w:fldCharType="begin"/>
            </w:r>
            <w:r>
              <w:rPr>
                <w:webHidden/>
              </w:rPr>
              <w:instrText xml:space="preserve"> PAGEREF _Toc127170386 \h </w:instrText>
            </w:r>
            <w:r>
              <w:rPr>
                <w:webHidden/>
              </w:rPr>
            </w:r>
            <w:r>
              <w:rPr>
                <w:webHidden/>
              </w:rPr>
              <w:fldChar w:fldCharType="separate"/>
            </w:r>
            <w:r>
              <w:rPr>
                <w:webHidden/>
              </w:rPr>
              <w:t>284</w:t>
            </w:r>
            <w:r>
              <w:rPr>
                <w:webHidden/>
              </w:rPr>
              <w:fldChar w:fldCharType="end"/>
            </w:r>
          </w:hyperlink>
        </w:p>
        <w:p w14:paraId="76906237" w14:textId="1AF3908D"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87" w:history="1">
            <w:r w:rsidRPr="00956E4F">
              <w:rPr>
                <w:rStyle w:val="Hyperlink"/>
                <w:rFonts w:asciiTheme="majorBidi" w:hAnsiTheme="majorBidi"/>
              </w:rPr>
              <w:t>6.7. Chapter Summary.</w:t>
            </w:r>
            <w:r>
              <w:rPr>
                <w:webHidden/>
              </w:rPr>
              <w:tab/>
            </w:r>
            <w:r>
              <w:rPr>
                <w:webHidden/>
              </w:rPr>
              <w:fldChar w:fldCharType="begin"/>
            </w:r>
            <w:r>
              <w:rPr>
                <w:webHidden/>
              </w:rPr>
              <w:instrText xml:space="preserve"> PAGEREF _Toc127170387 \h </w:instrText>
            </w:r>
            <w:r>
              <w:rPr>
                <w:webHidden/>
              </w:rPr>
            </w:r>
            <w:r>
              <w:rPr>
                <w:webHidden/>
              </w:rPr>
              <w:fldChar w:fldCharType="separate"/>
            </w:r>
            <w:r>
              <w:rPr>
                <w:webHidden/>
              </w:rPr>
              <w:t>288</w:t>
            </w:r>
            <w:r>
              <w:rPr>
                <w:webHidden/>
              </w:rPr>
              <w:fldChar w:fldCharType="end"/>
            </w:r>
          </w:hyperlink>
        </w:p>
        <w:p w14:paraId="1C14D3E0" w14:textId="34F3765E"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88" w:history="1">
            <w:r w:rsidRPr="00956E4F">
              <w:rPr>
                <w:rStyle w:val="Hyperlink"/>
                <w:rFonts w:asciiTheme="majorBidi" w:hAnsiTheme="majorBidi"/>
              </w:rPr>
              <w:t>REFERENCES</w:t>
            </w:r>
            <w:r>
              <w:rPr>
                <w:webHidden/>
              </w:rPr>
              <w:tab/>
            </w:r>
            <w:r>
              <w:rPr>
                <w:webHidden/>
              </w:rPr>
              <w:fldChar w:fldCharType="begin"/>
            </w:r>
            <w:r>
              <w:rPr>
                <w:webHidden/>
              </w:rPr>
              <w:instrText xml:space="preserve"> PAGEREF _Toc127170388 \h </w:instrText>
            </w:r>
            <w:r>
              <w:rPr>
                <w:webHidden/>
              </w:rPr>
            </w:r>
            <w:r>
              <w:rPr>
                <w:webHidden/>
              </w:rPr>
              <w:fldChar w:fldCharType="separate"/>
            </w:r>
            <w:r>
              <w:rPr>
                <w:webHidden/>
              </w:rPr>
              <w:t>292</w:t>
            </w:r>
            <w:r>
              <w:rPr>
                <w:webHidden/>
              </w:rPr>
              <w:fldChar w:fldCharType="end"/>
            </w:r>
          </w:hyperlink>
        </w:p>
        <w:p w14:paraId="66110C38" w14:textId="1A57563D" w:rsidR="00877A69" w:rsidRDefault="00877A69">
          <w:pPr>
            <w:pStyle w:val="TOC1"/>
            <w:rPr>
              <w:rFonts w:asciiTheme="minorHAnsi" w:eastAsiaTheme="minorEastAsia" w:hAnsiTheme="minorHAnsi" w:cstheme="minorBidi"/>
              <w:b w:val="0"/>
              <w:bCs w:val="0"/>
              <w:kern w:val="0"/>
              <w:sz w:val="22"/>
              <w:szCs w:val="22"/>
              <w:lang w:val="en-US" w:eastAsia="en-US"/>
            </w:rPr>
          </w:pPr>
          <w:hyperlink w:anchor="_Toc127170389" w:history="1">
            <w:r w:rsidRPr="00956E4F">
              <w:rPr>
                <w:rStyle w:val="Hyperlink"/>
                <w:rFonts w:asciiTheme="majorBidi" w:hAnsiTheme="majorBidi"/>
              </w:rPr>
              <w:t>APPENDIXES</w:t>
            </w:r>
            <w:r>
              <w:rPr>
                <w:webHidden/>
              </w:rPr>
              <w:tab/>
            </w:r>
            <w:r>
              <w:rPr>
                <w:webHidden/>
              </w:rPr>
              <w:fldChar w:fldCharType="begin"/>
            </w:r>
            <w:r>
              <w:rPr>
                <w:webHidden/>
              </w:rPr>
              <w:instrText xml:space="preserve"> PAGEREF _Toc127170389 \h </w:instrText>
            </w:r>
            <w:r>
              <w:rPr>
                <w:webHidden/>
              </w:rPr>
            </w:r>
            <w:r>
              <w:rPr>
                <w:webHidden/>
              </w:rPr>
              <w:fldChar w:fldCharType="separate"/>
            </w:r>
            <w:r>
              <w:rPr>
                <w:webHidden/>
              </w:rPr>
              <w:t>365</w:t>
            </w:r>
            <w:r>
              <w:rPr>
                <w:webHidden/>
              </w:rPr>
              <w:fldChar w:fldCharType="end"/>
            </w:r>
          </w:hyperlink>
        </w:p>
        <w:p w14:paraId="370EA400" w14:textId="410592D9"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90" w:history="1">
            <w:r w:rsidRPr="00956E4F">
              <w:rPr>
                <w:rStyle w:val="Hyperlink"/>
                <w:rFonts w:asciiTheme="majorBidi" w:hAnsiTheme="majorBidi"/>
              </w:rPr>
              <w:t>APPENDIX A</w:t>
            </w:r>
            <w:r>
              <w:rPr>
                <w:webHidden/>
              </w:rPr>
              <w:tab/>
            </w:r>
            <w:r>
              <w:rPr>
                <w:webHidden/>
              </w:rPr>
              <w:fldChar w:fldCharType="begin"/>
            </w:r>
            <w:r>
              <w:rPr>
                <w:webHidden/>
              </w:rPr>
              <w:instrText xml:space="preserve"> PAGEREF _Toc127170390 \h </w:instrText>
            </w:r>
            <w:r>
              <w:rPr>
                <w:webHidden/>
              </w:rPr>
            </w:r>
            <w:r>
              <w:rPr>
                <w:webHidden/>
              </w:rPr>
              <w:fldChar w:fldCharType="separate"/>
            </w:r>
            <w:r>
              <w:rPr>
                <w:webHidden/>
              </w:rPr>
              <w:t>365</w:t>
            </w:r>
            <w:r>
              <w:rPr>
                <w:webHidden/>
              </w:rPr>
              <w:fldChar w:fldCharType="end"/>
            </w:r>
          </w:hyperlink>
        </w:p>
        <w:p w14:paraId="47B65DCE" w14:textId="663B84C9" w:rsidR="00877A69" w:rsidRDefault="00877A69">
          <w:pPr>
            <w:pStyle w:val="TOC2"/>
            <w:rPr>
              <w:rFonts w:asciiTheme="minorHAnsi" w:eastAsiaTheme="minorEastAsia" w:hAnsiTheme="minorHAnsi" w:cstheme="minorBidi"/>
              <w:b w:val="0"/>
              <w:bCs w:val="0"/>
              <w:kern w:val="0"/>
              <w:sz w:val="22"/>
              <w:szCs w:val="22"/>
              <w:lang w:val="en-US" w:eastAsia="en-US"/>
            </w:rPr>
          </w:pPr>
          <w:hyperlink w:anchor="_Toc127170391" w:history="1">
            <w:r w:rsidRPr="00956E4F">
              <w:rPr>
                <w:rStyle w:val="Hyperlink"/>
                <w:rFonts w:asciiTheme="majorBidi" w:hAnsiTheme="majorBidi"/>
              </w:rPr>
              <w:t>APPENDIX B</w:t>
            </w:r>
            <w:r>
              <w:rPr>
                <w:webHidden/>
              </w:rPr>
              <w:tab/>
            </w:r>
            <w:r>
              <w:rPr>
                <w:webHidden/>
              </w:rPr>
              <w:fldChar w:fldCharType="begin"/>
            </w:r>
            <w:r>
              <w:rPr>
                <w:webHidden/>
              </w:rPr>
              <w:instrText xml:space="preserve"> PAGEREF _Toc127170391 \h </w:instrText>
            </w:r>
            <w:r>
              <w:rPr>
                <w:webHidden/>
              </w:rPr>
            </w:r>
            <w:r>
              <w:rPr>
                <w:webHidden/>
              </w:rPr>
              <w:fldChar w:fldCharType="separate"/>
            </w:r>
            <w:r>
              <w:rPr>
                <w:webHidden/>
              </w:rPr>
              <w:t>372</w:t>
            </w:r>
            <w:r>
              <w:rPr>
                <w:webHidden/>
              </w:rPr>
              <w:fldChar w:fldCharType="end"/>
            </w:r>
          </w:hyperlink>
        </w:p>
        <w:p w14:paraId="43CBEAEF" w14:textId="3A397E74" w:rsidR="00A71A48" w:rsidRPr="00597FFB" w:rsidRDefault="00CB4EB1" w:rsidP="007F414F">
          <w:pPr>
            <w:sectPr w:rsidR="00A71A48" w:rsidRPr="00597FFB" w:rsidSect="008723E1">
              <w:pgSz w:w="11909" w:h="16834" w:code="9"/>
              <w:pgMar w:top="1800" w:right="2160" w:bottom="1800" w:left="2160" w:header="720" w:footer="720" w:gutter="0"/>
              <w:pgNumType w:fmt="lowerRoman"/>
              <w:cols w:space="720"/>
              <w:docGrid w:linePitch="360"/>
            </w:sectPr>
          </w:pPr>
          <w:r w:rsidRPr="00597FFB">
            <w:rPr>
              <w:b/>
              <w:bCs/>
              <w:noProof/>
            </w:rPr>
            <w:fldChar w:fldCharType="end"/>
          </w:r>
        </w:p>
      </w:sdtContent>
    </w:sdt>
    <w:p w14:paraId="0100B210" w14:textId="58385BB1" w:rsidR="00647BF4" w:rsidRPr="00597FFB" w:rsidRDefault="00EF2D6B" w:rsidP="00547EAE">
      <w:pPr>
        <w:pStyle w:val="Heading1"/>
        <w:jc w:val="center"/>
        <w:rPr>
          <w:rFonts w:asciiTheme="majorBidi" w:eastAsia="Times New Roman" w:hAnsiTheme="majorBidi"/>
          <w:b/>
          <w:bCs/>
          <w:color w:val="000000" w:themeColor="text1"/>
          <w:sz w:val="26"/>
          <w:szCs w:val="26"/>
        </w:rPr>
      </w:pPr>
      <w:bookmarkStart w:id="18" w:name="_Toc127170247"/>
      <w:r w:rsidRPr="00597FFB">
        <w:rPr>
          <w:rFonts w:asciiTheme="majorBidi" w:eastAsia="Times New Roman" w:hAnsiTheme="majorBidi"/>
          <w:b/>
          <w:bCs/>
          <w:color w:val="000000" w:themeColor="text1"/>
          <w:sz w:val="26"/>
          <w:szCs w:val="26"/>
        </w:rPr>
        <w:t>LIST OF TABLES</w:t>
      </w:r>
      <w:bookmarkEnd w:id="18"/>
    </w:p>
    <w:p w14:paraId="12BBBE1F" w14:textId="77777777" w:rsidR="00AE2CE1" w:rsidRPr="00597FFB" w:rsidRDefault="00AE2CE1" w:rsidP="00AE2CE1"/>
    <w:p w14:paraId="4779687B" w14:textId="25546463"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r w:rsidRPr="00597FFB">
        <w:rPr>
          <w:sz w:val="4"/>
        </w:rPr>
        <w:fldChar w:fldCharType="begin"/>
      </w:r>
      <w:r w:rsidRPr="00597FFB">
        <w:rPr>
          <w:sz w:val="4"/>
        </w:rPr>
        <w:instrText xml:space="preserve"> TOC \h \z \c "Table" </w:instrText>
      </w:r>
      <w:r w:rsidRPr="00597FFB">
        <w:rPr>
          <w:sz w:val="4"/>
        </w:rPr>
        <w:fldChar w:fldCharType="separate"/>
      </w:r>
      <w:hyperlink w:anchor="_Toc74914101" w:history="1">
        <w:r w:rsidRPr="00597FFB">
          <w:rPr>
            <w:rStyle w:val="Hyperlink"/>
            <w:noProof/>
          </w:rPr>
          <w:t xml:space="preserve">Table 1. </w:t>
        </w:r>
        <w:r w:rsidR="00BD0577" w:rsidRPr="00597FFB">
          <w:rPr>
            <w:rStyle w:val="Hyperlink"/>
            <w:iCs/>
            <w:noProof/>
          </w:rPr>
          <w:t>Estimated lifespan and weight of electrical and electronic equipment (EEE).</w:t>
        </w:r>
        <w:r w:rsidRPr="00597FFB">
          <w:rPr>
            <w:noProof/>
            <w:webHidden/>
          </w:rPr>
          <w:tab/>
        </w:r>
        <w:r w:rsidR="008D46AF" w:rsidRPr="00597FFB">
          <w:rPr>
            <w:noProof/>
            <w:webHidden/>
          </w:rPr>
          <w:t>3</w:t>
        </w:r>
      </w:hyperlink>
    </w:p>
    <w:p w14:paraId="17AA0506" w14:textId="0E52DEDA"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2" w:history="1">
        <w:r w:rsidRPr="00597FFB">
          <w:rPr>
            <w:rStyle w:val="Hyperlink"/>
            <w:noProof/>
          </w:rPr>
          <w:t xml:space="preserve">Table 2. </w:t>
        </w:r>
        <w:r w:rsidR="00AF6AA4" w:rsidRPr="00597FFB">
          <w:rPr>
            <w:rStyle w:val="Hyperlink"/>
            <w:iCs/>
            <w:noProof/>
          </w:rPr>
          <w:t xml:space="preserve">Waste categorization according to the recast EU WEEE </w:t>
        </w:r>
        <w:r w:rsidR="008105A9" w:rsidRPr="00597FFB">
          <w:rPr>
            <w:rStyle w:val="Hyperlink"/>
            <w:iCs/>
            <w:noProof/>
          </w:rPr>
          <w:t>d</w:t>
        </w:r>
        <w:r w:rsidR="00AF6AA4" w:rsidRPr="00597FFB">
          <w:rPr>
            <w:rStyle w:val="Hyperlink"/>
            <w:iCs/>
            <w:noProof/>
          </w:rPr>
          <w:t>irectives 2012/19/EU.</w:t>
        </w:r>
        <w:r w:rsidRPr="00597FFB">
          <w:rPr>
            <w:noProof/>
            <w:webHidden/>
          </w:rPr>
          <w:tab/>
        </w:r>
        <w:r w:rsidR="008D46AF" w:rsidRPr="00597FFB">
          <w:rPr>
            <w:noProof/>
            <w:webHidden/>
          </w:rPr>
          <w:t>5</w:t>
        </w:r>
      </w:hyperlink>
    </w:p>
    <w:p w14:paraId="708F7A2A" w14:textId="1D0B7C84"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3" w:history="1">
        <w:r w:rsidRPr="00597FFB">
          <w:rPr>
            <w:rStyle w:val="Hyperlink"/>
            <w:noProof/>
          </w:rPr>
          <w:t xml:space="preserve">Table 3. </w:t>
        </w:r>
        <w:r w:rsidR="00731C4F" w:rsidRPr="00597FFB">
          <w:rPr>
            <w:rStyle w:val="Hyperlink"/>
            <w:iCs/>
            <w:noProof/>
          </w:rPr>
          <w:t xml:space="preserve">Hazardous substances present in </w:t>
        </w:r>
        <w:r w:rsidR="00473F20" w:rsidRPr="00597FFB">
          <w:rPr>
            <w:rStyle w:val="Hyperlink"/>
            <w:iCs/>
            <w:noProof/>
          </w:rPr>
          <w:t>e</w:t>
        </w:r>
        <w:r w:rsidR="00731C4F" w:rsidRPr="00597FFB">
          <w:rPr>
            <w:rStyle w:val="Hyperlink"/>
            <w:iCs/>
            <w:noProof/>
          </w:rPr>
          <w:t>-waste and their impacts.</w:t>
        </w:r>
        <w:r w:rsidRPr="00597FFB">
          <w:rPr>
            <w:noProof/>
            <w:webHidden/>
          </w:rPr>
          <w:tab/>
        </w:r>
        <w:r w:rsidR="008D46AF" w:rsidRPr="00597FFB">
          <w:rPr>
            <w:noProof/>
            <w:webHidden/>
          </w:rPr>
          <w:t>8</w:t>
        </w:r>
      </w:hyperlink>
    </w:p>
    <w:p w14:paraId="4B4E85EF" w14:textId="2D53E285"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4" w:history="1">
        <w:r w:rsidRPr="00597FFB">
          <w:rPr>
            <w:rStyle w:val="Hyperlink"/>
            <w:noProof/>
          </w:rPr>
          <w:t xml:space="preserve">Table 4. </w:t>
        </w:r>
        <w:r w:rsidR="00482617" w:rsidRPr="00597FFB">
          <w:rPr>
            <w:rStyle w:val="Hyperlink"/>
            <w:noProof/>
          </w:rPr>
          <w:t xml:space="preserve">Global and selected country </w:t>
        </w:r>
        <w:r w:rsidR="00473F20" w:rsidRPr="00597FFB">
          <w:rPr>
            <w:rStyle w:val="Hyperlink"/>
            <w:noProof/>
          </w:rPr>
          <w:t>e</w:t>
        </w:r>
        <w:r w:rsidR="00482617" w:rsidRPr="00597FFB">
          <w:rPr>
            <w:rStyle w:val="Hyperlink"/>
            <w:noProof/>
          </w:rPr>
          <w:t>-waste production in 201</w:t>
        </w:r>
        <w:r w:rsidR="0043350D" w:rsidRPr="00597FFB">
          <w:rPr>
            <w:rStyle w:val="Hyperlink"/>
            <w:noProof/>
          </w:rPr>
          <w:t>6</w:t>
        </w:r>
        <w:r w:rsidR="00482617" w:rsidRPr="00597FFB">
          <w:rPr>
            <w:rStyle w:val="Hyperlink"/>
            <w:noProof/>
          </w:rPr>
          <w:t xml:space="preserve"> and 201</w:t>
        </w:r>
        <w:r w:rsidR="0043350D" w:rsidRPr="00597FFB">
          <w:rPr>
            <w:rStyle w:val="Hyperlink"/>
            <w:noProof/>
          </w:rPr>
          <w:t>9</w:t>
        </w:r>
        <w:r w:rsidR="00482617" w:rsidRPr="00597FFB">
          <w:rPr>
            <w:rStyle w:val="Hyperlink"/>
            <w:noProof/>
          </w:rPr>
          <w:t>.</w:t>
        </w:r>
        <w:r w:rsidRPr="00597FFB">
          <w:rPr>
            <w:noProof/>
            <w:webHidden/>
          </w:rPr>
          <w:tab/>
        </w:r>
        <w:r w:rsidR="006A3AD3" w:rsidRPr="00597FFB">
          <w:rPr>
            <w:noProof/>
            <w:webHidden/>
          </w:rPr>
          <w:t>1</w:t>
        </w:r>
        <w:r w:rsidR="00A152B7" w:rsidRPr="00597FFB">
          <w:rPr>
            <w:noProof/>
            <w:webHidden/>
          </w:rPr>
          <w:t>2</w:t>
        </w:r>
      </w:hyperlink>
    </w:p>
    <w:p w14:paraId="1E74F23A" w14:textId="5B399A33"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5" w:history="1">
        <w:r w:rsidRPr="00597FFB">
          <w:rPr>
            <w:rStyle w:val="Hyperlink"/>
            <w:noProof/>
          </w:rPr>
          <w:t xml:space="preserve">Table 5. </w:t>
        </w:r>
        <w:r w:rsidR="00967114" w:rsidRPr="00597FFB">
          <w:rPr>
            <w:rStyle w:val="Hyperlink"/>
            <w:noProof/>
          </w:rPr>
          <w:t>E-waste (WEEE) is generated around the world and per continent.</w:t>
        </w:r>
        <w:r w:rsidRPr="00597FFB">
          <w:rPr>
            <w:noProof/>
            <w:webHidden/>
          </w:rPr>
          <w:tab/>
        </w:r>
        <w:r w:rsidR="00A152B7" w:rsidRPr="00597FFB">
          <w:rPr>
            <w:noProof/>
            <w:webHidden/>
          </w:rPr>
          <w:t>18</w:t>
        </w:r>
      </w:hyperlink>
    </w:p>
    <w:p w14:paraId="077D4ABA" w14:textId="3A1783C7"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6" w:history="1">
        <w:r w:rsidRPr="00597FFB">
          <w:rPr>
            <w:rStyle w:val="Hyperlink"/>
            <w:noProof/>
          </w:rPr>
          <w:t xml:space="preserve">Table 6. </w:t>
        </w:r>
        <w:r w:rsidR="00011BB7" w:rsidRPr="00597FFB">
          <w:rPr>
            <w:rStyle w:val="Hyperlink"/>
            <w:noProof/>
          </w:rPr>
          <w:t xml:space="preserve">Research </w:t>
        </w:r>
        <w:r w:rsidR="005118DB" w:rsidRPr="00597FFB">
          <w:rPr>
            <w:rStyle w:val="Hyperlink"/>
            <w:noProof/>
          </w:rPr>
          <w:t>o</w:t>
        </w:r>
        <w:r w:rsidR="00011BB7" w:rsidRPr="00597FFB">
          <w:rPr>
            <w:rStyle w:val="Hyperlink"/>
            <w:noProof/>
          </w:rPr>
          <w:t xml:space="preserve">bjectives, </w:t>
        </w:r>
        <w:r w:rsidR="005118DB" w:rsidRPr="00597FFB">
          <w:rPr>
            <w:rStyle w:val="Hyperlink"/>
            <w:noProof/>
          </w:rPr>
          <w:t>q</w:t>
        </w:r>
        <w:r w:rsidR="00011BB7" w:rsidRPr="00597FFB">
          <w:rPr>
            <w:rStyle w:val="Hyperlink"/>
            <w:noProof/>
          </w:rPr>
          <w:t xml:space="preserve">uestions, and </w:t>
        </w:r>
        <w:r w:rsidR="005118DB" w:rsidRPr="00597FFB">
          <w:rPr>
            <w:rStyle w:val="Hyperlink"/>
            <w:noProof/>
          </w:rPr>
          <w:t>h</w:t>
        </w:r>
        <w:r w:rsidR="00011BB7" w:rsidRPr="00597FFB">
          <w:rPr>
            <w:rStyle w:val="Hyperlink"/>
            <w:noProof/>
          </w:rPr>
          <w:t>ypothesis</w:t>
        </w:r>
        <w:r w:rsidRPr="00597FFB">
          <w:rPr>
            <w:noProof/>
            <w:webHidden/>
          </w:rPr>
          <w:tab/>
        </w:r>
        <w:r w:rsidR="005D76FE" w:rsidRPr="00597FFB">
          <w:rPr>
            <w:noProof/>
            <w:webHidden/>
          </w:rPr>
          <w:t>3</w:t>
        </w:r>
        <w:r w:rsidR="00A152B7" w:rsidRPr="00597FFB">
          <w:rPr>
            <w:noProof/>
            <w:webHidden/>
          </w:rPr>
          <w:t>2</w:t>
        </w:r>
      </w:hyperlink>
    </w:p>
    <w:p w14:paraId="6CA88920" w14:textId="6E8EAB83"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7" w:history="1">
        <w:r w:rsidRPr="00597FFB">
          <w:rPr>
            <w:rStyle w:val="Hyperlink"/>
            <w:noProof/>
          </w:rPr>
          <w:t xml:space="preserve">Table 7. </w:t>
        </w:r>
        <w:r w:rsidR="001229AD" w:rsidRPr="00597FFB">
          <w:rPr>
            <w:rStyle w:val="Hyperlink"/>
            <w:noProof/>
          </w:rPr>
          <w:t xml:space="preserve">Research </w:t>
        </w:r>
        <w:r w:rsidR="005118DB" w:rsidRPr="00597FFB">
          <w:rPr>
            <w:rStyle w:val="Hyperlink"/>
            <w:noProof/>
          </w:rPr>
          <w:t>t</w:t>
        </w:r>
        <w:r w:rsidR="001229AD" w:rsidRPr="00597FFB">
          <w:rPr>
            <w:rStyle w:val="Hyperlink"/>
            <w:noProof/>
          </w:rPr>
          <w:t>imeline.</w:t>
        </w:r>
        <w:r w:rsidRPr="00597FFB">
          <w:rPr>
            <w:noProof/>
            <w:webHidden/>
          </w:rPr>
          <w:tab/>
        </w:r>
        <w:r w:rsidR="00A67516" w:rsidRPr="00597FFB">
          <w:rPr>
            <w:noProof/>
            <w:webHidden/>
          </w:rPr>
          <w:t>5</w:t>
        </w:r>
        <w:r w:rsidR="008D608A">
          <w:rPr>
            <w:noProof/>
            <w:webHidden/>
          </w:rPr>
          <w:t>0</w:t>
        </w:r>
      </w:hyperlink>
    </w:p>
    <w:p w14:paraId="18A17C60" w14:textId="1B111EF3"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8" w:history="1">
        <w:r w:rsidRPr="00597FFB">
          <w:rPr>
            <w:rStyle w:val="Hyperlink"/>
            <w:noProof/>
          </w:rPr>
          <w:t xml:space="preserve">Table 8. </w:t>
        </w:r>
        <w:r w:rsidR="00C8127F" w:rsidRPr="00597FFB">
          <w:rPr>
            <w:color w:val="000000" w:themeColor="text1"/>
            <w:szCs w:val="20"/>
          </w:rPr>
          <w:t>Formally collected versus unidentified e-waste globally for the years 2014, 2016, and 2019</w:t>
        </w:r>
        <w:r w:rsidRPr="00597FFB">
          <w:rPr>
            <w:noProof/>
            <w:webHidden/>
          </w:rPr>
          <w:tab/>
        </w:r>
        <w:r w:rsidR="00EF65C1" w:rsidRPr="00597FFB">
          <w:rPr>
            <w:noProof/>
            <w:webHidden/>
          </w:rPr>
          <w:t>7</w:t>
        </w:r>
        <w:r w:rsidR="00A67516" w:rsidRPr="00597FFB">
          <w:rPr>
            <w:noProof/>
            <w:webHidden/>
          </w:rPr>
          <w:t>8</w:t>
        </w:r>
      </w:hyperlink>
    </w:p>
    <w:p w14:paraId="062D2A26" w14:textId="403E4814" w:rsidR="00E34CF1" w:rsidRPr="00597FFB" w:rsidRDefault="00E34CF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09" w:history="1">
        <w:r w:rsidRPr="00597FFB">
          <w:rPr>
            <w:rStyle w:val="Hyperlink"/>
            <w:noProof/>
          </w:rPr>
          <w:t xml:space="preserve">Table 9. </w:t>
        </w:r>
        <w:r w:rsidR="00E937C3" w:rsidRPr="00597FFB">
          <w:rPr>
            <w:rStyle w:val="Hyperlink"/>
            <w:iCs/>
            <w:noProof/>
          </w:rPr>
          <w:t>Municipal collection centers in Dubai, Abu Dhabi, Sharjah, Ajman, and Ras Al Khaimah</w:t>
        </w:r>
        <w:r w:rsidRPr="00597FFB">
          <w:rPr>
            <w:noProof/>
            <w:webHidden/>
          </w:rPr>
          <w:tab/>
        </w:r>
        <w:r w:rsidR="00F07B3D" w:rsidRPr="00597FFB">
          <w:rPr>
            <w:noProof/>
            <w:webHidden/>
          </w:rPr>
          <w:t>8</w:t>
        </w:r>
        <w:r w:rsidR="008D46AF" w:rsidRPr="00597FFB">
          <w:rPr>
            <w:noProof/>
            <w:webHidden/>
          </w:rPr>
          <w:t>1</w:t>
        </w:r>
      </w:hyperlink>
    </w:p>
    <w:p w14:paraId="0DB69AEC" w14:textId="191DF4C2" w:rsidR="00E34CF1" w:rsidRPr="00597FFB" w:rsidRDefault="00E34CF1" w:rsidP="0054338F">
      <w:pPr>
        <w:pStyle w:val="TableofFigures"/>
        <w:tabs>
          <w:tab w:val="right" w:leader="dot" w:pos="7579"/>
        </w:tabs>
        <w:rPr>
          <w:rStyle w:val="Hyperlink"/>
          <w:noProof/>
        </w:rPr>
      </w:pPr>
      <w:hyperlink w:anchor="_Toc74914110" w:history="1">
        <w:r w:rsidRPr="00597FFB">
          <w:rPr>
            <w:rStyle w:val="Hyperlink"/>
            <w:noProof/>
          </w:rPr>
          <w:t xml:space="preserve">Table 10. </w:t>
        </w:r>
        <w:r w:rsidR="0054338F" w:rsidRPr="00597FFB">
          <w:rPr>
            <w:rStyle w:val="Hyperlink"/>
            <w:iCs/>
            <w:noProof/>
            <w:lang w:val="en-US"/>
          </w:rPr>
          <w:t xml:space="preserve">Characteristics </w:t>
        </w:r>
        <w:r w:rsidR="00BA1637" w:rsidRPr="00597FFB">
          <w:rPr>
            <w:rStyle w:val="Hyperlink"/>
            <w:iCs/>
            <w:noProof/>
            <w:lang w:val="en-US"/>
          </w:rPr>
          <w:t>o</w:t>
        </w:r>
        <w:r w:rsidR="0054338F" w:rsidRPr="00597FFB">
          <w:rPr>
            <w:rStyle w:val="Hyperlink"/>
            <w:iCs/>
            <w:noProof/>
            <w:lang w:val="en-US"/>
          </w:rPr>
          <w:t xml:space="preserve">f </w:t>
        </w:r>
        <w:r w:rsidR="00BA1637" w:rsidRPr="00597FFB">
          <w:rPr>
            <w:rStyle w:val="Hyperlink"/>
            <w:iCs/>
            <w:noProof/>
            <w:lang w:val="en-US"/>
          </w:rPr>
          <w:t>l</w:t>
        </w:r>
        <w:r w:rsidR="0054338F" w:rsidRPr="00597FFB">
          <w:rPr>
            <w:rStyle w:val="Hyperlink"/>
            <w:iCs/>
            <w:noProof/>
            <w:lang w:val="en-US"/>
          </w:rPr>
          <w:t xml:space="preserve">iterature </w:t>
        </w:r>
        <w:r w:rsidR="00BA1637" w:rsidRPr="00597FFB">
          <w:rPr>
            <w:rStyle w:val="Hyperlink"/>
            <w:iCs/>
            <w:noProof/>
            <w:lang w:val="en-US"/>
          </w:rPr>
          <w:t>s</w:t>
        </w:r>
        <w:r w:rsidR="0054338F" w:rsidRPr="00597FFB">
          <w:rPr>
            <w:rStyle w:val="Hyperlink"/>
            <w:iCs/>
            <w:noProof/>
            <w:lang w:val="en-US"/>
          </w:rPr>
          <w:t>ources</w:t>
        </w:r>
        <w:r w:rsidRPr="00597FFB">
          <w:rPr>
            <w:rStyle w:val="Hyperlink"/>
            <w:noProof/>
            <w:webHidden/>
          </w:rPr>
          <w:tab/>
        </w:r>
        <w:r w:rsidR="00F170DB" w:rsidRPr="00597FFB">
          <w:rPr>
            <w:rStyle w:val="Hyperlink"/>
            <w:noProof/>
            <w:webHidden/>
          </w:rPr>
          <w:t>16</w:t>
        </w:r>
        <w:r w:rsidR="009F09E0">
          <w:rPr>
            <w:rStyle w:val="Hyperlink"/>
            <w:noProof/>
            <w:webHidden/>
          </w:rPr>
          <w:t>4</w:t>
        </w:r>
      </w:hyperlink>
    </w:p>
    <w:p w14:paraId="28657631" w14:textId="5F1A3242" w:rsidR="00D26706" w:rsidRPr="00597FFB" w:rsidRDefault="00D26706" w:rsidP="00D26706">
      <w:pPr>
        <w:pStyle w:val="TableofFigures"/>
        <w:tabs>
          <w:tab w:val="right" w:leader="dot" w:pos="7579"/>
        </w:tabs>
        <w:rPr>
          <w:noProof/>
        </w:rPr>
      </w:pPr>
      <w:hyperlink w:anchor="_Toc74914111" w:history="1">
        <w:r w:rsidRPr="00597FFB">
          <w:rPr>
            <w:rStyle w:val="Hyperlink"/>
            <w:noProof/>
          </w:rPr>
          <w:t xml:space="preserve">Table 11. </w:t>
        </w:r>
        <w:r w:rsidRPr="00597FFB">
          <w:rPr>
            <w:rStyle w:val="Hyperlink"/>
            <w:iCs/>
            <w:noProof/>
          </w:rPr>
          <w:t xml:space="preserve">Worldviews </w:t>
        </w:r>
        <w:r w:rsidR="00BA1637" w:rsidRPr="00597FFB">
          <w:rPr>
            <w:rStyle w:val="Hyperlink"/>
            <w:iCs/>
            <w:noProof/>
          </w:rPr>
          <w:t>i</w:t>
        </w:r>
        <w:r w:rsidRPr="00597FFB">
          <w:rPr>
            <w:rStyle w:val="Hyperlink"/>
            <w:iCs/>
            <w:noProof/>
          </w:rPr>
          <w:t xml:space="preserve">n </w:t>
        </w:r>
        <w:r w:rsidR="00BA1637" w:rsidRPr="00597FFB">
          <w:rPr>
            <w:rStyle w:val="Hyperlink"/>
            <w:iCs/>
            <w:noProof/>
          </w:rPr>
          <w:t>s</w:t>
        </w:r>
        <w:r w:rsidRPr="00597FFB">
          <w:rPr>
            <w:rStyle w:val="Hyperlink"/>
            <w:iCs/>
            <w:noProof/>
          </w:rPr>
          <w:t xml:space="preserve">cientific </w:t>
        </w:r>
        <w:r w:rsidR="00BA1637" w:rsidRPr="00597FFB">
          <w:rPr>
            <w:rStyle w:val="Hyperlink"/>
            <w:iCs/>
            <w:noProof/>
          </w:rPr>
          <w:t>r</w:t>
        </w:r>
        <w:r w:rsidRPr="00597FFB">
          <w:rPr>
            <w:rStyle w:val="Hyperlink"/>
            <w:iCs/>
            <w:noProof/>
          </w:rPr>
          <w:t>esearch.</w:t>
        </w:r>
        <w:r w:rsidRPr="00597FFB">
          <w:rPr>
            <w:noProof/>
            <w:webHidden/>
          </w:rPr>
          <w:tab/>
          <w:t>17</w:t>
        </w:r>
        <w:r w:rsidR="00DE4F0C">
          <w:rPr>
            <w:noProof/>
            <w:webHidden/>
          </w:rPr>
          <w:t>5</w:t>
        </w:r>
      </w:hyperlink>
    </w:p>
    <w:p w14:paraId="3161FC2B" w14:textId="25AE5542" w:rsidR="00E34CF1" w:rsidRPr="00597FFB" w:rsidRDefault="00E34CF1">
      <w:pPr>
        <w:pStyle w:val="TableofFigures"/>
        <w:tabs>
          <w:tab w:val="right" w:leader="dot" w:pos="7579"/>
        </w:tabs>
        <w:rPr>
          <w:noProof/>
        </w:rPr>
      </w:pPr>
      <w:hyperlink w:anchor="_Toc74914111" w:history="1">
        <w:r w:rsidRPr="00597FFB">
          <w:rPr>
            <w:rStyle w:val="Hyperlink"/>
            <w:noProof/>
          </w:rPr>
          <w:t>Table 1</w:t>
        </w:r>
        <w:r w:rsidR="00D26706" w:rsidRPr="00597FFB">
          <w:rPr>
            <w:rStyle w:val="Hyperlink"/>
            <w:noProof/>
          </w:rPr>
          <w:t>2</w:t>
        </w:r>
        <w:r w:rsidRPr="00597FFB">
          <w:rPr>
            <w:rStyle w:val="Hyperlink"/>
            <w:noProof/>
          </w:rPr>
          <w:t xml:space="preserve">. </w:t>
        </w:r>
        <w:r w:rsidR="000C0480" w:rsidRPr="00597FFB">
          <w:rPr>
            <w:rStyle w:val="Hyperlink"/>
            <w:iCs/>
            <w:noProof/>
          </w:rPr>
          <w:t>Demographic characteristics of research participants</w:t>
        </w:r>
        <w:r w:rsidRPr="00597FFB">
          <w:rPr>
            <w:noProof/>
            <w:webHidden/>
          </w:rPr>
          <w:tab/>
        </w:r>
        <w:r w:rsidR="00D06FDF" w:rsidRPr="00597FFB">
          <w:rPr>
            <w:noProof/>
            <w:webHidden/>
          </w:rPr>
          <w:t>20</w:t>
        </w:r>
        <w:r w:rsidR="00D2386A">
          <w:rPr>
            <w:noProof/>
            <w:webHidden/>
          </w:rPr>
          <w:t>6</w:t>
        </w:r>
      </w:hyperlink>
    </w:p>
    <w:p w14:paraId="2C466705" w14:textId="3A1AB205" w:rsidR="007809B6" w:rsidRPr="00597FFB" w:rsidRDefault="00E34CF1" w:rsidP="008762BC">
      <w:pPr>
        <w:pStyle w:val="TableofFigures"/>
        <w:tabs>
          <w:tab w:val="right" w:leader="dot" w:pos="7579"/>
        </w:tabs>
        <w:rPr>
          <w:noProof/>
        </w:rPr>
      </w:pPr>
      <w:hyperlink w:anchor="_Toc74914114" w:history="1">
        <w:r w:rsidRPr="00597FFB">
          <w:rPr>
            <w:rStyle w:val="Hyperlink"/>
            <w:noProof/>
          </w:rPr>
          <w:t>Table 1</w:t>
        </w:r>
        <w:r w:rsidR="007809B6" w:rsidRPr="00597FFB">
          <w:rPr>
            <w:rStyle w:val="Hyperlink"/>
            <w:noProof/>
          </w:rPr>
          <w:t>3</w:t>
        </w:r>
        <w:r w:rsidRPr="00597FFB">
          <w:rPr>
            <w:rStyle w:val="Hyperlink"/>
            <w:noProof/>
          </w:rPr>
          <w:t xml:space="preserve">. </w:t>
        </w:r>
        <w:r w:rsidR="004474B0" w:rsidRPr="00597FFB">
          <w:rPr>
            <w:rStyle w:val="Hyperlink"/>
            <w:iCs/>
            <w:noProof/>
          </w:rPr>
          <w:t>Mean interpretation scale (N = 505)</w:t>
        </w:r>
        <w:r w:rsidRPr="00597FFB">
          <w:rPr>
            <w:noProof/>
            <w:webHidden/>
          </w:rPr>
          <w:tab/>
        </w:r>
        <w:r w:rsidR="0073451F" w:rsidRPr="00597FFB">
          <w:rPr>
            <w:noProof/>
            <w:webHidden/>
          </w:rPr>
          <w:t>2</w:t>
        </w:r>
        <w:r w:rsidR="005F7202">
          <w:rPr>
            <w:noProof/>
            <w:webHidden/>
          </w:rPr>
          <w:t>10</w:t>
        </w:r>
      </w:hyperlink>
    </w:p>
    <w:p w14:paraId="03549341" w14:textId="66A34F07" w:rsidR="00E34CF1" w:rsidRPr="00597FFB" w:rsidRDefault="00E34CF1">
      <w:pPr>
        <w:pStyle w:val="TableofFigures"/>
        <w:tabs>
          <w:tab w:val="right" w:leader="dot" w:pos="7579"/>
        </w:tabs>
        <w:rPr>
          <w:noProof/>
        </w:rPr>
      </w:pPr>
      <w:hyperlink w:anchor="_Toc74914115" w:history="1">
        <w:r w:rsidRPr="00597FFB">
          <w:rPr>
            <w:rStyle w:val="Hyperlink"/>
            <w:noProof/>
          </w:rPr>
          <w:t>Table 1</w:t>
        </w:r>
        <w:r w:rsidR="008762BC" w:rsidRPr="00597FFB">
          <w:rPr>
            <w:rStyle w:val="Hyperlink"/>
            <w:noProof/>
          </w:rPr>
          <w:t>4</w:t>
        </w:r>
        <w:r w:rsidRPr="00597FFB">
          <w:rPr>
            <w:rStyle w:val="Hyperlink"/>
            <w:noProof/>
          </w:rPr>
          <w:t xml:space="preserve">. </w:t>
        </w:r>
        <w:r w:rsidR="004474B0" w:rsidRPr="00597FFB">
          <w:rPr>
            <w:rStyle w:val="Hyperlink"/>
            <w:iCs/>
            <w:noProof/>
          </w:rPr>
          <w:t>Correlation matrix of extended TPB model constructs</w:t>
        </w:r>
        <w:r w:rsidRPr="00597FFB">
          <w:rPr>
            <w:noProof/>
            <w:webHidden/>
          </w:rPr>
          <w:tab/>
        </w:r>
        <w:r w:rsidR="009A3780" w:rsidRPr="00597FFB">
          <w:rPr>
            <w:noProof/>
            <w:webHidden/>
          </w:rPr>
          <w:t>2</w:t>
        </w:r>
        <w:r w:rsidR="008762BC" w:rsidRPr="00597FFB">
          <w:rPr>
            <w:noProof/>
            <w:webHidden/>
          </w:rPr>
          <w:t>1</w:t>
        </w:r>
        <w:r w:rsidR="00CB1CE4">
          <w:rPr>
            <w:noProof/>
            <w:webHidden/>
          </w:rPr>
          <w:t>3</w:t>
        </w:r>
      </w:hyperlink>
    </w:p>
    <w:p w14:paraId="5EA1C488" w14:textId="093757D5" w:rsidR="00E34CF1" w:rsidRPr="00597FFB" w:rsidRDefault="00E34CF1">
      <w:pPr>
        <w:pStyle w:val="TableofFigures"/>
        <w:tabs>
          <w:tab w:val="right" w:leader="dot" w:pos="7579"/>
        </w:tabs>
        <w:rPr>
          <w:noProof/>
        </w:rPr>
      </w:pPr>
      <w:hyperlink w:anchor="_Toc74914116" w:history="1">
        <w:r w:rsidRPr="00597FFB">
          <w:rPr>
            <w:rStyle w:val="Hyperlink"/>
            <w:noProof/>
          </w:rPr>
          <w:t>Table 1</w:t>
        </w:r>
        <w:r w:rsidR="0018213F" w:rsidRPr="00597FFB">
          <w:rPr>
            <w:rStyle w:val="Hyperlink"/>
            <w:noProof/>
          </w:rPr>
          <w:t>5</w:t>
        </w:r>
        <w:r w:rsidRPr="00597FFB">
          <w:rPr>
            <w:rStyle w:val="Hyperlink"/>
            <w:noProof/>
          </w:rPr>
          <w:t xml:space="preserve">. </w:t>
        </w:r>
        <w:r w:rsidR="00286FD3" w:rsidRPr="00597FFB">
          <w:rPr>
            <w:rStyle w:val="Hyperlink"/>
            <w:iCs/>
            <w:noProof/>
          </w:rPr>
          <w:t>Descriptive statistics, factor loadings, and reliability and validity analysis</w:t>
        </w:r>
        <w:r w:rsidRPr="00597FFB">
          <w:rPr>
            <w:noProof/>
            <w:webHidden/>
          </w:rPr>
          <w:tab/>
        </w:r>
        <w:r w:rsidR="002B1E7A" w:rsidRPr="00597FFB">
          <w:rPr>
            <w:noProof/>
            <w:webHidden/>
          </w:rPr>
          <w:t>2</w:t>
        </w:r>
        <w:r w:rsidR="0018213F" w:rsidRPr="00597FFB">
          <w:rPr>
            <w:noProof/>
            <w:webHidden/>
          </w:rPr>
          <w:t>1</w:t>
        </w:r>
        <w:r w:rsidR="00E934C7">
          <w:rPr>
            <w:noProof/>
            <w:webHidden/>
          </w:rPr>
          <w:t>5</w:t>
        </w:r>
      </w:hyperlink>
    </w:p>
    <w:p w14:paraId="7EFD7DC8" w14:textId="0B74D32F" w:rsidR="00E34CF1" w:rsidRPr="00597FFB" w:rsidRDefault="00E34CF1">
      <w:pPr>
        <w:pStyle w:val="TableofFigures"/>
        <w:tabs>
          <w:tab w:val="right" w:leader="dot" w:pos="7579"/>
        </w:tabs>
        <w:rPr>
          <w:noProof/>
        </w:rPr>
      </w:pPr>
      <w:hyperlink w:anchor="_Toc74914117" w:history="1">
        <w:r w:rsidRPr="00597FFB">
          <w:rPr>
            <w:rStyle w:val="Hyperlink"/>
            <w:noProof/>
          </w:rPr>
          <w:t>Table 1</w:t>
        </w:r>
        <w:r w:rsidR="00FB73E5" w:rsidRPr="00597FFB">
          <w:rPr>
            <w:rStyle w:val="Hyperlink"/>
            <w:noProof/>
          </w:rPr>
          <w:t>6</w:t>
        </w:r>
        <w:r w:rsidRPr="00597FFB">
          <w:rPr>
            <w:rStyle w:val="Hyperlink"/>
            <w:noProof/>
          </w:rPr>
          <w:t>.</w:t>
        </w:r>
        <w:r w:rsidRPr="00597FFB">
          <w:rPr>
            <w:rStyle w:val="Hyperlink"/>
            <w:iCs/>
            <w:noProof/>
          </w:rPr>
          <w:t xml:space="preserve"> </w:t>
        </w:r>
        <w:r w:rsidR="00286FD3" w:rsidRPr="00597FFB">
          <w:rPr>
            <w:rStyle w:val="Hyperlink"/>
            <w:iCs/>
            <w:noProof/>
          </w:rPr>
          <w:t>SEM results of the direct effects' hypotheses</w:t>
        </w:r>
        <w:r w:rsidRPr="00597FFB">
          <w:rPr>
            <w:noProof/>
            <w:webHidden/>
          </w:rPr>
          <w:tab/>
        </w:r>
        <w:r w:rsidR="005757FA" w:rsidRPr="00597FFB">
          <w:rPr>
            <w:noProof/>
            <w:webHidden/>
          </w:rPr>
          <w:t>2</w:t>
        </w:r>
        <w:r w:rsidR="0032481C" w:rsidRPr="00597FFB">
          <w:rPr>
            <w:noProof/>
            <w:webHidden/>
          </w:rPr>
          <w:t>1</w:t>
        </w:r>
        <w:r w:rsidR="00EE54D6">
          <w:rPr>
            <w:noProof/>
            <w:webHidden/>
          </w:rPr>
          <w:t>8</w:t>
        </w:r>
      </w:hyperlink>
    </w:p>
    <w:p w14:paraId="5DCF5379" w14:textId="0C3915EE" w:rsidR="00E34CF1" w:rsidRPr="00597FFB" w:rsidRDefault="00E34CF1">
      <w:pPr>
        <w:pStyle w:val="TableofFigures"/>
        <w:tabs>
          <w:tab w:val="right" w:leader="dot" w:pos="7579"/>
        </w:tabs>
        <w:rPr>
          <w:noProof/>
        </w:rPr>
      </w:pPr>
      <w:hyperlink w:anchor="_Toc74914118" w:history="1">
        <w:r w:rsidRPr="00597FFB">
          <w:rPr>
            <w:rStyle w:val="Hyperlink"/>
            <w:noProof/>
          </w:rPr>
          <w:t>Table 1</w:t>
        </w:r>
        <w:r w:rsidR="00FB73E5" w:rsidRPr="00597FFB">
          <w:rPr>
            <w:rStyle w:val="Hyperlink"/>
            <w:noProof/>
          </w:rPr>
          <w:t>7</w:t>
        </w:r>
        <w:r w:rsidRPr="00597FFB">
          <w:rPr>
            <w:rStyle w:val="Hyperlink"/>
            <w:noProof/>
          </w:rPr>
          <w:t>.</w:t>
        </w:r>
        <w:r w:rsidRPr="00597FFB">
          <w:rPr>
            <w:rStyle w:val="Hyperlink"/>
            <w:iCs/>
            <w:noProof/>
          </w:rPr>
          <w:t xml:space="preserve"> </w:t>
        </w:r>
        <w:r w:rsidR="00286FD3" w:rsidRPr="00597FFB">
          <w:rPr>
            <w:rStyle w:val="Hyperlink"/>
            <w:iCs/>
            <w:noProof/>
          </w:rPr>
          <w:t>Mediation effect of EWR behavioral intention on the effect of attitude, subjective norm, perceived behavioral control, and incentives on adoption of EWR</w:t>
        </w:r>
        <w:r w:rsidRPr="00597FFB">
          <w:rPr>
            <w:noProof/>
            <w:webHidden/>
          </w:rPr>
          <w:tab/>
        </w:r>
        <w:r w:rsidRPr="00597FFB">
          <w:rPr>
            <w:noProof/>
            <w:webHidden/>
          </w:rPr>
          <w:fldChar w:fldCharType="begin"/>
        </w:r>
        <w:r w:rsidRPr="00597FFB">
          <w:rPr>
            <w:noProof/>
            <w:webHidden/>
          </w:rPr>
          <w:instrText xml:space="preserve"> PAGEREF _Toc74914118 \h </w:instrText>
        </w:r>
        <w:r w:rsidRPr="00597FFB">
          <w:rPr>
            <w:noProof/>
            <w:webHidden/>
          </w:rPr>
        </w:r>
        <w:r w:rsidRPr="00597FFB">
          <w:rPr>
            <w:noProof/>
            <w:webHidden/>
          </w:rPr>
          <w:fldChar w:fldCharType="separate"/>
        </w:r>
        <w:r w:rsidR="00FB73E5" w:rsidRPr="00597FFB">
          <w:rPr>
            <w:noProof/>
            <w:webHidden/>
          </w:rPr>
          <w:t>2</w:t>
        </w:r>
        <w:r w:rsidR="0032481C" w:rsidRPr="00597FFB">
          <w:rPr>
            <w:noProof/>
            <w:webHidden/>
          </w:rPr>
          <w:t>1</w:t>
        </w:r>
        <w:r w:rsidR="00EE54D6">
          <w:rPr>
            <w:noProof/>
            <w:webHidden/>
          </w:rPr>
          <w:t>8</w:t>
        </w:r>
        <w:r w:rsidRPr="00597FFB">
          <w:rPr>
            <w:noProof/>
            <w:webHidden/>
          </w:rPr>
          <w:fldChar w:fldCharType="end"/>
        </w:r>
      </w:hyperlink>
    </w:p>
    <w:p w14:paraId="75C21F7F" w14:textId="73A3E618" w:rsidR="00E34CF1" w:rsidRPr="00597FFB" w:rsidRDefault="00E34CF1">
      <w:pPr>
        <w:pStyle w:val="TableofFigures"/>
        <w:tabs>
          <w:tab w:val="right" w:leader="dot" w:pos="7579"/>
        </w:tabs>
        <w:rPr>
          <w:noProof/>
        </w:rPr>
      </w:pPr>
      <w:hyperlink w:anchor="_Toc74914119" w:history="1">
        <w:r w:rsidRPr="00597FFB">
          <w:rPr>
            <w:rStyle w:val="Hyperlink"/>
            <w:noProof/>
          </w:rPr>
          <w:t>Table 1</w:t>
        </w:r>
        <w:r w:rsidR="004F3B9B" w:rsidRPr="00597FFB">
          <w:rPr>
            <w:rStyle w:val="Hyperlink"/>
            <w:noProof/>
          </w:rPr>
          <w:t>8</w:t>
        </w:r>
        <w:r w:rsidRPr="00597FFB">
          <w:rPr>
            <w:rStyle w:val="Hyperlink"/>
            <w:noProof/>
          </w:rPr>
          <w:t>.</w:t>
        </w:r>
        <w:r w:rsidR="00286FD3" w:rsidRPr="00597FFB">
          <w:t xml:space="preserve"> </w:t>
        </w:r>
        <w:r w:rsidR="00286FD3" w:rsidRPr="00597FFB">
          <w:rPr>
            <w:rStyle w:val="Hyperlink"/>
            <w:iCs/>
            <w:noProof/>
          </w:rPr>
          <w:t>Descriptive statistics, and reliability and validity analysis (NAT)</w:t>
        </w:r>
        <w:r w:rsidRPr="00597FFB">
          <w:rPr>
            <w:noProof/>
            <w:webHidden/>
          </w:rPr>
          <w:tab/>
        </w:r>
        <w:r w:rsidR="009563BD" w:rsidRPr="00597FFB">
          <w:rPr>
            <w:noProof/>
            <w:webHidden/>
          </w:rPr>
          <w:t>2</w:t>
        </w:r>
        <w:r w:rsidR="004F3B9B" w:rsidRPr="00597FFB">
          <w:rPr>
            <w:noProof/>
            <w:webHidden/>
          </w:rPr>
          <w:t>2</w:t>
        </w:r>
        <w:r w:rsidR="00F10E2D">
          <w:rPr>
            <w:noProof/>
            <w:webHidden/>
          </w:rPr>
          <w:t>2</w:t>
        </w:r>
      </w:hyperlink>
    </w:p>
    <w:p w14:paraId="333F4379" w14:textId="2F318ECD" w:rsidR="00E34CF1" w:rsidRPr="00597FFB" w:rsidRDefault="00E34CF1">
      <w:pPr>
        <w:pStyle w:val="TableofFigures"/>
        <w:tabs>
          <w:tab w:val="right" w:leader="dot" w:pos="7579"/>
        </w:tabs>
        <w:rPr>
          <w:noProof/>
        </w:rPr>
      </w:pPr>
      <w:hyperlink w:anchor="_Toc74914120" w:history="1">
        <w:r w:rsidRPr="00597FFB">
          <w:rPr>
            <w:rStyle w:val="Hyperlink"/>
            <w:noProof/>
          </w:rPr>
          <w:t xml:space="preserve">Table </w:t>
        </w:r>
        <w:r w:rsidR="00E80D88" w:rsidRPr="00597FFB">
          <w:rPr>
            <w:rStyle w:val="Hyperlink"/>
            <w:noProof/>
          </w:rPr>
          <w:t>1</w:t>
        </w:r>
        <w:r w:rsidR="003A3971" w:rsidRPr="00597FFB">
          <w:rPr>
            <w:rStyle w:val="Hyperlink"/>
            <w:noProof/>
          </w:rPr>
          <w:t>9</w:t>
        </w:r>
        <w:r w:rsidRPr="00597FFB">
          <w:rPr>
            <w:rStyle w:val="Hyperlink"/>
            <w:iCs/>
            <w:noProof/>
          </w:rPr>
          <w:t xml:space="preserve">. </w:t>
        </w:r>
        <w:r w:rsidR="00286FD3" w:rsidRPr="00597FFB">
          <w:rPr>
            <w:rStyle w:val="Hyperlink"/>
            <w:iCs/>
            <w:noProof/>
          </w:rPr>
          <w:t>Results of direct effects’ hypotheses related to the extended NAT model</w:t>
        </w:r>
        <w:r w:rsidRPr="00597FFB">
          <w:rPr>
            <w:noProof/>
            <w:webHidden/>
          </w:rPr>
          <w:tab/>
        </w:r>
        <w:r w:rsidR="00E04302" w:rsidRPr="00597FFB">
          <w:rPr>
            <w:noProof/>
            <w:webHidden/>
          </w:rPr>
          <w:t>2</w:t>
        </w:r>
        <w:r w:rsidR="003A3971" w:rsidRPr="00597FFB">
          <w:rPr>
            <w:noProof/>
            <w:webHidden/>
          </w:rPr>
          <w:t>2</w:t>
        </w:r>
        <w:r w:rsidR="004F4C73">
          <w:rPr>
            <w:noProof/>
            <w:webHidden/>
          </w:rPr>
          <w:t>4</w:t>
        </w:r>
      </w:hyperlink>
    </w:p>
    <w:p w14:paraId="1D0C4802" w14:textId="6CB9B6FC" w:rsidR="00E34CF1" w:rsidRPr="00597FFB" w:rsidRDefault="00E34CF1">
      <w:pPr>
        <w:pStyle w:val="TableofFigures"/>
        <w:tabs>
          <w:tab w:val="right" w:leader="dot" w:pos="7579"/>
        </w:tabs>
        <w:rPr>
          <w:noProof/>
        </w:rPr>
      </w:pPr>
      <w:hyperlink w:anchor="_Toc74914121" w:history="1">
        <w:r w:rsidRPr="00597FFB">
          <w:rPr>
            <w:rStyle w:val="Hyperlink"/>
            <w:noProof/>
          </w:rPr>
          <w:t>Table 2</w:t>
        </w:r>
        <w:r w:rsidR="00786C74" w:rsidRPr="00597FFB">
          <w:rPr>
            <w:rStyle w:val="Hyperlink"/>
            <w:noProof/>
          </w:rPr>
          <w:t>0</w:t>
        </w:r>
        <w:r w:rsidRPr="00597FFB">
          <w:rPr>
            <w:rStyle w:val="Hyperlink"/>
            <w:noProof/>
          </w:rPr>
          <w:t>.</w:t>
        </w:r>
        <w:r w:rsidRPr="00597FFB">
          <w:rPr>
            <w:rStyle w:val="Hyperlink"/>
            <w:iCs/>
            <w:noProof/>
          </w:rPr>
          <w:t xml:space="preserve"> </w:t>
        </w:r>
        <w:r w:rsidR="00286FD3" w:rsidRPr="00597FFB">
          <w:rPr>
            <w:rStyle w:val="Hyperlink"/>
            <w:iCs/>
            <w:noProof/>
          </w:rPr>
          <w:t>Results of the mediator effects of personal norm on the effect of ascription of responsibility, awareness of consequences, and moral norm on EWR behavioral intention</w:t>
        </w:r>
        <w:r w:rsidRPr="00597FFB">
          <w:rPr>
            <w:noProof/>
            <w:webHidden/>
          </w:rPr>
          <w:tab/>
        </w:r>
        <w:r w:rsidR="00285787" w:rsidRPr="00597FFB">
          <w:rPr>
            <w:noProof/>
            <w:webHidden/>
          </w:rPr>
          <w:t>2</w:t>
        </w:r>
        <w:r w:rsidR="00786C74" w:rsidRPr="00597FFB">
          <w:rPr>
            <w:noProof/>
            <w:webHidden/>
          </w:rPr>
          <w:t>2</w:t>
        </w:r>
        <w:r w:rsidR="00DE2C0E">
          <w:rPr>
            <w:noProof/>
            <w:webHidden/>
          </w:rPr>
          <w:t>5</w:t>
        </w:r>
      </w:hyperlink>
    </w:p>
    <w:p w14:paraId="7B334067" w14:textId="2EA7D170" w:rsidR="00E34CF1" w:rsidRPr="00597FFB" w:rsidRDefault="00E34CF1">
      <w:pPr>
        <w:pStyle w:val="TableofFigures"/>
        <w:tabs>
          <w:tab w:val="right" w:leader="dot" w:pos="7579"/>
        </w:tabs>
        <w:rPr>
          <w:noProof/>
        </w:rPr>
      </w:pPr>
      <w:hyperlink w:anchor="_Toc74914122" w:history="1">
        <w:r w:rsidRPr="00597FFB">
          <w:rPr>
            <w:rStyle w:val="Hyperlink"/>
            <w:noProof/>
          </w:rPr>
          <w:t>Table 2</w:t>
        </w:r>
        <w:r w:rsidR="008E7299" w:rsidRPr="00597FFB">
          <w:rPr>
            <w:rStyle w:val="Hyperlink"/>
            <w:noProof/>
          </w:rPr>
          <w:t>1</w:t>
        </w:r>
        <w:r w:rsidRPr="00597FFB">
          <w:rPr>
            <w:rStyle w:val="Hyperlink"/>
            <w:noProof/>
          </w:rPr>
          <w:t xml:space="preserve">. </w:t>
        </w:r>
        <w:r w:rsidR="00286FD3" w:rsidRPr="00597FFB">
          <w:rPr>
            <w:rStyle w:val="Hyperlink"/>
            <w:iCs/>
            <w:noProof/>
          </w:rPr>
          <w:t>Testing for moderation effects of privacy concern</w:t>
        </w:r>
        <w:r w:rsidRPr="00597FFB">
          <w:rPr>
            <w:noProof/>
            <w:webHidden/>
          </w:rPr>
          <w:tab/>
        </w:r>
        <w:r w:rsidR="00300359" w:rsidRPr="00597FFB">
          <w:rPr>
            <w:noProof/>
            <w:webHidden/>
          </w:rPr>
          <w:t>2</w:t>
        </w:r>
        <w:r w:rsidR="008E7299" w:rsidRPr="00597FFB">
          <w:rPr>
            <w:noProof/>
            <w:webHidden/>
          </w:rPr>
          <w:t>2</w:t>
        </w:r>
        <w:r w:rsidR="008221C8">
          <w:rPr>
            <w:noProof/>
            <w:webHidden/>
          </w:rPr>
          <w:t>5</w:t>
        </w:r>
      </w:hyperlink>
    </w:p>
    <w:p w14:paraId="783A9ACA" w14:textId="5D76ECF0" w:rsidR="00E34CF1" w:rsidRPr="00597FFB" w:rsidRDefault="00E34CF1">
      <w:pPr>
        <w:pStyle w:val="TableofFigures"/>
        <w:tabs>
          <w:tab w:val="right" w:leader="dot" w:pos="7579"/>
        </w:tabs>
        <w:rPr>
          <w:noProof/>
        </w:rPr>
      </w:pPr>
      <w:hyperlink w:anchor="_Toc74914123" w:history="1">
        <w:r w:rsidRPr="00597FFB">
          <w:rPr>
            <w:rStyle w:val="Hyperlink"/>
            <w:noProof/>
          </w:rPr>
          <w:t>Table 2</w:t>
        </w:r>
        <w:r w:rsidR="008F6068" w:rsidRPr="00597FFB">
          <w:rPr>
            <w:rStyle w:val="Hyperlink"/>
            <w:noProof/>
          </w:rPr>
          <w:t>2</w:t>
        </w:r>
        <w:r w:rsidRPr="00597FFB">
          <w:rPr>
            <w:rStyle w:val="Hyperlink"/>
            <w:noProof/>
          </w:rPr>
          <w:t>.</w:t>
        </w:r>
        <w:r w:rsidRPr="00597FFB">
          <w:rPr>
            <w:rStyle w:val="Hyperlink"/>
            <w:iCs/>
            <w:noProof/>
          </w:rPr>
          <w:t xml:space="preserve"> </w:t>
        </w:r>
        <w:r w:rsidR="00286FD3" w:rsidRPr="00597FFB">
          <w:rPr>
            <w:rStyle w:val="Hyperlink"/>
            <w:iCs/>
            <w:noProof/>
          </w:rPr>
          <w:t>Descriptive statistics, and reliability and validity analysis (PMT model)</w:t>
        </w:r>
        <w:r w:rsidRPr="00597FFB">
          <w:rPr>
            <w:noProof/>
            <w:webHidden/>
          </w:rPr>
          <w:tab/>
        </w:r>
        <w:r w:rsidR="00240B52" w:rsidRPr="00597FFB">
          <w:rPr>
            <w:noProof/>
            <w:webHidden/>
          </w:rPr>
          <w:t>2</w:t>
        </w:r>
        <w:r w:rsidR="000B6B8D" w:rsidRPr="00597FFB">
          <w:rPr>
            <w:noProof/>
            <w:webHidden/>
          </w:rPr>
          <w:t>2</w:t>
        </w:r>
        <w:r w:rsidR="004E6513">
          <w:rPr>
            <w:noProof/>
            <w:webHidden/>
          </w:rPr>
          <w:t>9</w:t>
        </w:r>
      </w:hyperlink>
    </w:p>
    <w:p w14:paraId="7B511C75" w14:textId="564ABD86" w:rsidR="00E34CF1" w:rsidRPr="00597FFB" w:rsidRDefault="00E34CF1">
      <w:pPr>
        <w:pStyle w:val="TableofFigures"/>
        <w:tabs>
          <w:tab w:val="right" w:leader="dot" w:pos="7579"/>
        </w:tabs>
        <w:rPr>
          <w:noProof/>
        </w:rPr>
      </w:pPr>
      <w:hyperlink w:anchor="_Toc74914124" w:history="1">
        <w:r w:rsidRPr="00597FFB">
          <w:rPr>
            <w:rStyle w:val="Hyperlink"/>
            <w:noProof/>
          </w:rPr>
          <w:t>Table 2</w:t>
        </w:r>
        <w:r w:rsidR="00064FCD" w:rsidRPr="00597FFB">
          <w:rPr>
            <w:rStyle w:val="Hyperlink"/>
            <w:noProof/>
          </w:rPr>
          <w:t>3</w:t>
        </w:r>
        <w:r w:rsidRPr="00597FFB">
          <w:rPr>
            <w:rStyle w:val="Hyperlink"/>
            <w:noProof/>
          </w:rPr>
          <w:t>.</w:t>
        </w:r>
        <w:r w:rsidRPr="00597FFB">
          <w:rPr>
            <w:rStyle w:val="Hyperlink"/>
            <w:iCs/>
            <w:noProof/>
          </w:rPr>
          <w:t xml:space="preserve"> </w:t>
        </w:r>
        <w:r w:rsidR="00286FD3" w:rsidRPr="00597FFB">
          <w:rPr>
            <w:rStyle w:val="Hyperlink"/>
            <w:iCs/>
            <w:noProof/>
          </w:rPr>
          <w:t>Confirmation of direct effects' hypotheses in the extended PMT model</w:t>
        </w:r>
        <w:r w:rsidRPr="00597FFB">
          <w:rPr>
            <w:noProof/>
            <w:webHidden/>
          </w:rPr>
          <w:tab/>
        </w:r>
        <w:r w:rsidR="00D57CF0" w:rsidRPr="00597FFB">
          <w:rPr>
            <w:noProof/>
            <w:webHidden/>
          </w:rPr>
          <w:t>2</w:t>
        </w:r>
        <w:r w:rsidR="00E30264">
          <w:rPr>
            <w:noProof/>
            <w:webHidden/>
          </w:rPr>
          <w:t>3</w:t>
        </w:r>
        <w:r w:rsidR="00243C65">
          <w:rPr>
            <w:noProof/>
            <w:webHidden/>
          </w:rPr>
          <w:t>1</w:t>
        </w:r>
      </w:hyperlink>
    </w:p>
    <w:p w14:paraId="452DF10D" w14:textId="4C7FC585" w:rsidR="0083451F" w:rsidRPr="00597FFB" w:rsidRDefault="00286FD3" w:rsidP="002837B8">
      <w:pPr>
        <w:pStyle w:val="TableofFigures"/>
        <w:tabs>
          <w:tab w:val="right" w:leader="dot" w:pos="7579"/>
        </w:tabs>
        <w:rPr>
          <w:noProof/>
        </w:rPr>
      </w:pPr>
      <w:hyperlink w:anchor="_Toc74914120" w:history="1">
        <w:r w:rsidRPr="00597FFB">
          <w:rPr>
            <w:rStyle w:val="Hyperlink"/>
            <w:noProof/>
          </w:rPr>
          <w:t>Table 2</w:t>
        </w:r>
        <w:r w:rsidR="009B2F99" w:rsidRPr="00597FFB">
          <w:rPr>
            <w:rStyle w:val="Hyperlink"/>
            <w:noProof/>
          </w:rPr>
          <w:t>4</w:t>
        </w:r>
        <w:r w:rsidRPr="00597FFB">
          <w:rPr>
            <w:rStyle w:val="Hyperlink"/>
            <w:iCs/>
            <w:noProof/>
          </w:rPr>
          <w:t xml:space="preserve">. </w:t>
        </w:r>
        <w:r w:rsidR="005D5B3E" w:rsidRPr="00597FFB">
          <w:rPr>
            <w:rStyle w:val="Hyperlink"/>
            <w:iCs/>
            <w:noProof/>
          </w:rPr>
          <w:t>Results of the mediation of protection motivation in the effect of EWR information/knowledge, threat appraisal, and coping appraisal on intent to adopt EWR</w:t>
        </w:r>
        <w:r w:rsidRPr="00597FFB">
          <w:rPr>
            <w:noProof/>
            <w:webHidden/>
          </w:rPr>
          <w:tab/>
        </w:r>
        <w:r w:rsidR="00D57CF0" w:rsidRPr="00597FFB">
          <w:rPr>
            <w:noProof/>
            <w:webHidden/>
          </w:rPr>
          <w:t>2</w:t>
        </w:r>
        <w:r w:rsidR="009B2F99" w:rsidRPr="00597FFB">
          <w:rPr>
            <w:noProof/>
            <w:webHidden/>
          </w:rPr>
          <w:t>3</w:t>
        </w:r>
        <w:r w:rsidR="00243C65">
          <w:rPr>
            <w:noProof/>
            <w:webHidden/>
          </w:rPr>
          <w:t>2</w:t>
        </w:r>
      </w:hyperlink>
    </w:p>
    <w:p w14:paraId="60E3F050" w14:textId="6CAA8AE5" w:rsidR="002837B8" w:rsidRPr="00597FFB" w:rsidRDefault="00286FD3" w:rsidP="00713667">
      <w:pPr>
        <w:pStyle w:val="TableofFigures"/>
        <w:tabs>
          <w:tab w:val="right" w:leader="dot" w:pos="7579"/>
        </w:tabs>
        <w:rPr>
          <w:noProof/>
        </w:rPr>
      </w:pPr>
      <w:hyperlink w:anchor="_Toc74914121" w:history="1">
        <w:r w:rsidRPr="00597FFB">
          <w:rPr>
            <w:rStyle w:val="Hyperlink"/>
            <w:noProof/>
          </w:rPr>
          <w:t>Table 2</w:t>
        </w:r>
        <w:r w:rsidR="003747D4" w:rsidRPr="00597FFB">
          <w:rPr>
            <w:rStyle w:val="Hyperlink"/>
            <w:noProof/>
          </w:rPr>
          <w:t>5</w:t>
        </w:r>
        <w:r w:rsidRPr="00597FFB">
          <w:rPr>
            <w:rStyle w:val="Hyperlink"/>
            <w:noProof/>
          </w:rPr>
          <w:t>.</w:t>
        </w:r>
        <w:r w:rsidRPr="00597FFB">
          <w:rPr>
            <w:rStyle w:val="Hyperlink"/>
            <w:iCs/>
            <w:noProof/>
          </w:rPr>
          <w:t xml:space="preserve"> </w:t>
        </w:r>
        <w:r w:rsidR="005D5B3E" w:rsidRPr="00597FFB">
          <w:rPr>
            <w:rStyle w:val="Hyperlink"/>
            <w:iCs/>
            <w:noProof/>
          </w:rPr>
          <w:t>Results of the moderation effect of protection motivation in the effect of EWR information/knowledge, threat appraisal, and coping appraisal on intent to adopt EWR</w:t>
        </w:r>
        <w:r w:rsidRPr="00597FFB">
          <w:rPr>
            <w:noProof/>
            <w:webHidden/>
          </w:rPr>
          <w:tab/>
        </w:r>
        <w:r w:rsidR="00B4191A" w:rsidRPr="00597FFB">
          <w:rPr>
            <w:noProof/>
            <w:webHidden/>
          </w:rPr>
          <w:t>2</w:t>
        </w:r>
        <w:r w:rsidR="003747D4" w:rsidRPr="00597FFB">
          <w:rPr>
            <w:noProof/>
            <w:webHidden/>
          </w:rPr>
          <w:t>3</w:t>
        </w:r>
        <w:r w:rsidR="00AB202A">
          <w:rPr>
            <w:noProof/>
            <w:webHidden/>
          </w:rPr>
          <w:t>2</w:t>
        </w:r>
      </w:hyperlink>
    </w:p>
    <w:p w14:paraId="0147155D" w14:textId="00241D57" w:rsidR="00286FD3" w:rsidRPr="00597FFB" w:rsidRDefault="00286FD3" w:rsidP="00286FD3">
      <w:pPr>
        <w:pStyle w:val="TableofFigures"/>
        <w:tabs>
          <w:tab w:val="right" w:leader="dot" w:pos="7579"/>
        </w:tabs>
        <w:rPr>
          <w:noProof/>
        </w:rPr>
      </w:pPr>
      <w:hyperlink w:anchor="_Toc74914122" w:history="1">
        <w:r w:rsidRPr="00597FFB">
          <w:rPr>
            <w:rStyle w:val="Hyperlink"/>
            <w:noProof/>
          </w:rPr>
          <w:t>Table 2</w:t>
        </w:r>
        <w:r w:rsidR="00985818" w:rsidRPr="00597FFB">
          <w:rPr>
            <w:rStyle w:val="Hyperlink"/>
            <w:noProof/>
          </w:rPr>
          <w:t>6</w:t>
        </w:r>
        <w:r w:rsidRPr="00597FFB">
          <w:rPr>
            <w:rStyle w:val="Hyperlink"/>
            <w:noProof/>
          </w:rPr>
          <w:t xml:space="preserve">. </w:t>
        </w:r>
        <w:r w:rsidR="004F6DB8" w:rsidRPr="00597FFB">
          <w:rPr>
            <w:rStyle w:val="Hyperlink"/>
            <w:iCs/>
            <w:noProof/>
          </w:rPr>
          <w:t>Summary of theories applied in this research, respective constructs, added variables, mediators and moderators, results, and hypotheses with status of confirmation/rejection.</w:t>
        </w:r>
        <w:r w:rsidRPr="00597FFB">
          <w:rPr>
            <w:noProof/>
            <w:webHidden/>
          </w:rPr>
          <w:tab/>
        </w:r>
        <w:r w:rsidR="00CC4AB8" w:rsidRPr="00597FFB">
          <w:rPr>
            <w:noProof/>
            <w:webHidden/>
          </w:rPr>
          <w:t>2</w:t>
        </w:r>
        <w:r w:rsidR="00985818" w:rsidRPr="00597FFB">
          <w:rPr>
            <w:noProof/>
            <w:webHidden/>
          </w:rPr>
          <w:t>5</w:t>
        </w:r>
        <w:r w:rsidR="00243C65">
          <w:rPr>
            <w:noProof/>
            <w:webHidden/>
          </w:rPr>
          <w:t>4</w:t>
        </w:r>
      </w:hyperlink>
    </w:p>
    <w:p w14:paraId="1F0B4DDB" w14:textId="562CF294" w:rsidR="00286FD3" w:rsidRPr="00597FFB" w:rsidRDefault="00286FD3" w:rsidP="00286FD3">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4123" w:history="1">
        <w:r w:rsidRPr="00597FFB">
          <w:rPr>
            <w:rStyle w:val="Hyperlink"/>
            <w:noProof/>
          </w:rPr>
          <w:t>Table 2</w:t>
        </w:r>
        <w:r w:rsidR="008D15CE" w:rsidRPr="00597FFB">
          <w:rPr>
            <w:rStyle w:val="Hyperlink"/>
            <w:noProof/>
          </w:rPr>
          <w:t>7</w:t>
        </w:r>
        <w:r w:rsidRPr="00597FFB">
          <w:rPr>
            <w:rStyle w:val="Hyperlink"/>
            <w:noProof/>
          </w:rPr>
          <w:t>.</w:t>
        </w:r>
        <w:r w:rsidRPr="00597FFB">
          <w:rPr>
            <w:rStyle w:val="Hyperlink"/>
            <w:iCs/>
            <w:noProof/>
          </w:rPr>
          <w:t xml:space="preserve"> </w:t>
        </w:r>
        <w:r w:rsidR="00CA7F34" w:rsidRPr="00597FFB">
          <w:rPr>
            <w:rStyle w:val="Hyperlink"/>
            <w:iCs/>
            <w:noProof/>
          </w:rPr>
          <w:t>Summary of findings, contributions, implications, and limitations of this study</w:t>
        </w:r>
        <w:r w:rsidRPr="00597FFB">
          <w:rPr>
            <w:noProof/>
            <w:webHidden/>
          </w:rPr>
          <w:tab/>
        </w:r>
        <w:r w:rsidR="008D15CE" w:rsidRPr="00597FFB">
          <w:rPr>
            <w:noProof/>
            <w:webHidden/>
          </w:rPr>
          <w:t>2</w:t>
        </w:r>
        <w:r w:rsidR="003B3029" w:rsidRPr="00597FFB">
          <w:rPr>
            <w:noProof/>
            <w:webHidden/>
          </w:rPr>
          <w:t>8</w:t>
        </w:r>
        <w:r w:rsidR="00623D28">
          <w:rPr>
            <w:noProof/>
            <w:webHidden/>
          </w:rPr>
          <w:t>9</w:t>
        </w:r>
      </w:hyperlink>
    </w:p>
    <w:p w14:paraId="5AE5188C" w14:textId="77777777" w:rsidR="00344E88" w:rsidRPr="00597FFB" w:rsidRDefault="00344E88" w:rsidP="00344E88">
      <w:pPr>
        <w:rPr>
          <w:lang w:val="en-GB" w:eastAsia="ja-JP"/>
        </w:rPr>
      </w:pPr>
    </w:p>
    <w:p w14:paraId="21EB8834" w14:textId="77777777" w:rsidR="00344E88" w:rsidRPr="00597FFB" w:rsidRDefault="00344E88" w:rsidP="00344E88">
      <w:pPr>
        <w:rPr>
          <w:lang w:val="en-GB" w:eastAsia="ja-JP"/>
        </w:rPr>
      </w:pPr>
    </w:p>
    <w:p w14:paraId="63D50875" w14:textId="77777777" w:rsidR="00673224" w:rsidRPr="00597FFB" w:rsidRDefault="00E34CF1" w:rsidP="00E34CF1">
      <w:pPr>
        <w:tabs>
          <w:tab w:val="right" w:pos="7560"/>
        </w:tabs>
        <w:spacing w:line="480" w:lineRule="auto"/>
        <w:jc w:val="both"/>
        <w:rPr>
          <w:rFonts w:ascii="Times New Roman" w:hAnsi="Times New Roman" w:cs="Times New Roman"/>
          <w:sz w:val="4"/>
          <w:szCs w:val="24"/>
        </w:rPr>
        <w:sectPr w:rsidR="00673224" w:rsidRPr="00597FFB" w:rsidSect="008723E1">
          <w:pgSz w:w="11909" w:h="16834" w:code="9"/>
          <w:pgMar w:top="2880" w:right="2160" w:bottom="1800" w:left="2160" w:header="720" w:footer="720" w:gutter="0"/>
          <w:pgNumType w:fmt="lowerRoman"/>
          <w:cols w:space="720"/>
          <w:docGrid w:linePitch="360"/>
        </w:sectPr>
      </w:pPr>
      <w:r w:rsidRPr="00597FFB">
        <w:rPr>
          <w:rFonts w:ascii="Times New Roman" w:hAnsi="Times New Roman" w:cs="Times New Roman"/>
          <w:sz w:val="4"/>
          <w:szCs w:val="24"/>
        </w:rPr>
        <w:fldChar w:fldCharType="end"/>
      </w:r>
    </w:p>
    <w:p w14:paraId="7EB25AF9" w14:textId="34E19C45" w:rsidR="00B44CAB" w:rsidRPr="00597FFB" w:rsidRDefault="00B44CAB" w:rsidP="00344E88">
      <w:pPr>
        <w:pStyle w:val="Heading1"/>
        <w:ind w:left="2160" w:firstLine="720"/>
        <w:rPr>
          <w:rFonts w:asciiTheme="majorBidi" w:eastAsia="Times New Roman" w:hAnsiTheme="majorBidi"/>
          <w:b/>
          <w:bCs/>
          <w:color w:val="000000" w:themeColor="text1"/>
          <w:sz w:val="26"/>
          <w:szCs w:val="26"/>
        </w:rPr>
      </w:pPr>
      <w:bookmarkStart w:id="19" w:name="_Toc127170248"/>
      <w:r w:rsidRPr="00597FFB">
        <w:rPr>
          <w:rFonts w:asciiTheme="majorBidi" w:eastAsia="Times New Roman" w:hAnsiTheme="majorBidi"/>
          <w:b/>
          <w:bCs/>
          <w:color w:val="000000" w:themeColor="text1"/>
          <w:sz w:val="26"/>
          <w:szCs w:val="26"/>
        </w:rPr>
        <w:t>LIST OF FIGURES</w:t>
      </w:r>
      <w:bookmarkEnd w:id="19"/>
    </w:p>
    <w:p w14:paraId="1B5906EF" w14:textId="77777777" w:rsidR="004428A6" w:rsidRPr="00597FFB" w:rsidRDefault="004428A6" w:rsidP="00A71A48">
      <w:pPr>
        <w:spacing w:line="480" w:lineRule="auto"/>
        <w:rPr>
          <w:rFonts w:ascii="Times New Roman" w:hAnsi="Times New Roman" w:cs="Times New Roman"/>
          <w:sz w:val="24"/>
          <w:szCs w:val="24"/>
        </w:rPr>
      </w:pPr>
    </w:p>
    <w:p w14:paraId="416BB7B2" w14:textId="48E25290" w:rsidR="00667BEB" w:rsidRPr="00597FFB" w:rsidRDefault="00667BEB">
      <w:pPr>
        <w:pStyle w:val="TableofFigures"/>
        <w:tabs>
          <w:tab w:val="right" w:leader="dot" w:pos="7579"/>
        </w:tabs>
        <w:rPr>
          <w:rFonts w:asciiTheme="minorHAnsi" w:eastAsiaTheme="minorEastAsia" w:hAnsiTheme="minorHAnsi" w:cstheme="minorBidi"/>
          <w:noProof/>
          <w:kern w:val="0"/>
          <w:sz w:val="22"/>
          <w:szCs w:val="22"/>
          <w:lang w:val="en-US" w:eastAsia="en-US"/>
        </w:rPr>
      </w:pPr>
      <w:r w:rsidRPr="00597FFB">
        <w:rPr>
          <w:sz w:val="24"/>
        </w:rPr>
        <w:fldChar w:fldCharType="begin"/>
      </w:r>
      <w:r w:rsidRPr="00597FFB">
        <w:rPr>
          <w:sz w:val="24"/>
        </w:rPr>
        <w:instrText xml:space="preserve"> TOC \h \z \c "Figure" </w:instrText>
      </w:r>
      <w:r w:rsidRPr="00597FFB">
        <w:rPr>
          <w:sz w:val="24"/>
        </w:rPr>
        <w:fldChar w:fldCharType="separate"/>
      </w:r>
      <w:hyperlink w:anchor="_Toc74915161" w:history="1">
        <w:r w:rsidR="00ED7081" w:rsidRPr="00597FFB">
          <w:rPr>
            <w:rStyle w:val="Hyperlink"/>
            <w:noProof/>
          </w:rPr>
          <w:t xml:space="preserve">Figure 1. </w:t>
        </w:r>
        <w:r w:rsidR="001F1130" w:rsidRPr="00597FFB">
          <w:rPr>
            <w:rStyle w:val="Hyperlink"/>
            <w:noProof/>
          </w:rPr>
          <w:t>R</w:t>
        </w:r>
        <w:r w:rsidR="00ED7081" w:rsidRPr="00597FFB">
          <w:rPr>
            <w:rStyle w:val="Hyperlink"/>
            <w:noProof/>
          </w:rPr>
          <w:t>esearch process</w:t>
        </w:r>
        <w:r w:rsidR="00ED7081" w:rsidRPr="00597FFB">
          <w:rPr>
            <w:noProof/>
            <w:webHidden/>
          </w:rPr>
          <w:tab/>
          <w:t>4</w:t>
        </w:r>
        <w:r w:rsidR="00A152B7" w:rsidRPr="00597FFB">
          <w:rPr>
            <w:noProof/>
            <w:webHidden/>
          </w:rPr>
          <w:t>1</w:t>
        </w:r>
      </w:hyperlink>
    </w:p>
    <w:p w14:paraId="5C72FC55" w14:textId="35D3C7B4" w:rsidR="00667BEB" w:rsidRPr="00597FFB" w:rsidRDefault="00ED708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5162" w:history="1">
        <w:r w:rsidRPr="00597FFB">
          <w:rPr>
            <w:rStyle w:val="Hyperlink"/>
            <w:noProof/>
          </w:rPr>
          <w:t xml:space="preserve">Figure 2. </w:t>
        </w:r>
        <w:r w:rsidR="001F1130" w:rsidRPr="00597FFB">
          <w:rPr>
            <w:rStyle w:val="Hyperlink"/>
            <w:noProof/>
          </w:rPr>
          <w:t>C</w:t>
        </w:r>
        <w:r w:rsidRPr="00597FFB">
          <w:rPr>
            <w:rStyle w:val="Hyperlink"/>
            <w:noProof/>
          </w:rPr>
          <w:t>ircular economy's technocentric and behavioral elements and possible tools for behavioral change intervention</w:t>
        </w:r>
        <w:r w:rsidRPr="00597FFB">
          <w:rPr>
            <w:noProof/>
            <w:webHidden/>
          </w:rPr>
          <w:tab/>
          <w:t>55</w:t>
        </w:r>
      </w:hyperlink>
    </w:p>
    <w:p w14:paraId="42472C75" w14:textId="42A7BC35" w:rsidR="00667BEB" w:rsidRPr="00597FFB" w:rsidRDefault="00ED708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5163" w:history="1">
        <w:r w:rsidRPr="00597FFB">
          <w:rPr>
            <w:rStyle w:val="Hyperlink"/>
            <w:noProof/>
          </w:rPr>
          <w:t xml:space="preserve">Figure 3. </w:t>
        </w:r>
        <w:r w:rsidR="001F1130" w:rsidRPr="00597FFB">
          <w:rPr>
            <w:rStyle w:val="Hyperlink"/>
            <w:noProof/>
          </w:rPr>
          <w:t>A</w:t>
        </w:r>
        <w:r w:rsidRPr="00597FFB">
          <w:rPr>
            <w:rStyle w:val="Hyperlink"/>
            <w:noProof/>
          </w:rPr>
          <w:t xml:space="preserve"> comparison of individuals using the internet (% of population) in the </w:t>
        </w:r>
        <w:r w:rsidR="001F1130" w:rsidRPr="00597FFB">
          <w:rPr>
            <w:rStyle w:val="Hyperlink"/>
            <w:noProof/>
          </w:rPr>
          <w:t xml:space="preserve">UAE </w:t>
        </w:r>
        <w:r w:rsidRPr="00597FFB">
          <w:rPr>
            <w:rStyle w:val="Hyperlink"/>
            <w:noProof/>
          </w:rPr>
          <w:t>and the world for the period 2005-2019</w:t>
        </w:r>
        <w:r w:rsidRPr="00597FFB">
          <w:rPr>
            <w:noProof/>
            <w:webHidden/>
          </w:rPr>
          <w:tab/>
          <w:t>57</w:t>
        </w:r>
      </w:hyperlink>
    </w:p>
    <w:p w14:paraId="3F816DB4" w14:textId="0F21B4E2" w:rsidR="00667BEB" w:rsidRPr="00597FFB" w:rsidRDefault="00ED708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5164" w:history="1">
        <w:r w:rsidRPr="00597FFB">
          <w:rPr>
            <w:rStyle w:val="Hyperlink"/>
            <w:noProof/>
          </w:rPr>
          <w:t xml:space="preserve">Figure 4. </w:t>
        </w:r>
        <w:r w:rsidR="001F1130" w:rsidRPr="00597FFB">
          <w:rPr>
            <w:rStyle w:val="Hyperlink"/>
            <w:noProof/>
          </w:rPr>
          <w:t>GDP</w:t>
        </w:r>
        <w:r w:rsidRPr="00597FFB">
          <w:rPr>
            <w:rStyle w:val="Hyperlink"/>
            <w:noProof/>
          </w:rPr>
          <w:t xml:space="preserve"> per apita (</w:t>
        </w:r>
        <w:r w:rsidR="001F1130" w:rsidRPr="00597FFB">
          <w:rPr>
            <w:rStyle w:val="Hyperlink"/>
            <w:noProof/>
          </w:rPr>
          <w:t>USD</w:t>
        </w:r>
        <w:r w:rsidRPr="00597FFB">
          <w:rPr>
            <w:rStyle w:val="Hyperlink"/>
            <w:noProof/>
          </w:rPr>
          <w:t xml:space="preserve">'000) and annual e-waste generation in kilograms per inhabitant for the year 2019 in </w:t>
        </w:r>
        <w:r w:rsidR="001F1130" w:rsidRPr="00597FFB">
          <w:rPr>
            <w:rStyle w:val="Hyperlink"/>
            <w:noProof/>
          </w:rPr>
          <w:t>MENA</w:t>
        </w:r>
        <w:r w:rsidRPr="00597FFB">
          <w:rPr>
            <w:rStyle w:val="Hyperlink"/>
            <w:noProof/>
          </w:rPr>
          <w:t xml:space="preserve"> countries</w:t>
        </w:r>
        <w:r w:rsidRPr="00597FFB">
          <w:rPr>
            <w:noProof/>
            <w:webHidden/>
          </w:rPr>
          <w:tab/>
          <w:t>80</w:t>
        </w:r>
      </w:hyperlink>
    </w:p>
    <w:p w14:paraId="7261DF48" w14:textId="5A6D69A0" w:rsidR="00637619" w:rsidRPr="00597FFB" w:rsidRDefault="00ED7081" w:rsidP="00FF6FD3">
      <w:pPr>
        <w:pStyle w:val="TableofFigures"/>
        <w:tabs>
          <w:tab w:val="right" w:leader="dot" w:pos="7579"/>
        </w:tabs>
        <w:rPr>
          <w:rStyle w:val="Hyperlink"/>
          <w:rFonts w:asciiTheme="minorHAnsi" w:eastAsiaTheme="minorEastAsia" w:hAnsiTheme="minorHAnsi" w:cstheme="minorBidi"/>
          <w:noProof/>
          <w:color w:val="auto"/>
          <w:kern w:val="0"/>
          <w:sz w:val="22"/>
          <w:szCs w:val="22"/>
          <w:u w:val="none"/>
          <w:lang w:val="en-US" w:eastAsia="en-US"/>
        </w:rPr>
      </w:pPr>
      <w:hyperlink w:anchor="_Toc74915165" w:history="1">
        <w:r w:rsidRPr="00597FFB">
          <w:rPr>
            <w:rStyle w:val="Hyperlink"/>
            <w:noProof/>
          </w:rPr>
          <w:t xml:space="preserve">Figure 5. </w:t>
        </w:r>
        <w:r w:rsidR="001F1130" w:rsidRPr="00597FFB">
          <w:rPr>
            <w:rStyle w:val="Hyperlink"/>
            <w:noProof/>
          </w:rPr>
          <w:t>A</w:t>
        </w:r>
        <w:r w:rsidRPr="00597FFB">
          <w:rPr>
            <w:rStyle w:val="Hyperlink"/>
            <w:noProof/>
          </w:rPr>
          <w:t>n illustration of the path of global e-waste generated in 2019</w:t>
        </w:r>
        <w:r w:rsidRPr="00597FFB">
          <w:rPr>
            <w:noProof/>
            <w:webHidden/>
          </w:rPr>
          <w:tab/>
          <w:t>8</w:t>
        </w:r>
        <w:r w:rsidR="0037375E">
          <w:rPr>
            <w:noProof/>
            <w:webHidden/>
          </w:rPr>
          <w:t>5</w:t>
        </w:r>
      </w:hyperlink>
      <w:r w:rsidR="00637619" w:rsidRPr="00597FFB">
        <w:fldChar w:fldCharType="begin"/>
      </w:r>
      <w:r w:rsidR="00A7566A" w:rsidRPr="00597FFB">
        <w:instrText>HYPERLINK \l "_Toc74915166"</w:instrText>
      </w:r>
      <w:r w:rsidR="00637619" w:rsidRPr="00597FFB">
        <w:fldChar w:fldCharType="separate"/>
      </w:r>
    </w:p>
    <w:p w14:paraId="1F19638E" w14:textId="56486C5F" w:rsidR="00667BEB" w:rsidRPr="00597FFB" w:rsidRDefault="00ED7081" w:rsidP="00637619">
      <w:pPr>
        <w:pStyle w:val="TableofFigures"/>
        <w:tabs>
          <w:tab w:val="right" w:leader="dot" w:pos="7579"/>
        </w:tabs>
        <w:rPr>
          <w:rFonts w:asciiTheme="minorHAnsi" w:eastAsiaTheme="minorEastAsia" w:hAnsiTheme="minorHAnsi" w:cstheme="minorBidi"/>
          <w:noProof/>
          <w:kern w:val="0"/>
          <w:sz w:val="22"/>
          <w:szCs w:val="22"/>
          <w:lang w:val="en-US" w:eastAsia="en-US"/>
        </w:rPr>
      </w:pPr>
      <w:r w:rsidRPr="00597FFB">
        <w:rPr>
          <w:rStyle w:val="Hyperlink"/>
          <w:noProof/>
        </w:rPr>
        <w:t xml:space="preserve">Figure 6: </w:t>
      </w:r>
      <w:r w:rsidR="001F1130" w:rsidRPr="00597FFB">
        <w:rPr>
          <w:rStyle w:val="Hyperlink"/>
          <w:noProof/>
        </w:rPr>
        <w:t>E</w:t>
      </w:r>
      <w:r w:rsidRPr="00597FFB">
        <w:rPr>
          <w:rStyle w:val="Hyperlink"/>
          <w:noProof/>
        </w:rPr>
        <w:t xml:space="preserve">-waste economic value analyses and projections in the </w:t>
      </w:r>
      <w:r w:rsidR="001F1130" w:rsidRPr="00597FFB">
        <w:rPr>
          <w:rStyle w:val="Hyperlink"/>
          <w:noProof/>
        </w:rPr>
        <w:t>GCC</w:t>
      </w:r>
      <w:r w:rsidRPr="00597FFB">
        <w:rPr>
          <w:rStyle w:val="Hyperlink"/>
          <w:noProof/>
        </w:rPr>
        <w:t xml:space="preserve"> (2018-2040).</w:t>
      </w:r>
      <w:r w:rsidRPr="00597FFB">
        <w:rPr>
          <w:noProof/>
          <w:webHidden/>
        </w:rPr>
        <w:tab/>
        <w:t>9</w:t>
      </w:r>
      <w:r w:rsidR="005F4892">
        <w:rPr>
          <w:noProof/>
          <w:webHidden/>
        </w:rPr>
        <w:t>9</w:t>
      </w:r>
      <w:r w:rsidR="00637619" w:rsidRPr="00597FFB">
        <w:rPr>
          <w:noProof/>
        </w:rPr>
        <w:fldChar w:fldCharType="end"/>
      </w:r>
    </w:p>
    <w:p w14:paraId="2C0D0CE3" w14:textId="38C59655" w:rsidR="00667BEB" w:rsidRPr="00597FFB" w:rsidRDefault="00ED7081" w:rsidP="00667BEB">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5167" w:history="1">
        <w:r w:rsidRPr="00597FFB">
          <w:rPr>
            <w:rStyle w:val="Hyperlink"/>
            <w:noProof/>
          </w:rPr>
          <w:t xml:space="preserve">Figure 7. </w:t>
        </w:r>
        <w:r w:rsidR="001F1130" w:rsidRPr="00597FFB">
          <w:rPr>
            <w:rStyle w:val="Hyperlink"/>
            <w:noProof/>
          </w:rPr>
          <w:t>TPB</w:t>
        </w:r>
        <w:r w:rsidRPr="00597FFB">
          <w:rPr>
            <w:rStyle w:val="Hyperlink"/>
            <w:noProof/>
          </w:rPr>
          <w:t xml:space="preserve"> model.</w:t>
        </w:r>
        <w:r w:rsidRPr="00597FFB">
          <w:rPr>
            <w:noProof/>
            <w:webHidden/>
          </w:rPr>
          <w:tab/>
          <w:t>13</w:t>
        </w:r>
        <w:r w:rsidR="006727CF">
          <w:rPr>
            <w:noProof/>
            <w:webHidden/>
          </w:rPr>
          <w:t>1</w:t>
        </w:r>
      </w:hyperlink>
    </w:p>
    <w:p w14:paraId="0BB43330" w14:textId="4FF05A28" w:rsidR="00667BEB" w:rsidRPr="00597FFB" w:rsidRDefault="00ED7081">
      <w:pPr>
        <w:pStyle w:val="TableofFigures"/>
        <w:tabs>
          <w:tab w:val="right" w:leader="dot" w:pos="7579"/>
        </w:tabs>
        <w:rPr>
          <w:rFonts w:asciiTheme="minorHAnsi" w:eastAsiaTheme="minorEastAsia" w:hAnsiTheme="minorHAnsi" w:cstheme="minorBidi"/>
          <w:noProof/>
          <w:kern w:val="0"/>
          <w:sz w:val="22"/>
          <w:szCs w:val="22"/>
          <w:lang w:val="en-US" w:eastAsia="en-US"/>
        </w:rPr>
      </w:pPr>
      <w:hyperlink w:anchor="_Toc74915168" w:history="1">
        <w:r w:rsidRPr="00597FFB">
          <w:rPr>
            <w:rStyle w:val="Hyperlink"/>
            <w:noProof/>
          </w:rPr>
          <w:t xml:space="preserve">Figure 8. </w:t>
        </w:r>
        <w:r w:rsidR="001F1130" w:rsidRPr="00597FFB">
          <w:rPr>
            <w:rStyle w:val="Hyperlink"/>
            <w:noProof/>
          </w:rPr>
          <w:t>NAT</w:t>
        </w:r>
        <w:r w:rsidRPr="00597FFB">
          <w:rPr>
            <w:rStyle w:val="Hyperlink"/>
            <w:noProof/>
          </w:rPr>
          <w:t xml:space="preserve"> model</w:t>
        </w:r>
        <w:r w:rsidRPr="00597FFB">
          <w:rPr>
            <w:noProof/>
            <w:webHidden/>
          </w:rPr>
          <w:tab/>
          <w:t>14</w:t>
        </w:r>
        <w:r w:rsidR="00E94FCA">
          <w:rPr>
            <w:noProof/>
            <w:webHidden/>
          </w:rPr>
          <w:t>6</w:t>
        </w:r>
      </w:hyperlink>
    </w:p>
    <w:p w14:paraId="1B1C804C" w14:textId="0DE73B7B" w:rsidR="00667BEB" w:rsidRPr="00597FFB" w:rsidRDefault="00ED7081">
      <w:pPr>
        <w:pStyle w:val="TableofFigures"/>
        <w:tabs>
          <w:tab w:val="right" w:leader="dot" w:pos="7579"/>
        </w:tabs>
        <w:rPr>
          <w:noProof/>
        </w:rPr>
      </w:pPr>
      <w:hyperlink r:id="rId16" w:anchor="_Toc74915169" w:history="1">
        <w:r w:rsidRPr="00597FFB">
          <w:rPr>
            <w:rStyle w:val="Hyperlink"/>
            <w:noProof/>
          </w:rPr>
          <w:t xml:space="preserve">Figure 9. </w:t>
        </w:r>
        <w:r w:rsidR="001F1130" w:rsidRPr="00597FFB">
          <w:rPr>
            <w:rStyle w:val="Hyperlink"/>
            <w:noProof/>
          </w:rPr>
          <w:t>PMT</w:t>
        </w:r>
        <w:r w:rsidRPr="00597FFB">
          <w:rPr>
            <w:rStyle w:val="Hyperlink"/>
            <w:noProof/>
          </w:rPr>
          <w:t xml:space="preserve"> model</w:t>
        </w:r>
        <w:r w:rsidRPr="00597FFB">
          <w:rPr>
            <w:noProof/>
            <w:webHidden/>
          </w:rPr>
          <w:tab/>
          <w:t>15</w:t>
        </w:r>
        <w:r w:rsidR="000C12C6">
          <w:rPr>
            <w:noProof/>
            <w:webHidden/>
          </w:rPr>
          <w:t>4</w:t>
        </w:r>
      </w:hyperlink>
    </w:p>
    <w:p w14:paraId="0D3CF8EC" w14:textId="60412C2A" w:rsidR="002A376D" w:rsidRPr="00597FFB" w:rsidRDefault="00ED7081" w:rsidP="002A376D">
      <w:pPr>
        <w:pStyle w:val="TableofFigures"/>
        <w:tabs>
          <w:tab w:val="right" w:leader="dot" w:pos="7579"/>
        </w:tabs>
        <w:rPr>
          <w:noProof/>
        </w:rPr>
      </w:pPr>
      <w:hyperlink r:id="rId17" w:anchor="_Toc74915169" w:history="1">
        <w:r w:rsidRPr="00597FFB">
          <w:rPr>
            <w:rStyle w:val="Hyperlink"/>
            <w:noProof/>
          </w:rPr>
          <w:t xml:space="preserve">Figure 10. </w:t>
        </w:r>
        <w:r w:rsidR="001F1130" w:rsidRPr="00597FFB">
          <w:rPr>
            <w:rStyle w:val="Hyperlink"/>
            <w:noProof/>
          </w:rPr>
          <w:t>R</w:t>
        </w:r>
        <w:r w:rsidRPr="00597FFB">
          <w:rPr>
            <w:rStyle w:val="Hyperlink"/>
            <w:noProof/>
          </w:rPr>
          <w:t xml:space="preserve">esearch method process </w:t>
        </w:r>
        <w:r w:rsidRPr="00597FFB">
          <w:rPr>
            <w:noProof/>
            <w:webHidden/>
          </w:rPr>
          <w:tab/>
          <w:t>17</w:t>
        </w:r>
        <w:r w:rsidR="00D70181">
          <w:rPr>
            <w:noProof/>
            <w:webHidden/>
          </w:rPr>
          <w:t>6</w:t>
        </w:r>
      </w:hyperlink>
    </w:p>
    <w:p w14:paraId="2F729E81" w14:textId="447426D8" w:rsidR="00667BEB" w:rsidRPr="00597FFB" w:rsidRDefault="00ED7081">
      <w:pPr>
        <w:pStyle w:val="TableofFigures"/>
        <w:tabs>
          <w:tab w:val="right" w:leader="dot" w:pos="7579"/>
        </w:tabs>
        <w:rPr>
          <w:noProof/>
        </w:rPr>
      </w:pPr>
      <w:hyperlink w:anchor="_Toc74915170" w:history="1">
        <w:r w:rsidRPr="00597FFB">
          <w:rPr>
            <w:rStyle w:val="Hyperlink"/>
            <w:noProof/>
          </w:rPr>
          <w:t xml:space="preserve">Figure 11. </w:t>
        </w:r>
        <w:r w:rsidR="001F1130" w:rsidRPr="00597FFB">
          <w:rPr>
            <w:rStyle w:val="Hyperlink"/>
            <w:noProof/>
          </w:rPr>
          <w:t>M</w:t>
        </w:r>
        <w:r w:rsidRPr="00597FFB">
          <w:rPr>
            <w:rStyle w:val="Hyperlink"/>
            <w:noProof/>
          </w:rPr>
          <w:t xml:space="preserve">illennials’ preference for </w:t>
        </w:r>
        <w:r w:rsidR="001F1130" w:rsidRPr="00597FFB">
          <w:rPr>
            <w:rStyle w:val="Hyperlink"/>
            <w:noProof/>
          </w:rPr>
          <w:t>EWR</w:t>
        </w:r>
        <w:r w:rsidRPr="00597FFB">
          <w:rPr>
            <w:noProof/>
            <w:webHidden/>
          </w:rPr>
          <w:tab/>
          <w:t>20</w:t>
        </w:r>
        <w:r w:rsidR="001A4643">
          <w:rPr>
            <w:noProof/>
            <w:webHidden/>
          </w:rPr>
          <w:t>8</w:t>
        </w:r>
      </w:hyperlink>
    </w:p>
    <w:p w14:paraId="5B378BDC" w14:textId="13ACE820" w:rsidR="00667BEB" w:rsidRPr="00597FFB" w:rsidRDefault="00ED7081">
      <w:pPr>
        <w:pStyle w:val="TableofFigures"/>
        <w:tabs>
          <w:tab w:val="right" w:leader="dot" w:pos="7579"/>
        </w:tabs>
        <w:rPr>
          <w:noProof/>
        </w:rPr>
      </w:pPr>
      <w:hyperlink w:anchor="_Toc74915171" w:history="1">
        <w:r w:rsidRPr="00597FFB">
          <w:rPr>
            <w:rStyle w:val="Hyperlink"/>
            <w:noProof/>
          </w:rPr>
          <w:t xml:space="preserve">Figure 12. </w:t>
        </w:r>
        <w:r w:rsidR="001F1130" w:rsidRPr="00597FFB">
          <w:rPr>
            <w:rStyle w:val="Hyperlink"/>
            <w:noProof/>
          </w:rPr>
          <w:t>E</w:t>
        </w:r>
        <w:r w:rsidRPr="00597FFB">
          <w:rPr>
            <w:rStyle w:val="Hyperlink"/>
            <w:noProof/>
          </w:rPr>
          <w:t xml:space="preserve">nhanced </w:t>
        </w:r>
        <w:r w:rsidR="00764E05" w:rsidRPr="00597FFB">
          <w:rPr>
            <w:rStyle w:val="Hyperlink"/>
            <w:noProof/>
          </w:rPr>
          <w:t>TPB</w:t>
        </w:r>
        <w:r w:rsidRPr="00597FFB">
          <w:rPr>
            <w:rStyle w:val="Hyperlink"/>
            <w:noProof/>
          </w:rPr>
          <w:t xml:space="preserve"> model for intent and adoption of </w:t>
        </w:r>
        <w:r w:rsidR="001F1130" w:rsidRPr="00597FFB">
          <w:rPr>
            <w:rStyle w:val="Hyperlink"/>
            <w:noProof/>
          </w:rPr>
          <w:t>EWR</w:t>
        </w:r>
        <w:r w:rsidRPr="00597FFB">
          <w:rPr>
            <w:rStyle w:val="Hyperlink"/>
            <w:noProof/>
          </w:rPr>
          <w:t xml:space="preserve"> behavior by </w:t>
        </w:r>
        <w:r w:rsidR="007E4303" w:rsidRPr="00597FFB">
          <w:rPr>
            <w:rStyle w:val="Hyperlink"/>
            <w:noProof/>
          </w:rPr>
          <w:t>UAE’s</w:t>
        </w:r>
        <w:r w:rsidRPr="00597FFB">
          <w:rPr>
            <w:rStyle w:val="Hyperlink"/>
            <w:noProof/>
          </w:rPr>
          <w:t xml:space="preserve"> millennials with additional variables.</w:t>
        </w:r>
        <w:r w:rsidRPr="00597FFB">
          <w:rPr>
            <w:noProof/>
            <w:webHidden/>
          </w:rPr>
          <w:tab/>
          <w:t>2</w:t>
        </w:r>
        <w:r w:rsidR="00B34A1A">
          <w:rPr>
            <w:noProof/>
            <w:webHidden/>
          </w:rPr>
          <w:t>09</w:t>
        </w:r>
      </w:hyperlink>
    </w:p>
    <w:p w14:paraId="7CFD5E52" w14:textId="07C34E34" w:rsidR="00667BEB" w:rsidRPr="00597FFB" w:rsidRDefault="00ED7081">
      <w:pPr>
        <w:pStyle w:val="TableofFigures"/>
        <w:tabs>
          <w:tab w:val="right" w:leader="dot" w:pos="7579"/>
        </w:tabs>
        <w:rPr>
          <w:noProof/>
        </w:rPr>
      </w:pPr>
      <w:hyperlink w:anchor="_Toc74915172" w:history="1">
        <w:r w:rsidRPr="00597FFB">
          <w:rPr>
            <w:rStyle w:val="Hyperlink"/>
            <w:noProof/>
          </w:rPr>
          <w:t xml:space="preserve">Figure 13. </w:t>
        </w:r>
        <w:r w:rsidR="001F1130" w:rsidRPr="00597FFB">
          <w:rPr>
            <w:rStyle w:val="Hyperlink"/>
            <w:noProof/>
          </w:rPr>
          <w:t>S</w:t>
        </w:r>
        <w:r w:rsidRPr="00597FFB">
          <w:rPr>
            <w:rStyle w:val="Hyperlink"/>
            <w:noProof/>
          </w:rPr>
          <w:t xml:space="preserve">em results of the extended </w:t>
        </w:r>
        <w:r w:rsidR="001F1130" w:rsidRPr="00597FFB">
          <w:rPr>
            <w:rStyle w:val="Hyperlink"/>
            <w:noProof/>
          </w:rPr>
          <w:t>TPB</w:t>
        </w:r>
        <w:r w:rsidRPr="00597FFB">
          <w:rPr>
            <w:rStyle w:val="Hyperlink"/>
            <w:noProof/>
          </w:rPr>
          <w:t xml:space="preserve"> model.</w:t>
        </w:r>
        <w:r w:rsidRPr="00597FFB">
          <w:rPr>
            <w:noProof/>
            <w:webHidden/>
          </w:rPr>
          <w:tab/>
          <w:t>21</w:t>
        </w:r>
        <w:r w:rsidR="00031BAB">
          <w:rPr>
            <w:noProof/>
            <w:webHidden/>
          </w:rPr>
          <w:t>7</w:t>
        </w:r>
      </w:hyperlink>
    </w:p>
    <w:p w14:paraId="1F18631B" w14:textId="461D7307" w:rsidR="00667BEB" w:rsidRPr="00597FFB" w:rsidRDefault="00ED7081">
      <w:pPr>
        <w:pStyle w:val="TableofFigures"/>
        <w:tabs>
          <w:tab w:val="right" w:leader="dot" w:pos="7579"/>
        </w:tabs>
        <w:rPr>
          <w:noProof/>
        </w:rPr>
      </w:pPr>
      <w:hyperlink w:anchor="_Toc74915173" w:history="1">
        <w:r w:rsidRPr="00597FFB">
          <w:rPr>
            <w:rStyle w:val="Hyperlink"/>
            <w:noProof/>
          </w:rPr>
          <w:t xml:space="preserve">Figure 14. </w:t>
        </w:r>
        <w:r w:rsidR="001F1130" w:rsidRPr="00597FFB">
          <w:rPr>
            <w:rStyle w:val="Hyperlink"/>
            <w:noProof/>
          </w:rPr>
          <w:t>E</w:t>
        </w:r>
        <w:r w:rsidRPr="00597FFB">
          <w:rPr>
            <w:rStyle w:val="Hyperlink"/>
            <w:noProof/>
          </w:rPr>
          <w:t xml:space="preserve">nhanced </w:t>
        </w:r>
        <w:r w:rsidR="007E4303" w:rsidRPr="00597FFB">
          <w:rPr>
            <w:rStyle w:val="Hyperlink"/>
            <w:noProof/>
          </w:rPr>
          <w:t>NAT</w:t>
        </w:r>
        <w:r w:rsidRPr="00597FFB">
          <w:rPr>
            <w:rStyle w:val="Hyperlink"/>
            <w:noProof/>
          </w:rPr>
          <w:t xml:space="preserve"> model for </w:t>
        </w:r>
        <w:r w:rsidR="007E4303" w:rsidRPr="00597FFB">
          <w:rPr>
            <w:rStyle w:val="Hyperlink"/>
            <w:noProof/>
          </w:rPr>
          <w:t xml:space="preserve">EWR </w:t>
        </w:r>
        <w:r w:rsidRPr="00597FFB">
          <w:rPr>
            <w:rStyle w:val="Hyperlink"/>
            <w:noProof/>
          </w:rPr>
          <w:t xml:space="preserve">intent of </w:t>
        </w:r>
        <w:r w:rsidR="001F1130" w:rsidRPr="00597FFB">
          <w:rPr>
            <w:rStyle w:val="Hyperlink"/>
            <w:noProof/>
          </w:rPr>
          <w:t>UAE</w:t>
        </w:r>
        <w:r w:rsidR="007E4303" w:rsidRPr="00597FFB">
          <w:rPr>
            <w:rStyle w:val="Hyperlink"/>
            <w:noProof/>
          </w:rPr>
          <w:t>’s</w:t>
        </w:r>
        <w:r w:rsidRPr="00597FFB">
          <w:rPr>
            <w:rStyle w:val="Hyperlink"/>
            <w:noProof/>
          </w:rPr>
          <w:t xml:space="preserve"> millennials with additional variables</w:t>
        </w:r>
        <w:r w:rsidRPr="00597FFB">
          <w:rPr>
            <w:noProof/>
            <w:webHidden/>
          </w:rPr>
          <w:tab/>
          <w:t>2</w:t>
        </w:r>
        <w:r w:rsidR="00803EC5">
          <w:rPr>
            <w:noProof/>
            <w:webHidden/>
          </w:rPr>
          <w:t>20</w:t>
        </w:r>
      </w:hyperlink>
    </w:p>
    <w:p w14:paraId="059ECB45" w14:textId="2351B778" w:rsidR="00667BEB" w:rsidRPr="00597FFB" w:rsidRDefault="00ED7081">
      <w:pPr>
        <w:pStyle w:val="TableofFigures"/>
        <w:tabs>
          <w:tab w:val="right" w:leader="dot" w:pos="7579"/>
        </w:tabs>
        <w:rPr>
          <w:noProof/>
        </w:rPr>
      </w:pPr>
      <w:hyperlink w:anchor="_Toc74915174" w:history="1">
        <w:r w:rsidRPr="00597FFB">
          <w:rPr>
            <w:rStyle w:val="Hyperlink"/>
            <w:noProof/>
          </w:rPr>
          <w:t xml:space="preserve">Figure 15. </w:t>
        </w:r>
        <w:r w:rsidR="001F1130" w:rsidRPr="00597FFB">
          <w:rPr>
            <w:rStyle w:val="Hyperlink"/>
            <w:noProof/>
          </w:rPr>
          <w:t>T</w:t>
        </w:r>
        <w:r w:rsidRPr="00597FFB">
          <w:rPr>
            <w:rStyle w:val="Hyperlink"/>
            <w:noProof/>
          </w:rPr>
          <w:t xml:space="preserve">he extended </w:t>
        </w:r>
        <w:r w:rsidR="007E4303" w:rsidRPr="00597FFB">
          <w:rPr>
            <w:rStyle w:val="Hyperlink"/>
            <w:noProof/>
          </w:rPr>
          <w:t>NAT</w:t>
        </w:r>
        <w:r w:rsidRPr="00597FFB">
          <w:rPr>
            <w:rStyle w:val="Hyperlink"/>
            <w:noProof/>
          </w:rPr>
          <w:t xml:space="preserve"> path model</w:t>
        </w:r>
        <w:r w:rsidRPr="00597FFB">
          <w:rPr>
            <w:noProof/>
            <w:webHidden/>
          </w:rPr>
          <w:tab/>
          <w:t>22</w:t>
        </w:r>
        <w:r w:rsidR="00512D0D">
          <w:rPr>
            <w:noProof/>
            <w:webHidden/>
          </w:rPr>
          <w:t>3</w:t>
        </w:r>
      </w:hyperlink>
    </w:p>
    <w:p w14:paraId="12E39D63" w14:textId="58046DB8" w:rsidR="005271AC" w:rsidRPr="00597FFB" w:rsidRDefault="00ED7081" w:rsidP="0012052E">
      <w:pPr>
        <w:pStyle w:val="TableofFigures"/>
        <w:tabs>
          <w:tab w:val="right" w:leader="dot" w:pos="7579"/>
        </w:tabs>
        <w:rPr>
          <w:noProof/>
        </w:rPr>
      </w:pPr>
      <w:hyperlink w:anchor="_Toc74915174" w:history="1">
        <w:r w:rsidRPr="00597FFB">
          <w:rPr>
            <w:rStyle w:val="Hyperlink"/>
            <w:noProof/>
          </w:rPr>
          <w:t xml:space="preserve">Figure 16. </w:t>
        </w:r>
        <w:r w:rsidR="001F1130" w:rsidRPr="00597FFB">
          <w:rPr>
            <w:rStyle w:val="Hyperlink"/>
            <w:noProof/>
          </w:rPr>
          <w:t>E</w:t>
        </w:r>
        <w:r w:rsidRPr="00597FFB">
          <w:rPr>
            <w:rStyle w:val="Hyperlink"/>
            <w:noProof/>
          </w:rPr>
          <w:t xml:space="preserve">xtended </w:t>
        </w:r>
        <w:r w:rsidR="007E4303" w:rsidRPr="00597FFB">
          <w:rPr>
            <w:rStyle w:val="Hyperlink"/>
            <w:noProof/>
          </w:rPr>
          <w:t>PMT</w:t>
        </w:r>
        <w:r w:rsidRPr="00597FFB">
          <w:rPr>
            <w:rStyle w:val="Hyperlink"/>
            <w:noProof/>
          </w:rPr>
          <w:t xml:space="preserve"> conceptual framework</w:t>
        </w:r>
        <w:r w:rsidRPr="00597FFB">
          <w:rPr>
            <w:noProof/>
            <w:webHidden/>
          </w:rPr>
          <w:tab/>
          <w:t>22</w:t>
        </w:r>
        <w:r w:rsidR="006A4DF0">
          <w:rPr>
            <w:noProof/>
            <w:webHidden/>
          </w:rPr>
          <w:t>7</w:t>
        </w:r>
      </w:hyperlink>
    </w:p>
    <w:p w14:paraId="7AD5616E" w14:textId="2B3164EA" w:rsidR="008E378A" w:rsidRPr="00597FFB" w:rsidRDefault="00ED7081" w:rsidP="008E378A">
      <w:pPr>
        <w:pStyle w:val="TableofFigures"/>
        <w:tabs>
          <w:tab w:val="right" w:leader="dot" w:pos="7579"/>
        </w:tabs>
        <w:rPr>
          <w:noProof/>
        </w:rPr>
      </w:pPr>
      <w:hyperlink w:anchor="_Toc74915174" w:history="1">
        <w:r w:rsidRPr="00597FFB">
          <w:rPr>
            <w:rStyle w:val="Hyperlink"/>
            <w:noProof/>
          </w:rPr>
          <w:t xml:space="preserve">Figure 17. </w:t>
        </w:r>
        <w:r w:rsidR="001F1130" w:rsidRPr="00597FFB">
          <w:rPr>
            <w:rStyle w:val="Hyperlink"/>
            <w:noProof/>
          </w:rPr>
          <w:t>PMT</w:t>
        </w:r>
        <w:r w:rsidRPr="00597FFB">
          <w:rPr>
            <w:rStyle w:val="Hyperlink"/>
            <w:noProof/>
          </w:rPr>
          <w:t xml:space="preserve"> path diagram</w:t>
        </w:r>
        <w:r w:rsidRPr="00597FFB">
          <w:rPr>
            <w:noProof/>
            <w:webHidden/>
          </w:rPr>
          <w:tab/>
          <w:t>2</w:t>
        </w:r>
        <w:r w:rsidR="008F50C7">
          <w:rPr>
            <w:noProof/>
            <w:webHidden/>
          </w:rPr>
          <w:t>30</w:t>
        </w:r>
      </w:hyperlink>
    </w:p>
    <w:p w14:paraId="69C5485F" w14:textId="77777777" w:rsidR="008E378A" w:rsidRPr="00597FFB" w:rsidRDefault="008E378A" w:rsidP="008E378A">
      <w:pPr>
        <w:rPr>
          <w:lang w:val="en-GB" w:eastAsia="ja-JP"/>
        </w:rPr>
      </w:pPr>
    </w:p>
    <w:p w14:paraId="3D9F8064" w14:textId="362372A5" w:rsidR="00667BEB" w:rsidRPr="00597FFB" w:rsidRDefault="00667BEB" w:rsidP="007F414F">
      <w:pPr>
        <w:spacing w:line="480" w:lineRule="auto"/>
        <w:rPr>
          <w:rFonts w:ascii="Times New Roman" w:hAnsi="Times New Roman" w:cs="Times New Roman"/>
          <w:sz w:val="24"/>
          <w:szCs w:val="24"/>
        </w:rPr>
        <w:sectPr w:rsidR="00667BEB" w:rsidRPr="00597FFB" w:rsidSect="008723E1">
          <w:pgSz w:w="11909" w:h="16834" w:code="9"/>
          <w:pgMar w:top="2880" w:right="2160" w:bottom="1800" w:left="2160" w:header="720" w:footer="720" w:gutter="0"/>
          <w:pgNumType w:fmt="lowerRoman"/>
          <w:cols w:space="720"/>
          <w:docGrid w:linePitch="360"/>
        </w:sectPr>
      </w:pPr>
      <w:r w:rsidRPr="00597FFB">
        <w:rPr>
          <w:rFonts w:ascii="Times New Roman" w:hAnsi="Times New Roman" w:cs="Times New Roman"/>
          <w:sz w:val="24"/>
          <w:szCs w:val="24"/>
        </w:rPr>
        <w:fldChar w:fldCharType="end"/>
      </w:r>
    </w:p>
    <w:p w14:paraId="0513DD83" w14:textId="63644834" w:rsidR="00703A7E" w:rsidRPr="00597FFB" w:rsidRDefault="00CE48FD" w:rsidP="007F414F">
      <w:pPr>
        <w:spacing w:before="26" w:after="26" w:line="480" w:lineRule="auto"/>
        <w:jc w:val="both"/>
        <w:rPr>
          <w:rFonts w:ascii="Times New Roman" w:eastAsia="Times New Roman" w:hAnsi="Times New Roman" w:cs="Times New Roman"/>
          <w:bCs/>
          <w:sz w:val="24"/>
          <w:szCs w:val="24"/>
        </w:rPr>
        <w:sectPr w:rsidR="00703A7E" w:rsidRPr="00597FFB" w:rsidSect="0049120E">
          <w:pgSz w:w="11909" w:h="16834" w:code="9"/>
          <w:pgMar w:top="12240" w:right="2160" w:bottom="4" w:left="2160" w:header="720" w:footer="0" w:gutter="0"/>
          <w:pgNumType w:start="1"/>
          <w:cols w:space="720"/>
          <w:docGrid w:linePitch="360"/>
        </w:sectPr>
      </w:pPr>
      <w:r w:rsidRPr="00597FFB">
        <w:rPr>
          <w:noProof/>
        </w:rPr>
        <mc:AlternateContent>
          <mc:Choice Requires="wps">
            <w:drawing>
              <wp:anchor distT="0" distB="0" distL="114300" distR="114300" simplePos="0" relativeHeight="251665408" behindDoc="0" locked="0" layoutInCell="1" allowOverlap="1" wp14:anchorId="1932EEAD" wp14:editId="4AD2A539">
                <wp:simplePos x="0" y="0"/>
                <wp:positionH relativeFrom="page">
                  <wp:align>right</wp:align>
                </wp:positionH>
                <wp:positionV relativeFrom="paragraph">
                  <wp:posOffset>-2071688</wp:posOffset>
                </wp:positionV>
                <wp:extent cx="7275412" cy="1828800"/>
                <wp:effectExtent l="1542733" t="247967" r="1582737" b="249238"/>
                <wp:wrapNone/>
                <wp:docPr id="1" name="Text Box 1"/>
                <wp:cNvGraphicFramePr/>
                <a:graphic xmlns:a="http://schemas.openxmlformats.org/drawingml/2006/main">
                  <a:graphicData uri="http://schemas.microsoft.com/office/word/2010/wordprocessingShape">
                    <wps:wsp>
                      <wps:cNvSpPr txBox="1"/>
                      <wps:spPr>
                        <a:xfrm rot="18146708">
                          <a:off x="0" y="0"/>
                          <a:ext cx="7275412" cy="1828800"/>
                        </a:xfrm>
                        <a:prstGeom prst="rect">
                          <a:avLst/>
                        </a:prstGeom>
                        <a:noFill/>
                        <a:ln>
                          <a:noFill/>
                        </a:ln>
                      </wps:spPr>
                      <wps:txbx>
                        <w:txbxContent>
                          <w:p w14:paraId="2898F384" w14:textId="1220F073" w:rsidR="00CE48FD" w:rsidRPr="00CE48FD" w:rsidRDefault="00CE48FD" w:rsidP="00CE48FD">
                            <w:pPr>
                              <w:spacing w:before="26" w:after="26" w:line="480" w:lineRule="auto"/>
                              <w:jc w:val="center"/>
                              <w:rPr>
                                <w:rFonts w:ascii="Times New Roman" w:eastAsia="Times New Roman" w:hAnsi="Times New Roman" w:cs="Times New Roman"/>
                                <w:bCs/>
                                <w:color w:val="000000" w:themeColor="text1"/>
                                <w:sz w:val="200"/>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48FD">
                              <w:rPr>
                                <w:rFonts w:ascii="Times New Roman" w:eastAsia="Times New Roman" w:hAnsi="Times New Roman" w:cs="Times New Roman"/>
                                <w:bCs/>
                                <w:color w:val="000000" w:themeColor="text1"/>
                                <w:sz w:val="200"/>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932EEAD" id="_x0000_t202" coordsize="21600,21600" o:spt="202" path="m,l,21600r21600,l21600,xe">
                <v:stroke joinstyle="miter"/>
                <v:path gradientshapeok="t" o:connecttype="rect"/>
              </v:shapetype>
              <v:shape id="Text Box 1" o:spid="_x0000_s1026" type="#_x0000_t202" style="position:absolute;left:0;text-align:left;margin-left:521.65pt;margin-top:-163.15pt;width:572.85pt;height:2in;rotation:-3771916fd;z-index:25166540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" filled="f" stroked="f">
                <v:textbox style="mso-fit-shape-to-text:t">
                  <w:txbxContent>
                    <w:p w14:paraId="2898F384" w14:textId="1220F073" w:rsidR="00CE48FD" w:rsidRPr="00CE48FD" w:rsidRDefault="00CE48FD" w:rsidP="00CE48FD">
                      <w:pPr>
                        <w:spacing w:before="26" w:after="26" w:line="480" w:lineRule="auto"/>
                        <w:jc w:val="center"/>
                        <w:rPr>
                          <w:rFonts w:ascii="Times New Roman" w:eastAsia="Times New Roman" w:hAnsi="Times New Roman" w:cs="Times New Roman"/>
                          <w:bCs/>
                          <w:color w:val="000000" w:themeColor="text1"/>
                          <w:sz w:val="200"/>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48FD">
                        <w:rPr>
                          <w:rFonts w:ascii="Times New Roman" w:eastAsia="Times New Roman" w:hAnsi="Times New Roman" w:cs="Times New Roman"/>
                          <w:bCs/>
                          <w:color w:val="000000" w:themeColor="text1"/>
                          <w:sz w:val="200"/>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Blank</w:t>
                      </w:r>
                    </w:p>
                  </w:txbxContent>
                </v:textbox>
                <w10:wrap anchorx="page"/>
              </v:shape>
            </w:pict>
          </mc:Fallback>
        </mc:AlternateContent>
      </w:r>
    </w:p>
    <w:p w14:paraId="566531F8" w14:textId="1D5EE327" w:rsidR="003C4CA7" w:rsidRPr="00597FFB" w:rsidRDefault="003C4CA7" w:rsidP="00115952">
      <w:pPr>
        <w:pStyle w:val="Heading1"/>
        <w:jc w:val="center"/>
        <w:rPr>
          <w:rFonts w:asciiTheme="majorBidi" w:eastAsia="Times New Roman" w:hAnsiTheme="majorBidi"/>
          <w:b/>
          <w:bCs/>
          <w:color w:val="000000" w:themeColor="text1"/>
          <w:sz w:val="28"/>
          <w:szCs w:val="28"/>
        </w:rPr>
      </w:pPr>
      <w:bookmarkStart w:id="20" w:name="_Toc74912554"/>
      <w:bookmarkStart w:id="21" w:name="_Toc127170249"/>
      <w:bookmarkStart w:id="22" w:name="_Toc74912541"/>
      <w:r w:rsidRPr="00597FFB">
        <w:rPr>
          <w:rFonts w:asciiTheme="majorBidi" w:eastAsia="Times New Roman" w:hAnsiTheme="majorBidi"/>
          <w:b/>
          <w:bCs/>
          <w:color w:val="000000" w:themeColor="text1"/>
          <w:sz w:val="28"/>
          <w:szCs w:val="28"/>
        </w:rPr>
        <w:t xml:space="preserve">CHAPTER </w:t>
      </w:r>
      <w:bookmarkEnd w:id="20"/>
      <w:r w:rsidRPr="00597FFB">
        <w:rPr>
          <w:rFonts w:asciiTheme="majorBidi" w:eastAsia="Times New Roman" w:hAnsiTheme="majorBidi"/>
          <w:b/>
          <w:bCs/>
          <w:color w:val="000000" w:themeColor="text1"/>
          <w:sz w:val="28"/>
          <w:szCs w:val="28"/>
        </w:rPr>
        <w:t>1</w:t>
      </w:r>
      <w:bookmarkEnd w:id="21"/>
      <w:r w:rsidRPr="00597FFB">
        <w:rPr>
          <w:rFonts w:asciiTheme="majorBidi" w:eastAsia="Times New Roman" w:hAnsiTheme="majorBidi"/>
          <w:b/>
          <w:bCs/>
          <w:color w:val="000000" w:themeColor="text1"/>
          <w:sz w:val="28"/>
          <w:szCs w:val="28"/>
        </w:rPr>
        <w:t xml:space="preserve"> </w:t>
      </w:r>
    </w:p>
    <w:p w14:paraId="2326A53D" w14:textId="42E39B8D" w:rsidR="00115952" w:rsidRPr="00597FFB" w:rsidRDefault="00115952" w:rsidP="00115952">
      <w:pPr>
        <w:pStyle w:val="Heading1"/>
        <w:jc w:val="center"/>
        <w:rPr>
          <w:rFonts w:asciiTheme="majorBidi" w:eastAsia="Times New Roman" w:hAnsiTheme="majorBidi"/>
          <w:b/>
          <w:bCs/>
          <w:color w:val="000000" w:themeColor="text1"/>
          <w:sz w:val="26"/>
          <w:szCs w:val="26"/>
        </w:rPr>
      </w:pPr>
      <w:bookmarkStart w:id="23" w:name="_Toc127170250"/>
      <w:r w:rsidRPr="00597FFB">
        <w:rPr>
          <w:rFonts w:asciiTheme="majorBidi" w:eastAsia="Times New Roman" w:hAnsiTheme="majorBidi"/>
          <w:b/>
          <w:bCs/>
          <w:color w:val="000000" w:themeColor="text1"/>
          <w:sz w:val="26"/>
          <w:szCs w:val="26"/>
        </w:rPr>
        <w:t>Introduction</w:t>
      </w:r>
      <w:r w:rsidR="003904ED" w:rsidRPr="00597FFB">
        <w:rPr>
          <w:rFonts w:asciiTheme="majorBidi" w:eastAsia="Times New Roman" w:hAnsiTheme="majorBidi"/>
          <w:b/>
          <w:bCs/>
          <w:color w:val="000000" w:themeColor="text1"/>
          <w:sz w:val="26"/>
          <w:szCs w:val="26"/>
        </w:rPr>
        <w:t xml:space="preserve"> to the </w:t>
      </w:r>
      <w:r w:rsidR="00224633" w:rsidRPr="00597FFB">
        <w:rPr>
          <w:rFonts w:asciiTheme="majorBidi" w:eastAsia="Times New Roman" w:hAnsiTheme="majorBidi"/>
          <w:b/>
          <w:bCs/>
          <w:color w:val="000000" w:themeColor="text1"/>
          <w:sz w:val="26"/>
          <w:szCs w:val="26"/>
        </w:rPr>
        <w:t>Dissertation</w:t>
      </w:r>
      <w:bookmarkEnd w:id="23"/>
    </w:p>
    <w:p w14:paraId="1C9DE20A" w14:textId="77777777" w:rsidR="00115952" w:rsidRPr="00597FFB" w:rsidRDefault="00115952" w:rsidP="00115952">
      <w:pPr>
        <w:spacing w:line="480" w:lineRule="auto"/>
        <w:jc w:val="center"/>
        <w:rPr>
          <w:rFonts w:ascii="Times New Roman" w:hAnsi="Times New Roman" w:cs="Times New Roman"/>
          <w:sz w:val="24"/>
          <w:szCs w:val="24"/>
        </w:rPr>
      </w:pPr>
    </w:p>
    <w:p w14:paraId="77B9ED9D" w14:textId="634D28A8" w:rsidR="00463B37" w:rsidRPr="00597FFB" w:rsidRDefault="00FB296F" w:rsidP="00463B37">
      <w:pPr>
        <w:spacing w:line="480" w:lineRule="auto"/>
        <w:jc w:val="center"/>
        <w:rPr>
          <w:rFonts w:ascii="Times New Roman" w:hAnsi="Times New Roman" w:cs="Times New Roman"/>
          <w:b/>
          <w:bCs/>
          <w:sz w:val="24"/>
          <w:szCs w:val="24"/>
        </w:rPr>
      </w:pPr>
      <w:bookmarkStart w:id="24" w:name="_Toc74912555"/>
      <w:r w:rsidRPr="00597FFB">
        <w:rPr>
          <w:rFonts w:ascii="Times New Roman" w:hAnsi="Times New Roman" w:cs="Times New Roman"/>
          <w:b/>
          <w:bCs/>
          <w:sz w:val="24"/>
          <w:szCs w:val="24"/>
        </w:rPr>
        <w:t>Backg</w:t>
      </w:r>
      <w:r w:rsidR="00E652E2" w:rsidRPr="00597FFB">
        <w:rPr>
          <w:rFonts w:ascii="Times New Roman" w:hAnsi="Times New Roman" w:cs="Times New Roman"/>
          <w:b/>
          <w:bCs/>
          <w:sz w:val="24"/>
          <w:szCs w:val="24"/>
        </w:rPr>
        <w:t>round</w:t>
      </w:r>
      <w:bookmarkEnd w:id="24"/>
      <w:r w:rsidR="00E652E2" w:rsidRPr="00597FFB">
        <w:rPr>
          <w:rFonts w:ascii="Times New Roman" w:hAnsi="Times New Roman" w:cs="Times New Roman"/>
          <w:b/>
          <w:bCs/>
          <w:sz w:val="24"/>
          <w:szCs w:val="24"/>
        </w:rPr>
        <w:t xml:space="preserve">, </w:t>
      </w:r>
      <w:r w:rsidR="00BE3BF6">
        <w:rPr>
          <w:rFonts w:ascii="Times New Roman" w:hAnsi="Times New Roman" w:cs="Times New Roman"/>
          <w:b/>
          <w:bCs/>
          <w:sz w:val="24"/>
          <w:szCs w:val="24"/>
        </w:rPr>
        <w:t>P</w:t>
      </w:r>
      <w:r w:rsidR="00E652E2" w:rsidRPr="00597FFB">
        <w:rPr>
          <w:rFonts w:ascii="Times New Roman" w:hAnsi="Times New Roman" w:cs="Times New Roman"/>
          <w:b/>
          <w:bCs/>
          <w:sz w:val="24"/>
          <w:szCs w:val="24"/>
        </w:rPr>
        <w:t xml:space="preserve">urpose, </w:t>
      </w:r>
      <w:r w:rsidR="00BE3BF6">
        <w:rPr>
          <w:rFonts w:ascii="Times New Roman" w:hAnsi="Times New Roman" w:cs="Times New Roman"/>
          <w:b/>
          <w:bCs/>
          <w:sz w:val="24"/>
          <w:szCs w:val="24"/>
        </w:rPr>
        <w:t>O</w:t>
      </w:r>
      <w:r w:rsidR="00E652E2" w:rsidRPr="00597FFB">
        <w:rPr>
          <w:rFonts w:ascii="Times New Roman" w:hAnsi="Times New Roman" w:cs="Times New Roman"/>
          <w:b/>
          <w:bCs/>
          <w:sz w:val="24"/>
          <w:szCs w:val="24"/>
        </w:rPr>
        <w:t xml:space="preserve">bjectives, </w:t>
      </w:r>
      <w:r w:rsidR="00BE3BF6">
        <w:rPr>
          <w:rFonts w:ascii="Times New Roman" w:hAnsi="Times New Roman" w:cs="Times New Roman"/>
          <w:b/>
          <w:bCs/>
          <w:sz w:val="24"/>
          <w:szCs w:val="24"/>
        </w:rPr>
        <w:t>Q</w:t>
      </w:r>
      <w:r w:rsidR="00E652E2" w:rsidRPr="00597FFB">
        <w:rPr>
          <w:rFonts w:ascii="Times New Roman" w:hAnsi="Times New Roman" w:cs="Times New Roman"/>
          <w:b/>
          <w:bCs/>
          <w:sz w:val="24"/>
          <w:szCs w:val="24"/>
        </w:rPr>
        <w:t xml:space="preserve">uestions, and </w:t>
      </w:r>
      <w:r w:rsidR="00BE3BF6">
        <w:rPr>
          <w:rFonts w:ascii="Times New Roman" w:hAnsi="Times New Roman" w:cs="Times New Roman"/>
          <w:b/>
          <w:bCs/>
          <w:sz w:val="24"/>
          <w:szCs w:val="24"/>
        </w:rPr>
        <w:t>C</w:t>
      </w:r>
      <w:r w:rsidR="00E652E2" w:rsidRPr="00597FFB">
        <w:rPr>
          <w:rFonts w:ascii="Times New Roman" w:hAnsi="Times New Roman" w:cs="Times New Roman"/>
          <w:b/>
          <w:bCs/>
          <w:sz w:val="24"/>
          <w:szCs w:val="24"/>
        </w:rPr>
        <w:t>ontribution</w:t>
      </w:r>
    </w:p>
    <w:p w14:paraId="32DD9EF7" w14:textId="25C8EE56" w:rsidR="00463B37" w:rsidRPr="00597FFB" w:rsidRDefault="00E652E2" w:rsidP="00463B37">
      <w:pPr>
        <w:spacing w:line="480" w:lineRule="auto"/>
        <w:jc w:val="center"/>
        <w:rPr>
          <w:rFonts w:ascii="Times New Roman" w:hAnsi="Times New Roman" w:cs="Times New Roman"/>
          <w:sz w:val="24"/>
          <w:szCs w:val="24"/>
        </w:rPr>
      </w:pPr>
      <w:r w:rsidRPr="00597FFB">
        <w:rPr>
          <w:rFonts w:ascii="Times New Roman" w:hAnsi="Times New Roman" w:cs="Times New Roman"/>
          <w:sz w:val="24"/>
          <w:szCs w:val="24"/>
        </w:rPr>
        <w:t>"</w:t>
      </w:r>
      <w:r w:rsidRPr="00597FFB">
        <w:rPr>
          <w:rFonts w:ascii="Times New Roman" w:hAnsi="Times New Roman" w:cs="Times New Roman"/>
          <w:i/>
          <w:iCs/>
          <w:sz w:val="24"/>
          <w:szCs w:val="24"/>
        </w:rPr>
        <w:t>what I stand for is what I stand on</w:t>
      </w:r>
      <w:r w:rsidR="00FB296F" w:rsidRPr="00597FFB">
        <w:rPr>
          <w:rFonts w:ascii="Times New Roman" w:hAnsi="Times New Roman" w:cs="Times New Roman"/>
          <w:i/>
          <w:iCs/>
          <w:sz w:val="24"/>
          <w:szCs w:val="24"/>
        </w:rPr>
        <w:t>." (Wendell Berry)</w:t>
      </w:r>
    </w:p>
    <w:p w14:paraId="6DBBE2DC" w14:textId="77777777" w:rsidR="00115952" w:rsidRPr="00597FFB" w:rsidRDefault="00115952" w:rsidP="00463B37">
      <w:pPr>
        <w:spacing w:line="480" w:lineRule="auto"/>
        <w:rPr>
          <w:rFonts w:ascii="Times New Roman" w:hAnsi="Times New Roman" w:cs="Times New Roman"/>
          <w:sz w:val="24"/>
          <w:szCs w:val="24"/>
        </w:rPr>
      </w:pPr>
    </w:p>
    <w:p w14:paraId="5BFB0130" w14:textId="05D6C9CC" w:rsidR="00115952" w:rsidRPr="00597FFB" w:rsidRDefault="005C4BF7" w:rsidP="00115952">
      <w:pPr>
        <w:pStyle w:val="Heading2"/>
        <w:rPr>
          <w:rFonts w:asciiTheme="majorBidi" w:hAnsiTheme="majorBidi"/>
          <w:b/>
          <w:bCs/>
          <w:color w:val="000000" w:themeColor="text1"/>
          <w:sz w:val="24"/>
          <w:szCs w:val="24"/>
        </w:rPr>
      </w:pPr>
      <w:bookmarkStart w:id="25" w:name="_Toc74912556"/>
      <w:bookmarkStart w:id="26" w:name="_Toc127170251"/>
      <w:r w:rsidRPr="00597FFB">
        <w:rPr>
          <w:rFonts w:asciiTheme="majorBidi" w:hAnsiTheme="majorBidi"/>
          <w:b/>
          <w:bCs/>
          <w:color w:val="000000" w:themeColor="text1"/>
          <w:sz w:val="24"/>
          <w:szCs w:val="24"/>
        </w:rPr>
        <w:t>1</w:t>
      </w:r>
      <w:r w:rsidR="00115952" w:rsidRPr="00597FFB">
        <w:rPr>
          <w:rFonts w:asciiTheme="majorBidi" w:hAnsiTheme="majorBidi"/>
          <w:b/>
          <w:bCs/>
          <w:color w:val="000000" w:themeColor="text1"/>
          <w:sz w:val="24"/>
          <w:szCs w:val="24"/>
        </w:rPr>
        <w:t>.0. Introduction</w:t>
      </w:r>
      <w:bookmarkEnd w:id="25"/>
      <w:r w:rsidR="00717132" w:rsidRPr="00597FFB">
        <w:rPr>
          <w:rFonts w:asciiTheme="majorBidi" w:hAnsiTheme="majorBidi"/>
          <w:b/>
          <w:bCs/>
          <w:color w:val="000000" w:themeColor="text1"/>
          <w:sz w:val="24"/>
          <w:szCs w:val="24"/>
        </w:rPr>
        <w:t>.</w:t>
      </w:r>
      <w:bookmarkEnd w:id="26"/>
    </w:p>
    <w:p w14:paraId="47698499" w14:textId="77777777" w:rsidR="00115952" w:rsidRPr="00597FFB" w:rsidRDefault="00115952" w:rsidP="00115952"/>
    <w:p w14:paraId="530AB0E7" w14:textId="0CA30819" w:rsidR="00115952" w:rsidRPr="00597FFB" w:rsidRDefault="00115952" w:rsidP="00FB3115">
      <w:pPr>
        <w:spacing w:before="26" w:after="26" w:line="480" w:lineRule="auto"/>
        <w:ind w:firstLine="360"/>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 xml:space="preserve">This chapter starts with the study's background, </w:t>
      </w:r>
      <w:r w:rsidR="00FA0217" w:rsidRPr="00597FFB">
        <w:rPr>
          <w:rFonts w:ascii="Times New Roman" w:eastAsia="Times New Roman" w:hAnsi="Times New Roman" w:cs="Times New Roman"/>
          <w:bCs/>
          <w:sz w:val="24"/>
          <w:szCs w:val="24"/>
        </w:rPr>
        <w:t>before providing</w:t>
      </w:r>
      <w:r w:rsidRPr="00597FFB">
        <w:rPr>
          <w:rFonts w:ascii="Times New Roman" w:eastAsia="Times New Roman" w:hAnsi="Times New Roman" w:cs="Times New Roman"/>
          <w:bCs/>
          <w:sz w:val="24"/>
          <w:szCs w:val="24"/>
        </w:rPr>
        <w:t xml:space="preserve"> an </w:t>
      </w:r>
      <w:r w:rsidR="00FA0217" w:rsidRPr="00597FFB">
        <w:rPr>
          <w:rFonts w:ascii="Times New Roman" w:eastAsia="Times New Roman" w:hAnsi="Times New Roman" w:cs="Times New Roman"/>
          <w:bCs/>
          <w:sz w:val="24"/>
          <w:szCs w:val="24"/>
        </w:rPr>
        <w:t>account</w:t>
      </w:r>
      <w:r w:rsidRPr="00597FFB">
        <w:rPr>
          <w:rFonts w:ascii="Times New Roman" w:eastAsia="Times New Roman" w:hAnsi="Times New Roman" w:cs="Times New Roman"/>
          <w:bCs/>
          <w:sz w:val="24"/>
          <w:szCs w:val="24"/>
        </w:rPr>
        <w:t xml:space="preserve"> of E-waste concerns, disposal practices globally, and E-waste management initiatives, especially in the United Arab Emirates. The problem statement, which </w:t>
      </w:r>
      <w:r w:rsidR="00FA0217" w:rsidRPr="00597FFB">
        <w:rPr>
          <w:rFonts w:ascii="Times New Roman" w:eastAsia="Times New Roman" w:hAnsi="Times New Roman" w:cs="Times New Roman"/>
          <w:bCs/>
          <w:sz w:val="24"/>
          <w:szCs w:val="24"/>
        </w:rPr>
        <w:t>also covers</w:t>
      </w:r>
      <w:r w:rsidRPr="00597FFB">
        <w:rPr>
          <w:rFonts w:ascii="Times New Roman" w:eastAsia="Times New Roman" w:hAnsi="Times New Roman" w:cs="Times New Roman"/>
          <w:bCs/>
          <w:sz w:val="24"/>
          <w:szCs w:val="24"/>
        </w:rPr>
        <w:t xml:space="preserve"> the research problem, the research scope, and its focus</w:t>
      </w:r>
      <w:r w:rsidR="00FA0217" w:rsidRPr="00597FFB">
        <w:rPr>
          <w:rFonts w:ascii="Times New Roman" w:eastAsia="Times New Roman" w:hAnsi="Times New Roman" w:cs="Times New Roman"/>
          <w:bCs/>
          <w:sz w:val="24"/>
          <w:szCs w:val="24"/>
        </w:rPr>
        <w:t xml:space="preserve"> follows thereafter</w:t>
      </w:r>
      <w:r w:rsidRPr="00597FFB">
        <w:rPr>
          <w:rFonts w:ascii="Times New Roman" w:eastAsia="Times New Roman" w:hAnsi="Times New Roman" w:cs="Times New Roman"/>
          <w:bCs/>
          <w:sz w:val="24"/>
          <w:szCs w:val="24"/>
        </w:rPr>
        <w:t xml:space="preserve">. </w:t>
      </w:r>
      <w:r w:rsidR="00FA0217" w:rsidRPr="00597FFB">
        <w:rPr>
          <w:rFonts w:ascii="Times New Roman" w:eastAsia="Times New Roman" w:hAnsi="Times New Roman" w:cs="Times New Roman"/>
          <w:bCs/>
          <w:sz w:val="24"/>
          <w:szCs w:val="24"/>
        </w:rPr>
        <w:t>T</w:t>
      </w:r>
      <w:r w:rsidRPr="00597FFB">
        <w:rPr>
          <w:rFonts w:ascii="Times New Roman" w:eastAsia="Times New Roman" w:hAnsi="Times New Roman" w:cs="Times New Roman"/>
          <w:bCs/>
          <w:sz w:val="24"/>
          <w:szCs w:val="24"/>
        </w:rPr>
        <w:t xml:space="preserve">he research questions, </w:t>
      </w:r>
      <w:r w:rsidR="00FA0217" w:rsidRPr="00597FFB">
        <w:rPr>
          <w:rFonts w:ascii="Times New Roman" w:eastAsia="Times New Roman" w:hAnsi="Times New Roman" w:cs="Times New Roman"/>
          <w:bCs/>
          <w:sz w:val="24"/>
          <w:szCs w:val="24"/>
        </w:rPr>
        <w:t xml:space="preserve">study </w:t>
      </w:r>
      <w:r w:rsidRPr="00597FFB">
        <w:rPr>
          <w:rFonts w:ascii="Times New Roman" w:eastAsia="Times New Roman" w:hAnsi="Times New Roman" w:cs="Times New Roman"/>
          <w:bCs/>
          <w:sz w:val="24"/>
          <w:szCs w:val="24"/>
        </w:rPr>
        <w:t xml:space="preserve">objectives, and </w:t>
      </w:r>
      <w:r w:rsidR="00FA0217" w:rsidRPr="00597FFB">
        <w:rPr>
          <w:rFonts w:ascii="Times New Roman" w:eastAsia="Times New Roman" w:hAnsi="Times New Roman" w:cs="Times New Roman"/>
          <w:bCs/>
          <w:sz w:val="24"/>
          <w:szCs w:val="24"/>
        </w:rPr>
        <w:t xml:space="preserve">its </w:t>
      </w:r>
      <w:r w:rsidRPr="00597FFB">
        <w:rPr>
          <w:rFonts w:ascii="Times New Roman" w:eastAsia="Times New Roman" w:hAnsi="Times New Roman" w:cs="Times New Roman"/>
          <w:bCs/>
          <w:sz w:val="24"/>
          <w:szCs w:val="24"/>
        </w:rPr>
        <w:t xml:space="preserve">significance </w:t>
      </w:r>
      <w:r w:rsidR="00FA0217" w:rsidRPr="00597FFB">
        <w:rPr>
          <w:rFonts w:ascii="Times New Roman" w:eastAsia="Times New Roman" w:hAnsi="Times New Roman" w:cs="Times New Roman"/>
          <w:bCs/>
          <w:sz w:val="24"/>
          <w:szCs w:val="24"/>
        </w:rPr>
        <w:t>are then disclosed</w:t>
      </w:r>
      <w:r w:rsidRPr="00597FFB">
        <w:rPr>
          <w:rFonts w:ascii="Times New Roman" w:eastAsia="Times New Roman" w:hAnsi="Times New Roman" w:cs="Times New Roman"/>
          <w:bCs/>
          <w:sz w:val="24"/>
          <w:szCs w:val="24"/>
        </w:rPr>
        <w:t>. The</w:t>
      </w:r>
      <w:r w:rsidR="00FA0217" w:rsidRPr="00597FFB">
        <w:rPr>
          <w:rFonts w:ascii="Times New Roman" w:eastAsia="Times New Roman" w:hAnsi="Times New Roman" w:cs="Times New Roman"/>
          <w:bCs/>
          <w:sz w:val="24"/>
          <w:szCs w:val="24"/>
        </w:rPr>
        <w:t xml:space="preserve"> last</w:t>
      </w:r>
      <w:r w:rsidRPr="00597FFB">
        <w:rPr>
          <w:rFonts w:ascii="Times New Roman" w:eastAsia="Times New Roman" w:hAnsi="Times New Roman" w:cs="Times New Roman"/>
          <w:bCs/>
          <w:sz w:val="24"/>
          <w:szCs w:val="24"/>
        </w:rPr>
        <w:t xml:space="preserve"> chapter </w:t>
      </w:r>
      <w:r w:rsidR="00FA0217" w:rsidRPr="00597FFB">
        <w:rPr>
          <w:rFonts w:ascii="Times New Roman" w:eastAsia="Times New Roman" w:hAnsi="Times New Roman" w:cs="Times New Roman"/>
          <w:bCs/>
          <w:sz w:val="24"/>
          <w:szCs w:val="24"/>
        </w:rPr>
        <w:t>section gives</w:t>
      </w:r>
      <w:r w:rsidRPr="00597FFB">
        <w:rPr>
          <w:rFonts w:ascii="Times New Roman" w:eastAsia="Times New Roman" w:hAnsi="Times New Roman" w:cs="Times New Roman"/>
          <w:bCs/>
          <w:sz w:val="24"/>
          <w:szCs w:val="24"/>
        </w:rPr>
        <w:t xml:space="preserve"> the overall </w:t>
      </w:r>
      <w:r w:rsidR="00FA0217" w:rsidRPr="00597FFB">
        <w:rPr>
          <w:rFonts w:ascii="Times New Roman" w:eastAsia="Times New Roman" w:hAnsi="Times New Roman" w:cs="Times New Roman"/>
          <w:bCs/>
          <w:sz w:val="24"/>
          <w:szCs w:val="24"/>
        </w:rPr>
        <w:t xml:space="preserve">research </w:t>
      </w:r>
      <w:r w:rsidRPr="00597FFB">
        <w:rPr>
          <w:rFonts w:ascii="Times New Roman" w:eastAsia="Times New Roman" w:hAnsi="Times New Roman" w:cs="Times New Roman"/>
          <w:bCs/>
          <w:sz w:val="24"/>
          <w:szCs w:val="24"/>
        </w:rPr>
        <w:t xml:space="preserve">structure and the organization of the </w:t>
      </w:r>
      <w:r w:rsidR="00FA0217" w:rsidRPr="00597FFB">
        <w:rPr>
          <w:rFonts w:ascii="Times New Roman" w:eastAsia="Times New Roman" w:hAnsi="Times New Roman" w:cs="Times New Roman"/>
          <w:bCs/>
          <w:sz w:val="24"/>
          <w:szCs w:val="24"/>
        </w:rPr>
        <w:t>subsequent</w:t>
      </w:r>
      <w:r w:rsidRPr="00597FFB">
        <w:rPr>
          <w:rFonts w:ascii="Times New Roman" w:eastAsia="Times New Roman" w:hAnsi="Times New Roman" w:cs="Times New Roman"/>
          <w:bCs/>
          <w:sz w:val="24"/>
          <w:szCs w:val="24"/>
        </w:rPr>
        <w:t xml:space="preserve"> chapters.</w:t>
      </w:r>
    </w:p>
    <w:p w14:paraId="4BD4A7DB" w14:textId="029D4809" w:rsidR="00703A7E" w:rsidRPr="00597FFB" w:rsidRDefault="00703A7E" w:rsidP="00703A7E">
      <w:pPr>
        <w:pStyle w:val="Heading2"/>
        <w:rPr>
          <w:rStyle w:val="Heading2Char"/>
          <w:rFonts w:asciiTheme="majorBidi" w:hAnsiTheme="majorBidi"/>
          <w:b/>
          <w:bCs/>
          <w:color w:val="000000" w:themeColor="text1"/>
          <w:sz w:val="24"/>
          <w:szCs w:val="24"/>
        </w:rPr>
      </w:pPr>
      <w:bookmarkStart w:id="27" w:name="_Toc127170252"/>
      <w:r w:rsidRPr="00597FFB">
        <w:rPr>
          <w:rFonts w:ascii="Times New Roman" w:hAnsi="Times New Roman" w:cs="Times New Roman"/>
          <w:b/>
          <w:bCs/>
          <w:color w:val="000000" w:themeColor="text1"/>
          <w:sz w:val="24"/>
          <w:szCs w:val="24"/>
        </w:rPr>
        <w:t>1.</w:t>
      </w:r>
      <w:r w:rsidR="005C4BF7" w:rsidRPr="00597FFB">
        <w:rPr>
          <w:rFonts w:ascii="Times New Roman" w:hAnsi="Times New Roman" w:cs="Times New Roman"/>
          <w:b/>
          <w:bCs/>
          <w:color w:val="000000" w:themeColor="text1"/>
          <w:sz w:val="24"/>
          <w:szCs w:val="24"/>
        </w:rPr>
        <w:t>1</w:t>
      </w:r>
      <w:bookmarkEnd w:id="22"/>
      <w:r w:rsidR="00B34DDE" w:rsidRPr="00597FFB">
        <w:rPr>
          <w:rFonts w:ascii="Times New Roman" w:hAnsi="Times New Roman" w:cs="Times New Roman"/>
          <w:b/>
          <w:bCs/>
          <w:color w:val="000000" w:themeColor="text1"/>
          <w:sz w:val="24"/>
          <w:szCs w:val="24"/>
        </w:rPr>
        <w:t xml:space="preserve"> </w:t>
      </w:r>
      <w:r w:rsidR="00B34DDE" w:rsidRPr="00597FFB">
        <w:rPr>
          <w:rStyle w:val="Heading2Char"/>
          <w:rFonts w:asciiTheme="majorBidi" w:hAnsiTheme="majorBidi"/>
          <w:b/>
          <w:bCs/>
          <w:color w:val="000000" w:themeColor="text1"/>
          <w:sz w:val="24"/>
          <w:szCs w:val="24"/>
        </w:rPr>
        <w:t xml:space="preserve">Background </w:t>
      </w:r>
      <w:r w:rsidR="00F6104F" w:rsidRPr="00597FFB">
        <w:rPr>
          <w:rStyle w:val="Heading2Char"/>
          <w:rFonts w:asciiTheme="majorBidi" w:hAnsiTheme="majorBidi"/>
          <w:b/>
          <w:bCs/>
          <w:color w:val="000000" w:themeColor="text1"/>
          <w:sz w:val="24"/>
          <w:szCs w:val="24"/>
        </w:rPr>
        <w:t>a</w:t>
      </w:r>
      <w:r w:rsidR="00B34DDE" w:rsidRPr="00597FFB">
        <w:rPr>
          <w:rStyle w:val="Heading2Char"/>
          <w:rFonts w:asciiTheme="majorBidi" w:hAnsiTheme="majorBidi"/>
          <w:b/>
          <w:bCs/>
          <w:color w:val="000000" w:themeColor="text1"/>
          <w:sz w:val="24"/>
          <w:szCs w:val="24"/>
        </w:rPr>
        <w:t>nd Problem Definition</w:t>
      </w:r>
      <w:r w:rsidR="00717132" w:rsidRPr="00597FFB">
        <w:rPr>
          <w:rStyle w:val="Heading2Char"/>
          <w:rFonts w:asciiTheme="majorBidi" w:hAnsiTheme="majorBidi"/>
          <w:b/>
          <w:bCs/>
          <w:color w:val="000000" w:themeColor="text1"/>
          <w:sz w:val="24"/>
          <w:szCs w:val="24"/>
        </w:rPr>
        <w:t>.</w:t>
      </w:r>
      <w:bookmarkEnd w:id="27"/>
    </w:p>
    <w:p w14:paraId="3838629D" w14:textId="77777777" w:rsidR="00703A7E" w:rsidRPr="00597FFB" w:rsidRDefault="00703A7E" w:rsidP="00703A7E"/>
    <w:p w14:paraId="4DD71693" w14:textId="001BA9DA" w:rsidR="009D4FB4" w:rsidRPr="00597FFB" w:rsidRDefault="009D4FB4" w:rsidP="009D4FB4">
      <w:pPr>
        <w:spacing w:after="0" w:line="480" w:lineRule="auto"/>
        <w:ind w:left="90" w:firstLine="630"/>
        <w:jc w:val="both"/>
        <w:rPr>
          <w:rFonts w:ascii="Times New Roman" w:eastAsia="Calibri" w:hAnsi="Times New Roman" w:cs="Times New Roman"/>
          <w:sz w:val="24"/>
          <w:szCs w:val="24"/>
        </w:rPr>
      </w:pPr>
      <w:r w:rsidRPr="00597FFB">
        <w:rPr>
          <w:rFonts w:ascii="Times New Roman" w:eastAsia="Calibri" w:hAnsi="Times New Roman" w:cs="Times New Roman"/>
          <w:color w:val="000000"/>
          <w:sz w:val="24"/>
          <w:szCs w:val="24"/>
        </w:rPr>
        <w:t xml:space="preserve">The industrial revolution decades ago and recent technological development have created an enormous number of electrical (such as dishwashers, refrigerators, and microwaves) and electronics (such as computers, speakers, and TVs) products which make human life more comfortable. Continuous advancement in technology shortened the lifetime of products, and consumers are, therefore, </w:t>
      </w:r>
      <w:r w:rsidRPr="00597FFB">
        <w:rPr>
          <w:rFonts w:ascii="Times New Roman" w:eastAsia="Calibri" w:hAnsi="Times New Roman" w:cs="Times New Roman"/>
          <w:sz w:val="24"/>
          <w:szCs w:val="24"/>
        </w:rPr>
        <w:t xml:space="preserve">willing to replace older products with newly introduced versions </w:t>
      </w:r>
      <w:r w:rsidR="00A27977" w:rsidRPr="00597FFB">
        <w:rPr>
          <w:rFonts w:ascii="Times New Roman" w:eastAsia="Calibri" w:hAnsi="Times New Roman" w:cs="Times New Roman"/>
          <w:sz w:val="24"/>
          <w:szCs w:val="24"/>
        </w:rPr>
        <w:fldChar w:fldCharType="begin"/>
      </w:r>
      <w:r w:rsidR="00EE7742" w:rsidRPr="00597FFB">
        <w:rPr>
          <w:rFonts w:ascii="Times New Roman" w:eastAsia="Calibri" w:hAnsi="Times New Roman" w:cs="Times New Roman"/>
          <w:sz w:val="24"/>
          <w:szCs w:val="24"/>
        </w:rPr>
        <w:instrText xml:space="preserve"> ADDIN ZOTERO_ITEM CSL_CITATION {"citationID":"aore2ul2rg","properties":{"formattedCitation":"(Alam, 2020)","plainCitation":"(Alam, 2020)","noteIndex":0},"citationItems":[{"id":4466,"uris":["http://zotero.org/users/local/b6CRLSJH/items/P44HZHVF"],"itemData":{"id":4466,"type":"article-journal","abstract":"Purpose\n              The study aims to explore the case study method with the formation of questions, data collection procedures and analysis, followed by how and on which position the saturation is achieved in developing a centralized Shariah governance framework for Islamic banks in Bangladesh.\n            \n            \n              Design/methodology/approach\n              Using purposive and snowball sampling procedures, data have been collected from 17 respondents who are working in the central bank and Islamic banks of Bangladesh through face-to-face and semi-structured interviews.\n            \n            \n              Findings\n              The study claims that researchers can form the research questions by using “what” question mark in qualitative research. Besides, the qualitative research and case study could explore the answers of “what” questions along with the “why” and “how” more broadly, descriptively and extensively about a phenomenon. Similarly, saturation can be considered attaining the ultimate point of data collection by the researchers without adding anything in the databank. Overall, this study proposes three stages of saturation: First, information redundancy. Second, referring the respondents (already considered in the study) without knowing anything about the data collection and their responses. Third, through the NVivo open coding process due to the decrease of reference or quotes in a certain position or in the saturation position as a result of fewer outcomes or insufficient information. The saturation is thus achieved in the diversified positions, i.e. three respondents for regulatory, nine for Shariah scholars and officers and five for the experts concerning the responses and respondents.\n            \n            \n              Research limitations/implications\n              The study has potential implications on the qualitative research method, including the case study, saturation process and points, NVivo analysis and qualitative questions formation.\n            \n            \n              Originality/value\n              This research defines a case study with the inclusion of “what” and illustrates the saturation process in diverse positions. The qualitative research questions can also be formed with “what” in addition “why” and “how”.","container-title":"Qualitative Research in Organizations and Management: An International Journal","DOI":"10.1108/QROM-09-2019-1825","ISSN":"1746-5648","issue":"1","journalAbbreviation":"QROM","language":"en","page":"1-31","source":"DOI.org (Crossref)","title":"A systematic qualitative case study: questions, data collection, NVivo analysis and saturation","title-short":"A systematic qualitative case study","volume":"16","author":[{"family":"Alam","given":"Md. Kausar"}],"issued":{"date-parts":[["2020",8,20]]}}}],"schema":"https://github.com/citation-style-language/schema/raw/master/csl-citation.json"} </w:instrText>
      </w:r>
      <w:r w:rsidR="00A27977" w:rsidRPr="00597FFB">
        <w:rPr>
          <w:rFonts w:ascii="Times New Roman" w:eastAsia="Calibri" w:hAnsi="Times New Roman" w:cs="Times New Roman"/>
          <w:sz w:val="24"/>
          <w:szCs w:val="24"/>
        </w:rPr>
        <w:fldChar w:fldCharType="separate"/>
      </w:r>
      <w:r w:rsidR="00EE7742" w:rsidRPr="00597FFB">
        <w:rPr>
          <w:rFonts w:ascii="Times New Roman" w:hAnsi="Times New Roman" w:cs="Times New Roman"/>
          <w:sz w:val="24"/>
          <w:szCs w:val="24"/>
        </w:rPr>
        <w:t>(Alam, 2020)</w:t>
      </w:r>
      <w:r w:rsidR="00A27977" w:rsidRPr="00597FFB">
        <w:rPr>
          <w:rFonts w:ascii="Times New Roman" w:eastAsia="Calibri" w:hAnsi="Times New Roman" w:cs="Times New Roman"/>
          <w:sz w:val="24"/>
          <w:szCs w:val="24"/>
        </w:rPr>
        <w:fldChar w:fldCharType="end"/>
      </w:r>
      <w:r w:rsidR="00A27977"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 xml:space="preserve">Producing, distributing, and consuming electrical and electronic equipment (EEE) is strongly related to developing the global economic and communication system. Globally, the use of these electronic gadgets is increasing enormously every day; due to the fast advancement of innovation, manufacturers produce new and various smart cell phones and gadgets at an increasing rate </w:t>
      </w:r>
      <w:r w:rsidR="0002538C" w:rsidRPr="00597FFB">
        <w:rPr>
          <w:rFonts w:ascii="Times New Roman" w:eastAsia="Calibri" w:hAnsi="Times New Roman" w:cs="Times New Roman"/>
          <w:color w:val="000000"/>
          <w:sz w:val="24"/>
          <w:szCs w:val="24"/>
        </w:rPr>
        <w:fldChar w:fldCharType="begin"/>
      </w:r>
      <w:r w:rsidR="0002538C" w:rsidRPr="00597FFB">
        <w:rPr>
          <w:rFonts w:ascii="Times New Roman" w:eastAsia="Calibri" w:hAnsi="Times New Roman" w:cs="Times New Roman"/>
          <w:color w:val="000000"/>
          <w:sz w:val="24"/>
          <w:szCs w:val="24"/>
        </w:rPr>
        <w:instrText xml:space="preserve"> ADDIN ZOTERO_ITEM CSL_CITATION {"citationID":"a1jmu9kluq1","properties":{"formattedCitation":"(Abdelbasir et al., 2018a)","plainCitation":"(Abdelbasir et al., 2018a)","noteIndex":0},"citationItems":[{"id":3892,"uris":["http://zotero.org/users/local/b6CRLSJH/items/Y6LQJUEN"],"itemData":{"id":3892,"type":"article-journal","abstract":"The increasing use of electrical and electronic equipment leads to a huge generation of electronic waste (e-waste). It is the fastest growing waste stream in the world. Almost all electrical and electronic equipment contain printed circuit boards as an essential part. Improper handling of these electronic wastes could bring serious risk to human health and the environment. On the other hand, proper handling of this waste requires a sound management strategy for awareness, collection, recycling, and reuse. Nowadays, the effective recycling of this type of waste has been considered as a main challenge for any society. Printed circuit boards (PCBs), which are the base of many electronic industries, are rich in valuable heavy metals and toxic halogenated organic substances. In this review, the composition of different PCBs and their harmful effects are discussed. Various techniques in common use for recycling the most important metals from the metallic fractions of e-waste are illustrated. The recovery of metals from e-waste material after physical separation through pyrometallurgical, hydrometallurgical, or biohydrometallurgical routes is also discussed, along with alternative uses of non-metallic fraction. The data are explained and compared with the current e-waste management efforts done in Egypt. Future perspectives and challenges facing Egypt for proper e-waste recycling are also discussed.","container-title":"Environmental Science and Pollution Research","DOI":"10.1007/s11356-018-2136-6","ISSN":"0944-1344, 1614-7499","issue":"17","journalAbbreviation":"Environ Sci Pollut Res","language":"en","note":"number: 17","page":"16533-16547","source":"DOI.org (Crossref)","title":"Status of electronic waste recycling techniques: a review","title-short":"Status of electronic waste recycling techniques","volume":"25","author":[{"family":"Abdelbasir","given":"Sabah M."},{"family":"Hassan","given":"Saad S. M."},{"family":"Kamel","given":"Ayman H."},{"family":"El-Nasr","given":"Rania Seif"}],"issued":{"date-parts":[["2018",6]]}}}],"schema":"https://github.com/citation-style-language/schema/raw/master/csl-citation.json"} </w:instrText>
      </w:r>
      <w:r w:rsidR="0002538C" w:rsidRPr="00597FFB">
        <w:rPr>
          <w:rFonts w:ascii="Times New Roman" w:eastAsia="Calibri" w:hAnsi="Times New Roman" w:cs="Times New Roman"/>
          <w:color w:val="000000"/>
          <w:sz w:val="24"/>
          <w:szCs w:val="24"/>
        </w:rPr>
        <w:fldChar w:fldCharType="separate"/>
      </w:r>
      <w:r w:rsidR="0002538C" w:rsidRPr="00597FFB">
        <w:rPr>
          <w:rFonts w:ascii="Times New Roman" w:hAnsi="Times New Roman" w:cs="Times New Roman"/>
          <w:sz w:val="24"/>
          <w:szCs w:val="24"/>
        </w:rPr>
        <w:t>(Abdelbasir et al., 2018a)</w:t>
      </w:r>
      <w:r w:rsidR="0002538C" w:rsidRPr="00597FFB">
        <w:rPr>
          <w:rFonts w:ascii="Times New Roman" w:eastAsia="Calibri" w:hAnsi="Times New Roman" w:cs="Times New Roman"/>
          <w:color w:val="000000"/>
          <w:sz w:val="24"/>
          <w:szCs w:val="24"/>
        </w:rPr>
        <w:fldChar w:fldCharType="end"/>
      </w:r>
      <w:r w:rsidR="0002538C"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Growing markets in developing countries, new devices, and the rising inclusion of electronics into existing products (e.g., refrigerator, TV LCDs) </w:t>
      </w:r>
      <w:r w:rsidRPr="00597FFB">
        <w:rPr>
          <w:rFonts w:ascii="Times New Roman" w:eastAsia="Calibri" w:hAnsi="Times New Roman" w:cs="Times New Roman"/>
          <w:sz w:val="24"/>
          <w:szCs w:val="24"/>
        </w:rPr>
        <w:t xml:space="preserve">is the other reason for the rapid growth in the number of electronic products consumed each year. </w:t>
      </w:r>
      <w:r w:rsidRPr="00597FFB">
        <w:rPr>
          <w:rFonts w:ascii="Times New Roman" w:eastAsia="Calibri" w:hAnsi="Times New Roman" w:cs="Times New Roman"/>
          <w:color w:val="000000"/>
          <w:sz w:val="24"/>
          <w:szCs w:val="24"/>
        </w:rPr>
        <w:t>EEE has become the backbone of modern human society. They are considered a symbol of a modern lifestyle, comfort, e</w:t>
      </w:r>
      <w:r w:rsidRPr="00597FFB">
        <w:rPr>
          <w:rFonts w:ascii="Cambria Math" w:eastAsia="Calibri" w:hAnsi="Cambria Math" w:cs="Cambria Math"/>
          <w:color w:val="000000"/>
          <w:sz w:val="24"/>
          <w:szCs w:val="24"/>
        </w:rPr>
        <w:t>ﬃ</w:t>
      </w:r>
      <w:r w:rsidRPr="00597FFB">
        <w:rPr>
          <w:rFonts w:ascii="Times New Roman" w:eastAsia="Calibri" w:hAnsi="Times New Roman" w:cs="Times New Roman"/>
          <w:color w:val="000000"/>
          <w:sz w:val="24"/>
          <w:szCs w:val="24"/>
        </w:rPr>
        <w:t xml:space="preserve">ciency, and even prosperity in developing countries </w:t>
      </w:r>
      <w:r w:rsidR="00C64FD2" w:rsidRPr="00597FFB">
        <w:rPr>
          <w:rFonts w:ascii="Times New Roman" w:eastAsia="Calibri" w:hAnsi="Times New Roman" w:cs="Times New Roman"/>
          <w:color w:val="000000"/>
          <w:sz w:val="24"/>
          <w:szCs w:val="24"/>
        </w:rPr>
        <w:fldChar w:fldCharType="begin"/>
      </w:r>
      <w:r w:rsidR="00A27977" w:rsidRPr="00597FFB">
        <w:rPr>
          <w:rFonts w:ascii="Times New Roman" w:eastAsia="Calibri" w:hAnsi="Times New Roman" w:cs="Times New Roman"/>
          <w:color w:val="000000"/>
          <w:sz w:val="24"/>
          <w:szCs w:val="24"/>
        </w:rPr>
        <w:instrText xml:space="preserve"> ADDIN ZOTERO_ITEM CSL_CITATION {"citationID":"a10274m1khp","properties":{"formattedCitation":"(Sharma et al., 2020a)","plainCitation":"(Sharma et al., 2020a)","noteIndex":0},"citationItems":[{"id":3984,"uris":["http://zotero.org/users/local/b6CRLSJH/items/LJWL5A8U"],"itemData":{"id":3984,"type":"article-journal","abstract":"With increasing population, excessive use of electrical and electronic products and extreme demand of resources have compelled the linear economy to transform into Circular Economy (CE). In the current scenario, e-waste management has become the top priority of all the developed and developing nations especially those in the transition phase. The generation of e-waste has increased proportionally across the world and created an intense pressure on the firms to implement sustainable practices to redesign and recycle the products. The current status of the developing countries like India confronts number of challenges to manage e-waste produced, and the only possible solution is to minimize the waste generation and practicing recycling processes. For transforming into CEs, there is a need to identify the most influencing key enablers through which an effective and robust ewaste management (e-WM) system can be developed. An extensive literature review and expert judgments are expended to identify the most influencing key enablers of e-WM in circular economies, and, being the highest producer of e-waste, Mumbai (Maharashtra) has been chosen as the case location. To explore the strength of causal and effect enablers, the DEMATEL method is applied. This study has shown that ‘Environmental management system’ (EMS) is the most significant and important driving enabler to influence all the other existing enablers. This study has also highlighted that e-WM can be efficient if it focuses on producing eco-friendly products, developing strict legislations, building green image and supporting the producers to implement CE practices. This study helps stakeholders and policy makers to reduce the burden from the environment and focus on developing an efficient e-WM system on the basis of identified key enablers like EMS and collaboration with environmental partners to contribute towards CE transition.","container-title":"Environmental Science and Pollution Research","DOI":"10.1007/s11356-020-07765-w","ISSN":"0944-1344, 1614-7499","issue":"12","journalAbbreviation":"Environ Sci Pollut Res","language":"en","note":"number: 12","page":"13325-13338","source":"DOI.org (Crossref)","title":"Assessing enablers of e-waste management in circular economy using DEMATEL method: An Indian perspective","title-short":"Assessing enablers of e-waste management in circular economy using DEMATEL method","volume":"27","author":[{"family":"Sharma","given":"Manu"},{"family":"Joshi","given":"Sudhanshu"},{"family":"Kumar","given":"Ashwani"}],"issued":{"date-parts":[["2020",4]]}}}],"schema":"https://github.com/citation-style-language/schema/raw/master/csl-citation.json"} </w:instrText>
      </w:r>
      <w:r w:rsidR="00C64FD2" w:rsidRPr="00597FFB">
        <w:rPr>
          <w:rFonts w:ascii="Times New Roman" w:eastAsia="Calibri" w:hAnsi="Times New Roman" w:cs="Times New Roman"/>
          <w:color w:val="000000"/>
          <w:sz w:val="24"/>
          <w:szCs w:val="24"/>
        </w:rPr>
        <w:fldChar w:fldCharType="separate"/>
      </w:r>
      <w:r w:rsidR="00A27977" w:rsidRPr="00597FFB">
        <w:rPr>
          <w:rFonts w:ascii="Times New Roman" w:hAnsi="Times New Roman" w:cs="Times New Roman"/>
          <w:sz w:val="24"/>
          <w:szCs w:val="24"/>
        </w:rPr>
        <w:t>(Sharma et al., 2020a)</w:t>
      </w:r>
      <w:r w:rsidR="00C64FD2" w:rsidRPr="00597FFB">
        <w:rPr>
          <w:rFonts w:ascii="Times New Roman" w:eastAsia="Calibri" w:hAnsi="Times New Roman" w:cs="Times New Roman"/>
          <w:color w:val="000000"/>
          <w:sz w:val="24"/>
          <w:szCs w:val="24"/>
        </w:rPr>
        <w:fldChar w:fldCharType="end"/>
      </w:r>
      <w:r w:rsidR="00C64FD2" w:rsidRPr="00597FFB">
        <w:rPr>
          <w:rFonts w:ascii="Times New Roman" w:eastAsia="Calibri" w:hAnsi="Times New Roman" w:cs="Times New Roman"/>
          <w:color w:val="000000"/>
          <w:sz w:val="24"/>
          <w:szCs w:val="24"/>
        </w:rPr>
        <w:t>.</w:t>
      </w:r>
    </w:p>
    <w:p w14:paraId="4F89EF20" w14:textId="00E4FA71" w:rsidR="009D4FB4" w:rsidRPr="00597FFB" w:rsidRDefault="009D4FB4" w:rsidP="00D71ACA">
      <w:pPr>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The unintended and uncontrolled use of these</w:t>
      </w:r>
      <w:r w:rsidRPr="00597FFB">
        <w:rPr>
          <w:rFonts w:ascii="Times New Roman" w:eastAsia="Calibri" w:hAnsi="Times New Roman" w:cs="Times New Roman"/>
          <w:color w:val="FF0000"/>
          <w:sz w:val="24"/>
          <w:szCs w:val="24"/>
        </w:rPr>
        <w:t xml:space="preserve"> </w:t>
      </w:r>
      <w:r w:rsidRPr="00597FFB">
        <w:rPr>
          <w:rFonts w:ascii="Times New Roman" w:eastAsia="Calibri" w:hAnsi="Times New Roman" w:cs="Times New Roman"/>
          <w:color w:val="000000"/>
          <w:sz w:val="24"/>
          <w:szCs w:val="24"/>
        </w:rPr>
        <w:t>gadgets</w:t>
      </w:r>
      <w:r w:rsidRPr="00597FFB">
        <w:rPr>
          <w:rFonts w:ascii="Times New Roman" w:eastAsia="Calibri" w:hAnsi="Times New Roman" w:cs="Times New Roman"/>
          <w:color w:val="FF0000"/>
          <w:sz w:val="24"/>
          <w:szCs w:val="24"/>
        </w:rPr>
        <w:t xml:space="preserve"> </w:t>
      </w:r>
      <w:r w:rsidRPr="00597FFB">
        <w:rPr>
          <w:rFonts w:ascii="Times New Roman" w:eastAsia="Calibri" w:hAnsi="Times New Roman" w:cs="Times New Roman"/>
          <w:color w:val="000000"/>
          <w:sz w:val="24"/>
          <w:szCs w:val="24"/>
        </w:rPr>
        <w:t>leads to an enormous electrical and electronic waste (henceforth E-waste). Table 1 shows the estimated lifespan and weight of some EEE</w:t>
      </w:r>
      <w:r w:rsidR="00756AAD" w:rsidRPr="00597FFB">
        <w:rPr>
          <w:rFonts w:ascii="Times New Roman" w:eastAsia="Calibri" w:hAnsi="Times New Roman" w:cs="Times New Roman"/>
          <w:color w:val="000000"/>
          <w:sz w:val="24"/>
          <w:szCs w:val="24"/>
        </w:rPr>
        <w:t xml:space="preserve"> </w:t>
      </w:r>
      <w:bookmarkStart w:id="28" w:name="_Hlk125898151"/>
      <w:r w:rsidR="00D0605E" w:rsidRPr="00597FFB">
        <w:rPr>
          <w:rFonts w:ascii="Times New Roman" w:eastAsia="Calibri" w:hAnsi="Times New Roman" w:cs="Times New Roman"/>
          <w:color w:val="000000"/>
          <w:sz w:val="24"/>
          <w:szCs w:val="24"/>
        </w:rPr>
        <w:fldChar w:fldCharType="begin"/>
      </w:r>
      <w:r w:rsidR="00E278E6" w:rsidRPr="00597FFB">
        <w:rPr>
          <w:rFonts w:ascii="Times New Roman" w:eastAsia="Calibri" w:hAnsi="Times New Roman" w:cs="Times New Roman"/>
          <w:color w:val="000000"/>
          <w:sz w:val="24"/>
          <w:szCs w:val="24"/>
        </w:rPr>
        <w:instrText xml:space="preserve"> ADDIN ZOTERO_ITEM CSL_CITATION {"citationID":"ar17g1am0v","properties":{"formattedCitation":"(Kosai et al., 2020)","plainCitation":"(Kosai et al., 2020)","noteIndex":0},"citationItems":[{"id":4681,"uris":["http://zotero.org/users/local/b6CRLSJH/items/85Y39GDD"],"itemData":{"id":4681,"type":"article-journal","container-title":"Resources, Conservation and Recycling","DOI":"10.1016/j.resconrec.2019.104621","ISSN":"09213449","journalAbbreviation":"Resources, Conservation and Recycling","language":"en","page":"104621","source":"DOI.org (Crossref)","title":"Estimation of the metal flow of WEEE in Vietnam considering lifespan transition","volume":"154","author":[{"family":"Kosai","given":"Shoki"},{"family":"Kishita","given":"Yusuke"},{"family":"Yamasue","given":"Eiji"}],"issued":{"date-parts":[["2020",3]]}}}],"schema":"https://github.com/citation-style-language/schema/raw/master/csl-citation.json"} </w:instrText>
      </w:r>
      <w:r w:rsidR="00D0605E" w:rsidRPr="00597FFB">
        <w:rPr>
          <w:rFonts w:ascii="Times New Roman" w:eastAsia="Calibri" w:hAnsi="Times New Roman" w:cs="Times New Roman"/>
          <w:color w:val="000000"/>
          <w:sz w:val="24"/>
          <w:szCs w:val="24"/>
        </w:rPr>
        <w:fldChar w:fldCharType="separate"/>
      </w:r>
      <w:r w:rsidR="00E278E6" w:rsidRPr="00597FFB">
        <w:rPr>
          <w:rFonts w:ascii="Times New Roman" w:hAnsi="Times New Roman" w:cs="Times New Roman"/>
          <w:sz w:val="24"/>
          <w:szCs w:val="24"/>
        </w:rPr>
        <w:t>(Kosai et al., 2020)</w:t>
      </w:r>
      <w:r w:rsidR="00D0605E"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w:t>
      </w:r>
      <w:bookmarkEnd w:id="28"/>
      <w:r w:rsidRPr="00597FFB">
        <w:rPr>
          <w:rFonts w:ascii="Times New Roman" w:eastAsia="Calibri" w:hAnsi="Times New Roman" w:cs="Times New Roman"/>
          <w:sz w:val="24"/>
          <w:szCs w:val="24"/>
        </w:rPr>
        <w:t xml:space="preserve">Outdated, end-of-life, or rejected electrical or electronic appliances are identified as E-waste. Electrical or electronic tools and equipment with no capacity to fulfill consumers' requirements (disused or broken) are </w:t>
      </w:r>
      <w:r w:rsidRPr="00597FFB">
        <w:rPr>
          <w:rFonts w:ascii="Times New Roman" w:eastAsia="Calibri" w:hAnsi="Times New Roman" w:cs="Times New Roman"/>
          <w:color w:val="000000"/>
          <w:sz w:val="24"/>
          <w:szCs w:val="24"/>
        </w:rPr>
        <w:t xml:space="preserve">also recognized as E-waste </w:t>
      </w:r>
      <w:r w:rsidR="009F67FD" w:rsidRPr="00597FFB">
        <w:rPr>
          <w:rFonts w:ascii="Times New Roman" w:eastAsia="Calibri" w:hAnsi="Times New Roman" w:cs="Times New Roman"/>
          <w:color w:val="000000"/>
          <w:sz w:val="24"/>
          <w:szCs w:val="24"/>
        </w:rPr>
        <w:fldChar w:fldCharType="begin"/>
      </w:r>
      <w:r w:rsidR="00D71ACA" w:rsidRPr="00597FFB">
        <w:rPr>
          <w:rFonts w:ascii="Times New Roman" w:eastAsia="Calibri" w:hAnsi="Times New Roman" w:cs="Times New Roman"/>
          <w:color w:val="000000"/>
          <w:sz w:val="24"/>
          <w:szCs w:val="24"/>
        </w:rPr>
        <w:instrText xml:space="preserve"> ADDIN ZOTERO_ITEM CSL_CITATION {"citationID":"avpn4thbfb","properties":{"formattedCitation":"(Bimir, 2020a)","plainCitation":"(Bimir, 2020a)","noteIndex":0},"citationItems":[{"id":2879,"uris":["http://zotero.org/users/local/b6CRLSJH/items/3VDPWRV6"],"itemData":{"id":2879,"type":"article-journal","abstract":"African countries are among the prime destinations of electronic waste (e-waste) also called Waste of Electrical and Electronic Equipment (WEEE), and have been challenged with the management of its environmental and health impacts. This paper was carried out to understand the e-waste sector and policy responses in selected African countries. Data for the study were generated from sources; such as policy documents, legislations and literature. Findings show that the import of WEEE is on rising in Africa while landfill and incineration continued to be widely used handling approaches. Countries studied lack WEEE specific national policies and stringent policy instruments to enforce proper collection and recycling systems. Despite the start-ups in emerging recycling operations, a major gap is that informal e-waste actors dominate the e-waste chain from collection to material extraction and refurbish activities through rudimentary tools that cannot detect toxic elements. Tackling the problem demands integrated multi-actor interventions with multiple stakeholders to reduce WEEE inflow on one hand, and ramping up safe recycling capacity on the other hand.","container-title":"Journal of the Air &amp; Waste Management Association","DOI":"10.1080/10962247.2020.1769769","ISSN":"1096-2247, 2162-2906","issue":"7","journalAbbreviation":"Journal of the Air &amp; Waste Management Association","language":"en","note":"number: 7","page":"659-669","source":"DOI.org (Crossref)","title":"Revisiting e-waste management practices in selected African countries","volume":"70","author":[{"family":"Bimir","given":"Mathias Nigatu"}],"issued":{"date-parts":[["2020",7,2]]}}}],"schema":"https://github.com/citation-style-language/schema/raw/master/csl-citation.json"} </w:instrText>
      </w:r>
      <w:r w:rsidR="009F67FD" w:rsidRPr="00597FFB">
        <w:rPr>
          <w:rFonts w:ascii="Times New Roman" w:eastAsia="Calibri" w:hAnsi="Times New Roman" w:cs="Times New Roman"/>
          <w:color w:val="000000"/>
          <w:sz w:val="24"/>
          <w:szCs w:val="24"/>
        </w:rPr>
        <w:fldChar w:fldCharType="separate"/>
      </w:r>
      <w:r w:rsidR="00D71ACA" w:rsidRPr="00597FFB">
        <w:rPr>
          <w:rFonts w:ascii="Times New Roman" w:hAnsi="Times New Roman" w:cs="Times New Roman"/>
          <w:sz w:val="24"/>
        </w:rPr>
        <w:t>(Bimir, 2020a)</w:t>
      </w:r>
      <w:r w:rsidR="009F67FD" w:rsidRPr="00597FFB">
        <w:rPr>
          <w:rFonts w:ascii="Times New Roman" w:eastAsia="Calibri" w:hAnsi="Times New Roman" w:cs="Times New Roman"/>
          <w:color w:val="000000"/>
          <w:sz w:val="24"/>
          <w:szCs w:val="24"/>
        </w:rPr>
        <w:fldChar w:fldCharType="end"/>
      </w:r>
      <w:r w:rsidR="009F67FD"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Thus, the fast development of electrical and electronic devices drives E-waste's ever-expanding creation</w:t>
      </w:r>
      <w:r w:rsidRPr="00597FFB">
        <w:rPr>
          <w:rFonts w:ascii="Times New Roman" w:eastAsia="Calibri" w:hAnsi="Times New Roman" w:cs="Times New Roman"/>
          <w:sz w:val="24"/>
          <w:szCs w:val="24"/>
        </w:rPr>
        <w:t xml:space="preserve"> </w:t>
      </w:r>
      <w:bookmarkStart w:id="29" w:name="_Hlk53995607"/>
      <w:r w:rsidR="00A51048" w:rsidRPr="00597FFB">
        <w:rPr>
          <w:rFonts w:ascii="Times New Roman" w:eastAsia="Calibri" w:hAnsi="Times New Roman" w:cs="Times New Roman"/>
          <w:color w:val="000000"/>
          <w:sz w:val="24"/>
          <w:szCs w:val="24"/>
        </w:rPr>
        <w:fldChar w:fldCharType="begin"/>
      </w:r>
      <w:r w:rsidR="00C64FD2" w:rsidRPr="00597FFB">
        <w:rPr>
          <w:rFonts w:ascii="Times New Roman" w:eastAsia="Calibri" w:hAnsi="Times New Roman" w:cs="Times New Roman"/>
          <w:color w:val="000000"/>
          <w:sz w:val="24"/>
          <w:szCs w:val="24"/>
        </w:rPr>
        <w:instrText xml:space="preserve"> ADDIN ZOTERO_ITEM CSL_CITATION {"citationID":"a1l7md6cvep","properties":{"formattedCitation":"(Malik et al., 2020)","plainCitation":"(Malik et al., 2020)","noteIndex":0},"citationItems":[{"id":3123,"uris":["http://zotero.org/users/local/b6CRLSJH/items/PQSACUDA"],"itemData":{"id":3123,"type":"article-journal","abstract":"According to the resource-based view (RBV), an organization can be viewed as a collection of human, physical and organizational resources. These resources are valuable and inimitable, and are the main source of sustainable competitive advantage and sustained higher performance. Green human resource management (GHRM) practices help organizations to obtaina competitive advantage and align business strategies with the environment. In the same way, increases in environmental awareness and strict implementation of international environmental regulations havea greater impact on business sustainability. Environmentalism and sustainability are becoming more of a concern for organizations. For this reason, green human resource managementpractices and green intellectual capital are the main elements of business sustainability. Based on the resource-based view and intellectual capital-based view theory, this study investigated the impact of GHRM practices and green intellectual capital on sustainability, using cross-sectional data. The results show that the two dimensions of GHRM practices (green recruitment and selection, and green rewards) and green intellectual capital (green human capital, green structural capital and green relational capital) have a positive effect on a firm’s sustainability. GHRM practices and green intellectual capital have a positive role in this model. Practitioners, scholars and academics all may take benefits from the findings of this study.Limited variables andemerging and developingeconomies were the scope of this study. Future studies could investigate and explore the impact of green HRM practices and the role of management and stakeholder pressureonnew areas of sustainability.","container-title":"Sustainability","DOI":"10.3390/su12083228","ISSN":"2071-1050","issue":"8","journalAbbreviation":"Sustainability","language":"en","note":"number: 8","page":"3228","source":"DOI.org (Crossref)","title":"Pathways towards Sustainability in Organizations: Empirical Evidence on the Role of Green Human Resource Management Practices and Green Intellectual Capital","title-short":"Pathways towards Sustainability in Organizations","volume":"12","author":[{"family":"Malik","given":"Saqib Yaqoob"},{"family":"Cao","given":"Yukun"},{"family":"Mughal","given":"Yasir Hayat"},{"family":"Kundi","given":"Ghulam Muhammad"},{"family":"Mughal","given":"Mudassir Hayat"},{"family":"Ramayah","given":"T."}],"issued":{"date-parts":[["2020",4,17]]}}}],"schema":"https://github.com/citation-style-language/schema/raw/master/csl-citation.json"} </w:instrText>
      </w:r>
      <w:r w:rsidR="00A51048" w:rsidRPr="00597FFB">
        <w:rPr>
          <w:rFonts w:ascii="Times New Roman" w:eastAsia="Calibri" w:hAnsi="Times New Roman" w:cs="Times New Roman"/>
          <w:color w:val="000000"/>
          <w:sz w:val="24"/>
          <w:szCs w:val="24"/>
        </w:rPr>
        <w:fldChar w:fldCharType="separate"/>
      </w:r>
      <w:r w:rsidR="00C64FD2" w:rsidRPr="00597FFB">
        <w:rPr>
          <w:rFonts w:ascii="Times New Roman" w:hAnsi="Times New Roman" w:cs="Times New Roman"/>
          <w:sz w:val="24"/>
          <w:szCs w:val="24"/>
        </w:rPr>
        <w:t>(Malik et al., 2020)</w:t>
      </w:r>
      <w:r w:rsidR="00A51048"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w:t>
      </w:r>
      <w:bookmarkEnd w:id="29"/>
      <w:r w:rsidRPr="00597FFB">
        <w:rPr>
          <w:rFonts w:ascii="Times New Roman" w:eastAsia="Calibri" w:hAnsi="Times New Roman" w:cs="Times New Roman"/>
          <w:color w:val="000000"/>
          <w:sz w:val="24"/>
          <w:szCs w:val="24"/>
        </w:rPr>
        <w:t xml:space="preserve">Rapid economic growth, global demand for EEE, and urbanization rapidly accelerate the growth in E-waste. </w:t>
      </w:r>
    </w:p>
    <w:p w14:paraId="40C947D7" w14:textId="7DD210C1" w:rsidR="00446ECB" w:rsidRPr="00597FFB" w:rsidRDefault="00446ECB" w:rsidP="00173BF9">
      <w:pPr>
        <w:autoSpaceDE w:val="0"/>
        <w:autoSpaceDN w:val="0"/>
        <w:adjustRightInd w:val="0"/>
        <w:spacing w:before="26" w:after="26" w:line="480" w:lineRule="auto"/>
        <w:ind w:left="90" w:firstLine="630"/>
        <w:jc w:val="both"/>
        <w:rPr>
          <w:rFonts w:ascii="Times New Roman" w:eastAsia="Calibri" w:hAnsi="Times New Roman" w:cs="Times New Roman"/>
          <w:color w:val="7030A0"/>
          <w:sz w:val="24"/>
          <w:szCs w:val="24"/>
          <w:lang w:val="en"/>
        </w:rPr>
      </w:pPr>
      <w:bookmarkStart w:id="30" w:name="_Hlk53995502"/>
      <w:r w:rsidRPr="00597FFB">
        <w:rPr>
          <w:rFonts w:ascii="Times New Roman" w:eastAsia="Calibri" w:hAnsi="Times New Roman" w:cs="Times New Roman"/>
          <w:sz w:val="24"/>
          <w:szCs w:val="24"/>
        </w:rPr>
        <w:t xml:space="preserve">Once the EEE owner discards it without the intent to reuse it, it is considered a waste of EEE (WEEE) </w:t>
      </w:r>
      <w:r w:rsidR="00EE7742" w:rsidRPr="00597FFB">
        <w:rPr>
          <w:rFonts w:ascii="Times New Roman" w:eastAsia="Calibri" w:hAnsi="Times New Roman" w:cs="Times New Roman"/>
          <w:sz w:val="24"/>
          <w:szCs w:val="24"/>
        </w:rPr>
        <w:fldChar w:fldCharType="begin"/>
      </w:r>
      <w:r w:rsidR="00137769" w:rsidRPr="00597FFB">
        <w:rPr>
          <w:rFonts w:ascii="Times New Roman" w:eastAsia="Calibri" w:hAnsi="Times New Roman" w:cs="Times New Roman"/>
          <w:sz w:val="24"/>
          <w:szCs w:val="24"/>
        </w:rPr>
        <w:instrText xml:space="preserve"> ADDIN ZOTERO_ITEM CSL_CITATION {"citationID":"a4lmdt8qnf","properties":{"formattedCitation":"(Bocken &amp; Short, 2020)","plainCitation":"(Bocken &amp; Short, 2020)","noteIndex":0},"citationItems":[{"id":3413,"uris":["http://zotero.org/users/local/b6CRLSJH/items/PHJSMN4N"],"itemData":{"id":3413,"type":"chapter","abstract":"Business model innovation for a circular economy has become core to contemporary sustainability research and practice, but does it go far enough? While circular economy initiatives have closed and narrowed resource loops to some extent, overall consumption continues to rise offsetting much of the benefits. A further paradigm shift is necessary, going beyond existing solutions, towards a broader societal-wide approach to deliver a sufficiency-based circular economy. That is, a society where excessive levels of consumption (and production) are curtailed at their root cause to better satisfy the health and wellbeing needs of the individual consumer, broader society and global environment. We present sufficiency examples in the food and clothing sector and explore how such approaches can augment existing circular economy solutions. We present a framework to better understand how industry, society and policymakers might collaborate more effectively in designing and implementing long-term initiatives for moving towards a sufficiency-based circular economy.","container-title":"Handbook of the Circular Economy","ISBN":"978-1-78897-272-7","language":"en","note":"Book Authors: _:n5887\nDOI: 10.4337/9781788972727.00028","page":"250-265","publisher":"Edward Elgar Publishing","source":"DOI.org (Crossref)","title":"Transforming business models: towards a sufficiency-based circular economy","title-short":"Transforming business models","URL":"https://www.elgaronline.com/view/edcoll/9781788972710/9781788972710.00028.xml","author":[{"family":"Bocken","given":"Nancy M.P."},{"family":"Short","given":"Samuel W."}],"container-author":[{"family":"Brandão","given":"Miguel"},{"family":"Lazarevic","given":"David"},{"family":"Finnveden","given":"Göran"}],"accessed":{"date-parts":[["2021",5,25]]},"issued":{"date-parts":[["2020"]]}}}],"schema":"https://github.com/citation-style-language/schema/raw/master/csl-citation.json"} </w:instrText>
      </w:r>
      <w:r w:rsidR="00EE7742" w:rsidRPr="00597FFB">
        <w:rPr>
          <w:rFonts w:ascii="Times New Roman" w:eastAsia="Calibri" w:hAnsi="Times New Roman" w:cs="Times New Roman"/>
          <w:sz w:val="24"/>
          <w:szCs w:val="24"/>
        </w:rPr>
        <w:fldChar w:fldCharType="separate"/>
      </w:r>
      <w:r w:rsidR="00137769" w:rsidRPr="00597FFB">
        <w:rPr>
          <w:rFonts w:ascii="Times New Roman" w:hAnsi="Times New Roman" w:cs="Times New Roman"/>
          <w:sz w:val="24"/>
          <w:szCs w:val="24"/>
        </w:rPr>
        <w:t>(Bocken &amp; Short, 2020)</w:t>
      </w:r>
      <w:r w:rsidR="00EE7742" w:rsidRPr="00597FFB">
        <w:rPr>
          <w:rFonts w:ascii="Times New Roman" w:eastAsia="Calibri" w:hAnsi="Times New Roman" w:cs="Times New Roman"/>
          <w:sz w:val="24"/>
          <w:szCs w:val="24"/>
        </w:rPr>
        <w:fldChar w:fldCharType="end"/>
      </w:r>
      <w:r w:rsidR="00EE7742"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 xml:space="preserve">This definition appropriately describes economies where technology keeps changing, and consumers have to keep upgrading their EEE, especially Information and Communication Technology (ICT) devices, to remain relevant. It implies that the item is no more useful in its current condition; that is, to the owner, it is either a rejected or an excess device </w:t>
      </w:r>
      <w:bookmarkEnd w:id="30"/>
      <w:r w:rsidR="00137769" w:rsidRPr="00597FFB">
        <w:rPr>
          <w:rFonts w:ascii="Times New Roman" w:eastAsia="Calibri" w:hAnsi="Times New Roman" w:cs="Times New Roman"/>
          <w:color w:val="000000"/>
          <w:sz w:val="24"/>
          <w:szCs w:val="24"/>
        </w:rPr>
        <w:fldChar w:fldCharType="begin"/>
      </w:r>
      <w:r w:rsidR="0048207E" w:rsidRPr="00597FFB">
        <w:rPr>
          <w:rFonts w:ascii="Times New Roman" w:eastAsia="Calibri" w:hAnsi="Times New Roman" w:cs="Times New Roman"/>
          <w:color w:val="000000"/>
          <w:sz w:val="24"/>
          <w:szCs w:val="24"/>
        </w:rPr>
        <w:instrText xml:space="preserve"> ADDIN ZOTERO_ITEM CSL_CITATION {"citationID":"afl4i93grj","properties":{"formattedCitation":"(Ramzan et al., 2020)","plainCitation":"(Ramzan et al., 2020)","noteIndex":0},"citationItems":[{"id":2871,"uris":["http://zotero.org/users/local/b6CRLSJH/items/ZFAMFR58"],"itemData":{"id":2871,"type":"article-journal","abstract":"Purpose – The study aims to explore how young consumers perceive and adopt the online e-waste collection platform, by developing a conceptual framework that integrates the theory of planned behavior, the technology acceptance model and the perceived risk. Based on conceptual framework, the study further identifies factors that positively or negatively influence the Chinese millennials’ decision on the use of online collection platform. Design/methodology/approach – The study conducts a questionnaire survey from 807 Chinese millennials living in urban and rural areas. Based on the collected data, the partial least squares structural equation modeling (PLS-SEM) is employed to conduct PLS path modeling and multi-group analysis.","container-title":"Management of Environmental Quality: An International Journal","DOI":"10.1108/MEQ-02-2020-0028","ISSN":"1477-7835","issue":"2","journalAbbreviation":"MEQ","language":"en","note":"number: 2","page":"193-209","source":"DOI.org (Crossref)","title":"The adoption of online e-waste collection platform to improve environmental sustainability: an empirical study of Chinese millennials","title-short":"The adoption of online e-waste collection platform to improve environmental sustainability","volume":"32","author":[{"family":"Ramzan","given":"Sidra"},{"family":"Liu","given":"ChenGuang"},{"family":"Xu","given":"Yan"},{"family":"Munir","given":"Hina"},{"family":"Gupta","given":"Bhumika"}],"issued":{"date-parts":[["2020",8,14]]}}}],"schema":"https://github.com/citation-style-language/schema/raw/master/csl-citation.json"} </w:instrText>
      </w:r>
      <w:r w:rsidR="00137769" w:rsidRPr="00597FFB">
        <w:rPr>
          <w:rFonts w:ascii="Times New Roman" w:eastAsia="Calibri" w:hAnsi="Times New Roman" w:cs="Times New Roman"/>
          <w:color w:val="000000"/>
          <w:sz w:val="24"/>
          <w:szCs w:val="24"/>
        </w:rPr>
        <w:fldChar w:fldCharType="separate"/>
      </w:r>
      <w:r w:rsidR="0048207E" w:rsidRPr="00597FFB">
        <w:rPr>
          <w:rFonts w:ascii="Times New Roman" w:hAnsi="Times New Roman" w:cs="Times New Roman"/>
          <w:sz w:val="24"/>
          <w:szCs w:val="24"/>
        </w:rPr>
        <w:t>(Ramzan et al., 2020)</w:t>
      </w:r>
      <w:r w:rsidR="00137769" w:rsidRPr="00597FFB">
        <w:rPr>
          <w:rFonts w:ascii="Times New Roman" w:eastAsia="Calibri" w:hAnsi="Times New Roman" w:cs="Times New Roman"/>
          <w:color w:val="000000"/>
          <w:sz w:val="24"/>
          <w:szCs w:val="24"/>
        </w:rPr>
        <w:fldChar w:fldCharType="end"/>
      </w:r>
      <w:r w:rsidR="0013776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The European Union (EU) WEEE directive (2012) defines </w:t>
      </w:r>
      <w:r w:rsidRPr="00597FFB">
        <w:rPr>
          <w:rFonts w:ascii="Times New Roman" w:eastAsia="Calibri" w:hAnsi="Times New Roman" w:cs="Times New Roman"/>
          <w:sz w:val="24"/>
          <w:szCs w:val="24"/>
        </w:rPr>
        <w:t>E-waste as EEE waste</w:t>
      </w:r>
      <w:r w:rsidRPr="00597FFB">
        <w:rPr>
          <w:rFonts w:ascii="Times New Roman" w:eastAsia="Calibri" w:hAnsi="Times New Roman" w:cs="Times New Roman"/>
          <w:color w:val="000000"/>
          <w:sz w:val="24"/>
          <w:szCs w:val="24"/>
        </w:rPr>
        <w:t xml:space="preserve">, </w:t>
      </w:r>
      <w:r w:rsidR="0058076B" w:rsidRPr="00597FFB">
        <w:rPr>
          <w:rFonts w:ascii="Times New Roman" w:eastAsia="Calibri" w:hAnsi="Times New Roman" w:cs="Times New Roman"/>
          <w:color w:val="000000"/>
          <w:sz w:val="24"/>
          <w:szCs w:val="24"/>
        </w:rPr>
        <w:t>comprising</w:t>
      </w:r>
      <w:r w:rsidRPr="00597FFB">
        <w:rPr>
          <w:rFonts w:ascii="Times New Roman" w:eastAsia="Calibri" w:hAnsi="Times New Roman" w:cs="Times New Roman"/>
          <w:color w:val="000000"/>
          <w:sz w:val="24"/>
          <w:szCs w:val="24"/>
        </w:rPr>
        <w:t xml:space="preserve"> </w:t>
      </w:r>
      <w:r w:rsidR="0058076B" w:rsidRPr="00597FFB">
        <w:rPr>
          <w:rFonts w:ascii="Times New Roman" w:eastAsia="Calibri" w:hAnsi="Times New Roman" w:cs="Times New Roman"/>
          <w:color w:val="000000"/>
          <w:sz w:val="24"/>
          <w:szCs w:val="24"/>
        </w:rPr>
        <w:t>every</w:t>
      </w:r>
      <w:r w:rsidRPr="00597FFB">
        <w:rPr>
          <w:rFonts w:ascii="Times New Roman" w:eastAsia="Calibri" w:hAnsi="Times New Roman" w:cs="Times New Roman"/>
          <w:color w:val="000000"/>
          <w:sz w:val="24"/>
          <w:szCs w:val="24"/>
        </w:rPr>
        <w:t xml:space="preserve"> component, subassembl</w:t>
      </w:r>
      <w:r w:rsidR="0058076B" w:rsidRPr="00597FFB">
        <w:rPr>
          <w:rFonts w:ascii="Times New Roman" w:eastAsia="Calibri" w:hAnsi="Times New Roman" w:cs="Times New Roman"/>
          <w:color w:val="000000"/>
          <w:sz w:val="24"/>
          <w:szCs w:val="24"/>
        </w:rPr>
        <w:t>y</w:t>
      </w:r>
      <w:r w:rsidRPr="00597FFB">
        <w:rPr>
          <w:rFonts w:ascii="Times New Roman" w:eastAsia="Calibri" w:hAnsi="Times New Roman" w:cs="Times New Roman"/>
          <w:color w:val="000000"/>
          <w:sz w:val="24"/>
          <w:szCs w:val="24"/>
        </w:rPr>
        <w:t xml:space="preserve">, and consumable that </w:t>
      </w:r>
      <w:r w:rsidR="0058076B" w:rsidRPr="00597FFB">
        <w:rPr>
          <w:rFonts w:ascii="Times New Roman" w:eastAsia="Calibri" w:hAnsi="Times New Roman" w:cs="Times New Roman"/>
          <w:color w:val="000000"/>
          <w:sz w:val="24"/>
          <w:szCs w:val="24"/>
        </w:rPr>
        <w:t>is</w:t>
      </w:r>
      <w:r w:rsidRPr="00597FFB">
        <w:rPr>
          <w:rFonts w:ascii="Times New Roman" w:eastAsia="Calibri" w:hAnsi="Times New Roman" w:cs="Times New Roman"/>
          <w:color w:val="000000"/>
          <w:sz w:val="24"/>
          <w:szCs w:val="24"/>
        </w:rPr>
        <w:t xml:space="preserve"> part of the product at the time </w:t>
      </w:r>
      <w:r w:rsidR="0058076B" w:rsidRPr="00597FFB">
        <w:rPr>
          <w:rFonts w:ascii="Times New Roman" w:eastAsia="Calibri" w:hAnsi="Times New Roman" w:cs="Times New Roman"/>
          <w:color w:val="000000"/>
          <w:sz w:val="24"/>
          <w:szCs w:val="24"/>
        </w:rPr>
        <w:t xml:space="preserve">it is discarded </w:t>
      </w:r>
      <w:r w:rsidR="0048207E" w:rsidRPr="00597FFB">
        <w:rPr>
          <w:rFonts w:ascii="Times New Roman" w:eastAsia="Calibri" w:hAnsi="Times New Roman" w:cs="Times New Roman"/>
          <w:sz w:val="24"/>
          <w:szCs w:val="24"/>
        </w:rPr>
        <w:fldChar w:fldCharType="begin"/>
      </w:r>
      <w:r w:rsidR="00173BF9" w:rsidRPr="00597FFB">
        <w:rPr>
          <w:rFonts w:ascii="Times New Roman" w:eastAsia="Calibri" w:hAnsi="Times New Roman" w:cs="Times New Roman"/>
          <w:sz w:val="24"/>
          <w:szCs w:val="24"/>
        </w:rPr>
        <w:instrText xml:space="preserve"> ADDIN ZOTERO_ITEM CSL_CITATION {"citationID":"ajnrebb1ra","properties":{"formattedCitation":"(M. H. Ali et al., 2019a)","plainCitation":"(M. H. Ali et al., 2019a)","noteIndex":0},"citationItems":[{"id":3976,"uris":["http://zotero.org/users/local/b6CRLSJH/items/22P4XJQM"],"itemData":{"id":3976,"type":"article-journal","abstract":"The management of waste, energy, and resources has received special attention from academics and practitioners due to the growing evidence for its e</w:instrText>
      </w:r>
      <w:r w:rsidR="00173BF9" w:rsidRPr="00597FFB">
        <w:rPr>
          <w:rFonts w:ascii="Cambria Math" w:eastAsia="Calibri" w:hAnsi="Cambria Math" w:cs="Cambria Math"/>
          <w:sz w:val="24"/>
          <w:szCs w:val="24"/>
        </w:rPr>
        <w:instrText>↵</w:instrText>
      </w:r>
      <w:r w:rsidR="00173BF9" w:rsidRPr="00597FFB">
        <w:rPr>
          <w:rFonts w:ascii="Times New Roman" w:eastAsia="Calibri" w:hAnsi="Times New Roman" w:cs="Times New Roman"/>
          <w:sz w:val="24"/>
          <w:szCs w:val="24"/>
        </w:rPr>
        <w:instrText>ects on the environment. The aim of this study is to investigate the environmental drivers of waste, energy, and resource management and, in turn, its e</w:instrText>
      </w:r>
      <w:r w:rsidR="00173BF9" w:rsidRPr="00597FFB">
        <w:rPr>
          <w:rFonts w:ascii="Cambria Math" w:eastAsia="Calibri" w:hAnsi="Cambria Math" w:cs="Cambria Math"/>
          <w:sz w:val="24"/>
          <w:szCs w:val="24"/>
        </w:rPr>
        <w:instrText>↵</w:instrText>
      </w:r>
      <w:r w:rsidR="00173BF9" w:rsidRPr="00597FFB">
        <w:rPr>
          <w:rFonts w:ascii="Times New Roman" w:eastAsia="Calibri" w:hAnsi="Times New Roman" w:cs="Times New Roman"/>
          <w:sz w:val="24"/>
          <w:szCs w:val="24"/>
        </w:rPr>
        <w:instrText>ect on the sustainable performance of manufacturing ﬁrms. The data were collected from a survey of 173 large manufacturing ﬁrms in Malaysia and analysed using partial least squares. The results indicate that although environmental regulatory pressure, customer pressure, environmental uncertainty, and expected business beneﬁts have positive e</w:instrText>
      </w:r>
      <w:r w:rsidR="00173BF9" w:rsidRPr="00597FFB">
        <w:rPr>
          <w:rFonts w:ascii="Cambria Math" w:eastAsia="Calibri" w:hAnsi="Cambria Math" w:cs="Cambria Math"/>
          <w:sz w:val="24"/>
          <w:szCs w:val="24"/>
        </w:rPr>
        <w:instrText>↵</w:instrText>
      </w:r>
      <w:r w:rsidR="00173BF9" w:rsidRPr="00597FFB">
        <w:rPr>
          <w:rFonts w:ascii="Times New Roman" w:eastAsia="Calibri" w:hAnsi="Times New Roman" w:cs="Times New Roman"/>
          <w:sz w:val="24"/>
          <w:szCs w:val="24"/>
        </w:rPr>
        <w:instrText>ects on the extent of waste, energy, and resource management, social responsibility has no e</w:instrText>
      </w:r>
      <w:r w:rsidR="00173BF9" w:rsidRPr="00597FFB">
        <w:rPr>
          <w:rFonts w:ascii="Cambria Math" w:eastAsia="Calibri" w:hAnsi="Cambria Math" w:cs="Cambria Math"/>
          <w:sz w:val="24"/>
          <w:szCs w:val="24"/>
        </w:rPr>
        <w:instrText>↵</w:instrText>
      </w:r>
      <w:r w:rsidR="00173BF9" w:rsidRPr="00597FFB">
        <w:rPr>
          <w:rFonts w:ascii="Times New Roman" w:eastAsia="Calibri" w:hAnsi="Times New Roman" w:cs="Times New Roman"/>
          <w:sz w:val="24"/>
          <w:szCs w:val="24"/>
        </w:rPr>
        <w:instrText>ect. Furthermore, waste, energy, and resource management has a positive e</w:instrText>
      </w:r>
      <w:r w:rsidR="00173BF9" w:rsidRPr="00597FFB">
        <w:rPr>
          <w:rFonts w:ascii="Cambria Math" w:eastAsia="Calibri" w:hAnsi="Cambria Math" w:cs="Cambria Math"/>
          <w:sz w:val="24"/>
          <w:szCs w:val="24"/>
        </w:rPr>
        <w:instrText>↵</w:instrText>
      </w:r>
      <w:r w:rsidR="00173BF9" w:rsidRPr="00597FFB">
        <w:rPr>
          <w:rFonts w:ascii="Times New Roman" w:eastAsia="Calibri" w:hAnsi="Times New Roman" w:cs="Times New Roman"/>
          <w:sz w:val="24"/>
          <w:szCs w:val="24"/>
        </w:rPr>
        <w:instrText xml:space="preserve">ect on the sustainable performance of large manufacturing ﬁrms. The ﬁndings of this study extend the knowledge of the drivers and outcomes of waste, energy, and resource management. The results can help policymakers to adjust policies and strategies in a way to inspire managers to implement waste, energy, and resource management.","container-title":"Sustainability","DOI":"10.3390/su11082443","ISSN":"2071-1050","issue":"8","journalAbbreviation":"Sustainability","language":"en","note":"number: 8","page":"2443","source":"DOI.org (Crossref)","title":"Impacts of Environmental Factors on Waste, Energy, and Resource Management and Sustainable Performance","volume":"11","author":[{"family":"Ali","given":"Mohd Helmi"},{"family":"Zailani","given":"Suhaiza"},{"family":"Iranmanesh","given":"Mohammad"},{"family":"Foroughi","given":"Behzad"}],"issued":{"date-parts":[["2019",4,25]]}}}],"schema":"https://github.com/citation-style-language/schema/raw/master/csl-citation.json"} </w:instrText>
      </w:r>
      <w:r w:rsidR="0048207E" w:rsidRPr="00597FFB">
        <w:rPr>
          <w:rFonts w:ascii="Times New Roman" w:eastAsia="Calibri" w:hAnsi="Times New Roman" w:cs="Times New Roman"/>
          <w:sz w:val="24"/>
          <w:szCs w:val="24"/>
        </w:rPr>
        <w:fldChar w:fldCharType="separate"/>
      </w:r>
      <w:r w:rsidR="00173BF9" w:rsidRPr="00597FFB">
        <w:rPr>
          <w:rFonts w:ascii="Times New Roman" w:hAnsi="Times New Roman" w:cs="Times New Roman"/>
          <w:sz w:val="24"/>
        </w:rPr>
        <w:t>(Ali et al., 2019a)</w:t>
      </w:r>
      <w:r w:rsidR="0048207E" w:rsidRPr="00597FFB">
        <w:rPr>
          <w:rFonts w:ascii="Times New Roman" w:eastAsia="Calibri" w:hAnsi="Times New Roman" w:cs="Times New Roman"/>
          <w:sz w:val="24"/>
          <w:szCs w:val="24"/>
        </w:rPr>
        <w:fldChar w:fldCharType="end"/>
      </w:r>
      <w:r w:rsidR="0048207E"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 xml:space="preserve">In the US, E-waste, e-scrap, and EOL electronics are often used to describe used electronics close to the end of their useful life and are donated, discarded, or given to a recycler </w:t>
      </w:r>
      <w:r w:rsidR="00692A9C" w:rsidRPr="00597FFB">
        <w:rPr>
          <w:rFonts w:ascii="Times New Roman" w:eastAsia="Calibri" w:hAnsi="Times New Roman" w:cs="Times New Roman"/>
          <w:color w:val="000000"/>
          <w:sz w:val="24"/>
          <w:szCs w:val="24"/>
        </w:rPr>
        <w:fldChar w:fldCharType="begin"/>
      </w:r>
      <w:r w:rsidR="004105E5" w:rsidRPr="00597FFB">
        <w:rPr>
          <w:rFonts w:ascii="Times New Roman" w:eastAsia="Calibri" w:hAnsi="Times New Roman" w:cs="Times New Roman"/>
          <w:color w:val="000000"/>
          <w:sz w:val="24"/>
          <w:szCs w:val="24"/>
        </w:rPr>
        <w:instrText xml:space="preserve"> ADDIN ZOTERO_ITEM CSL_CITATION {"citationID":"a15t6s4sstg","properties":{"formattedCitation":"(Chaturvedi et al., 2020)","plainCitation":"(Chaturvedi et al., 2020)","noteIndex":0},"citationItems":[{"id":4185,"uris":["http://zotero.org/users/local/b6CRLSJH/items/LTKL67Y9"],"itemData":{"id":4185,"type":"article-journal","abstract":"Purpose\n              The purpose of this study is to investigate the influence of environmental concern, perceived value, personal norms and willingness to pay on generation Z’s purchase intention for recycled clothing.\n            \n            \n              Design/methodology/approach\n              The data were collected from five Indian universities. A total of 497 usable responses were analyzed. Confirmatory factor analysis was used for examining the validity and reliability of the scales. Further, the structural equation modeling was used to assess the relationship among the constructs.\n            \n            \n              Findings\n              Findings suggested that willingness to pay, environmental concern, perceived value and personal norms influence generation Z’s purchase intention for recycled clothing. Willingness to pay, environmental concern and perceived value were major predictors of purchase intention for recycled clothing.\n            \n            \n              Practical implications\n              This study holds much importance to the marketers of recycled clothing as it provides useful insights for formulating the appropriate promotional strategies. The study also contributes to the consumer behavior literature by addressing the existing research gap.\n            \n            \n              Originality/value\n              Most of the studies existing in this area have focused on the manufacturing side only except few which explored the consumption side of recycled clothing. Hence, the current study is an attempt to fill this research gap.","container-title":"Young Consumers","DOI":"10.1108/YC-03-2020-1110","ISSN":"1747-3616, 1747-3616","issue":"4","journalAbbreviation":"YC","language":"en","page":"403-417","source":"DOI.org (Crossref)","title":"Investigating the determinants of behavioral intentions of generation Z for recycled clothing: an evidence from a developing economy","title-short":"Investigating the determinants of behavioral intentions of generation Z for recycled clothing","volume":"21","author":[{"family":"Chaturvedi","given":"Pallavi"},{"family":"Kulshreshtha","given":"Kushagra"},{"family":"Tripathi","given":"Vikas"}],"issued":{"date-parts":[["2020",9,28]]}}}],"schema":"https://github.com/citation-style-language/schema/raw/master/csl-citation.json"} </w:instrText>
      </w:r>
      <w:r w:rsidR="00692A9C" w:rsidRPr="00597FFB">
        <w:rPr>
          <w:rFonts w:ascii="Times New Roman" w:eastAsia="Calibri" w:hAnsi="Times New Roman" w:cs="Times New Roman"/>
          <w:color w:val="000000"/>
          <w:sz w:val="24"/>
          <w:szCs w:val="24"/>
        </w:rPr>
        <w:fldChar w:fldCharType="separate"/>
      </w:r>
      <w:r w:rsidR="004105E5" w:rsidRPr="00597FFB">
        <w:rPr>
          <w:rFonts w:ascii="Times New Roman" w:hAnsi="Times New Roman" w:cs="Times New Roman"/>
          <w:sz w:val="24"/>
          <w:szCs w:val="24"/>
        </w:rPr>
        <w:t>(Chaturvedi et al., 2020)</w:t>
      </w:r>
      <w:r w:rsidR="00692A9C" w:rsidRPr="00597FFB">
        <w:rPr>
          <w:rFonts w:ascii="Times New Roman" w:eastAsia="Calibri" w:hAnsi="Times New Roman" w:cs="Times New Roman"/>
          <w:color w:val="000000"/>
          <w:sz w:val="24"/>
          <w:szCs w:val="24"/>
        </w:rPr>
        <w:fldChar w:fldCharType="end"/>
      </w:r>
      <w:r w:rsidR="00692A9C"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lang w:val="en"/>
        </w:rPr>
        <w:t xml:space="preserve">According to </w:t>
      </w:r>
      <w:r w:rsidRPr="00597FFB">
        <w:rPr>
          <w:rFonts w:ascii="Times New Roman" w:eastAsia="Calibri" w:hAnsi="Times New Roman" w:cs="Times New Roman"/>
          <w:color w:val="000000"/>
          <w:sz w:val="24"/>
          <w:szCs w:val="24"/>
        </w:rPr>
        <w:t xml:space="preserve">the US Environmental Protection Agency (EPA), the Center where researches to characterize air pollution exposures and sources factors that modify the health effects conducted, </w:t>
      </w:r>
      <w:r w:rsidRPr="00597FFB">
        <w:rPr>
          <w:rFonts w:ascii="Times New Roman" w:eastAsia="Calibri" w:hAnsi="Times New Roman" w:cs="Times New Roman"/>
          <w:color w:val="000000"/>
          <w:sz w:val="24"/>
          <w:szCs w:val="24"/>
          <w:lang w:val="en"/>
        </w:rPr>
        <w:t xml:space="preserve">"E-waste" is the commonly used term </w:t>
      </w:r>
      <w:r w:rsidR="004105E5" w:rsidRPr="00597FFB">
        <w:rPr>
          <w:rFonts w:ascii="Times New Roman" w:eastAsia="Calibri" w:hAnsi="Times New Roman" w:cs="Times New Roman"/>
          <w:color w:val="000000"/>
          <w:sz w:val="24"/>
          <w:szCs w:val="24"/>
        </w:rPr>
        <w:fldChar w:fldCharType="begin"/>
      </w:r>
      <w:r w:rsidR="00D214FD" w:rsidRPr="00597FFB">
        <w:rPr>
          <w:rFonts w:ascii="Times New Roman" w:eastAsia="Calibri" w:hAnsi="Times New Roman" w:cs="Times New Roman"/>
          <w:color w:val="000000"/>
          <w:sz w:val="24"/>
          <w:szCs w:val="24"/>
        </w:rPr>
        <w:instrText xml:space="preserve"> ADDIN ZOTERO_ITEM CSL_CITATION {"citationID":"auep80m8hg","properties":{"formattedCitation":"(Aidonis et al., 2019a)","plainCitation":"(Aidonis et al., 2019a)","noteIndex":0},"citationItems":[{"id":2624,"uris":["http://zotero.org/users/local/b6CRLSJH/items/JL4KQPN7"],"itemData":{"id":2624,"type":"article-journal","abstract":"Waste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D214FD" w:rsidRPr="00597FFB">
        <w:rPr>
          <w:rFonts w:ascii="Cambria Math" w:eastAsia="Calibri" w:hAnsi="Cambria Math" w:cs="Cambria Math"/>
          <w:color w:val="000000"/>
          <w:sz w:val="24"/>
          <w:szCs w:val="24"/>
        </w:rPr>
        <w:instrText>↵</w:instrText>
      </w:r>
      <w:r w:rsidR="00D214FD" w:rsidRPr="00597FFB">
        <w:rPr>
          <w:rFonts w:ascii="Times New Roman" w:eastAsia="Calibri" w:hAnsi="Times New Roman" w:cs="Times New Roman"/>
          <w:color w:val="000000"/>
          <w:sz w:val="24"/>
          <w:szCs w:val="24"/>
        </w:rPr>
        <w:instrText xml:space="preserve">ectiveness, is required for the integrated WEEE management at a national level.","container-title":"Sustainability","DOI":"10.3390/su11123364","ISSN":"2071-1050","issue":"12","journalAbbreviation":"Sustainability","language":"en","page":"3364","source":"DOI.org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4105E5" w:rsidRPr="00597FFB">
        <w:rPr>
          <w:rFonts w:ascii="Times New Roman" w:eastAsia="Calibri" w:hAnsi="Times New Roman" w:cs="Times New Roman"/>
          <w:color w:val="000000"/>
          <w:sz w:val="24"/>
          <w:szCs w:val="24"/>
        </w:rPr>
        <w:fldChar w:fldCharType="separate"/>
      </w:r>
      <w:r w:rsidR="00D214FD" w:rsidRPr="00597FFB">
        <w:rPr>
          <w:rFonts w:ascii="Times New Roman" w:hAnsi="Times New Roman" w:cs="Times New Roman"/>
          <w:sz w:val="24"/>
        </w:rPr>
        <w:t>(Aidonis et al., 2019a)</w:t>
      </w:r>
      <w:r w:rsidR="004105E5" w:rsidRPr="00597FFB">
        <w:rPr>
          <w:rFonts w:ascii="Times New Roman" w:eastAsia="Calibri" w:hAnsi="Times New Roman" w:cs="Times New Roman"/>
          <w:color w:val="000000"/>
          <w:sz w:val="24"/>
          <w:szCs w:val="24"/>
        </w:rPr>
        <w:fldChar w:fldCharType="end"/>
      </w:r>
      <w:r w:rsidR="004105E5"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lang w:val="en"/>
        </w:rPr>
        <w:t xml:space="preserve">EPA considers E-waste as a subset </w:t>
      </w:r>
      <w:r w:rsidRPr="00597FFB">
        <w:rPr>
          <w:rFonts w:ascii="Times New Roman" w:eastAsia="Calibri" w:hAnsi="Times New Roman" w:cs="Times New Roman"/>
          <w:color w:val="000000"/>
          <w:sz w:val="24"/>
          <w:szCs w:val="24"/>
        </w:rPr>
        <w:t xml:space="preserve">of used electronics, defined differently depending on the user's perspective </w:t>
      </w:r>
      <w:r w:rsidR="00EE143B" w:rsidRPr="00597FFB">
        <w:rPr>
          <w:rFonts w:ascii="Times New Roman" w:eastAsia="Calibri" w:hAnsi="Times New Roman" w:cs="Times New Roman"/>
          <w:color w:val="000000"/>
          <w:sz w:val="24"/>
          <w:szCs w:val="24"/>
        </w:rPr>
        <w:fldChar w:fldCharType="begin"/>
      </w:r>
      <w:r w:rsidR="00D214FD" w:rsidRPr="00597FFB">
        <w:rPr>
          <w:rFonts w:ascii="Times New Roman" w:eastAsia="Calibri" w:hAnsi="Times New Roman" w:cs="Times New Roman"/>
          <w:color w:val="000000"/>
          <w:sz w:val="24"/>
          <w:szCs w:val="24"/>
        </w:rPr>
        <w:instrText xml:space="preserve"> ADDIN ZOTERO_ITEM CSL_CITATION {"citationID":"a198nv9gd2k","properties":{"formattedCitation":"(Delcea et al., 2020a)","plainCitation":"(Delcea et al., 2020a)","noteIndex":0},"citationItems":[{"id":2552,"uris":["http://zotero.org/users/local/b6CRLSJH/items/W8Q2D7MF"],"itemData":{"id":2552,"type":"article-journal","abstract":"Due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00D214FD" w:rsidRPr="00597FFB">
        <w:rPr>
          <w:rFonts w:ascii="Cambria Math" w:eastAsia="Calibri" w:hAnsi="Cambria Math" w:cs="Cambria Math"/>
          <w:color w:val="000000"/>
          <w:sz w:val="24"/>
          <w:szCs w:val="24"/>
        </w:rPr>
        <w:instrText>ﬃ</w:instrText>
      </w:r>
      <w:r w:rsidR="00D214FD" w:rsidRPr="00597FFB">
        <w:rPr>
          <w:rFonts w:ascii="Times New Roman" w:eastAsia="Calibri" w:hAnsi="Times New Roman" w:cs="Times New Roman"/>
          <w:color w:val="000000"/>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00D214FD" w:rsidRPr="00597FFB">
        <w:rPr>
          <w:rFonts w:ascii="Cambria Math" w:eastAsia="Calibri" w:hAnsi="Cambria Math" w:cs="Cambria Math"/>
          <w:color w:val="000000"/>
          <w:sz w:val="24"/>
          <w:szCs w:val="24"/>
        </w:rPr>
        <w:instrText>ﬀ</w:instrText>
      </w:r>
      <w:r w:rsidR="00D214FD" w:rsidRPr="00597FFB">
        <w:rPr>
          <w:rFonts w:ascii="Times New Roman" w:eastAsia="Calibri" w:hAnsi="Times New Roman" w:cs="Times New Roman"/>
          <w:color w:val="000000"/>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00EE143B" w:rsidRPr="00597FFB">
        <w:rPr>
          <w:rFonts w:ascii="Times New Roman" w:eastAsia="Calibri" w:hAnsi="Times New Roman" w:cs="Times New Roman"/>
          <w:color w:val="000000"/>
          <w:sz w:val="24"/>
          <w:szCs w:val="24"/>
        </w:rPr>
        <w:fldChar w:fldCharType="separate"/>
      </w:r>
      <w:r w:rsidR="00D214FD" w:rsidRPr="00597FFB">
        <w:rPr>
          <w:rFonts w:ascii="Times New Roman" w:hAnsi="Times New Roman" w:cs="Times New Roman"/>
          <w:sz w:val="24"/>
          <w:szCs w:val="24"/>
        </w:rPr>
        <w:t>(Delcea et al., 2020a)</w:t>
      </w:r>
      <w:r w:rsidR="00EE143B" w:rsidRPr="00597FFB">
        <w:rPr>
          <w:rFonts w:ascii="Times New Roman" w:eastAsia="Calibri" w:hAnsi="Times New Roman" w:cs="Times New Roman"/>
          <w:color w:val="000000"/>
          <w:sz w:val="24"/>
          <w:szCs w:val="24"/>
        </w:rPr>
        <w:fldChar w:fldCharType="end"/>
      </w:r>
      <w:r w:rsidR="00EE143B" w:rsidRPr="00597FFB">
        <w:rPr>
          <w:rFonts w:ascii="Times New Roman" w:eastAsia="Calibri" w:hAnsi="Times New Roman" w:cs="Times New Roman"/>
          <w:color w:val="000000"/>
          <w:sz w:val="24"/>
          <w:szCs w:val="24"/>
        </w:rPr>
        <w:t>.</w:t>
      </w:r>
    </w:p>
    <w:p w14:paraId="2A774B60" w14:textId="76848910" w:rsidR="009D4FB4" w:rsidRPr="00597FFB" w:rsidRDefault="009D4FB4" w:rsidP="009D4FB4">
      <w:pPr>
        <w:spacing w:before="26" w:after="26" w:line="276" w:lineRule="auto"/>
        <w:ind w:left="90"/>
        <w:jc w:val="both"/>
        <w:rPr>
          <w:rFonts w:ascii="Times New Roman" w:eastAsia="Calibri" w:hAnsi="Times New Roman" w:cs="Times New Roman"/>
          <w:color w:val="000000"/>
        </w:rPr>
      </w:pPr>
      <w:bookmarkStart w:id="31" w:name="_Hlk52262121"/>
      <w:r w:rsidRPr="00597FFB">
        <w:rPr>
          <w:rFonts w:ascii="Times New Roman" w:eastAsia="Calibri" w:hAnsi="Times New Roman" w:cs="Times New Roman"/>
          <w:b/>
          <w:bCs/>
          <w:color w:val="000000"/>
        </w:rPr>
        <w:t>Table 1</w:t>
      </w:r>
      <w:bookmarkStart w:id="32" w:name="_Hlk57288318"/>
      <w:r w:rsidRPr="00597FFB">
        <w:rPr>
          <w:rFonts w:ascii="Times New Roman" w:eastAsia="Calibri" w:hAnsi="Times New Roman" w:cs="Times New Roman"/>
          <w:b/>
          <w:bCs/>
          <w:color w:val="000000"/>
        </w:rPr>
        <w:t>:</w:t>
      </w:r>
      <w:r w:rsidRPr="00597FFB">
        <w:rPr>
          <w:rFonts w:ascii="Times New Roman" w:eastAsia="Calibri" w:hAnsi="Times New Roman" w:cs="Times New Roman"/>
          <w:color w:val="000000"/>
        </w:rPr>
        <w:t xml:space="preserve"> </w:t>
      </w:r>
      <w:bookmarkStart w:id="33" w:name="_Hlk123389084"/>
      <w:r w:rsidRPr="00597FFB">
        <w:rPr>
          <w:rFonts w:ascii="Times New Roman" w:eastAsia="Calibri" w:hAnsi="Times New Roman" w:cs="Times New Roman"/>
          <w:i/>
          <w:iCs/>
          <w:color w:val="000000"/>
        </w:rPr>
        <w:t xml:space="preserve">Estimated </w:t>
      </w:r>
      <w:r w:rsidR="00475F49" w:rsidRPr="00597FFB">
        <w:rPr>
          <w:rFonts w:ascii="Times New Roman" w:eastAsia="Calibri" w:hAnsi="Times New Roman" w:cs="Times New Roman"/>
          <w:i/>
          <w:iCs/>
          <w:color w:val="000000"/>
        </w:rPr>
        <w:t xml:space="preserve">Lifespan </w:t>
      </w:r>
      <w:r w:rsidR="00F6104F" w:rsidRPr="00597FFB">
        <w:rPr>
          <w:rFonts w:ascii="Times New Roman" w:eastAsia="Calibri" w:hAnsi="Times New Roman" w:cs="Times New Roman"/>
          <w:i/>
          <w:iCs/>
          <w:color w:val="000000"/>
        </w:rPr>
        <w:t>a</w:t>
      </w:r>
      <w:r w:rsidR="00475F49" w:rsidRPr="00597FFB">
        <w:rPr>
          <w:rFonts w:ascii="Times New Roman" w:eastAsia="Calibri" w:hAnsi="Times New Roman" w:cs="Times New Roman"/>
          <w:i/>
          <w:iCs/>
          <w:color w:val="000000"/>
        </w:rPr>
        <w:t xml:space="preserve">nd Weight </w:t>
      </w:r>
      <w:r w:rsidR="00F6104F" w:rsidRPr="00597FFB">
        <w:rPr>
          <w:rFonts w:ascii="Times New Roman" w:eastAsia="Calibri" w:hAnsi="Times New Roman" w:cs="Times New Roman"/>
          <w:i/>
          <w:iCs/>
          <w:color w:val="000000"/>
        </w:rPr>
        <w:t>o</w:t>
      </w:r>
      <w:r w:rsidR="00475F49" w:rsidRPr="00597FFB">
        <w:rPr>
          <w:rFonts w:ascii="Times New Roman" w:eastAsia="Calibri" w:hAnsi="Times New Roman" w:cs="Times New Roman"/>
          <w:i/>
          <w:iCs/>
          <w:color w:val="000000"/>
        </w:rPr>
        <w:t xml:space="preserve">f Electrical </w:t>
      </w:r>
      <w:r w:rsidR="00F6104F" w:rsidRPr="00597FFB">
        <w:rPr>
          <w:rFonts w:ascii="Times New Roman" w:eastAsia="Calibri" w:hAnsi="Times New Roman" w:cs="Times New Roman"/>
          <w:i/>
          <w:iCs/>
          <w:color w:val="000000"/>
        </w:rPr>
        <w:t>a</w:t>
      </w:r>
      <w:r w:rsidR="00475F49" w:rsidRPr="00597FFB">
        <w:rPr>
          <w:rFonts w:ascii="Times New Roman" w:eastAsia="Calibri" w:hAnsi="Times New Roman" w:cs="Times New Roman"/>
          <w:i/>
          <w:iCs/>
          <w:color w:val="000000"/>
        </w:rPr>
        <w:t>nd Electronic Equipment (</w:t>
      </w:r>
      <w:r w:rsidRPr="00597FFB">
        <w:rPr>
          <w:rFonts w:ascii="Times New Roman" w:eastAsia="Calibri" w:hAnsi="Times New Roman" w:cs="Times New Roman"/>
          <w:i/>
          <w:iCs/>
          <w:color w:val="000000"/>
        </w:rPr>
        <w:t>EEE</w:t>
      </w:r>
      <w:r w:rsidR="00475F49" w:rsidRPr="00597FFB">
        <w:rPr>
          <w:rFonts w:ascii="Times New Roman" w:eastAsia="Calibri" w:hAnsi="Times New Roman" w:cs="Times New Roman"/>
          <w:i/>
          <w:iCs/>
          <w:color w:val="000000"/>
        </w:rPr>
        <w:t>).</w:t>
      </w:r>
      <w:bookmarkEnd w:id="32"/>
      <w:bookmarkEnd w:id="33"/>
    </w:p>
    <w:tbl>
      <w:tblPr>
        <w:tblW w:w="5000" w:type="pct"/>
        <w:tblLook w:val="04A0" w:firstRow="1" w:lastRow="0" w:firstColumn="1" w:lastColumn="0" w:noHBand="0" w:noVBand="1"/>
      </w:tblPr>
      <w:tblGrid>
        <w:gridCol w:w="3065"/>
        <w:gridCol w:w="1994"/>
        <w:gridCol w:w="2530"/>
      </w:tblGrid>
      <w:tr w:rsidR="009D4FB4" w:rsidRPr="00597FFB" w14:paraId="495DA63F" w14:textId="77777777" w:rsidTr="001E19F2">
        <w:tc>
          <w:tcPr>
            <w:tcW w:w="2019" w:type="pct"/>
            <w:tcBorders>
              <w:top w:val="single" w:sz="4" w:space="0" w:color="auto"/>
              <w:bottom w:val="single" w:sz="4" w:space="0" w:color="auto"/>
            </w:tcBorders>
          </w:tcPr>
          <w:bookmarkEnd w:id="31"/>
          <w:p w14:paraId="3D9372DF" w14:textId="77777777" w:rsidR="009D4FB4" w:rsidRPr="00597FFB" w:rsidRDefault="009D4FB4" w:rsidP="009D4FB4">
            <w:pPr>
              <w:spacing w:before="26" w:after="26" w:line="276" w:lineRule="auto"/>
              <w:ind w:left="90"/>
              <w:jc w:val="both"/>
              <w:rPr>
                <w:rFonts w:ascii="Times New Roman" w:eastAsia="Calibri" w:hAnsi="Times New Roman" w:cs="Times New Roman"/>
                <w:b/>
                <w:bCs/>
                <w:color w:val="000000"/>
              </w:rPr>
            </w:pPr>
            <w:r w:rsidRPr="00597FFB">
              <w:rPr>
                <w:rFonts w:ascii="Times New Roman" w:eastAsia="Calibri" w:hAnsi="Times New Roman" w:cs="Times New Roman"/>
                <w:b/>
                <w:bCs/>
                <w:color w:val="000000"/>
              </w:rPr>
              <w:t>Equipment</w:t>
            </w:r>
          </w:p>
        </w:tc>
        <w:tc>
          <w:tcPr>
            <w:tcW w:w="1314" w:type="pct"/>
            <w:tcBorders>
              <w:top w:val="single" w:sz="4" w:space="0" w:color="auto"/>
              <w:bottom w:val="single" w:sz="4" w:space="0" w:color="auto"/>
            </w:tcBorders>
          </w:tcPr>
          <w:p w14:paraId="5CAABC69" w14:textId="77777777" w:rsidR="009D4FB4" w:rsidRPr="00597FFB" w:rsidRDefault="009D4FB4" w:rsidP="009D4FB4">
            <w:pPr>
              <w:spacing w:before="26" w:after="26" w:line="276" w:lineRule="auto"/>
              <w:ind w:left="90"/>
              <w:jc w:val="both"/>
              <w:rPr>
                <w:rFonts w:ascii="Times New Roman" w:eastAsia="Calibri" w:hAnsi="Times New Roman" w:cs="Times New Roman"/>
                <w:b/>
                <w:bCs/>
                <w:color w:val="000000"/>
              </w:rPr>
            </w:pPr>
            <w:r w:rsidRPr="00597FFB">
              <w:rPr>
                <w:rFonts w:ascii="Times New Roman" w:eastAsia="Calibri" w:hAnsi="Times New Roman" w:cs="Times New Roman"/>
                <w:b/>
                <w:bCs/>
                <w:color w:val="000000"/>
              </w:rPr>
              <w:t>Life span in years</w:t>
            </w:r>
          </w:p>
        </w:tc>
        <w:tc>
          <w:tcPr>
            <w:tcW w:w="1667" w:type="pct"/>
            <w:tcBorders>
              <w:top w:val="single" w:sz="4" w:space="0" w:color="auto"/>
              <w:bottom w:val="single" w:sz="4" w:space="0" w:color="auto"/>
            </w:tcBorders>
          </w:tcPr>
          <w:p w14:paraId="1D0AFB76" w14:textId="77777777" w:rsidR="009D4FB4" w:rsidRPr="00597FFB" w:rsidRDefault="009D4FB4" w:rsidP="009D4FB4">
            <w:pPr>
              <w:spacing w:before="26" w:after="26" w:line="276" w:lineRule="auto"/>
              <w:ind w:left="90"/>
              <w:jc w:val="both"/>
              <w:rPr>
                <w:rFonts w:ascii="Times New Roman" w:eastAsia="Calibri" w:hAnsi="Times New Roman" w:cs="Times New Roman"/>
                <w:b/>
                <w:bCs/>
                <w:color w:val="000000"/>
              </w:rPr>
            </w:pPr>
            <w:r w:rsidRPr="00597FFB">
              <w:rPr>
                <w:rFonts w:ascii="Times New Roman" w:eastAsia="Calibri" w:hAnsi="Times New Roman" w:cs="Times New Roman"/>
                <w:b/>
                <w:bCs/>
                <w:color w:val="000000"/>
              </w:rPr>
              <w:t>Mean weight (kg)</w:t>
            </w:r>
          </w:p>
        </w:tc>
      </w:tr>
      <w:tr w:rsidR="009D4FB4" w:rsidRPr="00597FFB" w14:paraId="7B7D177D" w14:textId="77777777" w:rsidTr="001E19F2">
        <w:trPr>
          <w:trHeight w:val="503"/>
        </w:trPr>
        <w:tc>
          <w:tcPr>
            <w:tcW w:w="2019" w:type="pct"/>
            <w:tcBorders>
              <w:top w:val="single" w:sz="4" w:space="0" w:color="auto"/>
            </w:tcBorders>
          </w:tcPr>
          <w:p w14:paraId="28BFAA8F"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Personal computer and monitor</w:t>
            </w:r>
          </w:p>
        </w:tc>
        <w:tc>
          <w:tcPr>
            <w:tcW w:w="1314" w:type="pct"/>
            <w:tcBorders>
              <w:top w:val="single" w:sz="4" w:space="0" w:color="auto"/>
            </w:tcBorders>
          </w:tcPr>
          <w:p w14:paraId="5BFF0A76"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5 to 8 </w:t>
            </w:r>
          </w:p>
        </w:tc>
        <w:tc>
          <w:tcPr>
            <w:tcW w:w="1667" w:type="pct"/>
            <w:tcBorders>
              <w:top w:val="single" w:sz="4" w:space="0" w:color="auto"/>
            </w:tcBorders>
          </w:tcPr>
          <w:p w14:paraId="62413AE4"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25</w:t>
            </w:r>
          </w:p>
        </w:tc>
      </w:tr>
      <w:tr w:rsidR="009D4FB4" w:rsidRPr="00597FFB" w14:paraId="2FA24841" w14:textId="77777777" w:rsidTr="001E19F2">
        <w:tc>
          <w:tcPr>
            <w:tcW w:w="2019" w:type="pct"/>
          </w:tcPr>
          <w:p w14:paraId="08FB0E60"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Laptop </w:t>
            </w:r>
          </w:p>
        </w:tc>
        <w:tc>
          <w:tcPr>
            <w:tcW w:w="1314" w:type="pct"/>
          </w:tcPr>
          <w:p w14:paraId="22632503"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5-8</w:t>
            </w:r>
          </w:p>
        </w:tc>
        <w:tc>
          <w:tcPr>
            <w:tcW w:w="1667" w:type="pct"/>
          </w:tcPr>
          <w:p w14:paraId="508F970A"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5</w:t>
            </w:r>
          </w:p>
        </w:tc>
      </w:tr>
      <w:tr w:rsidR="009D4FB4" w:rsidRPr="00597FFB" w14:paraId="405ECDC5" w14:textId="77777777" w:rsidTr="001E19F2">
        <w:tc>
          <w:tcPr>
            <w:tcW w:w="2019" w:type="pct"/>
          </w:tcPr>
          <w:p w14:paraId="7FBAB57C"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Printer </w:t>
            </w:r>
          </w:p>
        </w:tc>
        <w:tc>
          <w:tcPr>
            <w:tcW w:w="1314" w:type="pct"/>
          </w:tcPr>
          <w:p w14:paraId="38D14803"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5 </w:t>
            </w:r>
          </w:p>
        </w:tc>
        <w:tc>
          <w:tcPr>
            <w:tcW w:w="1667" w:type="pct"/>
          </w:tcPr>
          <w:p w14:paraId="4FC47F91"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8</w:t>
            </w:r>
          </w:p>
        </w:tc>
      </w:tr>
      <w:tr w:rsidR="009D4FB4" w:rsidRPr="00597FFB" w14:paraId="0C981A0F" w14:textId="77777777" w:rsidTr="001E19F2">
        <w:tc>
          <w:tcPr>
            <w:tcW w:w="2019" w:type="pct"/>
          </w:tcPr>
          <w:p w14:paraId="1008CE38"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Mobile phone </w:t>
            </w:r>
          </w:p>
        </w:tc>
        <w:tc>
          <w:tcPr>
            <w:tcW w:w="1314" w:type="pct"/>
          </w:tcPr>
          <w:p w14:paraId="3CDBF10B"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4 </w:t>
            </w:r>
          </w:p>
        </w:tc>
        <w:tc>
          <w:tcPr>
            <w:tcW w:w="1667" w:type="pct"/>
          </w:tcPr>
          <w:p w14:paraId="5CBAFD66"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0.1</w:t>
            </w:r>
          </w:p>
        </w:tc>
      </w:tr>
      <w:tr w:rsidR="009D4FB4" w:rsidRPr="00597FFB" w14:paraId="611E2865" w14:textId="77777777" w:rsidTr="001E19F2">
        <w:tc>
          <w:tcPr>
            <w:tcW w:w="2019" w:type="pct"/>
          </w:tcPr>
          <w:p w14:paraId="422C696C"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Television </w:t>
            </w:r>
          </w:p>
        </w:tc>
        <w:tc>
          <w:tcPr>
            <w:tcW w:w="1314" w:type="pct"/>
          </w:tcPr>
          <w:p w14:paraId="3CD52203"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8 </w:t>
            </w:r>
          </w:p>
        </w:tc>
        <w:tc>
          <w:tcPr>
            <w:tcW w:w="1667" w:type="pct"/>
          </w:tcPr>
          <w:p w14:paraId="57869565"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30</w:t>
            </w:r>
          </w:p>
        </w:tc>
      </w:tr>
      <w:tr w:rsidR="009D4FB4" w:rsidRPr="00597FFB" w14:paraId="7DE61F4E" w14:textId="77777777" w:rsidTr="001E19F2">
        <w:tc>
          <w:tcPr>
            <w:tcW w:w="2019" w:type="pct"/>
            <w:tcBorders>
              <w:bottom w:val="single" w:sz="4" w:space="0" w:color="auto"/>
            </w:tcBorders>
          </w:tcPr>
          <w:p w14:paraId="5D008953"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Refrigerator </w:t>
            </w:r>
          </w:p>
        </w:tc>
        <w:tc>
          <w:tcPr>
            <w:tcW w:w="1314" w:type="pct"/>
            <w:tcBorders>
              <w:bottom w:val="single" w:sz="4" w:space="0" w:color="auto"/>
            </w:tcBorders>
          </w:tcPr>
          <w:p w14:paraId="78A11ECC"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10 </w:t>
            </w:r>
          </w:p>
        </w:tc>
        <w:tc>
          <w:tcPr>
            <w:tcW w:w="1667" w:type="pct"/>
            <w:tcBorders>
              <w:bottom w:val="single" w:sz="4" w:space="0" w:color="auto"/>
            </w:tcBorders>
          </w:tcPr>
          <w:p w14:paraId="58277CA8"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45</w:t>
            </w:r>
          </w:p>
        </w:tc>
      </w:tr>
    </w:tbl>
    <w:p w14:paraId="004BF138" w14:textId="285994FE" w:rsidR="009D4FB4" w:rsidRPr="00597FFB" w:rsidRDefault="009D4FB4" w:rsidP="009D4FB4">
      <w:pPr>
        <w:spacing w:before="26" w:after="26" w:line="240" w:lineRule="auto"/>
        <w:ind w:left="90"/>
        <w:jc w:val="both"/>
        <w:rPr>
          <w:rFonts w:ascii="Times New Roman" w:eastAsia="Calibri" w:hAnsi="Times New Roman" w:cs="Times New Roman"/>
          <w:i/>
          <w:iCs/>
          <w:color w:val="000000"/>
          <w:sz w:val="20"/>
          <w:szCs w:val="20"/>
        </w:rPr>
      </w:pPr>
      <w:r w:rsidRPr="00597FFB">
        <w:rPr>
          <w:rFonts w:ascii="Times New Roman" w:eastAsia="Calibri" w:hAnsi="Times New Roman" w:cs="Times New Roman"/>
          <w:i/>
          <w:iCs/>
          <w:color w:val="000000"/>
          <w:sz w:val="20"/>
          <w:szCs w:val="20"/>
        </w:rPr>
        <w:t xml:space="preserve">Source: </w:t>
      </w:r>
      <w:r w:rsidR="00B31DB3" w:rsidRPr="00597FFB">
        <w:rPr>
          <w:rFonts w:ascii="Times New Roman" w:eastAsia="Calibri" w:hAnsi="Times New Roman" w:cs="Times New Roman"/>
          <w:i/>
          <w:iCs/>
          <w:color w:val="000000"/>
          <w:sz w:val="20"/>
          <w:szCs w:val="20"/>
        </w:rPr>
        <w:t xml:space="preserve">adapted from </w:t>
      </w:r>
      <w:r w:rsidR="0094532F" w:rsidRPr="00597FFB">
        <w:rPr>
          <w:rFonts w:ascii="Times New Roman" w:eastAsia="Calibri" w:hAnsi="Times New Roman" w:cs="Times New Roman"/>
          <w:i/>
          <w:iCs/>
          <w:color w:val="000000"/>
          <w:sz w:val="20"/>
          <w:szCs w:val="20"/>
        </w:rPr>
        <w:t>Zhang</w:t>
      </w:r>
      <w:r w:rsidR="00E278E6" w:rsidRPr="00597FFB">
        <w:rPr>
          <w:rFonts w:ascii="Times New Roman" w:eastAsia="Calibri" w:hAnsi="Times New Roman" w:cs="Times New Roman"/>
          <w:i/>
          <w:iCs/>
          <w:color w:val="000000"/>
          <w:sz w:val="20"/>
          <w:szCs w:val="20"/>
        </w:rPr>
        <w:t xml:space="preserve"> et al., (2020). </w:t>
      </w:r>
    </w:p>
    <w:p w14:paraId="459D1B93" w14:textId="77777777" w:rsidR="00F14236" w:rsidRPr="00597FFB" w:rsidRDefault="00F14236" w:rsidP="00862672">
      <w:pPr>
        <w:autoSpaceDE w:val="0"/>
        <w:autoSpaceDN w:val="0"/>
        <w:adjustRightInd w:val="0"/>
        <w:spacing w:before="26" w:after="26" w:line="480" w:lineRule="auto"/>
        <w:ind w:firstLine="90"/>
        <w:jc w:val="both"/>
        <w:rPr>
          <w:rFonts w:ascii="Times New Roman" w:eastAsia="Calibri" w:hAnsi="Times New Roman" w:cs="Times New Roman"/>
          <w:color w:val="000000"/>
          <w:sz w:val="24"/>
          <w:szCs w:val="24"/>
        </w:rPr>
      </w:pPr>
    </w:p>
    <w:p w14:paraId="7A6D2565" w14:textId="0F90A84C" w:rsidR="009D4FB4" w:rsidRPr="00597FFB" w:rsidRDefault="009D4FB4" w:rsidP="003C5D81">
      <w:pPr>
        <w:autoSpaceDE w:val="0"/>
        <w:autoSpaceDN w:val="0"/>
        <w:adjustRightInd w:val="0"/>
        <w:spacing w:before="26" w:after="26" w:line="480" w:lineRule="auto"/>
        <w:ind w:firstLine="720"/>
        <w:jc w:val="both"/>
        <w:rPr>
          <w:rFonts w:ascii="Times New Roman" w:eastAsia="Calibri" w:hAnsi="Times New Roman" w:cs="Times New Roman"/>
          <w:color w:val="FF0000"/>
          <w:sz w:val="24"/>
          <w:szCs w:val="24"/>
        </w:rPr>
      </w:pPr>
      <w:r w:rsidRPr="00597FFB">
        <w:rPr>
          <w:rFonts w:ascii="Times New Roman" w:eastAsia="Calibri" w:hAnsi="Times New Roman" w:cs="Times New Roman"/>
          <w:color w:val="000000"/>
          <w:sz w:val="24"/>
          <w:szCs w:val="24"/>
        </w:rPr>
        <w:t xml:space="preserve">Generally, E-waste </w:t>
      </w:r>
      <w:r w:rsidR="003C5D81" w:rsidRPr="00597FFB">
        <w:rPr>
          <w:rFonts w:ascii="Times New Roman" w:eastAsia="Calibri" w:hAnsi="Times New Roman" w:cs="Times New Roman"/>
          <w:color w:val="000000"/>
          <w:sz w:val="24"/>
          <w:szCs w:val="24"/>
        </w:rPr>
        <w:t>covers</w:t>
      </w:r>
      <w:r w:rsidRPr="00597FFB">
        <w:rPr>
          <w:rFonts w:ascii="Times New Roman" w:eastAsia="Calibri" w:hAnsi="Times New Roman" w:cs="Times New Roman"/>
          <w:color w:val="000000"/>
          <w:sz w:val="24"/>
          <w:szCs w:val="24"/>
        </w:rPr>
        <w:t xml:space="preserve"> all EEE types that have or could enter the </w:t>
      </w:r>
      <w:r w:rsidRPr="00597FFB">
        <w:rPr>
          <w:rFonts w:ascii="Times New Roman" w:eastAsia="Calibri" w:hAnsi="Times New Roman" w:cs="Times New Roman"/>
          <w:sz w:val="24"/>
          <w:szCs w:val="24"/>
        </w:rPr>
        <w:t xml:space="preserve">waste stream </w:t>
      </w:r>
      <w:r w:rsidR="008F3E4C" w:rsidRPr="00597FFB">
        <w:rPr>
          <w:rFonts w:ascii="Times New Roman" w:eastAsia="Calibri" w:hAnsi="Times New Roman" w:cs="Times New Roman"/>
          <w:sz w:val="24"/>
          <w:szCs w:val="24"/>
        </w:rPr>
        <w:fldChar w:fldCharType="begin"/>
      </w:r>
      <w:r w:rsidR="00694A46" w:rsidRPr="00597FFB">
        <w:rPr>
          <w:rFonts w:ascii="Times New Roman" w:eastAsia="Calibri" w:hAnsi="Times New Roman" w:cs="Times New Roman"/>
          <w:sz w:val="24"/>
          <w:szCs w:val="24"/>
        </w:rPr>
        <w:instrText xml:space="preserve"> ADDIN ZOTERO_ITEM CSL_CITATION {"citationID":"al0a8e6j4j","properties":{"formattedCitation":"(M. Aboelmaged, 2021a)","plainCitation":"(M. Aboelmaged, 2021a)","dontUpdate":true,"noteIndex":0},"citationItems":[{"id":3462,"uris":["http://zotero.org/users/local/b6CRLSJH/items/R9B6CU76"],"itemData":{"id":3462,"type":"article-journal","abstract":"This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008F3E4C" w:rsidRPr="00597FFB">
        <w:rPr>
          <w:rFonts w:ascii="Times New Roman" w:eastAsia="Calibri" w:hAnsi="Times New Roman" w:cs="Times New Roman"/>
          <w:sz w:val="24"/>
          <w:szCs w:val="24"/>
        </w:rPr>
        <w:fldChar w:fldCharType="separate"/>
      </w:r>
      <w:r w:rsidR="00694A46" w:rsidRPr="00597FFB">
        <w:rPr>
          <w:rFonts w:ascii="Times New Roman" w:hAnsi="Times New Roman" w:cs="Times New Roman"/>
          <w:sz w:val="24"/>
          <w:szCs w:val="24"/>
        </w:rPr>
        <w:t>(Aboelmaged, 2021a)</w:t>
      </w:r>
      <w:r w:rsidR="008F3E4C" w:rsidRPr="00597FFB">
        <w:rPr>
          <w:rFonts w:ascii="Times New Roman" w:eastAsia="Calibri" w:hAnsi="Times New Roman" w:cs="Times New Roman"/>
          <w:sz w:val="24"/>
          <w:szCs w:val="24"/>
        </w:rPr>
        <w:fldChar w:fldCharType="end"/>
      </w:r>
      <w:r w:rsidR="00694A46"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E-</w:t>
      </w:r>
      <w:r w:rsidRPr="00597FFB">
        <w:rPr>
          <w:rFonts w:ascii="Times New Roman" w:eastAsia="Calibri" w:hAnsi="Times New Roman" w:cs="Times New Roman"/>
          <w:color w:val="000000"/>
          <w:sz w:val="24"/>
          <w:szCs w:val="24"/>
        </w:rPr>
        <w:t xml:space="preserve">waste is also used to describe any household or business item with a circuit or electrical components. These consist of EEE with a battery or a plug that is no more valuable to their owners or no longer satisfies their initial </w:t>
      </w:r>
      <w:r w:rsidRPr="00597FFB">
        <w:rPr>
          <w:rFonts w:ascii="Times New Roman" w:eastAsia="Calibri" w:hAnsi="Times New Roman" w:cs="Times New Roman"/>
          <w:sz w:val="24"/>
          <w:szCs w:val="24"/>
        </w:rPr>
        <w:t xml:space="preserve">purpose </w:t>
      </w:r>
      <w:r w:rsidR="00AD67EA" w:rsidRPr="00597FFB">
        <w:rPr>
          <w:rFonts w:ascii="Times New Roman" w:eastAsia="Calibri" w:hAnsi="Times New Roman" w:cs="Times New Roman"/>
          <w:sz w:val="24"/>
          <w:szCs w:val="24"/>
        </w:rPr>
        <w:fldChar w:fldCharType="begin"/>
      </w:r>
      <w:r w:rsidR="00AC62E8" w:rsidRPr="00597FFB">
        <w:rPr>
          <w:rFonts w:ascii="Times New Roman" w:eastAsia="Calibri" w:hAnsi="Times New Roman" w:cs="Times New Roman"/>
          <w:sz w:val="24"/>
          <w:szCs w:val="24"/>
        </w:rPr>
        <w:instrText xml:space="preserve"> ADDIN ZOTERO_ITEM CSL_CITATION {"citationID":"al0rotj7aj","properties":{"formattedCitation":"(Onyara, 2020)","plainCitation":"(Onyara, 2020)","noteIndex":0},"citationItems":[{"id":3856,"uris":["http://zotero.org/users/local/b6CRLSJH/items/FJ582JND"],"itemData":{"id":3856,"type":"article-journal","abstract":"This article outlines how different world economies define e-waste. It further looks at how the narratives coming from these definitions affect the scope of management of e-waste. Geographical and social-economic dynamism does affect similarities and differences in approaches to the management of e-waste. As much as each geographical location defines ewaste in its own familiar context and peculiarity, several definitions have major components left out or added, creating strengths or weaknesses for each one of them. Each definition on its own uniquely shows the regional integration in thought and how diverse it is in beliefs of what are uniquely them. This article sums up by showing how an aspect of e-waste management –disposal, has predicted how economies define e-waste and why there is need to understand different contextual definitions for different world economies so as to effectively manage electrical and electronic equipment once they reach their end of life in the context of the user. The study identifies factors that have aided disposal of e-waste, these factors include; legal and regulatory frameworks, e-waste concept, availability and affordability of the EEE. This study considers Disposal of EEE as a determinant measure of e-waste definition.","container-title":"International Journal of Current Aspects","DOI":"10.35942/ijcab.v4i1.106","ISSN":"2616-6976","issue":"1","journalAbbreviation":"IJCAB","language":"en","note":"number: 1","page":"33-42","source":"DOI.org (Crossref)","title":"E-Waste as Perceived by Different World Economies: Critical Review of Literature","title-short":"E-Waste as Perceived by Different World Economies","volume":"4","author":[{"family":"Onyara","given":"Virginiah"}],"issued":{"date-parts":[["2020",6,19]]}}}],"schema":"https://github.com/citation-style-language/schema/raw/master/csl-citation.json"} </w:instrText>
      </w:r>
      <w:r w:rsidR="00AD67EA" w:rsidRPr="00597FFB">
        <w:rPr>
          <w:rFonts w:ascii="Times New Roman" w:eastAsia="Calibri" w:hAnsi="Times New Roman" w:cs="Times New Roman"/>
          <w:sz w:val="24"/>
          <w:szCs w:val="24"/>
        </w:rPr>
        <w:fldChar w:fldCharType="separate"/>
      </w:r>
      <w:r w:rsidR="00AC62E8" w:rsidRPr="00597FFB">
        <w:rPr>
          <w:rFonts w:ascii="Times New Roman" w:hAnsi="Times New Roman" w:cs="Times New Roman"/>
          <w:sz w:val="24"/>
          <w:szCs w:val="24"/>
        </w:rPr>
        <w:t>(Onyara, 2020)</w:t>
      </w:r>
      <w:r w:rsidR="00AD67EA" w:rsidRPr="00597FFB">
        <w:rPr>
          <w:rFonts w:ascii="Times New Roman" w:eastAsia="Calibri" w:hAnsi="Times New Roman" w:cs="Times New Roman"/>
          <w:sz w:val="24"/>
          <w:szCs w:val="24"/>
        </w:rPr>
        <w:fldChar w:fldCharType="end"/>
      </w:r>
      <w:r w:rsidR="00AD67EA"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The various types of waste products classified as E-waste include mobile phones, computers, printers, TVs, and audio-visual recorders</w:t>
      </w:r>
      <w:r w:rsidRPr="00597FFB">
        <w:rPr>
          <w:rFonts w:ascii="Times New Roman" w:eastAsia="Calibri" w:hAnsi="Times New Roman" w:cs="Times New Roman"/>
          <w:sz w:val="24"/>
          <w:szCs w:val="24"/>
        </w:rPr>
        <w:t xml:space="preserve"> </w:t>
      </w:r>
      <w:r w:rsidR="00232809" w:rsidRPr="00597FFB">
        <w:rPr>
          <w:rFonts w:ascii="Times New Roman" w:eastAsia="Calibri" w:hAnsi="Times New Roman" w:cs="Times New Roman"/>
          <w:color w:val="000000"/>
          <w:sz w:val="24"/>
          <w:szCs w:val="24"/>
        </w:rPr>
        <w:fldChar w:fldCharType="begin"/>
      </w:r>
      <w:r w:rsidR="005511EF" w:rsidRPr="00597FFB">
        <w:rPr>
          <w:rFonts w:ascii="Times New Roman" w:eastAsia="Calibri" w:hAnsi="Times New Roman" w:cs="Times New Roman"/>
          <w:color w:val="000000"/>
          <w:sz w:val="24"/>
          <w:szCs w:val="24"/>
        </w:rPr>
        <w:instrText xml:space="preserve"> ADDIN ZOTERO_ITEM CSL_CITATION {"citationID":"afbt7qjdbn","properties":{"formattedCitation":"(Attia et al., 2021)","plainCitation":"(Attia et al., 2021)","noteIndex":0},"citationItems":[{"id":4442,"uris":["http://zotero.org/users/local/b6CRLSJH/items/Q36DWAWW"],"itemData":{"id":4442,"type":"article-journal","abstract":"During the recent decades, the world has seen ongoing economic and technological development which resulted in the generation of huge volumes of electrical and electronic waste (e-waste). In the Middle East, the United Arab Emirates (UAE) ranks among countries with large e-waste generation due to its consumers’ high spending on electronic devices thereby resulting in a high obsolescence rate in the country. Accordingly, this study aims to analyze the e-waste management and recycling practices in the UAE. It takes Dubai as a case study and conducts a structured questionnaire to analyze households’ awareness, consumption of electronic devices in general and mobile phones in particular, and the disposal behavior of e-waste. Waste mobile phones is taken as a key representative in this study, in which potential waste mobile phones is estimated using the Approximation 1 method in the period 2021–2030. Results from the survey illustrated gaps among households’ awareness and disposal behavior of e-waste, where e-waste recycling rates were noticed to be low. Based on these gaps, strategies were proposed for an effective e-waste management system in the context of Dubai, and were supported by the proposal of an e-waste legislation framework in the UAE.","container-title":"Toxics","DOI":"10.3390/toxics9100236","ISSN":"2305-6304","issue":"10","journalAbbreviation":"Toxics","language":"en","page":"236","source":"DOI.org (Crossref)","title":"Analysis of Households’ E-Waste Awareness, Disposal Behavior, and Estimation of Potential Waste Mobile Phones towards an Effective E-Waste Management System in Dubai","volume":"9","author":[{"family":"Attia","given":"Yousra"},{"family":"Soori","given":"Prashant Kumar"},{"family":"Ghaith","given":"Fadi"}],"issued":{"date-parts":[["2021",9,25]]}}}],"schema":"https://github.com/citation-style-language/schema/raw/master/csl-citation.json"} </w:instrText>
      </w:r>
      <w:r w:rsidR="00232809" w:rsidRPr="00597FFB">
        <w:rPr>
          <w:rFonts w:ascii="Times New Roman" w:eastAsia="Calibri" w:hAnsi="Times New Roman" w:cs="Times New Roman"/>
          <w:color w:val="000000"/>
          <w:sz w:val="24"/>
          <w:szCs w:val="24"/>
        </w:rPr>
        <w:fldChar w:fldCharType="separate"/>
      </w:r>
      <w:r w:rsidR="005511EF" w:rsidRPr="00597FFB">
        <w:rPr>
          <w:rFonts w:ascii="Times New Roman" w:hAnsi="Times New Roman" w:cs="Times New Roman"/>
          <w:sz w:val="24"/>
          <w:szCs w:val="24"/>
        </w:rPr>
        <w:t>(Attia et al., 2021)</w:t>
      </w:r>
      <w:r w:rsidR="00232809"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Other electronic goods, such as air conditioners, kitchen equipment, washing machines, lawnmowers, sewing machines, elevators, electronic toys, therapeutic and hospital equipment, surveillance equipment, mobile radio transmitters, and accessories </w:t>
      </w:r>
      <w:r w:rsidR="005511EF" w:rsidRPr="00597FFB">
        <w:rPr>
          <w:rFonts w:ascii="Times New Roman" w:eastAsia="Calibri" w:hAnsi="Times New Roman" w:cs="Times New Roman"/>
          <w:color w:val="000000"/>
          <w:sz w:val="24"/>
          <w:szCs w:val="24"/>
        </w:rPr>
        <w:fldChar w:fldCharType="begin"/>
      </w:r>
      <w:r w:rsidR="00D214FD" w:rsidRPr="00597FFB">
        <w:rPr>
          <w:rFonts w:ascii="Times New Roman" w:eastAsia="Calibri" w:hAnsi="Times New Roman" w:cs="Times New Roman"/>
          <w:color w:val="000000"/>
          <w:sz w:val="24"/>
          <w:szCs w:val="24"/>
        </w:rPr>
        <w:instrText xml:space="preserve"> ADDIN ZOTERO_ITEM CSL_CITATION {"citationID":"a2ehavuibem","properties":{"formattedCitation":"(Aidonis et al., 2019b)","plainCitation":"(Aidonis et al., 2019b)","noteIndex":0},"citationItems":[{"id":3966,"uris":["http://zotero.org/users/local/b6CRLSJH/items/3R5BQIDH"],"itemData":{"id":3966,"type":"article-journal","abstract":"Waste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D214FD" w:rsidRPr="00597FFB">
        <w:rPr>
          <w:rFonts w:ascii="Cambria Math" w:eastAsia="Calibri" w:hAnsi="Cambria Math" w:cs="Cambria Math"/>
          <w:color w:val="000000"/>
          <w:sz w:val="24"/>
          <w:szCs w:val="24"/>
        </w:rPr>
        <w:instrText>↵</w:instrText>
      </w:r>
      <w:r w:rsidR="00D214FD" w:rsidRPr="00597FFB">
        <w:rPr>
          <w:rFonts w:ascii="Times New Roman" w:eastAsia="Calibri" w:hAnsi="Times New Roman" w:cs="Times New Roman"/>
          <w:color w:val="000000"/>
          <w:sz w:val="24"/>
          <w:szCs w:val="24"/>
        </w:rPr>
        <w:instrText xml:space="preserve">ectiveness, is required for the integrated WEEE management at a national level.","container-title":"Sustainability","DOI":"10.3390/su11123364","ISSN":"2071-1050","issue":"12","journalAbbreviation":"Sustainability","language":"en","note":"number: 12","page":"3364","source":"DOI.org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5511EF" w:rsidRPr="00597FFB">
        <w:rPr>
          <w:rFonts w:ascii="Times New Roman" w:eastAsia="Calibri" w:hAnsi="Times New Roman" w:cs="Times New Roman"/>
          <w:color w:val="000000"/>
          <w:sz w:val="24"/>
          <w:szCs w:val="24"/>
        </w:rPr>
        <w:fldChar w:fldCharType="separate"/>
      </w:r>
      <w:r w:rsidR="00D214FD" w:rsidRPr="00597FFB">
        <w:rPr>
          <w:rFonts w:ascii="Times New Roman" w:hAnsi="Times New Roman" w:cs="Times New Roman"/>
          <w:sz w:val="24"/>
        </w:rPr>
        <w:t>(Aidonis et al., 2019b)</w:t>
      </w:r>
      <w:r w:rsidR="005511EF" w:rsidRPr="00597FFB">
        <w:rPr>
          <w:rFonts w:ascii="Times New Roman" w:eastAsia="Calibri" w:hAnsi="Times New Roman" w:cs="Times New Roman"/>
          <w:color w:val="000000"/>
          <w:sz w:val="24"/>
          <w:szCs w:val="24"/>
        </w:rPr>
        <w:fldChar w:fldCharType="end"/>
      </w:r>
      <w:r w:rsidR="005511EF" w:rsidRPr="00597FFB">
        <w:rPr>
          <w:rFonts w:ascii="Times New Roman" w:eastAsia="Calibri" w:hAnsi="Times New Roman" w:cs="Times New Roman"/>
          <w:color w:val="000000"/>
          <w:sz w:val="24"/>
          <w:szCs w:val="24"/>
        </w:rPr>
        <w:t>.</w:t>
      </w:r>
      <w:r w:rsidR="003C5D81"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This list covers most small and large household and business appliances in modern society </w:t>
      </w:r>
      <w:r w:rsidR="006A5A61" w:rsidRPr="00597FFB">
        <w:rPr>
          <w:rFonts w:ascii="Times New Roman" w:eastAsia="Calibri" w:hAnsi="Times New Roman" w:cs="Times New Roman"/>
          <w:color w:val="000000"/>
          <w:sz w:val="24"/>
          <w:szCs w:val="24"/>
        </w:rPr>
        <w:fldChar w:fldCharType="begin"/>
      </w:r>
      <w:r w:rsidR="00862E1E" w:rsidRPr="00597FFB">
        <w:rPr>
          <w:rFonts w:ascii="Times New Roman" w:eastAsia="Calibri" w:hAnsi="Times New Roman" w:cs="Times New Roman"/>
          <w:color w:val="000000"/>
          <w:sz w:val="24"/>
          <w:szCs w:val="24"/>
        </w:rPr>
        <w:instrText xml:space="preserve"> ADDIN ZOTERO_ITEM CSL_CITATION {"citationID":"a2p8r42eu88","properties":{"formattedCitation":"(Abbas &amp; Sa\\uc0\\u287{}san, 2019)","plainCitation":"(Abbas &amp; Sağsan, 2019)","noteIndex":0},"citationItems":[{"id":2991,"uris":["http://zotero.org/users/local/b6CRLSJH/items/M2RJ5ZWJ"],"itemData":{"id":2991,"type":"article-journal","container-title":"Journal of Cleaner Production","DOI":"10.1016/j.jclepro.2019.05.024","ISSN":"09596526","journalAbbreviation":"Journal of Cleaner Production","language":"en","page":"611-620","source":"DOI.org (Crossref)","title":"Impact of knowledge management practices on green innovation and corporate sustainable development: A structural analysis","title-short":"Impact of knowledge management practices on green innovation and corporate sustainable development","volume":"229","author":[{"family":"Abbas","given":"Jawad"},{"family":"Sağsan","given":"Mustafa"}],"issued":{"date-parts":[["2019",8]]}}}],"schema":"https://github.com/citation-style-language/schema/raw/master/csl-citation.json"} </w:instrText>
      </w:r>
      <w:r w:rsidR="006A5A61" w:rsidRPr="00597FFB">
        <w:rPr>
          <w:rFonts w:ascii="Times New Roman" w:eastAsia="Calibri" w:hAnsi="Times New Roman" w:cs="Times New Roman"/>
          <w:color w:val="000000"/>
          <w:sz w:val="24"/>
          <w:szCs w:val="24"/>
        </w:rPr>
        <w:fldChar w:fldCharType="separate"/>
      </w:r>
      <w:r w:rsidR="00862E1E" w:rsidRPr="00597FFB">
        <w:rPr>
          <w:rFonts w:ascii="Times New Roman" w:hAnsi="Times New Roman" w:cs="Times New Roman"/>
          <w:sz w:val="24"/>
          <w:szCs w:val="24"/>
        </w:rPr>
        <w:t>(Abbas &amp; Sağsan, 2019)</w:t>
      </w:r>
      <w:r w:rsidR="006A5A61" w:rsidRPr="00597FFB">
        <w:rPr>
          <w:rFonts w:ascii="Times New Roman" w:eastAsia="Calibri" w:hAnsi="Times New Roman" w:cs="Times New Roman"/>
          <w:color w:val="000000"/>
          <w:sz w:val="24"/>
          <w:szCs w:val="24"/>
        </w:rPr>
        <w:fldChar w:fldCharType="end"/>
      </w:r>
      <w:r w:rsidR="006A5A61"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To solve the E-waste problem, the European Union (EU) established the Directive on Waste Electrical and Electronic Equipment (WEEE Directive) in 2012 </w:t>
      </w:r>
      <w:r w:rsidR="003C5106" w:rsidRPr="00597FFB">
        <w:rPr>
          <w:rFonts w:ascii="Times New Roman" w:eastAsia="Calibri" w:hAnsi="Times New Roman" w:cs="Times New Roman"/>
          <w:color w:val="000000"/>
          <w:sz w:val="24"/>
          <w:szCs w:val="24"/>
        </w:rPr>
        <w:fldChar w:fldCharType="begin"/>
      </w:r>
      <w:r w:rsidR="00731794" w:rsidRPr="00597FFB">
        <w:rPr>
          <w:rFonts w:ascii="Times New Roman" w:eastAsia="Calibri" w:hAnsi="Times New Roman" w:cs="Times New Roman"/>
          <w:color w:val="000000"/>
          <w:sz w:val="24"/>
          <w:szCs w:val="24"/>
        </w:rPr>
        <w:instrText xml:space="preserve"> ADDIN ZOTERO_ITEM CSL_CITATION {"citationID":"a2nc07655me","properties":{"formattedCitation":"(Isernia et al., 2019)","plainCitation":"(Isernia et al., 2019)","noteIndex":0},"citationItems":[{"id":3526,"uris":["http://zotero.org/users/local/b6CRLSJH/items/XGN68SW2"],"itemData":{"id":3526,"type":"article-journal","abstract":"In the last several decades, Waste Electrical and Electronic Equipment (WEEE) reverse supply chain management has increasingly gained more attention due to the development of an environmental awareness, the rapid raise of e-wasted products and the EU regulations. In particular, although the new EU WEEE collection target has not been reached by many EU countries, several studies show that an optimized WEEE wastes management processes could represent a relevant way to achieve economic, environmental and social beneﬁts expected by the adoption of circular economy approaches. According to this, the paper aims to evaluate the extent to which the current Italian organization of the WEEE management system and the related legislation are able to support the achievement of the targets deﬁned by EU with a speciﬁc focus on the collection centers (CCs) which play a key role being the initial point of the WEEE reverse logistic cycle. An illustrative analysis based on the transition probability matrix regarding both the e-waste collecting performance and the distribution of collecting centers in the Italian provinces is illustrated. Furthermore, we have analyzed the presence of a correlation between the WEEE collection rate and the presence of the CCs in di</w:instrText>
      </w:r>
      <w:r w:rsidR="00731794" w:rsidRPr="00597FFB">
        <w:rPr>
          <w:rFonts w:ascii="Cambria Math" w:eastAsia="Calibri" w:hAnsi="Cambria Math" w:cs="Cambria Math"/>
          <w:color w:val="000000"/>
          <w:sz w:val="24"/>
          <w:szCs w:val="24"/>
        </w:rPr>
        <w:instrText>ﬀ</w:instrText>
      </w:r>
      <w:r w:rsidR="00731794" w:rsidRPr="00597FFB">
        <w:rPr>
          <w:rFonts w:ascii="Times New Roman" w:eastAsia="Calibri" w:hAnsi="Times New Roman" w:cs="Times New Roman"/>
          <w:color w:val="000000"/>
          <w:sz w:val="24"/>
          <w:szCs w:val="24"/>
        </w:rPr>
        <w:instrText>erent provinces in order to better comprehend the role that can play both the investments in CC system and other soft measures in achieving the WEEE collection targets. Results show that the current Italian organization of the WEEE management system and the related legislations are not so e</w:instrText>
      </w:r>
      <w:r w:rsidR="00731794" w:rsidRPr="00597FFB">
        <w:rPr>
          <w:rFonts w:ascii="Cambria Math" w:eastAsia="Calibri" w:hAnsi="Cambria Math" w:cs="Cambria Math"/>
          <w:color w:val="000000"/>
          <w:sz w:val="24"/>
          <w:szCs w:val="24"/>
        </w:rPr>
        <w:instrText>ﬀ</w:instrText>
      </w:r>
      <w:r w:rsidR="00731794" w:rsidRPr="00597FFB">
        <w:rPr>
          <w:rFonts w:ascii="Times New Roman" w:eastAsia="Calibri" w:hAnsi="Times New Roman" w:cs="Times New Roman"/>
          <w:color w:val="000000"/>
          <w:sz w:val="24"/>
          <w:szCs w:val="24"/>
        </w:rPr>
        <w:instrText xml:space="preserve">ective in supporting the achievement of EU WEEE collection targets at the national level, although some geographical areas and provinces outperform the EU targets.","container-title":"Sustainability","DOI":"10.3390/su11082430","ISSN":"2071-1050","issue":"8","journalAbbreviation":"Sustainability","language":"en","note":"number: 8","page":"2430","source":"DOI.org (Crossref)","title":"The Reverse Supply Chain of the E-Waste Management Processes in a Circular Economy Framework: Evidence from Italy","title-short":"The Reverse Supply Chain of the E-Waste Management Processes in a Circular Economy Framework","volume":"11","author":[{"family":"Isernia","given":"Raffaele"},{"family":"Passaro","given":"Renato"},{"family":"Quinto","given":"Ivana"},{"family":"Thomas","given":"Antonio"}],"issued":{"date-parts":[["2019",4,24]]}}}],"schema":"https://github.com/citation-style-language/schema/raw/master/csl-citation.json"} </w:instrText>
      </w:r>
      <w:r w:rsidR="003C5106" w:rsidRPr="00597FFB">
        <w:rPr>
          <w:rFonts w:ascii="Times New Roman" w:eastAsia="Calibri" w:hAnsi="Times New Roman" w:cs="Times New Roman"/>
          <w:color w:val="000000"/>
          <w:sz w:val="24"/>
          <w:szCs w:val="24"/>
        </w:rPr>
        <w:fldChar w:fldCharType="separate"/>
      </w:r>
      <w:r w:rsidR="00731794" w:rsidRPr="00597FFB">
        <w:rPr>
          <w:rFonts w:ascii="Times New Roman" w:hAnsi="Times New Roman" w:cs="Times New Roman"/>
          <w:sz w:val="24"/>
          <w:szCs w:val="24"/>
        </w:rPr>
        <w:t>(Isernia et al., 2019)</w:t>
      </w:r>
      <w:r w:rsidR="003C5106" w:rsidRPr="00597FFB">
        <w:rPr>
          <w:rFonts w:ascii="Times New Roman" w:eastAsia="Calibri" w:hAnsi="Times New Roman" w:cs="Times New Roman"/>
          <w:color w:val="000000"/>
          <w:sz w:val="24"/>
          <w:szCs w:val="24"/>
        </w:rPr>
        <w:fldChar w:fldCharType="end"/>
      </w:r>
      <w:r w:rsidR="003C5106"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Table 2 summarizes the main categories of E-waste, as defined by the EU's Revised WEEE Directive. Considering the heterogeneity of WEEE, they aim to regroup the different types of devices</w:t>
      </w:r>
      <w:r w:rsidR="00EF07EB" w:rsidRPr="00597FFB">
        <w:rPr>
          <w:rFonts w:ascii="Times New Roman" w:eastAsia="Calibri" w:hAnsi="Times New Roman" w:cs="Times New Roman"/>
          <w:color w:val="000000"/>
          <w:sz w:val="24"/>
          <w:szCs w:val="24"/>
        </w:rPr>
        <w:t xml:space="preserve"> </w:t>
      </w:r>
      <w:r w:rsidR="00EF07EB" w:rsidRPr="00597FFB">
        <w:rPr>
          <w:rFonts w:ascii="Times New Roman" w:eastAsia="Calibri" w:hAnsi="Times New Roman" w:cs="Times New Roman"/>
          <w:color w:val="000000"/>
          <w:sz w:val="24"/>
          <w:szCs w:val="24"/>
        </w:rPr>
        <w:fldChar w:fldCharType="begin"/>
      </w:r>
      <w:r w:rsidR="00B31DB3" w:rsidRPr="00597FFB">
        <w:rPr>
          <w:rFonts w:ascii="Times New Roman" w:eastAsia="Calibri" w:hAnsi="Times New Roman" w:cs="Times New Roman"/>
          <w:color w:val="000000"/>
          <w:sz w:val="24"/>
          <w:szCs w:val="24"/>
        </w:rPr>
        <w:instrText xml:space="preserve"> ADDIN ZOTERO_ITEM CSL_CITATION {"citationID":"a2lh7va2ro8","properties":{"formattedCitation":"(Shittu et al., 2021)","plainCitation":"(Shittu et al., 2021)","noteIndex":0},"citationItems":[{"id":806,"uris":["http://zotero.org/users/local/b6CRLSJH/items/9PKGG8TL"],"itemData":{"id":806,"type":"article-journal","container-title":"Waste Management","DOI":"10.1016/j.wasman.2020.10.016","ISSN":"0956053X","journalAbbreviation":"Waste Management","language":"en","page":"549-563","source":"DOI.org (Crossref)","title":"Global E-waste management: Can WEEE make a difference? A review of e-waste trends, legislation, contemporary issues and future challenges","title-short":"Global E-waste management","volume":"120","author":[{"family":"Shittu","given":"Olanrewaju S."},{"family":"Williams","given":"Ian D."},{"family":"Shaw","given":"Peter J."}],"issued":{"date-parts":[["2021",2]]}}}],"schema":"https://github.com/citation-style-language/schema/raw/master/csl-citation.json"} </w:instrText>
      </w:r>
      <w:r w:rsidR="00EF07EB" w:rsidRPr="00597FFB">
        <w:rPr>
          <w:rFonts w:ascii="Times New Roman" w:eastAsia="Calibri" w:hAnsi="Times New Roman" w:cs="Times New Roman"/>
          <w:color w:val="000000"/>
          <w:sz w:val="24"/>
          <w:szCs w:val="24"/>
        </w:rPr>
        <w:fldChar w:fldCharType="separate"/>
      </w:r>
      <w:r w:rsidR="00B31DB3" w:rsidRPr="00597FFB">
        <w:rPr>
          <w:rFonts w:ascii="Times New Roman" w:hAnsi="Times New Roman" w:cs="Times New Roman"/>
          <w:sz w:val="24"/>
          <w:szCs w:val="24"/>
        </w:rPr>
        <w:t>(Shittu et al., 2021)</w:t>
      </w:r>
      <w:r w:rsidR="00EF07EB" w:rsidRPr="00597FFB">
        <w:rPr>
          <w:rFonts w:ascii="Times New Roman" w:eastAsia="Calibri" w:hAnsi="Times New Roman" w:cs="Times New Roman"/>
          <w:color w:val="000000"/>
          <w:sz w:val="24"/>
          <w:szCs w:val="24"/>
        </w:rPr>
        <w:fldChar w:fldCharType="end"/>
      </w:r>
      <w:r w:rsidR="00EF07EB" w:rsidRPr="00597FFB">
        <w:rPr>
          <w:rFonts w:ascii="Times New Roman" w:eastAsia="Calibri" w:hAnsi="Times New Roman" w:cs="Times New Roman"/>
          <w:color w:val="000000"/>
          <w:sz w:val="24"/>
          <w:szCs w:val="24"/>
        </w:rPr>
        <w:t>.</w:t>
      </w:r>
    </w:p>
    <w:p w14:paraId="6CBF14AB" w14:textId="48CAB2D0" w:rsidR="009D4FB4" w:rsidRPr="00597FFB" w:rsidRDefault="009D4FB4" w:rsidP="00C67232">
      <w:pPr>
        <w:autoSpaceDE w:val="0"/>
        <w:autoSpaceDN w:val="0"/>
        <w:adjustRightInd w:val="0"/>
        <w:spacing w:before="26" w:after="26"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color w:val="000000"/>
          <w:sz w:val="24"/>
          <w:szCs w:val="24"/>
        </w:rPr>
        <w:t xml:space="preserve">E-waste is one of the </w:t>
      </w:r>
      <w:r w:rsidRPr="00597FFB">
        <w:rPr>
          <w:rFonts w:ascii="Times New Roman" w:eastAsia="Calibri" w:hAnsi="Times New Roman" w:cs="Times New Roman"/>
          <w:sz w:val="24"/>
          <w:szCs w:val="24"/>
        </w:rPr>
        <w:t xml:space="preserve">fastest-growing solid wastes worldwide, and due to the </w:t>
      </w:r>
      <w:r w:rsidR="0072417B" w:rsidRPr="00597FFB">
        <w:rPr>
          <w:rFonts w:ascii="Times New Roman" w:eastAsia="Calibri" w:hAnsi="Times New Roman" w:cs="Times New Roman"/>
          <w:sz w:val="24"/>
          <w:szCs w:val="24"/>
        </w:rPr>
        <w:t>threats,</w:t>
      </w:r>
      <w:r w:rsidRPr="00597FFB">
        <w:rPr>
          <w:rFonts w:ascii="Times New Roman" w:eastAsia="Calibri" w:hAnsi="Times New Roman" w:cs="Times New Roman"/>
          <w:sz w:val="24"/>
          <w:szCs w:val="24"/>
        </w:rPr>
        <w:t xml:space="preserve"> it poses to the environment and human health, it is one of the critical pollution problems </w:t>
      </w:r>
      <w:r w:rsidR="00C67232" w:rsidRPr="00597FFB">
        <w:rPr>
          <w:rFonts w:ascii="Times New Roman" w:eastAsia="Calibri" w:hAnsi="Times New Roman" w:cs="Times New Roman"/>
          <w:sz w:val="24"/>
          <w:szCs w:val="24"/>
        </w:rPr>
        <w:fldChar w:fldCharType="begin"/>
      </w:r>
      <w:r w:rsidR="00A61CA6" w:rsidRPr="00597FFB">
        <w:rPr>
          <w:rFonts w:ascii="Times New Roman" w:eastAsia="Calibri" w:hAnsi="Times New Roman" w:cs="Times New Roman"/>
          <w:sz w:val="24"/>
          <w:szCs w:val="24"/>
        </w:rPr>
        <w:instrText xml:space="preserve"> ADDIN ZOTERO_ITEM CSL_CITATION {"citationID":"a1b9b5hodof","properties":{"formattedCitation":"(D. Chen et al., 2020a)","plainCitation":"(D. Chen et al., 2020a)","dontUpdate":true,"noteIndex":0},"citationItems":[{"id":3324,"uris":["http://zotero.org/users/local/b6CRLSJH/items/AAYQY2NV"],"itemData":{"id":3324,"type":"article-journal","abstract":"The majority of developing countries are facing enormous challenges in implementing sustainable waste electrical and electronic equipment (e-waste) management systems. Informal e-waste management practices in Ghana have become a critical challenge to the government and the various stakeholders owing to its environmental and health impacts. However, the effort to implement ewaste formalization management practices has been threatened with many barriers. This study aims to identify and evaluate barriers and pathways to the implementation of e-waste formalization management systems in Ghana. A three-phase methodology consisting of the Delphi method, the hybrid best–worst method and the fuzzy TOPSIS technique is employed. The first phase involves extensive literature review and the use of the Delphi method to identify barriers, pathways, and data collection for ewaste formalization. In the second phase, the best–worst method was employed to analyze the relative weight and ranking of the barriers. The third phase involves the application of fuzzy TOPSIS to rank and prioritize pathways to e-waste formalization systems. Fuzzy logic was applied to handle the subjectivity of decision-makers’ preferences. A sensitivity analysis was carried out to check the robustness of the framework and address any effect of bias. The outcome of the study indicates that economic and financial limitations are the most significant barriers to e-waste formalization. “Setting up resourced environmental government agencies for effective monitoring and auditing at the regional levels for appropriate e-waste management practices” is the most prominent pathway. The present study can potentially inform policy makers to develop systematic and strategic policies for the implementation of e-waste formalization management systems.","container-title":"Environmental Science and Pollution Research","DOI":"10.1007/s11356-020-10360-8","ISSN":"0944-1344, 1614-7499","issue":"35","journalAbbreviation":"Environ Sci Pollut Res","language":"en","note":"number: 35","page":"44561-44584","source":"DOI.org (Crossref)","title":"Evaluating critical barriers and pathways to implementation of e-waste formalization management systems in Ghana: a hybrid BWM and fuzzy TOPSIS approach","title-short":"Evaluating critical barriers and pathways to implementation of e-waste formalization management systems in Ghana","volume":"27","author":[{"family":"Chen","given":"Dehu"},{"family":"Faibil","given":"Daniel"},{"family":"Agyemang","given":"Martin"}],"issued":{"date-parts":[["2020",12]]}}}],"schema":"https://github.com/citation-style-language/schema/raw/master/csl-citation.json"} </w:instrText>
      </w:r>
      <w:r w:rsidR="00C67232" w:rsidRPr="00597FFB">
        <w:rPr>
          <w:rFonts w:ascii="Times New Roman" w:eastAsia="Calibri" w:hAnsi="Times New Roman" w:cs="Times New Roman"/>
          <w:sz w:val="24"/>
          <w:szCs w:val="24"/>
        </w:rPr>
        <w:fldChar w:fldCharType="separate"/>
      </w:r>
      <w:r w:rsidR="004E18CF" w:rsidRPr="00597FFB">
        <w:rPr>
          <w:rFonts w:ascii="Times New Roman" w:hAnsi="Times New Roman" w:cs="Times New Roman"/>
          <w:sz w:val="24"/>
          <w:szCs w:val="24"/>
        </w:rPr>
        <w:t>(Chen et al., 2020a)</w:t>
      </w:r>
      <w:r w:rsidR="00C67232" w:rsidRPr="00597FFB">
        <w:rPr>
          <w:rFonts w:ascii="Times New Roman" w:eastAsia="Calibri" w:hAnsi="Times New Roman" w:cs="Times New Roman"/>
          <w:sz w:val="24"/>
          <w:szCs w:val="24"/>
        </w:rPr>
        <w:fldChar w:fldCharType="end"/>
      </w:r>
      <w:r w:rsidR="00C67232"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E-waste is categorized as hazardous due to several toxic chemicals, metal components, and halogens in their component materials. </w:t>
      </w:r>
      <w:r w:rsidR="002757F4" w:rsidRPr="00597FFB">
        <w:rPr>
          <w:rFonts w:ascii="Times New Roman" w:eastAsia="Calibri" w:hAnsi="Times New Roman" w:cs="Times New Roman"/>
          <w:sz w:val="24"/>
          <w:szCs w:val="24"/>
        </w:rPr>
        <w:t xml:space="preserve">Bhardwaj et al. (2023) </w:t>
      </w:r>
      <w:r w:rsidRPr="00597FFB">
        <w:rPr>
          <w:rFonts w:ascii="Times New Roman" w:eastAsia="Calibri" w:hAnsi="Times New Roman" w:cs="Times New Roman"/>
          <w:sz w:val="24"/>
          <w:szCs w:val="24"/>
        </w:rPr>
        <w:t>classified the hazardous chemicals in E-waste as either primary or secondary contaminants. The primary pollutants are the vital components that are initially present in EEE manufacturing due to their unique intrinsic characteristics. The primary pollutants include metals, such as Chromium (Cr), Copper (Cu), Lead (Pb), Zinc (Zn); organic compounds, such as polychlorinated biphenyls (PCBs); metalloids, such as antimony (Sb</w:t>
      </w:r>
      <w:r w:rsidRPr="00597FFB">
        <w:rPr>
          <w:rStyle w:val="FootnoteReference"/>
        </w:rPr>
        <w:footnoteReference w:id="1"/>
      </w:r>
      <w:r w:rsidRPr="00597FFB">
        <w:rPr>
          <w:rFonts w:ascii="Times New Roman" w:eastAsia="Calibri" w:hAnsi="Times New Roman" w:cs="Times New Roman"/>
          <w:sz w:val="24"/>
          <w:szCs w:val="24"/>
        </w:rPr>
        <w:t xml:space="preserve">) and liquid crystals. The secondary contaminants include chemicals, such as </w:t>
      </w:r>
      <w:r w:rsidR="00FA0217" w:rsidRPr="00597FFB">
        <w:rPr>
          <w:rFonts w:ascii="Times New Roman" w:eastAsia="Calibri" w:hAnsi="Times New Roman" w:cs="Times New Roman"/>
          <w:sz w:val="24"/>
          <w:szCs w:val="24"/>
        </w:rPr>
        <w:t xml:space="preserve">polycyclic aromatic hydrocarbons (PAHs), </w:t>
      </w:r>
      <w:r w:rsidRPr="00597FFB">
        <w:rPr>
          <w:rFonts w:ascii="Times New Roman" w:eastAsia="Calibri" w:hAnsi="Times New Roman" w:cs="Times New Roman"/>
          <w:sz w:val="24"/>
          <w:szCs w:val="24"/>
        </w:rPr>
        <w:t>Polychlorinated dibenzo, dioxins, and dibenzofurans (PCDD/Fs), generated due to improper recycling become a big concern in regions with a lack of environmental regulations</w:t>
      </w:r>
      <w:r w:rsidR="00281DAD" w:rsidRPr="00597FFB">
        <w:rPr>
          <w:rFonts w:ascii="Times New Roman" w:eastAsia="Calibri" w:hAnsi="Times New Roman" w:cs="Times New Roman"/>
          <w:sz w:val="24"/>
          <w:szCs w:val="24"/>
        </w:rPr>
        <w:t xml:space="preserve"> </w:t>
      </w:r>
      <w:r w:rsidR="00281DAD" w:rsidRPr="00597FFB">
        <w:rPr>
          <w:rFonts w:ascii="Times New Roman" w:eastAsia="Calibri" w:hAnsi="Times New Roman" w:cs="Times New Roman"/>
          <w:sz w:val="24"/>
          <w:szCs w:val="24"/>
        </w:rPr>
        <w:fldChar w:fldCharType="begin"/>
      </w:r>
      <w:r w:rsidR="00281DAD" w:rsidRPr="00597FFB">
        <w:rPr>
          <w:rFonts w:ascii="Times New Roman" w:eastAsia="Calibri" w:hAnsi="Times New Roman" w:cs="Times New Roman"/>
          <w:sz w:val="24"/>
          <w:szCs w:val="24"/>
        </w:rPr>
        <w:instrText xml:space="preserve"> ADDIN ZOTERO_ITEM CSL_CITATION {"citationID":"a1rf49nv6md","properties":{"formattedCitation":"(Delcea et al., 2020b)","plainCitation":"(Delcea et al., 2020b)","noteIndex":0},"citationItems":[{"id":3968,"uris":["http://zotero.org/users/local/b6CRLSJH/items/LQHGEWED"],"itemData":{"id":3968,"type":"article-journal","abstract":"Due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00281DAD" w:rsidRPr="00597FFB">
        <w:rPr>
          <w:rFonts w:ascii="Cambria Math" w:eastAsia="Calibri" w:hAnsi="Cambria Math" w:cs="Cambria Math"/>
          <w:sz w:val="24"/>
          <w:szCs w:val="24"/>
        </w:rPr>
        <w:instrText>ﬃ</w:instrText>
      </w:r>
      <w:r w:rsidR="00281DAD" w:rsidRPr="00597FFB">
        <w:rPr>
          <w:rFonts w:ascii="Times New Roman" w:eastAsia="Calibri" w:hAnsi="Times New Roman" w:cs="Times New Roman"/>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00281DAD" w:rsidRPr="00597FFB">
        <w:rPr>
          <w:rFonts w:ascii="Cambria Math" w:eastAsia="Calibri" w:hAnsi="Cambria Math" w:cs="Cambria Math"/>
          <w:sz w:val="24"/>
          <w:szCs w:val="24"/>
        </w:rPr>
        <w:instrText>ﬀ</w:instrText>
      </w:r>
      <w:r w:rsidR="00281DAD" w:rsidRPr="00597FFB">
        <w:rPr>
          <w:rFonts w:ascii="Times New Roman" w:eastAsia="Calibri" w:hAnsi="Times New Roman" w:cs="Times New Roman"/>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system.","container-title":"Sustainability","DOI":"10.3390/su12072753","ISSN":"2071-1050","issue":"7","journalAbbreviation":"Sustainability","language":"en","note":"number: 7","page":"2753","source":"DOI.org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00281DAD" w:rsidRPr="00597FFB">
        <w:rPr>
          <w:rFonts w:ascii="Times New Roman" w:eastAsia="Calibri" w:hAnsi="Times New Roman" w:cs="Times New Roman"/>
          <w:sz w:val="24"/>
          <w:szCs w:val="24"/>
        </w:rPr>
        <w:fldChar w:fldCharType="separate"/>
      </w:r>
      <w:r w:rsidR="00281DAD" w:rsidRPr="00597FFB">
        <w:rPr>
          <w:rFonts w:ascii="Times New Roman" w:hAnsi="Times New Roman" w:cs="Times New Roman"/>
          <w:sz w:val="24"/>
          <w:szCs w:val="24"/>
        </w:rPr>
        <w:t>(Delcea et al., 2020b)</w:t>
      </w:r>
      <w:r w:rsidR="00281DAD" w:rsidRPr="00597FFB">
        <w:rPr>
          <w:rFonts w:ascii="Times New Roman" w:eastAsia="Calibri" w:hAnsi="Times New Roman" w:cs="Times New Roman"/>
          <w:sz w:val="24"/>
          <w:szCs w:val="24"/>
        </w:rPr>
        <w:fldChar w:fldCharType="end"/>
      </w:r>
      <w:r w:rsidR="00281DAD" w:rsidRPr="00597FFB">
        <w:rPr>
          <w:rFonts w:ascii="Times New Roman" w:eastAsia="Calibri" w:hAnsi="Times New Roman" w:cs="Times New Roman"/>
          <w:sz w:val="24"/>
          <w:szCs w:val="24"/>
        </w:rPr>
        <w:t>.</w:t>
      </w:r>
    </w:p>
    <w:p w14:paraId="7988D2DD" w14:textId="00F93AE7" w:rsidR="009D4FB4" w:rsidRPr="00597FFB" w:rsidRDefault="009D4FB4" w:rsidP="009D4FB4">
      <w:pPr>
        <w:spacing w:before="26" w:after="26" w:line="276" w:lineRule="auto"/>
        <w:ind w:left="90"/>
        <w:jc w:val="both"/>
        <w:rPr>
          <w:rFonts w:ascii="Times New Roman" w:eastAsia="Calibri" w:hAnsi="Times New Roman" w:cs="Times New Roman"/>
          <w:color w:val="000000"/>
        </w:rPr>
      </w:pPr>
      <w:r w:rsidRPr="00597FFB">
        <w:rPr>
          <w:rFonts w:ascii="Times New Roman" w:eastAsia="Calibri" w:hAnsi="Times New Roman" w:cs="Times New Roman"/>
          <w:b/>
          <w:bCs/>
          <w:color w:val="000000"/>
        </w:rPr>
        <w:t>Table 2:</w:t>
      </w:r>
      <w:r w:rsidRPr="00597FFB">
        <w:rPr>
          <w:rFonts w:ascii="Times New Roman" w:eastAsia="Calibri" w:hAnsi="Times New Roman" w:cs="Times New Roman"/>
          <w:color w:val="000000"/>
        </w:rPr>
        <w:t xml:space="preserve"> </w:t>
      </w:r>
      <w:bookmarkStart w:id="34" w:name="_Hlk57288415"/>
      <w:r w:rsidRPr="00597FFB">
        <w:rPr>
          <w:rFonts w:ascii="Times New Roman" w:eastAsia="Calibri" w:hAnsi="Times New Roman" w:cs="Times New Roman"/>
          <w:i/>
          <w:iCs/>
          <w:color w:val="000000"/>
        </w:rPr>
        <w:t xml:space="preserve">Waste </w:t>
      </w:r>
      <w:r w:rsidR="00B263C3" w:rsidRPr="00597FFB">
        <w:rPr>
          <w:rFonts w:ascii="Times New Roman" w:eastAsia="Calibri" w:hAnsi="Times New Roman" w:cs="Times New Roman"/>
          <w:i/>
          <w:iCs/>
          <w:color w:val="000000"/>
        </w:rPr>
        <w:t xml:space="preserve">Categorization According </w:t>
      </w:r>
      <w:r w:rsidR="00F6104F" w:rsidRPr="00597FFB">
        <w:rPr>
          <w:rFonts w:ascii="Times New Roman" w:eastAsia="Calibri" w:hAnsi="Times New Roman" w:cs="Times New Roman"/>
          <w:i/>
          <w:iCs/>
          <w:color w:val="000000"/>
        </w:rPr>
        <w:t>t</w:t>
      </w:r>
      <w:r w:rsidR="00B263C3" w:rsidRPr="00597FFB">
        <w:rPr>
          <w:rFonts w:ascii="Times New Roman" w:eastAsia="Calibri" w:hAnsi="Times New Roman" w:cs="Times New Roman"/>
          <w:i/>
          <w:iCs/>
          <w:color w:val="000000"/>
        </w:rPr>
        <w:t xml:space="preserve">o </w:t>
      </w:r>
      <w:r w:rsidR="00F6104F" w:rsidRPr="00597FFB">
        <w:rPr>
          <w:rFonts w:ascii="Times New Roman" w:eastAsia="Calibri" w:hAnsi="Times New Roman" w:cs="Times New Roman"/>
          <w:i/>
          <w:iCs/>
          <w:color w:val="000000"/>
        </w:rPr>
        <w:t>t</w:t>
      </w:r>
      <w:r w:rsidR="00B263C3" w:rsidRPr="00597FFB">
        <w:rPr>
          <w:rFonts w:ascii="Times New Roman" w:eastAsia="Calibri" w:hAnsi="Times New Roman" w:cs="Times New Roman"/>
          <w:i/>
          <w:iCs/>
          <w:color w:val="000000"/>
        </w:rPr>
        <w:t xml:space="preserve">he Recast </w:t>
      </w:r>
      <w:r w:rsidRPr="00597FFB">
        <w:rPr>
          <w:rFonts w:ascii="Times New Roman" w:eastAsia="Calibri" w:hAnsi="Times New Roman" w:cs="Times New Roman"/>
          <w:i/>
          <w:iCs/>
          <w:color w:val="000000"/>
        </w:rPr>
        <w:t xml:space="preserve">EU WEEE Directives </w:t>
      </w:r>
      <w:r w:rsidR="00B263C3" w:rsidRPr="00597FFB">
        <w:rPr>
          <w:rFonts w:ascii="Times New Roman" w:eastAsia="Calibri" w:hAnsi="Times New Roman" w:cs="Times New Roman"/>
          <w:i/>
          <w:iCs/>
          <w:color w:val="000000"/>
        </w:rPr>
        <w:t>2012/19/</w:t>
      </w:r>
      <w:r w:rsidRPr="00597FFB">
        <w:rPr>
          <w:rFonts w:ascii="Times New Roman" w:eastAsia="Calibri" w:hAnsi="Times New Roman" w:cs="Times New Roman"/>
          <w:i/>
          <w:iCs/>
          <w:color w:val="000000"/>
        </w:rPr>
        <w:t>EU</w:t>
      </w:r>
      <w:r w:rsidR="00B263C3" w:rsidRPr="00597FFB">
        <w:rPr>
          <w:rFonts w:ascii="Times New Roman" w:eastAsia="Calibri" w:hAnsi="Times New Roman" w:cs="Times New Roman"/>
          <w:i/>
          <w:iCs/>
          <w:color w:val="000000"/>
        </w:rPr>
        <w:t>.</w:t>
      </w:r>
      <w:bookmarkEnd w:id="34"/>
    </w:p>
    <w:tbl>
      <w:tblPr>
        <w:tblW w:w="0" w:type="auto"/>
        <w:tblLook w:val="04A0" w:firstRow="1" w:lastRow="0" w:firstColumn="1" w:lastColumn="0" w:noHBand="0" w:noVBand="1"/>
      </w:tblPr>
      <w:tblGrid>
        <w:gridCol w:w="3320"/>
        <w:gridCol w:w="4269"/>
      </w:tblGrid>
      <w:tr w:rsidR="009D4FB4" w:rsidRPr="00597FFB" w14:paraId="18BE3DA2" w14:textId="77777777" w:rsidTr="001E19F2">
        <w:tc>
          <w:tcPr>
            <w:tcW w:w="0" w:type="auto"/>
            <w:tcBorders>
              <w:top w:val="single" w:sz="4" w:space="0" w:color="auto"/>
              <w:bottom w:val="single" w:sz="4" w:space="0" w:color="auto"/>
            </w:tcBorders>
          </w:tcPr>
          <w:p w14:paraId="110E541C" w14:textId="77777777" w:rsidR="009D4FB4" w:rsidRPr="00597FFB" w:rsidRDefault="009D4FB4" w:rsidP="009D4FB4">
            <w:pPr>
              <w:spacing w:before="26" w:after="26" w:line="276" w:lineRule="auto"/>
              <w:ind w:left="90"/>
              <w:jc w:val="both"/>
              <w:rPr>
                <w:rFonts w:ascii="Times New Roman" w:eastAsia="Calibri" w:hAnsi="Times New Roman" w:cs="Times New Roman"/>
                <w:b/>
                <w:bCs/>
                <w:color w:val="000000"/>
              </w:rPr>
            </w:pPr>
            <w:r w:rsidRPr="00597FFB">
              <w:rPr>
                <w:rFonts w:ascii="Times New Roman" w:eastAsia="Calibri" w:hAnsi="Times New Roman" w:cs="Times New Roman"/>
                <w:b/>
                <w:bCs/>
                <w:color w:val="000000"/>
              </w:rPr>
              <w:t>E-waste category</w:t>
            </w:r>
          </w:p>
        </w:tc>
        <w:tc>
          <w:tcPr>
            <w:tcW w:w="0" w:type="auto"/>
            <w:tcBorders>
              <w:top w:val="single" w:sz="4" w:space="0" w:color="auto"/>
              <w:bottom w:val="single" w:sz="4" w:space="0" w:color="auto"/>
            </w:tcBorders>
          </w:tcPr>
          <w:p w14:paraId="6DBD7855" w14:textId="77777777" w:rsidR="009D4FB4" w:rsidRPr="00597FFB" w:rsidRDefault="009D4FB4" w:rsidP="009D4FB4">
            <w:pPr>
              <w:spacing w:before="26" w:after="26" w:line="276" w:lineRule="auto"/>
              <w:ind w:left="90"/>
              <w:jc w:val="both"/>
              <w:rPr>
                <w:rFonts w:ascii="Times New Roman" w:eastAsia="Calibri" w:hAnsi="Times New Roman" w:cs="Times New Roman"/>
                <w:b/>
                <w:bCs/>
                <w:color w:val="000000"/>
              </w:rPr>
            </w:pPr>
            <w:r w:rsidRPr="00597FFB">
              <w:rPr>
                <w:rFonts w:ascii="Times New Roman" w:eastAsia="Calibri" w:hAnsi="Times New Roman" w:cs="Times New Roman"/>
                <w:b/>
                <w:bCs/>
                <w:color w:val="000000"/>
              </w:rPr>
              <w:t>Some examples of products</w:t>
            </w:r>
          </w:p>
        </w:tc>
      </w:tr>
      <w:tr w:rsidR="009D4FB4" w:rsidRPr="00597FFB" w14:paraId="74EB1153" w14:textId="77777777" w:rsidTr="001E19F2">
        <w:tc>
          <w:tcPr>
            <w:tcW w:w="0" w:type="auto"/>
            <w:tcBorders>
              <w:top w:val="single" w:sz="4" w:space="0" w:color="auto"/>
            </w:tcBorders>
          </w:tcPr>
          <w:p w14:paraId="554F20EE" w14:textId="77777777" w:rsidR="009D4FB4" w:rsidRPr="00597FFB" w:rsidRDefault="009D4FB4" w:rsidP="009D4FB4">
            <w:pPr>
              <w:spacing w:before="26" w:after="26" w:line="276" w:lineRule="auto"/>
              <w:ind w:left="90"/>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Temperature exchange equipment</w:t>
            </w:r>
          </w:p>
        </w:tc>
        <w:tc>
          <w:tcPr>
            <w:tcW w:w="0" w:type="auto"/>
            <w:tcBorders>
              <w:top w:val="single" w:sz="4" w:space="0" w:color="auto"/>
            </w:tcBorders>
          </w:tcPr>
          <w:p w14:paraId="57AF2353" w14:textId="3F6BE348" w:rsidR="009D4FB4" w:rsidRPr="00597FFB" w:rsidRDefault="00FA0217"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Air conditioning equipment, fridges</w:t>
            </w:r>
            <w:r w:rsidR="009D4FB4" w:rsidRPr="00597FFB">
              <w:rPr>
                <w:rFonts w:ascii="Times New Roman" w:eastAsia="Calibri" w:hAnsi="Times New Roman" w:cs="Times New Roman"/>
                <w:color w:val="000000"/>
                <w:sz w:val="20"/>
                <w:szCs w:val="20"/>
              </w:rPr>
              <w:t>, freezers, dehumidifying equipment, heat pumps, radiators containing oil, and other temperature-exchange equipment</w:t>
            </w:r>
          </w:p>
        </w:tc>
      </w:tr>
      <w:tr w:rsidR="009D4FB4" w:rsidRPr="00597FFB" w14:paraId="3FE0FCD7" w14:textId="77777777" w:rsidTr="001E19F2">
        <w:tc>
          <w:tcPr>
            <w:tcW w:w="0" w:type="auto"/>
          </w:tcPr>
          <w:p w14:paraId="790485C0" w14:textId="3F40E53E" w:rsidR="009D4FB4" w:rsidRPr="00597FFB" w:rsidRDefault="00FA0217" w:rsidP="009D4FB4">
            <w:pPr>
              <w:spacing w:before="26" w:after="26" w:line="276" w:lineRule="auto"/>
              <w:ind w:left="90"/>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Monitors, s</w:t>
            </w:r>
            <w:r w:rsidR="009D4FB4" w:rsidRPr="00597FFB">
              <w:rPr>
                <w:rFonts w:ascii="Times New Roman" w:eastAsia="Calibri" w:hAnsi="Times New Roman" w:cs="Times New Roman"/>
                <w:color w:val="000000"/>
                <w:sz w:val="20"/>
                <w:szCs w:val="20"/>
              </w:rPr>
              <w:t>creens, and equipment containing screens that have a surface greater than 100 cm2</w:t>
            </w:r>
          </w:p>
        </w:tc>
        <w:tc>
          <w:tcPr>
            <w:tcW w:w="0" w:type="auto"/>
          </w:tcPr>
          <w:p w14:paraId="3D8C0678" w14:textId="77777777"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Screens, televisions, liquid crystal display (LCD) photo frames, monitors, laptops, notebooks</w:t>
            </w:r>
          </w:p>
        </w:tc>
      </w:tr>
      <w:tr w:rsidR="009D4FB4" w:rsidRPr="00597FFB" w14:paraId="468272ED" w14:textId="77777777" w:rsidTr="001E19F2">
        <w:tc>
          <w:tcPr>
            <w:tcW w:w="0" w:type="auto"/>
          </w:tcPr>
          <w:p w14:paraId="35509661" w14:textId="77777777" w:rsidR="009D4FB4" w:rsidRPr="00597FFB" w:rsidRDefault="009D4FB4" w:rsidP="009D4FB4">
            <w:pPr>
              <w:spacing w:before="26" w:after="26" w:line="276" w:lineRule="auto"/>
              <w:ind w:left="90"/>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Lamps</w:t>
            </w:r>
          </w:p>
        </w:tc>
        <w:tc>
          <w:tcPr>
            <w:tcW w:w="0" w:type="auto"/>
          </w:tcPr>
          <w:p w14:paraId="6FA5CBA5" w14:textId="2BC07EFA" w:rsidR="009D4FB4" w:rsidRPr="00597FFB" w:rsidRDefault="002C7EFD"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Compact fluorescent lamps, s</w:t>
            </w:r>
            <w:r w:rsidR="009D4FB4" w:rsidRPr="00597FFB">
              <w:rPr>
                <w:rFonts w:ascii="Times New Roman" w:eastAsia="Calibri" w:hAnsi="Times New Roman" w:cs="Times New Roman"/>
                <w:color w:val="000000"/>
                <w:sz w:val="20"/>
                <w:szCs w:val="20"/>
              </w:rPr>
              <w:t>traight fluorescent lamps, fluorescent lamps, high-density discharge lamps, low-pressure sodium lamps, the light-emitting diode (LED)</w:t>
            </w:r>
          </w:p>
        </w:tc>
      </w:tr>
      <w:tr w:rsidR="009D4FB4" w:rsidRPr="00597FFB" w14:paraId="291F807F" w14:textId="77777777" w:rsidTr="001E19F2">
        <w:tc>
          <w:tcPr>
            <w:tcW w:w="0" w:type="auto"/>
          </w:tcPr>
          <w:p w14:paraId="157FBCDA" w14:textId="77777777" w:rsidR="009D4FB4" w:rsidRPr="00597FFB" w:rsidRDefault="009D4FB4" w:rsidP="009D4FB4">
            <w:pPr>
              <w:spacing w:before="26" w:after="26" w:line="276" w:lineRule="auto"/>
              <w:ind w:left="90"/>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Large equipment (any external dimension more significant than 50 cm)</w:t>
            </w:r>
          </w:p>
        </w:tc>
        <w:tc>
          <w:tcPr>
            <w:tcW w:w="0" w:type="auto"/>
          </w:tcPr>
          <w:p w14:paraId="607CA6FF" w14:textId="1B38D9B7" w:rsidR="009D4FB4" w:rsidRPr="00597FFB" w:rsidRDefault="002C7EFD"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Clothes dryers, w</w:t>
            </w:r>
            <w:r w:rsidR="009D4FB4" w:rsidRPr="00597FFB">
              <w:rPr>
                <w:rFonts w:ascii="Times New Roman" w:eastAsia="Calibri" w:hAnsi="Times New Roman" w:cs="Times New Roman"/>
                <w:color w:val="000000"/>
                <w:sz w:val="20"/>
                <w:szCs w:val="20"/>
              </w:rPr>
              <w:t>ashing machines, dishwashing machines, cookers, electric stoves, electric hot plates, musical equipment, large printing machines, copying equipment, large medical devices, etc.</w:t>
            </w:r>
          </w:p>
        </w:tc>
      </w:tr>
      <w:tr w:rsidR="009D4FB4" w:rsidRPr="00597FFB" w14:paraId="157DA00B" w14:textId="77777777" w:rsidTr="001E19F2">
        <w:tc>
          <w:tcPr>
            <w:tcW w:w="0" w:type="auto"/>
          </w:tcPr>
          <w:p w14:paraId="38914547" w14:textId="77777777" w:rsidR="009D4FB4" w:rsidRPr="00597FFB" w:rsidRDefault="009D4FB4" w:rsidP="009D4FB4">
            <w:pPr>
              <w:spacing w:before="26" w:after="26" w:line="276" w:lineRule="auto"/>
              <w:ind w:left="90"/>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Small equipment (no external dimension more than 50 cm)</w:t>
            </w:r>
          </w:p>
        </w:tc>
        <w:tc>
          <w:tcPr>
            <w:tcW w:w="0" w:type="auto"/>
          </w:tcPr>
          <w:p w14:paraId="381B9706" w14:textId="0C73F9F0" w:rsidR="009D4FB4" w:rsidRPr="00597FFB" w:rsidRDefault="009D4FB4" w:rsidP="009D4FB4">
            <w:pPr>
              <w:spacing w:before="26" w:after="26" w:line="276" w:lineRule="auto"/>
              <w:ind w:left="90"/>
              <w:jc w:val="both"/>
              <w:rPr>
                <w:rFonts w:ascii="Times New Roman" w:eastAsia="Calibri" w:hAnsi="Times New Roman" w:cs="Times New Roman"/>
                <w:color w:val="000000"/>
                <w:sz w:val="20"/>
                <w:szCs w:val="20"/>
              </w:rPr>
            </w:pPr>
            <w:r w:rsidRPr="00597FFB">
              <w:rPr>
                <w:rFonts w:ascii="Times New Roman" w:eastAsia="Calibri" w:hAnsi="Times New Roman" w:cs="Times New Roman"/>
                <w:color w:val="000000"/>
                <w:sz w:val="20"/>
                <w:szCs w:val="20"/>
              </w:rPr>
              <w:t xml:space="preserve">Vacuum cleaners, carpet sweepers, microwaves, irons, toasters, electric knives, </w:t>
            </w:r>
            <w:r w:rsidR="002C7EFD" w:rsidRPr="00597FFB">
              <w:rPr>
                <w:rFonts w:ascii="Times New Roman" w:eastAsia="Calibri" w:hAnsi="Times New Roman" w:cs="Times New Roman"/>
                <w:color w:val="000000"/>
                <w:sz w:val="20"/>
                <w:szCs w:val="20"/>
              </w:rPr>
              <w:t xml:space="preserve">calculators, scales, electric shavers, </w:t>
            </w:r>
            <w:r w:rsidRPr="00597FFB">
              <w:rPr>
                <w:rFonts w:ascii="Times New Roman" w:eastAsia="Calibri" w:hAnsi="Times New Roman" w:cs="Times New Roman"/>
                <w:color w:val="000000"/>
                <w:sz w:val="20"/>
                <w:szCs w:val="20"/>
              </w:rPr>
              <w:t xml:space="preserve">electric kettles, radio sets, video recorders, </w:t>
            </w:r>
            <w:r w:rsidR="002C7EFD" w:rsidRPr="00597FFB">
              <w:rPr>
                <w:rFonts w:ascii="Times New Roman" w:eastAsia="Calibri" w:hAnsi="Times New Roman" w:cs="Times New Roman"/>
                <w:color w:val="000000"/>
                <w:sz w:val="20"/>
                <w:szCs w:val="20"/>
              </w:rPr>
              <w:t xml:space="preserve">video cameras, </w:t>
            </w:r>
            <w:r w:rsidRPr="00597FFB">
              <w:rPr>
                <w:rFonts w:ascii="Times New Roman" w:eastAsia="Calibri" w:hAnsi="Times New Roman" w:cs="Times New Roman"/>
                <w:color w:val="000000"/>
                <w:sz w:val="20"/>
                <w:szCs w:val="20"/>
              </w:rPr>
              <w:t>hi-fi equipment, toys, smoke detectors, etc.</w:t>
            </w:r>
          </w:p>
        </w:tc>
      </w:tr>
      <w:tr w:rsidR="009D4FB4" w:rsidRPr="00597FFB" w14:paraId="40D52849" w14:textId="77777777" w:rsidTr="001E19F2">
        <w:trPr>
          <w:trHeight w:val="738"/>
        </w:trPr>
        <w:tc>
          <w:tcPr>
            <w:tcW w:w="0" w:type="auto"/>
            <w:tcBorders>
              <w:bottom w:val="single" w:sz="4" w:space="0" w:color="auto"/>
            </w:tcBorders>
          </w:tcPr>
          <w:p w14:paraId="0F7177D4" w14:textId="77777777" w:rsidR="009D4FB4" w:rsidRPr="00597FFB" w:rsidRDefault="009D4FB4" w:rsidP="009D4FB4">
            <w:pPr>
              <w:spacing w:before="26" w:after="26" w:line="276" w:lineRule="auto"/>
              <w:ind w:left="90"/>
              <w:rPr>
                <w:rFonts w:ascii="Times New Roman" w:eastAsia="Calibri" w:hAnsi="Times New Roman" w:cs="Times New Roman"/>
                <w:color w:val="000000"/>
              </w:rPr>
            </w:pPr>
            <w:r w:rsidRPr="00597FFB">
              <w:rPr>
                <w:rFonts w:ascii="Times New Roman" w:eastAsia="Calibri" w:hAnsi="Times New Roman" w:cs="Times New Roman"/>
                <w:color w:val="000000"/>
              </w:rPr>
              <w:t>Small information technology and telecommunication equipment (no external dimension more than 50 cm)</w:t>
            </w:r>
          </w:p>
        </w:tc>
        <w:tc>
          <w:tcPr>
            <w:tcW w:w="0" w:type="auto"/>
            <w:tcBorders>
              <w:bottom w:val="single" w:sz="4" w:space="0" w:color="auto"/>
            </w:tcBorders>
          </w:tcPr>
          <w:p w14:paraId="0F0EAB7A" w14:textId="34898F7D" w:rsidR="009D4FB4" w:rsidRPr="00597FFB" w:rsidRDefault="00C07446" w:rsidP="009D4FB4">
            <w:pPr>
              <w:spacing w:before="26" w:after="26" w:line="276" w:lineRule="auto"/>
              <w:ind w:left="90"/>
              <w:jc w:val="both"/>
              <w:rPr>
                <w:rFonts w:ascii="Times New Roman" w:eastAsia="Calibri" w:hAnsi="Times New Roman" w:cs="Times New Roman"/>
                <w:color w:val="000000"/>
              </w:rPr>
            </w:pPr>
            <w:r w:rsidRPr="00597FFB">
              <w:rPr>
                <w:rFonts w:ascii="Times New Roman" w:eastAsia="Calibri" w:hAnsi="Times New Roman" w:cs="Times New Roman"/>
                <w:color w:val="000000"/>
              </w:rPr>
              <w:t>Pocket calculators, m</w:t>
            </w:r>
            <w:r w:rsidR="009D4FB4" w:rsidRPr="00597FFB">
              <w:rPr>
                <w:rFonts w:ascii="Times New Roman" w:eastAsia="Calibri" w:hAnsi="Times New Roman" w:cs="Times New Roman"/>
                <w:color w:val="000000"/>
              </w:rPr>
              <w:t xml:space="preserve">obile phones, </w:t>
            </w:r>
            <w:r w:rsidR="00F70B89" w:rsidRPr="00597FFB">
              <w:rPr>
                <w:rFonts w:ascii="Times New Roman" w:eastAsia="Calibri" w:hAnsi="Times New Roman" w:cs="Times New Roman"/>
                <w:color w:val="000000"/>
              </w:rPr>
              <w:t xml:space="preserve">routers, </w:t>
            </w:r>
            <w:r w:rsidR="009D4FB4" w:rsidRPr="00597FFB">
              <w:rPr>
                <w:rFonts w:ascii="Times New Roman" w:eastAsia="Calibri" w:hAnsi="Times New Roman" w:cs="Times New Roman"/>
                <w:color w:val="000000"/>
              </w:rPr>
              <w:t>global positioning systems, personal computers, printers, telephones</w:t>
            </w:r>
          </w:p>
        </w:tc>
      </w:tr>
    </w:tbl>
    <w:p w14:paraId="4C773E81" w14:textId="68FEA5D7" w:rsidR="009D4FB4" w:rsidRPr="00597FFB" w:rsidRDefault="009D4FB4" w:rsidP="009D4FB4">
      <w:pPr>
        <w:spacing w:before="26" w:after="26" w:line="480" w:lineRule="auto"/>
        <w:ind w:left="90"/>
        <w:jc w:val="both"/>
        <w:rPr>
          <w:rFonts w:ascii="Times New Roman" w:eastAsia="Calibri" w:hAnsi="Times New Roman" w:cs="Times New Roman"/>
          <w:i/>
          <w:iCs/>
          <w:color w:val="000000"/>
          <w:sz w:val="20"/>
          <w:szCs w:val="20"/>
        </w:rPr>
      </w:pPr>
      <w:r w:rsidRPr="00597FFB">
        <w:rPr>
          <w:rFonts w:ascii="Times New Roman" w:eastAsia="Calibri" w:hAnsi="Times New Roman" w:cs="Times New Roman"/>
          <w:i/>
          <w:iCs/>
          <w:color w:val="000000"/>
          <w:sz w:val="20"/>
          <w:szCs w:val="20"/>
        </w:rPr>
        <w:t xml:space="preserve">Source: </w:t>
      </w:r>
      <w:bookmarkStart w:id="35" w:name="_Hlk125897981"/>
      <w:r w:rsidRPr="00597FFB">
        <w:rPr>
          <w:rFonts w:ascii="Times New Roman" w:eastAsia="Calibri" w:hAnsi="Times New Roman" w:cs="Times New Roman"/>
          <w:i/>
          <w:iCs/>
          <w:color w:val="000000"/>
          <w:sz w:val="20"/>
          <w:szCs w:val="20"/>
        </w:rPr>
        <w:t xml:space="preserve">adapted from </w:t>
      </w:r>
      <w:bookmarkEnd w:id="35"/>
      <w:r w:rsidR="00B31DB3" w:rsidRPr="00597FFB">
        <w:rPr>
          <w:rFonts w:ascii="Times New Roman" w:eastAsia="Calibri" w:hAnsi="Times New Roman" w:cs="Times New Roman"/>
          <w:i/>
          <w:iCs/>
          <w:color w:val="000000"/>
          <w:sz w:val="20"/>
          <w:szCs w:val="20"/>
        </w:rPr>
        <w:t>Shittu et al., (2021).</w:t>
      </w:r>
    </w:p>
    <w:p w14:paraId="70C1425E" w14:textId="7852D8FB" w:rsidR="00600DCD" w:rsidRPr="00597FFB" w:rsidRDefault="009D4FB4" w:rsidP="00D52C8B">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sz w:val="24"/>
          <w:szCs w:val="24"/>
        </w:rPr>
        <w:t xml:space="preserve">The StEP </w:t>
      </w:r>
      <w:r w:rsidRPr="00597FFB">
        <w:rPr>
          <w:rFonts w:ascii="Times New Roman" w:eastAsia="Times New Roman" w:hAnsi="Times New Roman" w:cs="Times New Roman"/>
          <w:bCs/>
          <w:sz w:val="24"/>
          <w:szCs w:val="24"/>
        </w:rPr>
        <w:t xml:space="preserve">(Solving the E-waste Problem) </w:t>
      </w:r>
      <w:r w:rsidRPr="00597FFB">
        <w:rPr>
          <w:rFonts w:ascii="Times New Roman" w:eastAsia="Calibri" w:hAnsi="Times New Roman" w:cs="Times New Roman"/>
          <w:sz w:val="24"/>
          <w:szCs w:val="24"/>
        </w:rPr>
        <w:t>Annual Report (2018) estimated that 4400 tonnes of ozone-depleting substances in refrigerants from old freezing and cooling appliances are released into the atmosphere</w:t>
      </w:r>
      <w:r w:rsidR="00D4001E" w:rsidRPr="00597FFB">
        <w:rPr>
          <w:rFonts w:ascii="Times New Roman" w:eastAsia="Calibri" w:hAnsi="Times New Roman" w:cs="Times New Roman"/>
          <w:sz w:val="24"/>
          <w:szCs w:val="24"/>
        </w:rPr>
        <w:t xml:space="preserve"> </w:t>
      </w:r>
      <w:r w:rsidR="00D4001E" w:rsidRPr="00597FFB">
        <w:rPr>
          <w:rFonts w:ascii="Times New Roman" w:eastAsia="Calibri" w:hAnsi="Times New Roman" w:cs="Times New Roman"/>
          <w:sz w:val="24"/>
          <w:szCs w:val="24"/>
        </w:rPr>
        <w:fldChar w:fldCharType="begin"/>
      </w:r>
      <w:r w:rsidR="000C3FE3" w:rsidRPr="00597FFB">
        <w:rPr>
          <w:rFonts w:ascii="Times New Roman" w:eastAsia="Calibri" w:hAnsi="Times New Roman" w:cs="Times New Roman"/>
          <w:sz w:val="24"/>
          <w:szCs w:val="24"/>
        </w:rPr>
        <w:instrText xml:space="preserve"> ADDIN ZOTERO_ITEM CSL_CITATION {"citationID":"ad00ldklhi","properties":{"formattedCitation":"(Ilankoon et al., 2018)","plainCitation":"(Ilankoon et al., 2018)","noteIndex":0},"citationItems":[{"id":3820,"uris":["http://zotero.org/users/local/b6CRLSJH/items/CNR59YBM"],"itemData":{"id":3820,"type":"article-journal","abstract":"E-waste, or waste generated from electrical and electronic equipment, is considered as one of the fastestgrowing waste categories, growing at a rate of 3–5% per year in the world. In 2016, 44.7 million tonnes of e-waste were generated in the world, which is equivalent to 6.1 kg for each person. E-waste is classiﬁed as a hazardous waste, but unlike other categories, e-waste also has signiﬁcant potential for value recovery. As a result it is traded signiﬁcantly between the developed and developing world, both as waste for disposal and as a resource for metal recovery. Only 20% of global e-waste in 2016 was properly recycled or disposed of, with the fate of the remaining 80% undocumented – likely to be dumped, traded or recycled under inferior conditions. This review paper provides an overview of the global e-waste resource and identiﬁes the major challenges in the sector in terms of generation, global trade and waste management strategies. It lists the speciﬁc hazards associated with this type of waste that need to be taken into account in its management and includes a detailed overview of technologies employed or proposed for the recovery of value from e-waste. On the basis of this overview the paper identiﬁes future directions for effective e-waste processing towards sustainable waste/resource management. It becomes clear that there is a strong divide between developed and developing countries with regard to this sector. While value recovery is practiced in centralised facilities employing advanced technologies in a highly regulated industrial environment in the developed world, in the developing world such recovery is practiced in a largely unregulated artisanal industry employing simplistic, labour intensive and environmentally hazardous approaches. Thus value is generated safely in the hi-tech environment of the developed world, whereas environmental burdens associated with exported waste and residual waste from simplistic processing remain largely in developing countries. It is argued that given the breadth of available technologies, a more systematic evaluation of the entire e-waste value chain needs to be conducted with a view to establishing integrated management of this resource (in terms of well-regulated value recovery and ﬁnal residue disposal) at the appropriately local rather than global scale.","container-title":"Waste Management","DOI":"10.1016/j.wasman.2018.10.018","ISSN":"0956053X","journalAbbreviation":"Waste Management","language":"en","page":"258-275","source":"DOI.org (Crossref)","title":"E-waste in the international context – A review of trade flows, regulations, hazards, waste management strategies and technologies for value recovery","volume":"82","author":[{"family":"Ilankoon","given":"I.M.S.K."},{"family":"Ghorbani","given":"Yousef"},{"family":"Chong","given":"Meng Nan"},{"family":"Herath","given":"Gamini"},{"family":"Moyo","given":"Thandazile"},{"family":"Petersen","given":"Jochen"}],"issued":{"date-parts":[["2018",12]]}}}],"schema":"https://github.com/citation-style-language/schema/raw/master/csl-citation.json"} </w:instrText>
      </w:r>
      <w:r w:rsidR="00D4001E" w:rsidRPr="00597FFB">
        <w:rPr>
          <w:rFonts w:ascii="Times New Roman" w:eastAsia="Calibri" w:hAnsi="Times New Roman" w:cs="Times New Roman"/>
          <w:sz w:val="24"/>
          <w:szCs w:val="24"/>
        </w:rPr>
        <w:fldChar w:fldCharType="separate"/>
      </w:r>
      <w:r w:rsidR="000C3FE3" w:rsidRPr="00597FFB">
        <w:rPr>
          <w:rFonts w:ascii="Times New Roman" w:hAnsi="Times New Roman" w:cs="Times New Roman"/>
          <w:sz w:val="24"/>
          <w:szCs w:val="24"/>
        </w:rPr>
        <w:t>(Ilankoon et al., 2018)</w:t>
      </w:r>
      <w:r w:rsidR="00D4001E"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At the Agbogbloshie EWR site in Ghana, a high amount of zinc, lead, iron, copper, and aluminum were present in the ambient air There were high levels of zinc, lead, mercury, copper, chromium, and cadmium in dust samples from various informal recycling workshops; the metals' distribution in the dust varied based on the E-waste nature. Lead concentrations in the dust samples from some workshops were hundreds of times higher than those in typical household dust</w:t>
      </w:r>
      <w:r w:rsidR="005F3C95" w:rsidRPr="00597FFB">
        <w:rPr>
          <w:rFonts w:ascii="Times New Roman" w:eastAsia="Calibri" w:hAnsi="Times New Roman" w:cs="Times New Roman"/>
          <w:sz w:val="24"/>
          <w:szCs w:val="24"/>
        </w:rPr>
        <w:t xml:space="preserve"> (Alao et al., 2020)</w:t>
      </w:r>
      <w:r w:rsidR="00B038D3"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Due to its biodegradable characteristic, lead eventually settles on land, water supplies, and buildings, thus entering the food chain</w:t>
      </w:r>
      <w:r w:rsidR="00B038D3" w:rsidRPr="00597FFB">
        <w:rPr>
          <w:rFonts w:ascii="Times New Roman" w:eastAsia="Calibri" w:hAnsi="Times New Roman" w:cs="Times New Roman"/>
          <w:sz w:val="24"/>
          <w:szCs w:val="24"/>
        </w:rPr>
        <w:t>,</w:t>
      </w:r>
      <w:r w:rsidRPr="00597FFB">
        <w:rPr>
          <w:rFonts w:ascii="Times New Roman" w:eastAsia="Calibri" w:hAnsi="Times New Roman" w:cs="Times New Roman"/>
          <w:sz w:val="24"/>
          <w:szCs w:val="24"/>
        </w:rPr>
        <w:t xml:space="preserve"> Excessive exposure to lead from waste batteries can reduce immunity </w:t>
      </w:r>
      <w:r w:rsidR="00B038D3" w:rsidRPr="00597FFB">
        <w:rPr>
          <w:rFonts w:ascii="Times New Roman" w:eastAsia="Calibri" w:hAnsi="Times New Roman" w:cs="Times New Roman"/>
          <w:sz w:val="24"/>
          <w:szCs w:val="24"/>
        </w:rPr>
        <w:fldChar w:fldCharType="begin"/>
      </w:r>
      <w:r w:rsidR="00AA48CC" w:rsidRPr="00597FFB">
        <w:rPr>
          <w:rFonts w:ascii="Times New Roman" w:eastAsia="Calibri" w:hAnsi="Times New Roman" w:cs="Times New Roman"/>
          <w:sz w:val="24"/>
          <w:szCs w:val="24"/>
        </w:rPr>
        <w:instrText xml:space="preserve"> ADDIN ZOTERO_ITEM CSL_CITATION {"citationID":"a1mn19ho6qd","properties":{"formattedCitation":"(D. Chen et al., 2020b)","plainCitation":"(D. Chen et al., 2020b)","noteIndex":0},"citationItems":[{"id":3171,"uris":["http://zotero.org/users/local/b6CRLSJH/items/5ZKY8FQC"],"itemData":{"id":3171,"type":"article-journal","abstract":"The majority of developing countries are facing enormous challenges in implementing sustainable waste electrical and electronic equipment (e-waste) management systems. Informal e-waste management practices in Ghana have become a critical challenge to the government and the various stakeholders owing to its environmental and health impacts. However, the effort to implement ewaste formalization management practices has been threatened with many barriers. This study aims to identify and evaluate barriers and pathways to the implementation of e-waste formalization management systems in Ghana. A three-phase methodology consisting of the Delphi method, the hybrid best–worst method and the fuzzy TOPSIS technique is employed. The first phase involves extensive literature review and the use of the Delphi method to identify barriers, pathways, and data collection for ewaste formalization. In the second phase, the best–worst method was employed to analyze the relative weight and ranking of the barriers. The third phase involves the application of fuzzy TOPSIS to rank and prioritize pathways to e-waste formalization systems. Fuzzy logic was applied to handle the subjectivity of decision-makers’ preferences. A sensitivity analysis was carried out to check the robustness of the framework and address any effect of bias. The outcome of the study indicates that economic and financial limitations are the most significant barriers to e-waste formalization. “Setting up resourced environmental government agencies for effective monitoring and auditing at the regional levels for appropriate e-waste management practices” is the most prominent pathway. The present study can potentially inform policy makers to develop systematic and strategic policies for the implementation of e-waste formalization management systems.","container-title":"Environmental Science and Pollution Research","DOI":"10.1007/s11356-020-10360-8","ISSN":"0944-1344, 1614-7499","issue":"35","journalAbbreviation":"Environ Sci Pollut Res","language":"en","note":"number: 35","page":"44561-44584","source":"DOI.org (Crossref)","title":"Evaluating critical barriers and pathways to implementation of e-waste formalization management systems in Ghana: a hybrid BWM and fuzzy TOPSIS approach","title-short":"Evaluating critical barriers and pathways to implementation of e-waste formalization management systems in Ghana","volume":"27","author":[{"family":"Chen","given":"Dehu"},{"family":"Faibil","given":"Daniel"},{"family":"Agyemang","given":"Martin"}],"issued":{"date-parts":[["2020",12]]}}}],"schema":"https://github.com/citation-style-language/schema/raw/master/csl-citation.json"} </w:instrText>
      </w:r>
      <w:r w:rsidR="00B038D3" w:rsidRPr="00597FFB">
        <w:rPr>
          <w:rFonts w:ascii="Times New Roman" w:eastAsia="Calibri" w:hAnsi="Times New Roman" w:cs="Times New Roman"/>
          <w:sz w:val="24"/>
          <w:szCs w:val="24"/>
        </w:rPr>
        <w:fldChar w:fldCharType="separate"/>
      </w:r>
      <w:r w:rsidR="00AA48CC" w:rsidRPr="00597FFB">
        <w:rPr>
          <w:rFonts w:ascii="Times New Roman" w:hAnsi="Times New Roman" w:cs="Times New Roman"/>
          <w:sz w:val="24"/>
          <w:szCs w:val="24"/>
        </w:rPr>
        <w:t>Chen et al., 2020b)</w:t>
      </w:r>
      <w:r w:rsidR="00B038D3" w:rsidRPr="00597FFB">
        <w:rPr>
          <w:rFonts w:ascii="Times New Roman" w:eastAsia="Calibri" w:hAnsi="Times New Roman" w:cs="Times New Roman"/>
          <w:sz w:val="24"/>
          <w:szCs w:val="24"/>
        </w:rPr>
        <w:fldChar w:fldCharType="end"/>
      </w:r>
      <w:r w:rsidR="00B038D3"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The National Institute of Occupational Safety and Health (NIOSH) in the US stated that cadmium, a vital component of thin-film cells, is carcinogenic when found in dust or vapor</w:t>
      </w:r>
      <w:r w:rsidR="00B038D3" w:rsidRPr="00597FFB">
        <w:rPr>
          <w:rFonts w:ascii="Times New Roman" w:eastAsia="Calibri" w:hAnsi="Times New Roman" w:cs="Times New Roman"/>
          <w:sz w:val="24"/>
          <w:szCs w:val="24"/>
        </w:rPr>
        <w:t>.</w:t>
      </w:r>
      <w:r w:rsidRPr="00597FFB">
        <w:rPr>
          <w:rFonts w:ascii="Times New Roman" w:eastAsia="Calibri" w:hAnsi="Times New Roman" w:cs="Times New Roman"/>
          <w:sz w:val="24"/>
          <w:szCs w:val="24"/>
        </w:rPr>
        <w:t xml:space="preserve"> Its high build-up in plants can lead to chlorosis, and in animals, it can lead to toxicity, necrosis, or even death </w:t>
      </w:r>
      <w:r w:rsidR="00B038D3" w:rsidRPr="00597FFB">
        <w:rPr>
          <w:rFonts w:ascii="Times New Roman" w:eastAsia="Calibri" w:hAnsi="Times New Roman" w:cs="Times New Roman"/>
          <w:sz w:val="24"/>
          <w:szCs w:val="24"/>
        </w:rPr>
        <w:fldChar w:fldCharType="begin"/>
      </w:r>
      <w:r w:rsidR="00AA48CC" w:rsidRPr="00597FFB">
        <w:rPr>
          <w:rFonts w:ascii="Times New Roman" w:eastAsia="Calibri" w:hAnsi="Times New Roman" w:cs="Times New Roman"/>
          <w:sz w:val="24"/>
          <w:szCs w:val="24"/>
        </w:rPr>
        <w:instrText xml:space="preserve"> ADDIN ZOTERO_ITEM CSL_CITATION {"citationID":"a1clfsn0vvh","properties":{"formattedCitation":"(Borthakur &amp; Govind, 2018)","plainCitation":"(Borthakur &amp; Govind, 2018)","noteIndex":0},"citationItems":[{"id":3722,"uris":["http://zotero.org/users/local/b6CRLSJH/items/2E94Q6NZ"],"itemData":{"id":3722,"type":"article-journal","abstract":"Responsible management of electronic waste (E-waste) is a major apprehension in contemporary urban India. As a toxic waste stream, E-waste calls for conscientious management practices in order to avoid possible human health and environmental consequences. Publics' consumption, disposal behaviour and awareness/perception are central to any successful E-waste management initiative. This paper is a journey from a review of existing literature on some signiﬁcant aspects of E-waste (including some widely used conceptual frameworks for waste management studies) towards a new conceptual framework of ‘public understandings of E-waste and its disposal’ in urban India. Accordingly, the paper is divided into two parts: 1) In-depth literature review on a few important aspects of E-waste and 2) Review of publics' perceptions of E-waste and the determinants of their consumption and disposal intention with the help of speciﬁc theoretical underpinnings. The concluding conceptual framework underlying our work uses elements that stem from the ideas of the theory of planned behaviour (TPB) and conspicuous consumption. Further, a case study carried out in the city of Bangalore is considered to validate the relevance of the new conceptual framework. Thus, the paper is an attempt not to restrict ourselves to the review of the existing literature alone, but also to test the new conceptual framework formulated through the literature review against a primary ﬁeld study.","container-title":"Journal of Cleaner Production","DOI":"10.1016/j.jclepro.2017.10.218","ISSN":"09596526","journalAbbreviation":"Journal of Cleaner Production","language":"en","page":"1053-1066","source":"DOI.org (Crossref)","title":"Public understandings of E-waste and its disposal in urban India: From a review towards a conceptual framework","title-short":"Public understandings of E-waste and its disposal in urban India","volume":"172","author":[{"family":"Borthakur","given":"Anwesha"},{"family":"Govind","given":"Madhav"}],"issued":{"date-parts":[["2018",1]]}}}],"schema":"https://github.com/citation-style-language/schema/raw/master/csl-citation.json"} </w:instrText>
      </w:r>
      <w:r w:rsidR="00B038D3" w:rsidRPr="00597FFB">
        <w:rPr>
          <w:rFonts w:ascii="Times New Roman" w:eastAsia="Calibri" w:hAnsi="Times New Roman" w:cs="Times New Roman"/>
          <w:sz w:val="24"/>
          <w:szCs w:val="24"/>
        </w:rPr>
        <w:fldChar w:fldCharType="separate"/>
      </w:r>
      <w:r w:rsidR="00AA48CC" w:rsidRPr="00597FFB">
        <w:rPr>
          <w:rFonts w:ascii="Times New Roman" w:hAnsi="Times New Roman" w:cs="Times New Roman"/>
          <w:sz w:val="24"/>
          <w:szCs w:val="24"/>
        </w:rPr>
        <w:t>(Borthakur &amp; Govind, 2018)</w:t>
      </w:r>
      <w:r w:rsidR="00B038D3" w:rsidRPr="00597FFB">
        <w:rPr>
          <w:rFonts w:ascii="Times New Roman" w:eastAsia="Calibri" w:hAnsi="Times New Roman" w:cs="Times New Roman"/>
          <w:sz w:val="24"/>
          <w:szCs w:val="24"/>
        </w:rPr>
        <w:fldChar w:fldCharType="end"/>
      </w:r>
      <w:r w:rsidR="00B038D3"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Severe intoxication of the human system can lead to kidney dysfunction,</w:t>
      </w:r>
      <w:r w:rsidRPr="00597FFB" w:rsidDel="008623EE">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pulmonary emphysema, or damage to the skeletal apparatus </w:t>
      </w:r>
      <w:r w:rsidR="00B038D3" w:rsidRPr="00597FFB">
        <w:rPr>
          <w:rFonts w:ascii="Times New Roman" w:eastAsia="Calibri" w:hAnsi="Times New Roman" w:cs="Times New Roman"/>
          <w:sz w:val="24"/>
          <w:szCs w:val="24"/>
        </w:rPr>
        <w:fldChar w:fldCharType="begin"/>
      </w:r>
      <w:r w:rsidR="00AA48CC" w:rsidRPr="00597FFB">
        <w:rPr>
          <w:rFonts w:ascii="Times New Roman" w:eastAsia="Calibri" w:hAnsi="Times New Roman" w:cs="Times New Roman"/>
          <w:sz w:val="24"/>
          <w:szCs w:val="24"/>
        </w:rPr>
        <w:instrText xml:space="preserve"> ADDIN ZOTERO_ITEM CSL_CITATION {"citationID":"af6s25pv3v","properties":{"formattedCitation":"(Alnaser &amp; Alnaser, 2019)","plainCitation":"(Alnaser &amp; Alnaser, 2019)","noteIndex":0},"citationItems":[{"id":2931,"uris":["http://zotero.org/users/local/b6CRLSJH/items/2VAYMQUQ"],"itemData":{"id":2931,"type":"article-journal","abstract":"The research and the prototype projects in the GCC countries were in place since 1970's which first was started in Kuwait, followed by Saudi Arabia in the 1980's, United Arab Emirates in the 1990's, Bahrain, Oman and Qatar in 21 centuries. Now all GCC countries had conducted, relatively, large project in solar and wind energy, especially Kuwait (currently about 70 MW among a plan of 2000 MW by 2030), UAE (currently about 300 MW among a plan of 2500 MW by 2030) and Saudi Arabia (with an ambitious renewable energy target of 3450 MW by 2020 with a further 6000 GW envisioned by 2023 and to 200 000 MW by 2030). Such an acceleration in the use of solar and wind energy would have an impact. Major impacts are: (1) Major reduction in the solar electricity prices in the region; (2) More investors in renewable energy business; (3) Rise of innovative design of houses to utilize its structure in installation and integration of renewable energy devices; (4) Rise of many service and maintenance of solar technology companies; (5) Establishment of new academic programs and courses in solar and other renewable energy technologies in the higher education institute and technical organizations; (6) More concern and studies on disturbances to the main grid due to solar connection; (7) Major reduction in carbon footprint per capita in GCC countries; (8) Use of more efficient and low consumption household and industrial devices; (9) Boost in battery industry for solar electricity storage.","container-title":"Renewable Energy and Environmental Sustainability","DOI":"10.1051/rees/2019004","ISSN":"2493-9439","journalAbbreviation":"Renew. Energy Environ. Sustain.","page":"7","source":"DOI.org (Crossref)","title":"The impact of the rise of using solar energy in GCC countries","volume":"4","author":[{"family":"Alnaser","given":"N.W."},{"family":"Alnaser","given":"W.E."}],"issued":{"date-parts":[["2019"]]}}}],"schema":"https://github.com/citation-style-language/schema/raw/master/csl-citation.json"} </w:instrText>
      </w:r>
      <w:r w:rsidR="00B038D3" w:rsidRPr="00597FFB">
        <w:rPr>
          <w:rFonts w:ascii="Times New Roman" w:eastAsia="Calibri" w:hAnsi="Times New Roman" w:cs="Times New Roman"/>
          <w:sz w:val="24"/>
          <w:szCs w:val="24"/>
        </w:rPr>
        <w:fldChar w:fldCharType="separate"/>
      </w:r>
      <w:r w:rsidR="00AA48CC" w:rsidRPr="00597FFB">
        <w:rPr>
          <w:rFonts w:ascii="Times New Roman" w:hAnsi="Times New Roman" w:cs="Times New Roman"/>
          <w:sz w:val="24"/>
          <w:szCs w:val="24"/>
        </w:rPr>
        <w:t>(Alnaser &amp; Alnaser, 2019)</w:t>
      </w:r>
      <w:r w:rsidR="00B038D3" w:rsidRPr="00597FFB">
        <w:rPr>
          <w:rFonts w:ascii="Times New Roman" w:eastAsia="Calibri" w:hAnsi="Times New Roman" w:cs="Times New Roman"/>
          <w:sz w:val="24"/>
          <w:szCs w:val="24"/>
        </w:rPr>
        <w:fldChar w:fldCharType="end"/>
      </w:r>
      <w:r w:rsidR="00B038D3"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Moreover, prolonged exposure to cadmium can damage the central nervous system, peripheral paresis, kidneys,</w:t>
      </w:r>
      <w:r w:rsidRPr="00597FFB" w:rsidDel="009B780E">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the endocrine system, and</w:t>
      </w:r>
      <w:r w:rsidRPr="00597FFB" w:rsidDel="009B780E">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the cardiovascular system </w:t>
      </w:r>
      <w:r w:rsidR="00B038D3" w:rsidRPr="00597FFB">
        <w:rPr>
          <w:rFonts w:ascii="Times New Roman" w:eastAsia="Calibri" w:hAnsi="Times New Roman" w:cs="Times New Roman"/>
          <w:sz w:val="24"/>
          <w:szCs w:val="24"/>
        </w:rPr>
        <w:fldChar w:fldCharType="begin"/>
      </w:r>
      <w:r w:rsidR="00AA48CC" w:rsidRPr="00597FFB">
        <w:rPr>
          <w:rFonts w:ascii="Times New Roman" w:eastAsia="Calibri" w:hAnsi="Times New Roman" w:cs="Times New Roman"/>
          <w:sz w:val="24"/>
          <w:szCs w:val="24"/>
        </w:rPr>
        <w:instrText xml:space="preserve"> ADDIN ZOTERO_ITEM CSL_CITATION {"citationID":"a27es0brpse","properties":{"formattedCitation":"(Ameko et al., 2020)","plainCitation":"(Ameko et al., 2020)","noteIndex":0},"citationItems":[{"id":4454,"uris":["http://zotero.org/users/local/b6CRLSJH/items/JCRERBKG"],"itemData":{"id":4454,"type":"paper-conference","container-title":"Fourteenth ACM Conference on Recommender Systems","DOI":"10.1145/3383313.3412244","event-place":"Virtual Event Brazil","event-title":"RecSys '20: Fourteenth ACM Conference on Recommender Systems","ISBN":"978-1-4503-7583-2","language":"en","page":"249-258","publisher":"ACM","publisher-place":"Virtual Event Brazil","source":"DOI.org (Crossref)","title":"Offline Contextual Multi-armed Bandits for Mobile Health Interventions: A Case Study on Emotion Regulation","title-short":"Offline Contextual Multi-armed Bandits for Mobile Health Interventions","URL":"https://dl.acm.org/doi/10.1145/3383313.3412244","author":[{"family":"Ameko","given":"Mawulolo K."},{"family":"Beltzer","given":"Miranda L."},{"family":"Cai","given":"Lihua"},{"family":"Boukhechba","given":"Mehdi"},{"family":"Teachman","given":"Bethany A."},{"family":"Barnes","given":"Laura E."}],"accessed":{"date-parts":[["2022",6,5]]},"issued":{"date-parts":[["2020",9,22]]}}}],"schema":"https://github.com/citation-style-language/schema/raw/master/csl-citation.json"} </w:instrText>
      </w:r>
      <w:r w:rsidR="00B038D3" w:rsidRPr="00597FFB">
        <w:rPr>
          <w:rFonts w:ascii="Times New Roman" w:eastAsia="Calibri" w:hAnsi="Times New Roman" w:cs="Times New Roman"/>
          <w:sz w:val="24"/>
          <w:szCs w:val="24"/>
        </w:rPr>
        <w:fldChar w:fldCharType="separate"/>
      </w:r>
      <w:r w:rsidR="00AA48CC" w:rsidRPr="00597FFB">
        <w:rPr>
          <w:rFonts w:ascii="Times New Roman" w:hAnsi="Times New Roman" w:cs="Times New Roman"/>
          <w:sz w:val="24"/>
          <w:szCs w:val="24"/>
        </w:rPr>
        <w:t>(Ameko et al., 2020)</w:t>
      </w:r>
      <w:r w:rsidR="00B038D3" w:rsidRPr="00597FFB">
        <w:rPr>
          <w:rFonts w:ascii="Times New Roman" w:eastAsia="Calibri" w:hAnsi="Times New Roman" w:cs="Times New Roman"/>
          <w:sz w:val="24"/>
          <w:szCs w:val="24"/>
        </w:rPr>
        <w:fldChar w:fldCharType="end"/>
      </w:r>
      <w:r w:rsidR="00AA48CC"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Nickel and manganese are also emitted if off-gas treatment systems are not adopted (Ilankoon et al., 2018). Table 3 shows the hazardous effects of various E-waste components, including printed circuit boards, semiconductors, and lithium. Lithium-ion is one of the highest E-waste elements, and it will continue to increase since Li-ion batteries are common </w:t>
      </w:r>
      <w:r w:rsidR="00E265CC" w:rsidRPr="00597FFB">
        <w:rPr>
          <w:rFonts w:ascii="Times New Roman" w:eastAsia="Calibri" w:hAnsi="Times New Roman" w:cs="Times New Roman"/>
          <w:sz w:val="24"/>
          <w:szCs w:val="24"/>
        </w:rPr>
        <w:fldChar w:fldCharType="begin"/>
      </w:r>
      <w:r w:rsidR="00782A71" w:rsidRPr="00597FFB">
        <w:rPr>
          <w:rFonts w:ascii="Times New Roman" w:eastAsia="Calibri" w:hAnsi="Times New Roman" w:cs="Times New Roman"/>
          <w:sz w:val="24"/>
          <w:szCs w:val="24"/>
        </w:rPr>
        <w:instrText xml:space="preserve"> ADDIN ZOTERO_ITEM CSL_CITATION {"citationID":"a2o6uuasaf9","properties":{"formattedCitation":"(Bhardwaj et al., 2023)","plainCitation":"(Bhardwaj et al., 2023)","noteIndex":0},"citationItems":[{"id":4682,"uris":["http://zotero.org/users/local/b6CRLSJH/items/9M2ZHBBB"],"itemData":{"id":4682,"type":"chapter","container-title":"Waste Management and Resource Recycling in the Developing World","ISBN":"978-0-323-90463-6","language":"en","note":"DOI: 10.1016/B978-0-323-90463-6.00028-2","page":"143-161","publisher":"Elsevier","source":"DOI.org (Crossref)","title":"Electronic (E-waste) conduct: chemical assessment and treatment methods","title-short":"Electronic (E-waste) conduct","URL":"https://linkinghub.elsevier.com/retrieve/pii/B9780323904636000282","author":[{"family":"Bhardwaj","given":"Shelly"},{"family":"Khurana","given":"Shilpi"},{"family":"Kumar","given":"Amit"}],"accessed":{"date-parts":[["2023",1,29]]},"issued":{"date-parts":[["2023"]]}}}],"schema":"https://github.com/citation-style-language/schema/raw/master/csl-citation.json"} </w:instrText>
      </w:r>
      <w:r w:rsidR="00E265CC" w:rsidRPr="00597FFB">
        <w:rPr>
          <w:rFonts w:ascii="Times New Roman" w:eastAsia="Calibri" w:hAnsi="Times New Roman" w:cs="Times New Roman"/>
          <w:sz w:val="24"/>
          <w:szCs w:val="24"/>
        </w:rPr>
        <w:fldChar w:fldCharType="separate"/>
      </w:r>
      <w:r w:rsidR="00782A71" w:rsidRPr="00597FFB">
        <w:rPr>
          <w:rFonts w:ascii="Times New Roman" w:hAnsi="Times New Roman" w:cs="Times New Roman"/>
          <w:sz w:val="24"/>
          <w:szCs w:val="24"/>
        </w:rPr>
        <w:t>(Bhardwaj et al., 2023)</w:t>
      </w:r>
      <w:r w:rsidR="00E265CC"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Lithium from batteries can flow or leak into groundwater and the soil, which is detrimental to the environment and human health </w:t>
      </w:r>
      <w:r w:rsidR="00A44006" w:rsidRPr="00597FFB">
        <w:rPr>
          <w:rFonts w:ascii="Times New Roman" w:eastAsia="Calibri" w:hAnsi="Times New Roman" w:cs="Times New Roman"/>
          <w:sz w:val="24"/>
          <w:szCs w:val="24"/>
        </w:rPr>
        <w:fldChar w:fldCharType="begin"/>
      </w:r>
      <w:r w:rsidR="002554A0" w:rsidRPr="00597FFB">
        <w:rPr>
          <w:rFonts w:ascii="Times New Roman" w:eastAsia="Calibri" w:hAnsi="Times New Roman" w:cs="Times New Roman"/>
          <w:sz w:val="24"/>
          <w:szCs w:val="24"/>
        </w:rPr>
        <w:instrText xml:space="preserve"> ADDIN ZOTERO_ITEM CSL_CITATION {"citationID":"a2bvi2v5f7r","properties":{"formattedCitation":"(Delcea et al., 2020b)","plainCitation":"(Delcea et al., 2020b)","noteIndex":0},"citationItems":[{"id":3968,"uris":["http://zotero.org/users/local/b6CRLSJH/items/LQHGEWED"],"itemData":{"id":3968,"type":"article-journal","abstract":"Due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002554A0" w:rsidRPr="00597FFB">
        <w:rPr>
          <w:rFonts w:ascii="Cambria Math" w:eastAsia="Calibri" w:hAnsi="Cambria Math" w:cs="Cambria Math"/>
          <w:sz w:val="24"/>
          <w:szCs w:val="24"/>
        </w:rPr>
        <w:instrText>ﬃ</w:instrText>
      </w:r>
      <w:r w:rsidR="002554A0" w:rsidRPr="00597FFB">
        <w:rPr>
          <w:rFonts w:ascii="Times New Roman" w:eastAsia="Calibri" w:hAnsi="Times New Roman" w:cs="Times New Roman"/>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002554A0" w:rsidRPr="00597FFB">
        <w:rPr>
          <w:rFonts w:ascii="Cambria Math" w:eastAsia="Calibri" w:hAnsi="Cambria Math" w:cs="Cambria Math"/>
          <w:sz w:val="24"/>
          <w:szCs w:val="24"/>
        </w:rPr>
        <w:instrText>ﬀ</w:instrText>
      </w:r>
      <w:r w:rsidR="002554A0" w:rsidRPr="00597FFB">
        <w:rPr>
          <w:rFonts w:ascii="Times New Roman" w:eastAsia="Calibri" w:hAnsi="Times New Roman" w:cs="Times New Roman"/>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system.","container-title":"Sustainability","DOI":"10.3390/su12072753","ISSN":"2071-1050","issue":"7","journalAbbreviation":"Sustainability","language":"en","note":"number: 7","page":"2753","source":"DOI.org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00A44006" w:rsidRPr="00597FFB">
        <w:rPr>
          <w:rFonts w:ascii="Times New Roman" w:eastAsia="Calibri" w:hAnsi="Times New Roman" w:cs="Times New Roman"/>
          <w:sz w:val="24"/>
          <w:szCs w:val="24"/>
        </w:rPr>
        <w:fldChar w:fldCharType="separate"/>
      </w:r>
      <w:r w:rsidR="002554A0" w:rsidRPr="00597FFB">
        <w:rPr>
          <w:rFonts w:ascii="Times New Roman" w:hAnsi="Times New Roman" w:cs="Times New Roman"/>
          <w:sz w:val="24"/>
          <w:szCs w:val="24"/>
        </w:rPr>
        <w:t>(Delcea et al., 2020b)</w:t>
      </w:r>
      <w:r w:rsidR="00A44006" w:rsidRPr="00597FFB">
        <w:rPr>
          <w:rFonts w:ascii="Times New Roman" w:eastAsia="Calibri" w:hAnsi="Times New Roman" w:cs="Times New Roman"/>
          <w:sz w:val="24"/>
          <w:szCs w:val="24"/>
        </w:rPr>
        <w:fldChar w:fldCharType="end"/>
      </w:r>
      <w:r w:rsidR="002554A0"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When E-waste contains such substances break down in nature, these substances can flow or leak into groundwater or be absorbed by the soil, leading to localized toxicity </w:t>
      </w:r>
      <w:r w:rsidR="00782A71" w:rsidRPr="00597FFB">
        <w:rPr>
          <w:rFonts w:ascii="Times New Roman" w:eastAsia="Calibri" w:hAnsi="Times New Roman" w:cs="Times New Roman"/>
          <w:sz w:val="24"/>
          <w:szCs w:val="24"/>
        </w:rPr>
        <w:fldChar w:fldCharType="begin"/>
      </w:r>
      <w:r w:rsidR="00141E71" w:rsidRPr="00597FFB">
        <w:rPr>
          <w:rFonts w:ascii="Times New Roman" w:eastAsia="Calibri" w:hAnsi="Times New Roman" w:cs="Times New Roman"/>
          <w:sz w:val="24"/>
          <w:szCs w:val="24"/>
        </w:rPr>
        <w:instrText xml:space="preserve"> ADDIN ZOTERO_ITEM CSL_CITATION {"citationID":"a1arn4smo40","properties":{"formattedCitation":"(Alves &amp; Coutinho, 2019)","plainCitation":"(Alves &amp; Coutinho, 2019)","noteIndex":0},"citationItems":[{"id":4078,"uris":["http://zotero.org/users/local/b6CRLSJH/items/UP5RRKCZ"],"itemData":{"id":4078,"type":"article-journal","container-title":"Minerals Engineering","DOI":"10.1016/j.mineng.2018.11.041","ISSN":"08926875","journalAbbreviation":"Minerals Engineering","language":"en","page":"275-283","source":"DOI.org (Crossref)","title":"Life cycle assessment of niobium: A mining and production case study in Brazil","title-short":"Life cycle assessment of niobium","volume":"132","author":[{"family":"Alves","given":"Adilson Rangel"},{"family":"Coutinho","given":"Aparecido dos Reis"}],"issued":{"date-parts":[["2019",3]]}}}],"schema":"https://github.com/citation-style-language/schema/raw/master/csl-citation.json"} </w:instrText>
      </w:r>
      <w:r w:rsidR="00782A71" w:rsidRPr="00597FFB">
        <w:rPr>
          <w:rFonts w:ascii="Times New Roman" w:eastAsia="Calibri" w:hAnsi="Times New Roman" w:cs="Times New Roman"/>
          <w:sz w:val="24"/>
          <w:szCs w:val="24"/>
        </w:rPr>
        <w:fldChar w:fldCharType="separate"/>
      </w:r>
      <w:r w:rsidR="00141E71" w:rsidRPr="00597FFB">
        <w:rPr>
          <w:rFonts w:ascii="Times New Roman" w:hAnsi="Times New Roman" w:cs="Times New Roman"/>
          <w:sz w:val="24"/>
          <w:szCs w:val="24"/>
        </w:rPr>
        <w:t>(Alves &amp; Coutinho, 2019)</w:t>
      </w:r>
      <w:r w:rsidR="00782A71" w:rsidRPr="00597FFB">
        <w:rPr>
          <w:rFonts w:ascii="Times New Roman" w:eastAsia="Calibri" w:hAnsi="Times New Roman" w:cs="Times New Roman"/>
          <w:sz w:val="24"/>
          <w:szCs w:val="24"/>
        </w:rPr>
        <w:fldChar w:fldCharType="end"/>
      </w:r>
      <w:r w:rsidR="00141E71"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Since most industries are near water bodies, toxic E-wastes gradually flow to the water; hence, they contaminate the water in deep aquifers. Besides, these hazardous materials in E-waste can infiltrate from landfill sites to groundwater. This obnoxious liquid is known as "leachate." This highly toxic leachate waste gradually flows through the porous soil and mixes with the groundwater, causing water pollution </w:t>
      </w:r>
      <w:r w:rsidR="00141E71" w:rsidRPr="00597FFB">
        <w:rPr>
          <w:rFonts w:ascii="Times New Roman" w:eastAsia="Calibri" w:hAnsi="Times New Roman" w:cs="Times New Roman"/>
          <w:sz w:val="24"/>
          <w:szCs w:val="24"/>
        </w:rPr>
        <w:fldChar w:fldCharType="begin"/>
      </w:r>
      <w:r w:rsidR="00D52C8B" w:rsidRPr="00597FFB">
        <w:rPr>
          <w:rFonts w:ascii="Times New Roman" w:eastAsia="Calibri" w:hAnsi="Times New Roman" w:cs="Times New Roman"/>
          <w:sz w:val="24"/>
          <w:szCs w:val="24"/>
        </w:rPr>
        <w:instrText xml:space="preserve"> ADDIN ZOTERO_ITEM CSL_CITATION {"citationID":"aj7f9qpvcq","properties":{"formattedCitation":"(Gupta &amp; Nath, 2020a)","plainCitation":"(Gupta &amp; Nath, 2020a)","noteIndex":0},"citationItems":[{"id":2572,"uris":["http://zotero.org/users/local/b6CRLSJH/items/5B4WHKUT"],"itemData":{"id":2572,"type":"article-journal","abstract":"The very precious resource of Earth, the groundwater is being contaminated and polluted day by day. E-Waste is one of the major cause for this problem related to ground water. E-wastes are produced mainly due to discarded electronic gadgets like PCs, tablets, hard drives, printers, monitors, batteries, mobile phones, television, etc. The use of these electronic gadgets is increasing enormously day by day around the globe. Lack of awareness about the proper disposal of these ewastes cause serious health and environmental issue in developing countries like India and to some extent in developed countries. Discarded computers, mobile phones and other electronic equipment that are considered as e –waste contain hazardous toxic metals like chromium, lead, mercury, iron, zinc, copper, cadmium etc. These e –wastes are dumped in the landfills near the industries where large area of land is available. As most of the industries are located near the water sources, the toxic e-wastes are percolated inside the water hence make the water contaminated inside the deep aquifers. This water is not safe for drinking and other purposes. The quantity of pollutants is more near to the landfill sites and reduces as the distance between the landfill site and aquifer increases. In the present work, a literature survey of groundwater pollution by e-waste and its remedial measure to reduce groundwater contamination is being done.","container-title":"Journal of Physics: Conference Series","DOI":"10.1088/1742-6596/1531/1/012023","ISSN":"1742-6588, 1742-6596","journalAbbreviation":"J. Phys.: Conf. Ser.","language":"en","page":"012023","source":"DOI.org (Crossref)","title":"Groundwater Contamination By E-Waste And Its Remedial Measure - A Literature Review","volume":"1531","author":[{"family":"Gupta","given":"N."},{"family":"Nath","given":"M."}],"issued":{"date-parts":[["2020",5]]}}}],"schema":"https://github.com/citation-style-language/schema/raw/master/csl-citation.json"} </w:instrText>
      </w:r>
      <w:r w:rsidR="00141E71" w:rsidRPr="00597FFB">
        <w:rPr>
          <w:rFonts w:ascii="Times New Roman" w:eastAsia="Calibri" w:hAnsi="Times New Roman" w:cs="Times New Roman"/>
          <w:sz w:val="24"/>
          <w:szCs w:val="24"/>
        </w:rPr>
        <w:fldChar w:fldCharType="separate"/>
      </w:r>
      <w:r w:rsidR="00D52C8B" w:rsidRPr="00597FFB">
        <w:rPr>
          <w:rFonts w:ascii="Times New Roman" w:hAnsi="Times New Roman" w:cs="Times New Roman"/>
          <w:sz w:val="24"/>
        </w:rPr>
        <w:t>(Gupta &amp; Nath, 2020a)</w:t>
      </w:r>
      <w:r w:rsidR="00141E71" w:rsidRPr="00597FFB">
        <w:rPr>
          <w:rFonts w:ascii="Times New Roman" w:eastAsia="Calibri" w:hAnsi="Times New Roman" w:cs="Times New Roman"/>
          <w:sz w:val="24"/>
          <w:szCs w:val="24"/>
        </w:rPr>
        <w:fldChar w:fldCharType="end"/>
      </w:r>
      <w:r w:rsidR="00141E71"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E-waste also contains nonhazardous and precious metals, including gold and silver, and other valuable materials, such as organics or plastics, glass, and ceramics, which can be systematically recovered, thus, making this waste stream a source of raw materials</w:t>
      </w:r>
      <w:r w:rsidRPr="00597FFB">
        <w:rPr>
          <w:rFonts w:ascii="Times New Roman" w:eastAsia="Calibri" w:hAnsi="Times New Roman" w:cs="Times New Roman"/>
          <w:sz w:val="24"/>
          <w:szCs w:val="24"/>
        </w:rPr>
        <w:t xml:space="preserve"> </w:t>
      </w:r>
      <w:r w:rsidR="00996ACA" w:rsidRPr="00597FFB">
        <w:rPr>
          <w:rFonts w:ascii="Times New Roman" w:eastAsia="Calibri" w:hAnsi="Times New Roman" w:cs="Times New Roman"/>
          <w:sz w:val="24"/>
          <w:szCs w:val="24"/>
        </w:rPr>
        <w:fldChar w:fldCharType="begin"/>
      </w:r>
      <w:r w:rsidR="006D6A1C" w:rsidRPr="00597FFB">
        <w:rPr>
          <w:rFonts w:ascii="Times New Roman" w:eastAsia="Calibri" w:hAnsi="Times New Roman" w:cs="Times New Roman"/>
          <w:sz w:val="24"/>
          <w:szCs w:val="24"/>
        </w:rPr>
        <w:instrText xml:space="preserve"> ADDIN ZOTERO_ITEM CSL_CITATION {"citationID":"af548eo91j","properties":{"formattedCitation":"(B\\uc0\\u259{}tae et al., 2021a)","plainCitation":"(Bătae et al., 2021a)","noteIndex":0},"citationItems":[{"id":4388,"uris":["http://zotero.org/users/local/b6CRLSJH/items/VSCLKVIK"],"itemData":{"id":4388,"type":"article-journal","container-title":"Journal of Cleaner Production","DOI":"10.1016/j.jclepro.2021.125791","ISSN":"09596526","journalAbbreviation":"Journal of Cleaner Production","language":"en","page":"125791","source":"DOI.org (Crossref)","title":"The relationship between environmental, social, and financial performance in the banking sector: A European study","title-short":"The relationship between environmental, social, and financial performance in the banking sector","volume":"290","author":[{"family":"Bătae","given":"Oana Marina"},{"family":"Dragomir","given":"Voicu Dan"},{"family":"Feleagă","given":"Liliana"}],"issued":{"date-parts":[["2021",3]]}}}],"schema":"https://github.com/citation-style-language/schema/raw/master/csl-citation.json"} </w:instrText>
      </w:r>
      <w:r w:rsidR="00996ACA" w:rsidRPr="00597FFB">
        <w:rPr>
          <w:rFonts w:ascii="Times New Roman" w:eastAsia="Calibri" w:hAnsi="Times New Roman" w:cs="Times New Roman"/>
          <w:sz w:val="24"/>
          <w:szCs w:val="24"/>
        </w:rPr>
        <w:fldChar w:fldCharType="separate"/>
      </w:r>
      <w:r w:rsidR="006D6A1C" w:rsidRPr="00597FFB">
        <w:rPr>
          <w:rFonts w:ascii="Times New Roman" w:hAnsi="Times New Roman" w:cs="Times New Roman"/>
          <w:sz w:val="24"/>
          <w:szCs w:val="24"/>
        </w:rPr>
        <w:t>(Bătae et al., 2021a)</w:t>
      </w:r>
      <w:r w:rsidR="00996ACA" w:rsidRPr="00597FFB">
        <w:rPr>
          <w:rFonts w:ascii="Times New Roman" w:eastAsia="Calibri" w:hAnsi="Times New Roman" w:cs="Times New Roman"/>
          <w:sz w:val="24"/>
          <w:szCs w:val="24"/>
        </w:rPr>
        <w:fldChar w:fldCharType="end"/>
      </w:r>
      <w:r w:rsidR="00996ACA"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 xml:space="preserve">E-waste's generalized material composition is valuable metals, with approximately 30% metal composition, concentrated in waste printed circuit boards (WPCBs). In contrast, the remaining fraction was non-metals (e.g., plastics, ceramics, and resins) </w:t>
      </w:r>
      <w:r w:rsidR="00996ACA" w:rsidRPr="00597FFB">
        <w:rPr>
          <w:rFonts w:ascii="Times New Roman" w:eastAsia="Calibri" w:hAnsi="Times New Roman" w:cs="Times New Roman"/>
          <w:color w:val="000000"/>
          <w:sz w:val="24"/>
          <w:szCs w:val="24"/>
        </w:rPr>
        <w:fldChar w:fldCharType="begin"/>
      </w:r>
      <w:r w:rsidR="006D6A1C" w:rsidRPr="00597FFB">
        <w:rPr>
          <w:rFonts w:ascii="Times New Roman" w:eastAsia="Calibri" w:hAnsi="Times New Roman" w:cs="Times New Roman"/>
          <w:color w:val="000000"/>
          <w:sz w:val="24"/>
          <w:szCs w:val="24"/>
        </w:rPr>
        <w:instrText xml:space="preserve"> ADDIN ZOTERO_ITEM CSL_CITATION {"citationID":"afhu69ln7g","properties":{"formattedCitation":"(Alblooshi et al., 2022)","plainCitation":"(Alblooshi et al., 2022)","noteIndex":0},"citationItems":[{"id":4644,"uris":["http://zotero.org/users/local/b6CRLSJH/items/G9FCR68C"],"itemData":{"id":4644,"type":"article-journal","container-title":"Business Strategy and the Environment","DOI":"10.1002/bse.2987","ISSN":"0964-4733, 1099-0836","issue":"4","journalAbbreviation":"Bus Strat Env","language":"en","page":"1856-1874","source":"DOI.org (Crossref)","title":"Sustainable management of electronic waste: Empirical evidences from a stakeholders' perspective","title-short":"Sustainable management of electronic waste","volume":"31","author":[{"family":"Alblooshi","given":"Badreya Gharib Khamis Mohammed"},{"family":"Ahmad","given":"Syed Zamberi"},{"family":"Hussain","given":"Matloub"},{"family":"Singh","given":"Sanjay Kumar"}],"issued":{"date-parts":[["2022",5]]}}}],"schema":"https://github.com/citation-style-language/schema/raw/master/csl-citation.json"} </w:instrText>
      </w:r>
      <w:r w:rsidR="00996ACA" w:rsidRPr="00597FFB">
        <w:rPr>
          <w:rFonts w:ascii="Times New Roman" w:eastAsia="Calibri" w:hAnsi="Times New Roman" w:cs="Times New Roman"/>
          <w:color w:val="000000"/>
          <w:sz w:val="24"/>
          <w:szCs w:val="24"/>
        </w:rPr>
        <w:fldChar w:fldCharType="separate"/>
      </w:r>
      <w:r w:rsidR="006D6A1C" w:rsidRPr="00597FFB">
        <w:rPr>
          <w:rFonts w:ascii="Times New Roman" w:hAnsi="Times New Roman" w:cs="Times New Roman"/>
          <w:sz w:val="24"/>
          <w:szCs w:val="24"/>
        </w:rPr>
        <w:t>(Alblooshi et al., 2022)</w:t>
      </w:r>
      <w:r w:rsidR="00996ACA" w:rsidRPr="00597FFB">
        <w:rPr>
          <w:rFonts w:ascii="Times New Roman" w:eastAsia="Calibri" w:hAnsi="Times New Roman" w:cs="Times New Roman"/>
          <w:color w:val="000000"/>
          <w:sz w:val="24"/>
          <w:szCs w:val="24"/>
        </w:rPr>
        <w:fldChar w:fldCharType="end"/>
      </w:r>
      <w:r w:rsidR="00996ACA"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E-waste's iron content has no real economic value, but the main metallic constituent </w:t>
      </w:r>
      <w:r w:rsidRPr="00597FFB">
        <w:rPr>
          <w:rFonts w:ascii="Times New Roman" w:eastAsia="Calibri" w:hAnsi="Times New Roman" w:cs="Times New Roman"/>
          <w:sz w:val="24"/>
          <w:szCs w:val="24"/>
        </w:rPr>
        <w:t xml:space="preserve">of WPCBs contains around 20% copper, which is about ten times more than that of high-grade metallic ores (Ilankoon et al., 2018). </w:t>
      </w:r>
      <w:r w:rsidRPr="00597FFB">
        <w:rPr>
          <w:rFonts w:ascii="Times New Roman" w:eastAsia="Calibri" w:hAnsi="Times New Roman" w:cs="Times New Roman"/>
          <w:color w:val="000000"/>
          <w:sz w:val="24"/>
          <w:szCs w:val="24"/>
        </w:rPr>
        <w:t>However, E-waste's exact chemical composition</w:t>
      </w:r>
      <w:r w:rsidRPr="00597FFB">
        <w:rPr>
          <w:rFonts w:ascii="Times New Roman" w:eastAsia="Calibri" w:hAnsi="Times New Roman" w:cs="Times New Roman"/>
          <w:sz w:val="24"/>
          <w:szCs w:val="24"/>
        </w:rPr>
        <w:t xml:space="preserve"> varies significantly with its type, age, origin, and manufacturer </w:t>
      </w:r>
      <w:r w:rsidR="00AA6164" w:rsidRPr="00597FFB">
        <w:rPr>
          <w:rFonts w:ascii="Times New Roman" w:eastAsia="Calibri" w:hAnsi="Times New Roman" w:cs="Times New Roman"/>
          <w:sz w:val="24"/>
          <w:szCs w:val="24"/>
        </w:rPr>
        <w:fldChar w:fldCharType="begin"/>
      </w:r>
      <w:r w:rsidR="005C4A5B" w:rsidRPr="00597FFB">
        <w:rPr>
          <w:rFonts w:ascii="Times New Roman" w:eastAsia="Calibri" w:hAnsi="Times New Roman" w:cs="Times New Roman"/>
          <w:sz w:val="24"/>
          <w:szCs w:val="24"/>
        </w:rPr>
        <w:instrText xml:space="preserve"> ADDIN ZOTERO_ITEM CSL_CITATION {"citationID":"a13pnhmc67b","properties":{"formattedCitation":"(Borusiak et al., 2020)","plainCitation":"(Borusiak et al., 2020)","noteIndex":0},"citationItems":[{"id":4204,"uris":["http://zotero.org/users/local/b6CRLSJH/items/LMB93Q35"],"itemData":{"id":4204,"type":"article-journal","abstract":"As the natural resources of the Earth are rapidly depleting, there is an urgent need to encourage people to adopt self-restrictive behaviors, one of which is giving products a second life. The aim of this study is to examine the consumers’ intention to buy used products and to visit a second-hand shop using the extended Theory of Planned Behavior (TPB). Additional variables were adopted to give a better insight into the nature of the personal norm. Two variables derived from the Norm Activation Model (NAM) were included in the research model: the awareness of consequences and the ascription of responsibility. In order to collect the data, an online survey was conducted in Poland on 333 participants. SEM was applied for data analysis. The research revealed that the following constructs are positively related to second-hand buying (SHB) intention: the attitude towards the positive impact of SHB on sustainable consumption, and the perceived behavioral control over SHB and the personal norm regarding SHB. Subjective norms regarding SHB are negatively related to SHB intention. An awareness of the consequences of SHB and the ascription of responsibility for the environmental issues are positively related to the personal norm regarding SHB. The intention to buy second-hand products (SHP) is positively related to the intention to visit a second-hand shop.","container-title":"Sustainability","DOI":"10.3390/su12030875","ISSN":"2071-1050","issue":"3","journalAbbreviation":"Sustainability","language":"en","page":"875","source":"DOI.org (Crossref)","title":"Towards Building Sustainable Consumption: A Study of Second-Hand Buying Intentions","title-short":"Towards Building Sustainable Consumption","volume":"12","author":[{"family":"Borusiak","given":"Barbara"},{"family":"Szymkowiak","given":"Andrzej"},{"family":"Horska","given":"Elena"},{"family":"Raszka","given":"Natalia"},{"family":"Żelichowska","given":"Elżbieta"}],"issued":{"date-parts":[["2020",1,24]]}}}],"schema":"https://github.com/citation-style-language/schema/raw/master/csl-citation.json"} </w:instrText>
      </w:r>
      <w:r w:rsidR="00AA6164" w:rsidRPr="00597FFB">
        <w:rPr>
          <w:rFonts w:ascii="Times New Roman" w:eastAsia="Calibri" w:hAnsi="Times New Roman" w:cs="Times New Roman"/>
          <w:sz w:val="24"/>
          <w:szCs w:val="24"/>
        </w:rPr>
        <w:fldChar w:fldCharType="separate"/>
      </w:r>
      <w:r w:rsidR="005C4A5B" w:rsidRPr="00597FFB">
        <w:rPr>
          <w:rFonts w:ascii="Times New Roman" w:hAnsi="Times New Roman" w:cs="Times New Roman"/>
          <w:sz w:val="24"/>
          <w:szCs w:val="24"/>
        </w:rPr>
        <w:t>(Borusiak et al., 2020)</w:t>
      </w:r>
      <w:r w:rsidR="00AA6164" w:rsidRPr="00597FFB">
        <w:rPr>
          <w:rFonts w:ascii="Times New Roman" w:eastAsia="Calibri" w:hAnsi="Times New Roman" w:cs="Times New Roman"/>
          <w:sz w:val="24"/>
          <w:szCs w:val="24"/>
        </w:rPr>
        <w:fldChar w:fldCharType="end"/>
      </w:r>
      <w:r w:rsidR="00AA6164"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color w:val="000000"/>
          <w:sz w:val="24"/>
          <w:szCs w:val="24"/>
        </w:rPr>
        <w:t xml:space="preserve">The typical gold content in E-waste </w:t>
      </w:r>
      <w:r w:rsidRPr="00597FFB">
        <w:rPr>
          <w:rFonts w:ascii="Times New Roman" w:eastAsia="Calibri" w:hAnsi="Times New Roman" w:cs="Times New Roman"/>
          <w:sz w:val="24"/>
          <w:szCs w:val="24"/>
        </w:rPr>
        <w:t xml:space="preserve">ranges from 80–250 grams per ton </w:t>
      </w:r>
      <w:r w:rsidRPr="00597FFB">
        <w:rPr>
          <w:rFonts w:ascii="Times New Roman" w:eastAsia="Calibri" w:hAnsi="Times New Roman" w:cs="Times New Roman"/>
          <w:color w:val="7030A0"/>
          <w:sz w:val="24"/>
          <w:szCs w:val="24"/>
        </w:rPr>
        <w:t>(</w:t>
      </w:r>
      <w:r w:rsidRPr="00597FFB">
        <w:rPr>
          <w:rFonts w:ascii="Times New Roman" w:eastAsia="Calibri" w:hAnsi="Times New Roman" w:cs="Times New Roman"/>
          <w:color w:val="000000"/>
          <w:sz w:val="24"/>
          <w:szCs w:val="24"/>
        </w:rPr>
        <w:t xml:space="preserve">g/t), which is much higher than the gold ores' average gold content </w:t>
      </w:r>
      <w:r w:rsidR="005C4A5B" w:rsidRPr="00597FFB">
        <w:rPr>
          <w:rFonts w:ascii="Times New Roman" w:eastAsia="Calibri" w:hAnsi="Times New Roman" w:cs="Times New Roman"/>
          <w:color w:val="000000"/>
          <w:sz w:val="24"/>
          <w:szCs w:val="24"/>
        </w:rPr>
        <w:fldChar w:fldCharType="begin"/>
      </w:r>
      <w:r w:rsidR="00574E3C" w:rsidRPr="00597FFB">
        <w:rPr>
          <w:rFonts w:ascii="Times New Roman" w:eastAsia="Calibri" w:hAnsi="Times New Roman" w:cs="Times New Roman"/>
          <w:color w:val="000000"/>
          <w:sz w:val="24"/>
          <w:szCs w:val="24"/>
        </w:rPr>
        <w:instrText xml:space="preserve"> ADDIN ZOTERO_ITEM CSL_CITATION {"citationID":"a1vq3bthopq","properties":{"formattedCitation":"(Liu et al., 2019)","plainCitation":"(Liu et al., 2019)","noteIndex":0},"citationItems":[{"id":4124,"uris":["http://zotero.org/users/local/b6CRLSJH/items/IF7GKBQC"],"itemData":{"id":4124,"type":"article-journal","container-title":"Journal of Cleaner Production","DOI":"10.1016/j.jclepro.2019.04.304","ISSN":"09596526","journalAbbreviation":"Journal of Cleaner Production","language":"en","page":"801-813","source":"DOI.org (Crossref)","title":"Recycling of spent lithium-ion batteries in view of lithium recovery: A critical review","title-short":"Recycling of spent lithium-ion batteries in view of lithium recovery","volume":"228","author":[{"family":"Liu","given":"Chunwei"},{"family":"Lin","given":"Jiao"},{"family":"Cao","given":"Hongbin"},{"family":"Zhang","given":"Yi"},{"family":"Sun","given":"Zhi"}],"issued":{"date-parts":[["2019",8]]}}}],"schema":"https://github.com/citation-style-language/schema/raw/master/csl-citation.json"} </w:instrText>
      </w:r>
      <w:r w:rsidR="005C4A5B" w:rsidRPr="00597FFB">
        <w:rPr>
          <w:rFonts w:ascii="Times New Roman" w:eastAsia="Calibri" w:hAnsi="Times New Roman" w:cs="Times New Roman"/>
          <w:color w:val="000000"/>
          <w:sz w:val="24"/>
          <w:szCs w:val="24"/>
        </w:rPr>
        <w:fldChar w:fldCharType="separate"/>
      </w:r>
      <w:r w:rsidR="00574E3C" w:rsidRPr="00597FFB">
        <w:rPr>
          <w:rFonts w:ascii="Times New Roman" w:hAnsi="Times New Roman" w:cs="Times New Roman"/>
          <w:sz w:val="24"/>
          <w:szCs w:val="24"/>
        </w:rPr>
        <w:t>(Liu et al., 2019)</w:t>
      </w:r>
      <w:r w:rsidR="005C4A5B" w:rsidRPr="00597FFB">
        <w:rPr>
          <w:rFonts w:ascii="Times New Roman" w:eastAsia="Calibri" w:hAnsi="Times New Roman" w:cs="Times New Roman"/>
          <w:color w:val="000000"/>
          <w:sz w:val="24"/>
          <w:szCs w:val="24"/>
        </w:rPr>
        <w:fldChar w:fldCharType="end"/>
      </w:r>
      <w:r w:rsidR="005C4A5B" w:rsidRPr="00597FFB">
        <w:rPr>
          <w:rFonts w:ascii="Times New Roman" w:eastAsia="Calibri" w:hAnsi="Times New Roman" w:cs="Times New Roman"/>
          <w:color w:val="000000"/>
          <w:sz w:val="24"/>
          <w:szCs w:val="24"/>
        </w:rPr>
        <w:t>.</w:t>
      </w:r>
    </w:p>
    <w:p w14:paraId="4CE29F06" w14:textId="578314C0" w:rsidR="009D4FB4" w:rsidRPr="00597FFB" w:rsidRDefault="00775BFB" w:rsidP="009D4FB4">
      <w:pPr>
        <w:autoSpaceDE w:val="0"/>
        <w:autoSpaceDN w:val="0"/>
        <w:adjustRightInd w:val="0"/>
        <w:spacing w:before="26" w:after="26" w:line="480" w:lineRule="auto"/>
        <w:ind w:left="90"/>
        <w:jc w:val="both"/>
        <w:rPr>
          <w:rFonts w:ascii="Times New Roman" w:eastAsia="Calibri" w:hAnsi="Times New Roman" w:cs="Times New Roman"/>
          <w:color w:val="000000"/>
        </w:rPr>
      </w:pPr>
      <w:r w:rsidRPr="00597FFB">
        <w:rPr>
          <w:rFonts w:ascii="Times New Roman" w:eastAsia="Calibri" w:hAnsi="Times New Roman" w:cs="Times New Roman"/>
          <w:b/>
          <w:bCs/>
          <w:color w:val="000000"/>
        </w:rPr>
        <w:t>Table 3:</w:t>
      </w:r>
      <w:r w:rsidRPr="00597FFB">
        <w:rPr>
          <w:rFonts w:ascii="Times New Roman" w:eastAsia="Calibri" w:hAnsi="Times New Roman" w:cs="Times New Roman"/>
          <w:color w:val="000000"/>
        </w:rPr>
        <w:t xml:space="preserve"> </w:t>
      </w:r>
      <w:bookmarkStart w:id="36" w:name="_Hlk57288490"/>
      <w:r w:rsidRPr="00597FFB">
        <w:rPr>
          <w:rFonts w:ascii="Times New Roman" w:eastAsia="Calibri" w:hAnsi="Times New Roman" w:cs="Times New Roman"/>
          <w:i/>
          <w:iCs/>
          <w:color w:val="000000"/>
        </w:rPr>
        <w:t xml:space="preserve">Hazardous Substances Present </w:t>
      </w:r>
      <w:r w:rsidR="006D5C5D" w:rsidRPr="00597FFB">
        <w:rPr>
          <w:rFonts w:ascii="Times New Roman" w:eastAsia="Calibri" w:hAnsi="Times New Roman" w:cs="Times New Roman"/>
          <w:i/>
          <w:iCs/>
          <w:color w:val="000000"/>
        </w:rPr>
        <w:t>i</w:t>
      </w:r>
      <w:r w:rsidRPr="00597FFB">
        <w:rPr>
          <w:rFonts w:ascii="Times New Roman" w:eastAsia="Calibri" w:hAnsi="Times New Roman" w:cs="Times New Roman"/>
          <w:i/>
          <w:iCs/>
          <w:color w:val="000000"/>
        </w:rPr>
        <w:t xml:space="preserve">n E-Waste </w:t>
      </w:r>
      <w:r w:rsidR="006D5C5D" w:rsidRPr="00597FFB">
        <w:rPr>
          <w:rFonts w:ascii="Times New Roman" w:eastAsia="Calibri" w:hAnsi="Times New Roman" w:cs="Times New Roman"/>
          <w:i/>
          <w:iCs/>
          <w:color w:val="000000"/>
        </w:rPr>
        <w:t>a</w:t>
      </w:r>
      <w:r w:rsidRPr="00597FFB">
        <w:rPr>
          <w:rFonts w:ascii="Times New Roman" w:eastAsia="Calibri" w:hAnsi="Times New Roman" w:cs="Times New Roman"/>
          <w:i/>
          <w:iCs/>
          <w:color w:val="000000"/>
        </w:rPr>
        <w:t>nd Their Impacts.</w:t>
      </w:r>
      <w:r w:rsidRPr="00597FFB">
        <w:rPr>
          <w:rFonts w:ascii="Times New Roman" w:eastAsia="Calibri" w:hAnsi="Times New Roman" w:cs="Times New Roman"/>
          <w:color w:val="000000"/>
        </w:rPr>
        <w:t xml:space="preserve"> </w:t>
      </w:r>
      <w:bookmarkEnd w:id="36"/>
    </w:p>
    <w:tbl>
      <w:tblPr>
        <w:tblW w:w="0" w:type="auto"/>
        <w:tblCellSpacing w:w="0" w:type="dxa"/>
        <w:shd w:val="clear" w:color="auto" w:fill="FFFFFF"/>
        <w:tblLayout w:type="fixed"/>
        <w:tblCellMar>
          <w:left w:w="0" w:type="dxa"/>
          <w:right w:w="0" w:type="dxa"/>
        </w:tblCellMar>
        <w:tblLook w:val="0000" w:firstRow="0" w:lastRow="0" w:firstColumn="0" w:lastColumn="0" w:noHBand="0" w:noVBand="0"/>
      </w:tblPr>
      <w:tblGrid>
        <w:gridCol w:w="2515"/>
        <w:gridCol w:w="1931"/>
        <w:gridCol w:w="3140"/>
      </w:tblGrid>
      <w:tr w:rsidR="009D4FB4" w:rsidRPr="00597FFB" w14:paraId="40654FDC" w14:textId="77777777" w:rsidTr="001E19F2">
        <w:trPr>
          <w:trHeight w:val="420"/>
          <w:tblCellSpacing w:w="0" w:type="dxa"/>
        </w:trPr>
        <w:tc>
          <w:tcPr>
            <w:tcW w:w="2515" w:type="dxa"/>
            <w:tcBorders>
              <w:top w:val="single" w:sz="4" w:space="0" w:color="auto"/>
              <w:bottom w:val="single" w:sz="4" w:space="0" w:color="auto"/>
            </w:tcBorders>
            <w:shd w:val="clear" w:color="auto" w:fill="FFFFFF"/>
            <w:vAlign w:val="center"/>
          </w:tcPr>
          <w:p w14:paraId="2CFB81F9"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bCs/>
              </w:rPr>
              <w:t>Source of E-waste</w:t>
            </w:r>
          </w:p>
        </w:tc>
        <w:tc>
          <w:tcPr>
            <w:tcW w:w="1931" w:type="dxa"/>
            <w:tcBorders>
              <w:top w:val="single" w:sz="4" w:space="0" w:color="auto"/>
              <w:bottom w:val="single" w:sz="4" w:space="0" w:color="auto"/>
            </w:tcBorders>
            <w:shd w:val="clear" w:color="auto" w:fill="FFFFFF"/>
            <w:vAlign w:val="center"/>
          </w:tcPr>
          <w:p w14:paraId="47B5EA4C"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bCs/>
              </w:rPr>
              <w:t>Constituent</w:t>
            </w:r>
          </w:p>
        </w:tc>
        <w:tc>
          <w:tcPr>
            <w:tcW w:w="3140" w:type="dxa"/>
            <w:tcBorders>
              <w:top w:val="single" w:sz="4" w:space="0" w:color="auto"/>
              <w:bottom w:val="single" w:sz="4" w:space="0" w:color="auto"/>
            </w:tcBorders>
            <w:shd w:val="clear" w:color="auto" w:fill="FFFFFF"/>
            <w:vAlign w:val="center"/>
          </w:tcPr>
          <w:p w14:paraId="28EA5255"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bCs/>
              </w:rPr>
              <w:t>Health effects</w:t>
            </w:r>
          </w:p>
        </w:tc>
      </w:tr>
      <w:tr w:rsidR="009D4FB4" w:rsidRPr="00597FFB" w14:paraId="416CD166" w14:textId="77777777" w:rsidTr="001E19F2">
        <w:trPr>
          <w:trHeight w:val="1647"/>
          <w:tblCellSpacing w:w="0" w:type="dxa"/>
        </w:trPr>
        <w:tc>
          <w:tcPr>
            <w:tcW w:w="2515" w:type="dxa"/>
            <w:shd w:val="clear" w:color="auto" w:fill="FFFFFF"/>
            <w:vAlign w:val="center"/>
          </w:tcPr>
          <w:p w14:paraId="09B5819E" w14:textId="77777777" w:rsidR="009D4FB4" w:rsidRPr="00597FFB" w:rsidRDefault="009D4FB4" w:rsidP="009D4FB4">
            <w:p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Solder in printed circuit boards, glass panels, and gaskets in computer monitors</w:t>
            </w:r>
          </w:p>
        </w:tc>
        <w:tc>
          <w:tcPr>
            <w:tcW w:w="1931" w:type="dxa"/>
            <w:shd w:val="clear" w:color="auto" w:fill="FFFFFF"/>
            <w:vAlign w:val="center"/>
          </w:tcPr>
          <w:p w14:paraId="133A43F2"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Lead (PB)</w:t>
            </w:r>
          </w:p>
        </w:tc>
        <w:tc>
          <w:tcPr>
            <w:tcW w:w="3140" w:type="dxa"/>
            <w:shd w:val="clear" w:color="auto" w:fill="FFFFFF"/>
            <w:vAlign w:val="center"/>
          </w:tcPr>
          <w:p w14:paraId="3D4D6192"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Damage to central and peripheral nervous systems, blood systems, and kidney damage.</w:t>
            </w:r>
          </w:p>
          <w:p w14:paraId="5CA502E4"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 The brain damage of children. </w:t>
            </w:r>
          </w:p>
        </w:tc>
      </w:tr>
      <w:tr w:rsidR="009D4FB4" w:rsidRPr="00597FFB" w14:paraId="3ACABEF9" w14:textId="77777777" w:rsidTr="001E19F2">
        <w:trPr>
          <w:tblCellSpacing w:w="0" w:type="dxa"/>
        </w:trPr>
        <w:tc>
          <w:tcPr>
            <w:tcW w:w="2515" w:type="dxa"/>
            <w:shd w:val="clear" w:color="auto" w:fill="FFFFFF"/>
            <w:vAlign w:val="center"/>
          </w:tcPr>
          <w:p w14:paraId="06AA1777" w14:textId="77777777" w:rsidR="009D4FB4" w:rsidRPr="00597FFB" w:rsidRDefault="009D4FB4" w:rsidP="009D4FB4">
            <w:p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Chip resistors and semiconductors </w:t>
            </w:r>
          </w:p>
        </w:tc>
        <w:tc>
          <w:tcPr>
            <w:tcW w:w="1931" w:type="dxa"/>
            <w:shd w:val="clear" w:color="auto" w:fill="FFFFFF"/>
            <w:vAlign w:val="center"/>
          </w:tcPr>
          <w:p w14:paraId="4652E8CD"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Cadmium (CD)</w:t>
            </w:r>
          </w:p>
        </w:tc>
        <w:tc>
          <w:tcPr>
            <w:tcW w:w="3140" w:type="dxa"/>
            <w:shd w:val="clear" w:color="auto" w:fill="FFFFFF"/>
            <w:vAlign w:val="center"/>
          </w:tcPr>
          <w:p w14:paraId="75B9DFA1"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Toxic irreversible on human health.</w:t>
            </w:r>
          </w:p>
          <w:p w14:paraId="76C5178D"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Accumulates kidney and liver.</w:t>
            </w:r>
          </w:p>
          <w:p w14:paraId="02256401"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It causes neural damage. </w:t>
            </w:r>
          </w:p>
          <w:p w14:paraId="6F7A1D81"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Teratogenic. </w:t>
            </w:r>
          </w:p>
        </w:tc>
      </w:tr>
      <w:tr w:rsidR="009D4FB4" w:rsidRPr="00597FFB" w14:paraId="228AAE39" w14:textId="77777777" w:rsidTr="001E19F2">
        <w:trPr>
          <w:tblCellSpacing w:w="0" w:type="dxa"/>
        </w:trPr>
        <w:tc>
          <w:tcPr>
            <w:tcW w:w="2515" w:type="dxa"/>
            <w:shd w:val="clear" w:color="auto" w:fill="FFFFFF"/>
            <w:vAlign w:val="center"/>
          </w:tcPr>
          <w:p w14:paraId="0F0D3099"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Relays and switches, printed circuit boards </w:t>
            </w:r>
          </w:p>
        </w:tc>
        <w:tc>
          <w:tcPr>
            <w:tcW w:w="1931" w:type="dxa"/>
            <w:shd w:val="clear" w:color="auto" w:fill="FFFFFF"/>
            <w:vAlign w:val="center"/>
          </w:tcPr>
          <w:p w14:paraId="080E24C5"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Mercury (Hg)</w:t>
            </w:r>
          </w:p>
        </w:tc>
        <w:tc>
          <w:tcPr>
            <w:tcW w:w="3140" w:type="dxa"/>
            <w:shd w:val="clear" w:color="auto" w:fill="FFFFFF"/>
            <w:vAlign w:val="center"/>
          </w:tcPr>
          <w:p w14:paraId="21A53C1C"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Chronic damage to the brain. </w:t>
            </w:r>
          </w:p>
          <w:p w14:paraId="5AFFCDE5"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Respiratory and skin disorders due to bioaccumulation in fishes. </w:t>
            </w:r>
          </w:p>
        </w:tc>
      </w:tr>
      <w:tr w:rsidR="009D4FB4" w:rsidRPr="00597FFB" w14:paraId="23EF3BB0" w14:textId="77777777" w:rsidTr="001E19F2">
        <w:trPr>
          <w:tblCellSpacing w:w="0" w:type="dxa"/>
        </w:trPr>
        <w:tc>
          <w:tcPr>
            <w:tcW w:w="2515" w:type="dxa"/>
            <w:shd w:val="clear" w:color="auto" w:fill="FFFFFF"/>
            <w:vAlign w:val="center"/>
          </w:tcPr>
          <w:p w14:paraId="3D4A86FE"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Corrosion protection of untreated and galvanized steel plates, decorator or hardener for steel housings </w:t>
            </w:r>
          </w:p>
        </w:tc>
        <w:tc>
          <w:tcPr>
            <w:tcW w:w="1931" w:type="dxa"/>
            <w:shd w:val="clear" w:color="auto" w:fill="FFFFFF"/>
            <w:vAlign w:val="center"/>
          </w:tcPr>
          <w:p w14:paraId="6F298048"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Hexavalent chromium (Cr) VI</w:t>
            </w:r>
          </w:p>
        </w:tc>
        <w:tc>
          <w:tcPr>
            <w:tcW w:w="3140" w:type="dxa"/>
            <w:shd w:val="clear" w:color="auto" w:fill="FFFFFF"/>
            <w:vAlign w:val="center"/>
          </w:tcPr>
          <w:p w14:paraId="262B4B56"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Asthmatic bronchitis. </w:t>
            </w:r>
          </w:p>
          <w:p w14:paraId="65F5DB69"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DNA damage. </w:t>
            </w:r>
          </w:p>
        </w:tc>
      </w:tr>
      <w:tr w:rsidR="009D4FB4" w:rsidRPr="00597FFB" w14:paraId="4A85A5C7" w14:textId="77777777" w:rsidTr="001E19F2">
        <w:trPr>
          <w:tblCellSpacing w:w="0" w:type="dxa"/>
        </w:trPr>
        <w:tc>
          <w:tcPr>
            <w:tcW w:w="2515" w:type="dxa"/>
            <w:shd w:val="clear" w:color="auto" w:fill="FFFFFF"/>
            <w:vAlign w:val="center"/>
          </w:tcPr>
          <w:p w14:paraId="2BD1A209"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Cabling and computer housing </w:t>
            </w:r>
          </w:p>
        </w:tc>
        <w:tc>
          <w:tcPr>
            <w:tcW w:w="1931" w:type="dxa"/>
            <w:shd w:val="clear" w:color="auto" w:fill="FFFFFF"/>
            <w:vAlign w:val="center"/>
          </w:tcPr>
          <w:p w14:paraId="2441F79B"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Plastics including PVC</w:t>
            </w:r>
          </w:p>
        </w:tc>
        <w:tc>
          <w:tcPr>
            <w:tcW w:w="3140" w:type="dxa"/>
            <w:shd w:val="clear" w:color="auto" w:fill="FFFFFF"/>
            <w:vAlign w:val="center"/>
          </w:tcPr>
          <w:p w14:paraId="11C4C1F7" w14:textId="0C0E52FB" w:rsidR="009D4FB4" w:rsidRPr="00597FFB" w:rsidRDefault="009D4FB4" w:rsidP="00873BC3">
            <w:pPr>
              <w:numPr>
                <w:ilvl w:val="0"/>
                <w:numId w:val="31"/>
              </w:num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Burning produces dioxin. It </w:t>
            </w:r>
            <w:r w:rsidR="00F43F5C" w:rsidRPr="00597FFB">
              <w:rPr>
                <w:rFonts w:ascii="Times New Roman" w:eastAsia="Times New Roman" w:hAnsi="Times New Roman" w:cs="Times New Roman"/>
                <w:sz w:val="20"/>
                <w:szCs w:val="20"/>
              </w:rPr>
              <w:t>causes.</w:t>
            </w:r>
            <w:r w:rsidRPr="00597FFB">
              <w:rPr>
                <w:rFonts w:ascii="Times New Roman" w:eastAsia="Times New Roman" w:hAnsi="Times New Roman" w:cs="Times New Roman"/>
                <w:sz w:val="20"/>
                <w:szCs w:val="20"/>
              </w:rPr>
              <w:t xml:space="preserve"> </w:t>
            </w:r>
          </w:p>
          <w:p w14:paraId="4451CD3D"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Reproductive and developmental problems. </w:t>
            </w:r>
          </w:p>
          <w:p w14:paraId="113B72F5"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Immune system damage. </w:t>
            </w:r>
          </w:p>
          <w:p w14:paraId="30B5D3A8"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Interfere with regulatory hormones </w:t>
            </w:r>
          </w:p>
        </w:tc>
      </w:tr>
      <w:tr w:rsidR="009D4FB4" w:rsidRPr="00597FFB" w14:paraId="483B768F" w14:textId="77777777" w:rsidTr="001E19F2">
        <w:trPr>
          <w:tblCellSpacing w:w="0" w:type="dxa"/>
        </w:trPr>
        <w:tc>
          <w:tcPr>
            <w:tcW w:w="2515" w:type="dxa"/>
            <w:shd w:val="clear" w:color="auto" w:fill="FFFFFF"/>
            <w:vAlign w:val="center"/>
          </w:tcPr>
          <w:p w14:paraId="0435A3A8"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Plastic housing of</w:t>
            </w:r>
          </w:p>
          <w:p w14:paraId="18D407C6"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Electronics and circuit boards.</w:t>
            </w:r>
          </w:p>
        </w:tc>
        <w:tc>
          <w:tcPr>
            <w:tcW w:w="1931" w:type="dxa"/>
            <w:shd w:val="clear" w:color="auto" w:fill="FFFFFF"/>
            <w:vAlign w:val="center"/>
          </w:tcPr>
          <w:p w14:paraId="193B030F"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Brominated flame retardants (BFR)</w:t>
            </w:r>
          </w:p>
        </w:tc>
        <w:tc>
          <w:tcPr>
            <w:tcW w:w="3140" w:type="dxa"/>
            <w:shd w:val="clear" w:color="auto" w:fill="FFFFFF"/>
            <w:vAlign w:val="center"/>
          </w:tcPr>
          <w:p w14:paraId="07F11EE9"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Disrupts endocrine system functions </w:t>
            </w:r>
          </w:p>
        </w:tc>
      </w:tr>
      <w:tr w:rsidR="009D4FB4" w:rsidRPr="00597FFB" w14:paraId="190251DF" w14:textId="77777777" w:rsidTr="001E19F2">
        <w:trPr>
          <w:tblCellSpacing w:w="0" w:type="dxa"/>
        </w:trPr>
        <w:tc>
          <w:tcPr>
            <w:tcW w:w="2515" w:type="dxa"/>
            <w:shd w:val="clear" w:color="auto" w:fill="FFFFFF"/>
            <w:vAlign w:val="center"/>
          </w:tcPr>
          <w:p w14:paraId="2C402258"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p>
          <w:p w14:paraId="33724E01"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The front panel of Cathode Ray Tubes (CRTs) </w:t>
            </w:r>
          </w:p>
        </w:tc>
        <w:tc>
          <w:tcPr>
            <w:tcW w:w="1931" w:type="dxa"/>
            <w:shd w:val="clear" w:color="auto" w:fill="FFFFFF"/>
            <w:vAlign w:val="center"/>
          </w:tcPr>
          <w:p w14:paraId="43275381"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Barium (Ba)</w:t>
            </w:r>
          </w:p>
        </w:tc>
        <w:tc>
          <w:tcPr>
            <w:tcW w:w="3140" w:type="dxa"/>
            <w:shd w:val="clear" w:color="auto" w:fill="FFFFFF"/>
            <w:vAlign w:val="center"/>
          </w:tcPr>
          <w:p w14:paraId="56BB5F38" w14:textId="77777777" w:rsidR="009D4FB4" w:rsidRPr="00597FFB" w:rsidRDefault="009D4FB4" w:rsidP="00873BC3">
            <w:pPr>
              <w:numPr>
                <w:ilvl w:val="0"/>
                <w:numId w:val="31"/>
              </w:num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Short term exposure causes:</w:t>
            </w:r>
          </w:p>
          <w:p w14:paraId="6D40BBA3"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Muscle weakness. </w:t>
            </w:r>
          </w:p>
          <w:p w14:paraId="676B4350" w14:textId="2F0BAF3E"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Damage to the </w:t>
            </w:r>
            <w:r w:rsidR="00E134DF" w:rsidRPr="00597FFB">
              <w:rPr>
                <w:rFonts w:ascii="Times New Roman" w:eastAsia="Calibri" w:hAnsi="Times New Roman" w:cs="Times New Roman"/>
                <w:sz w:val="20"/>
                <w:szCs w:val="20"/>
              </w:rPr>
              <w:t>spleen, liver,</w:t>
            </w:r>
            <w:r w:rsidRPr="00597FFB">
              <w:rPr>
                <w:rFonts w:ascii="Times New Roman" w:eastAsia="Calibri" w:hAnsi="Times New Roman" w:cs="Times New Roman"/>
                <w:sz w:val="20"/>
                <w:szCs w:val="20"/>
              </w:rPr>
              <w:t xml:space="preserve"> and</w:t>
            </w:r>
            <w:r w:rsidR="00E134DF" w:rsidRPr="00597FFB">
              <w:rPr>
                <w:rFonts w:ascii="Times New Roman" w:eastAsia="Calibri" w:hAnsi="Times New Roman" w:cs="Times New Roman"/>
                <w:sz w:val="20"/>
                <w:szCs w:val="20"/>
              </w:rPr>
              <w:t xml:space="preserve"> heart</w:t>
            </w:r>
            <w:r w:rsidRPr="00597FFB">
              <w:rPr>
                <w:rFonts w:ascii="Times New Roman" w:eastAsia="Calibri" w:hAnsi="Times New Roman" w:cs="Times New Roman"/>
                <w:sz w:val="20"/>
                <w:szCs w:val="20"/>
              </w:rPr>
              <w:t xml:space="preserve">. </w:t>
            </w:r>
          </w:p>
        </w:tc>
      </w:tr>
      <w:tr w:rsidR="009D4FB4" w:rsidRPr="00597FFB" w14:paraId="16407DF2" w14:textId="77777777" w:rsidTr="001E19F2">
        <w:trPr>
          <w:tblCellSpacing w:w="0" w:type="dxa"/>
        </w:trPr>
        <w:tc>
          <w:tcPr>
            <w:tcW w:w="2515" w:type="dxa"/>
            <w:shd w:val="clear" w:color="auto" w:fill="FFFFFF"/>
            <w:vAlign w:val="center"/>
          </w:tcPr>
          <w:p w14:paraId="090B8A84"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Motherboard </w:t>
            </w:r>
          </w:p>
        </w:tc>
        <w:tc>
          <w:tcPr>
            <w:tcW w:w="1931" w:type="dxa"/>
            <w:shd w:val="clear" w:color="auto" w:fill="FFFFFF"/>
            <w:vAlign w:val="center"/>
          </w:tcPr>
          <w:p w14:paraId="1ACDADC4"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Beryllium (Be)</w:t>
            </w:r>
          </w:p>
        </w:tc>
        <w:tc>
          <w:tcPr>
            <w:tcW w:w="3140" w:type="dxa"/>
            <w:shd w:val="clear" w:color="auto" w:fill="FFFFFF"/>
            <w:vAlign w:val="center"/>
          </w:tcPr>
          <w:p w14:paraId="5F8FFA70"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Carcinogenic (lung cancer) </w:t>
            </w:r>
          </w:p>
          <w:p w14:paraId="31878A68"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Inhalation of fumes and dust. It causes chronic beryllium disease or berylliosis. </w:t>
            </w:r>
          </w:p>
          <w:p w14:paraId="37D58AF4" w14:textId="77777777" w:rsidR="009D4FB4" w:rsidRPr="00597FFB" w:rsidRDefault="009D4FB4" w:rsidP="00873BC3">
            <w:pPr>
              <w:numPr>
                <w:ilvl w:val="0"/>
                <w:numId w:val="31"/>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Skin diseases such as warts. </w:t>
            </w:r>
          </w:p>
        </w:tc>
      </w:tr>
      <w:tr w:rsidR="009D4FB4" w:rsidRPr="00597FFB" w14:paraId="12894689" w14:textId="77777777" w:rsidTr="001E19F2">
        <w:trPr>
          <w:tblCellSpacing w:w="0" w:type="dxa"/>
        </w:trPr>
        <w:tc>
          <w:tcPr>
            <w:tcW w:w="2515" w:type="dxa"/>
            <w:tcBorders>
              <w:top w:val="single" w:sz="4" w:space="0" w:color="auto"/>
              <w:bottom w:val="single" w:sz="4" w:space="0" w:color="auto"/>
            </w:tcBorders>
            <w:shd w:val="clear" w:color="auto" w:fill="FFFFFF"/>
            <w:vAlign w:val="center"/>
          </w:tcPr>
          <w:p w14:paraId="432C7572"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rPr>
              <w:t>Environment Effects</w:t>
            </w:r>
          </w:p>
        </w:tc>
        <w:tc>
          <w:tcPr>
            <w:tcW w:w="1931" w:type="dxa"/>
            <w:tcBorders>
              <w:top w:val="single" w:sz="4" w:space="0" w:color="auto"/>
              <w:bottom w:val="single" w:sz="4" w:space="0" w:color="auto"/>
            </w:tcBorders>
            <w:shd w:val="clear" w:color="auto" w:fill="FFFFFF"/>
            <w:vAlign w:val="center"/>
          </w:tcPr>
          <w:p w14:paraId="1BA269A9"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p>
        </w:tc>
        <w:tc>
          <w:tcPr>
            <w:tcW w:w="3140" w:type="dxa"/>
            <w:tcBorders>
              <w:top w:val="single" w:sz="4" w:space="0" w:color="auto"/>
              <w:bottom w:val="single" w:sz="4" w:space="0" w:color="auto"/>
            </w:tcBorders>
            <w:shd w:val="clear" w:color="auto" w:fill="FFFFFF"/>
            <w:vAlign w:val="center"/>
          </w:tcPr>
          <w:p w14:paraId="40BC4AAB" w14:textId="77777777" w:rsidR="009D4FB4" w:rsidRPr="00597FFB" w:rsidRDefault="009D4FB4" w:rsidP="009D4FB4">
            <w:pPr>
              <w:spacing w:before="26" w:after="26" w:line="276" w:lineRule="auto"/>
              <w:ind w:left="90"/>
              <w:jc w:val="both"/>
              <w:rPr>
                <w:rFonts w:ascii="Times New Roman" w:eastAsia="Calibri" w:hAnsi="Times New Roman" w:cs="Times New Roman"/>
              </w:rPr>
            </w:pPr>
          </w:p>
        </w:tc>
      </w:tr>
      <w:tr w:rsidR="009D4FB4" w:rsidRPr="00597FFB" w14:paraId="2887C101" w14:textId="77777777" w:rsidTr="001E19F2">
        <w:trPr>
          <w:tblCellSpacing w:w="0" w:type="dxa"/>
        </w:trPr>
        <w:tc>
          <w:tcPr>
            <w:tcW w:w="2515" w:type="dxa"/>
            <w:tcBorders>
              <w:bottom w:val="single" w:sz="4" w:space="0" w:color="auto"/>
            </w:tcBorders>
            <w:shd w:val="clear" w:color="auto" w:fill="FFFFFF"/>
          </w:tcPr>
          <w:p w14:paraId="3763A307"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rPr>
              <w:t>Source of E-waste</w:t>
            </w:r>
          </w:p>
        </w:tc>
        <w:tc>
          <w:tcPr>
            <w:tcW w:w="1931" w:type="dxa"/>
            <w:tcBorders>
              <w:bottom w:val="single" w:sz="4" w:space="0" w:color="auto"/>
            </w:tcBorders>
            <w:shd w:val="clear" w:color="auto" w:fill="FFFFFF"/>
          </w:tcPr>
          <w:p w14:paraId="0472124C" w14:textId="77777777" w:rsidR="009D4FB4" w:rsidRPr="00597FFB" w:rsidRDefault="009D4FB4" w:rsidP="009D4FB4">
            <w:pPr>
              <w:spacing w:before="26" w:after="26" w:line="276" w:lineRule="auto"/>
              <w:ind w:left="90"/>
              <w:jc w:val="both"/>
              <w:rPr>
                <w:rFonts w:ascii="Times New Roman" w:eastAsia="Times New Roman" w:hAnsi="Times New Roman" w:cs="Times New Roman"/>
              </w:rPr>
            </w:pPr>
            <w:r w:rsidRPr="00597FFB">
              <w:rPr>
                <w:rFonts w:ascii="Times New Roman" w:eastAsia="Times New Roman" w:hAnsi="Times New Roman" w:cs="Times New Roman"/>
                <w:b/>
              </w:rPr>
              <w:t>Process Followed</w:t>
            </w:r>
          </w:p>
        </w:tc>
        <w:tc>
          <w:tcPr>
            <w:tcW w:w="3140" w:type="dxa"/>
            <w:tcBorders>
              <w:bottom w:val="single" w:sz="4" w:space="0" w:color="auto"/>
            </w:tcBorders>
            <w:shd w:val="clear" w:color="auto" w:fill="FFFFFF"/>
          </w:tcPr>
          <w:p w14:paraId="27349D6A" w14:textId="77777777" w:rsidR="009D4FB4" w:rsidRPr="00597FFB" w:rsidRDefault="009D4FB4" w:rsidP="00873BC3">
            <w:pPr>
              <w:numPr>
                <w:ilvl w:val="0"/>
                <w:numId w:val="30"/>
              </w:numPr>
              <w:spacing w:before="26" w:after="26" w:line="276" w:lineRule="auto"/>
              <w:ind w:left="90" w:firstLine="0"/>
              <w:jc w:val="both"/>
              <w:rPr>
                <w:rFonts w:ascii="Times New Roman" w:eastAsia="Calibri" w:hAnsi="Times New Roman" w:cs="Times New Roman"/>
              </w:rPr>
            </w:pPr>
            <w:r w:rsidRPr="00597FFB">
              <w:rPr>
                <w:rFonts w:ascii="Times New Roman" w:eastAsia="Calibri" w:hAnsi="Times New Roman" w:cs="Times New Roman"/>
                <w:b/>
              </w:rPr>
              <w:t>Environmental Hazard</w:t>
            </w:r>
          </w:p>
        </w:tc>
      </w:tr>
      <w:tr w:rsidR="009D4FB4" w:rsidRPr="00597FFB" w14:paraId="06C54FD5" w14:textId="77777777" w:rsidTr="001E19F2">
        <w:trPr>
          <w:tblCellSpacing w:w="0" w:type="dxa"/>
        </w:trPr>
        <w:tc>
          <w:tcPr>
            <w:tcW w:w="2515" w:type="dxa"/>
            <w:shd w:val="clear" w:color="auto" w:fill="FFFFFF"/>
          </w:tcPr>
          <w:p w14:paraId="7B040080"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Cathode Ray Tubes (CRTs)</w:t>
            </w:r>
          </w:p>
        </w:tc>
        <w:tc>
          <w:tcPr>
            <w:tcW w:w="1931" w:type="dxa"/>
            <w:shd w:val="clear" w:color="auto" w:fill="FFFFFF"/>
          </w:tcPr>
          <w:p w14:paraId="63943718" w14:textId="1A300DBF"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Breaking, </w:t>
            </w:r>
            <w:r w:rsidR="00C12131" w:rsidRPr="00597FFB">
              <w:rPr>
                <w:rFonts w:ascii="Times New Roman" w:eastAsia="Times New Roman" w:hAnsi="Times New Roman" w:cs="Times New Roman"/>
                <w:sz w:val="20"/>
                <w:szCs w:val="20"/>
              </w:rPr>
              <w:t>copper yoke r</w:t>
            </w:r>
            <w:r w:rsidRPr="00597FFB">
              <w:rPr>
                <w:rFonts w:ascii="Times New Roman" w:eastAsia="Times New Roman" w:hAnsi="Times New Roman" w:cs="Times New Roman"/>
                <w:sz w:val="20"/>
                <w:szCs w:val="20"/>
              </w:rPr>
              <w:t>emoval, and dumping</w:t>
            </w:r>
          </w:p>
        </w:tc>
        <w:tc>
          <w:tcPr>
            <w:tcW w:w="3140" w:type="dxa"/>
            <w:shd w:val="clear" w:color="auto" w:fill="FFFFFF"/>
          </w:tcPr>
          <w:p w14:paraId="481272A7" w14:textId="77777777" w:rsidR="009D4FB4" w:rsidRPr="00597FFB" w:rsidRDefault="009D4FB4" w:rsidP="00873BC3">
            <w:pPr>
              <w:numPr>
                <w:ilvl w:val="0"/>
                <w:numId w:val="32"/>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Heavy metals like Lead, Barium leach into groundwater and release toxic phosphor.</w:t>
            </w:r>
          </w:p>
        </w:tc>
      </w:tr>
      <w:tr w:rsidR="009D4FB4" w:rsidRPr="00597FFB" w14:paraId="203C2C08" w14:textId="77777777" w:rsidTr="001E19F2">
        <w:trPr>
          <w:tblCellSpacing w:w="0" w:type="dxa"/>
        </w:trPr>
        <w:tc>
          <w:tcPr>
            <w:tcW w:w="2515" w:type="dxa"/>
            <w:shd w:val="clear" w:color="auto" w:fill="FFFFFF"/>
          </w:tcPr>
          <w:p w14:paraId="5A9445B7"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Printed Circuit Boards</w:t>
            </w:r>
          </w:p>
        </w:tc>
        <w:tc>
          <w:tcPr>
            <w:tcW w:w="1931" w:type="dxa"/>
            <w:shd w:val="clear" w:color="auto" w:fill="FFFFFF"/>
          </w:tcPr>
          <w:p w14:paraId="0543652F" w14:textId="77777777" w:rsidR="009D4FB4" w:rsidRPr="00597FFB" w:rsidRDefault="009D4FB4" w:rsidP="009D4FB4">
            <w:p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DE soldering and removing chips</w:t>
            </w:r>
          </w:p>
        </w:tc>
        <w:tc>
          <w:tcPr>
            <w:tcW w:w="3140" w:type="dxa"/>
            <w:shd w:val="clear" w:color="auto" w:fill="FFFFFF"/>
          </w:tcPr>
          <w:p w14:paraId="058D7E8A" w14:textId="4069952B" w:rsidR="009D4FB4" w:rsidRPr="00597FFB" w:rsidRDefault="009D4FB4" w:rsidP="00873BC3">
            <w:pPr>
              <w:numPr>
                <w:ilvl w:val="0"/>
                <w:numId w:val="32"/>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Brominated dioxins, </w:t>
            </w:r>
            <w:r w:rsidR="00C12131" w:rsidRPr="00597FFB">
              <w:rPr>
                <w:rFonts w:ascii="Times New Roman" w:eastAsia="Calibri" w:hAnsi="Times New Roman" w:cs="Times New Roman"/>
                <w:sz w:val="20"/>
                <w:szCs w:val="20"/>
              </w:rPr>
              <w:t>cadmium, mercury</w:t>
            </w:r>
            <w:r w:rsidRPr="00597FFB">
              <w:rPr>
                <w:rFonts w:ascii="Times New Roman" w:eastAsia="Calibri" w:hAnsi="Times New Roman" w:cs="Times New Roman"/>
                <w:sz w:val="20"/>
                <w:szCs w:val="20"/>
              </w:rPr>
              <w:t xml:space="preserve">, and </w:t>
            </w:r>
            <w:r w:rsidR="00C12131" w:rsidRPr="00597FFB">
              <w:rPr>
                <w:rFonts w:ascii="Times New Roman" w:eastAsia="Calibri" w:hAnsi="Times New Roman" w:cs="Times New Roman"/>
                <w:sz w:val="20"/>
                <w:szCs w:val="20"/>
              </w:rPr>
              <w:t xml:space="preserve">beryllium </w:t>
            </w:r>
            <w:r w:rsidRPr="00597FFB">
              <w:rPr>
                <w:rFonts w:ascii="Times New Roman" w:eastAsia="Calibri" w:hAnsi="Times New Roman" w:cs="Times New Roman"/>
                <w:sz w:val="20"/>
                <w:szCs w:val="20"/>
              </w:rPr>
              <w:t>are emitted in the air.</w:t>
            </w:r>
          </w:p>
        </w:tc>
      </w:tr>
      <w:tr w:rsidR="009D4FB4" w:rsidRPr="00597FFB" w14:paraId="0DF20BD5" w14:textId="77777777" w:rsidTr="001E19F2">
        <w:trPr>
          <w:tblCellSpacing w:w="0" w:type="dxa"/>
        </w:trPr>
        <w:tc>
          <w:tcPr>
            <w:tcW w:w="2515" w:type="dxa"/>
            <w:shd w:val="clear" w:color="auto" w:fill="FFFFFF"/>
          </w:tcPr>
          <w:p w14:paraId="3F71F5B7"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Chips and other gold-plated compounds</w:t>
            </w:r>
          </w:p>
        </w:tc>
        <w:tc>
          <w:tcPr>
            <w:tcW w:w="1931" w:type="dxa"/>
            <w:shd w:val="clear" w:color="auto" w:fill="FFFFFF"/>
          </w:tcPr>
          <w:p w14:paraId="11EC39E9" w14:textId="5AA6B580"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Chemical stripping using </w:t>
            </w:r>
            <w:r w:rsidR="002A189C" w:rsidRPr="00597FFB">
              <w:rPr>
                <w:rFonts w:ascii="Times New Roman" w:eastAsia="Times New Roman" w:hAnsi="Times New Roman" w:cs="Times New Roman"/>
                <w:sz w:val="20"/>
                <w:szCs w:val="20"/>
              </w:rPr>
              <w:t xml:space="preserve">hydrochloric </w:t>
            </w:r>
            <w:r w:rsidRPr="00597FFB">
              <w:rPr>
                <w:rFonts w:ascii="Times New Roman" w:eastAsia="Times New Roman" w:hAnsi="Times New Roman" w:cs="Times New Roman"/>
                <w:sz w:val="20"/>
                <w:szCs w:val="20"/>
              </w:rPr>
              <w:t xml:space="preserve">and </w:t>
            </w:r>
            <w:r w:rsidR="002A189C" w:rsidRPr="00597FFB">
              <w:rPr>
                <w:rFonts w:ascii="Times New Roman" w:eastAsia="Times New Roman" w:hAnsi="Times New Roman" w:cs="Times New Roman"/>
                <w:sz w:val="20"/>
                <w:szCs w:val="20"/>
              </w:rPr>
              <w:t xml:space="preserve">nitric </w:t>
            </w:r>
            <w:r w:rsidRPr="00597FFB">
              <w:rPr>
                <w:rFonts w:ascii="Times New Roman" w:eastAsia="Times New Roman" w:hAnsi="Times New Roman" w:cs="Times New Roman"/>
                <w:sz w:val="20"/>
                <w:szCs w:val="20"/>
              </w:rPr>
              <w:t>acids along riverbanks</w:t>
            </w:r>
          </w:p>
        </w:tc>
        <w:tc>
          <w:tcPr>
            <w:tcW w:w="3140" w:type="dxa"/>
            <w:shd w:val="clear" w:color="auto" w:fill="FFFFFF"/>
          </w:tcPr>
          <w:p w14:paraId="2E765D9D" w14:textId="203F8F33" w:rsidR="009D4FB4" w:rsidRPr="00597FFB" w:rsidRDefault="009D4FB4" w:rsidP="00873BC3">
            <w:pPr>
              <w:numPr>
                <w:ilvl w:val="0"/>
                <w:numId w:val="32"/>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Hydrocarbons discharged directly into water acidifies the river </w:t>
            </w:r>
            <w:r w:rsidR="002A189C" w:rsidRPr="00597FFB">
              <w:rPr>
                <w:rFonts w:ascii="Times New Roman" w:eastAsia="Calibri" w:hAnsi="Times New Roman" w:cs="Times New Roman"/>
                <w:sz w:val="20"/>
                <w:szCs w:val="20"/>
              </w:rPr>
              <w:t xml:space="preserve">killing </w:t>
            </w:r>
            <w:r w:rsidRPr="00597FFB">
              <w:rPr>
                <w:rFonts w:ascii="Times New Roman" w:eastAsia="Calibri" w:hAnsi="Times New Roman" w:cs="Times New Roman"/>
                <w:sz w:val="20"/>
                <w:szCs w:val="20"/>
              </w:rPr>
              <w:t xml:space="preserve">fish and </w:t>
            </w:r>
            <w:r w:rsidR="002A189C" w:rsidRPr="00597FFB">
              <w:rPr>
                <w:rFonts w:ascii="Times New Roman" w:eastAsia="Calibri" w:hAnsi="Times New Roman" w:cs="Times New Roman"/>
                <w:sz w:val="20"/>
                <w:szCs w:val="20"/>
              </w:rPr>
              <w:t xml:space="preserve">destroying </w:t>
            </w:r>
            <w:r w:rsidRPr="00597FFB">
              <w:rPr>
                <w:rFonts w:ascii="Times New Roman" w:eastAsia="Calibri" w:hAnsi="Times New Roman" w:cs="Times New Roman"/>
                <w:sz w:val="20"/>
                <w:szCs w:val="20"/>
              </w:rPr>
              <w:t>flora</w:t>
            </w:r>
          </w:p>
        </w:tc>
      </w:tr>
      <w:tr w:rsidR="009D4FB4" w:rsidRPr="00597FFB" w14:paraId="0B614BC5" w14:textId="77777777" w:rsidTr="001E19F2">
        <w:trPr>
          <w:tblCellSpacing w:w="0" w:type="dxa"/>
        </w:trPr>
        <w:tc>
          <w:tcPr>
            <w:tcW w:w="2515" w:type="dxa"/>
            <w:shd w:val="clear" w:color="auto" w:fill="FFFFFF"/>
          </w:tcPr>
          <w:p w14:paraId="19BC9BE9"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Plastics from computer and peripherals</w:t>
            </w:r>
          </w:p>
        </w:tc>
        <w:tc>
          <w:tcPr>
            <w:tcW w:w="1931" w:type="dxa"/>
            <w:shd w:val="clear" w:color="auto" w:fill="FFFFFF"/>
          </w:tcPr>
          <w:p w14:paraId="73B5EF97"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Shredding and low-temperature melting</w:t>
            </w:r>
          </w:p>
        </w:tc>
        <w:tc>
          <w:tcPr>
            <w:tcW w:w="3140" w:type="dxa"/>
            <w:shd w:val="clear" w:color="auto" w:fill="FFFFFF"/>
          </w:tcPr>
          <w:p w14:paraId="25B56BAB" w14:textId="77777777" w:rsidR="009D4FB4" w:rsidRPr="00597FFB" w:rsidRDefault="009D4FB4" w:rsidP="00873BC3">
            <w:pPr>
              <w:numPr>
                <w:ilvl w:val="0"/>
                <w:numId w:val="32"/>
              </w:numPr>
              <w:spacing w:before="26" w:after="26" w:line="276"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emission of brominated dioxins, heavy metals, and hydrocarbons in the air.</w:t>
            </w:r>
          </w:p>
          <w:p w14:paraId="3BF043AE" w14:textId="77777777" w:rsidR="009D4FB4" w:rsidRPr="00597FFB" w:rsidRDefault="009D4FB4" w:rsidP="009D4FB4">
            <w:pPr>
              <w:spacing w:before="26" w:after="26" w:line="276" w:lineRule="auto"/>
              <w:ind w:left="90"/>
              <w:rPr>
                <w:rFonts w:ascii="Times New Roman" w:eastAsia="Calibri" w:hAnsi="Times New Roman" w:cs="Times New Roman"/>
                <w:sz w:val="20"/>
                <w:szCs w:val="20"/>
              </w:rPr>
            </w:pPr>
          </w:p>
        </w:tc>
      </w:tr>
      <w:tr w:rsidR="009D4FB4" w:rsidRPr="00597FFB" w14:paraId="035F4C47" w14:textId="77777777" w:rsidTr="001E19F2">
        <w:trPr>
          <w:tblCellSpacing w:w="0" w:type="dxa"/>
        </w:trPr>
        <w:tc>
          <w:tcPr>
            <w:tcW w:w="2515" w:type="dxa"/>
            <w:shd w:val="clear" w:color="auto" w:fill="FFFFFF"/>
          </w:tcPr>
          <w:p w14:paraId="2EA48B13"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Dismantled printed circuit board processing</w:t>
            </w:r>
          </w:p>
        </w:tc>
        <w:tc>
          <w:tcPr>
            <w:tcW w:w="1931" w:type="dxa"/>
            <w:shd w:val="clear" w:color="auto" w:fill="FFFFFF"/>
          </w:tcPr>
          <w:p w14:paraId="79782ED1" w14:textId="46BB9834"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 xml:space="preserve">Open </w:t>
            </w:r>
            <w:r w:rsidR="006D3A34" w:rsidRPr="00597FFB">
              <w:rPr>
                <w:rFonts w:ascii="Times New Roman" w:eastAsia="Times New Roman" w:hAnsi="Times New Roman" w:cs="Times New Roman"/>
                <w:sz w:val="20"/>
                <w:szCs w:val="20"/>
              </w:rPr>
              <w:t xml:space="preserve">waste boards’ </w:t>
            </w:r>
            <w:r w:rsidRPr="00597FFB">
              <w:rPr>
                <w:rFonts w:ascii="Times New Roman" w:eastAsia="Times New Roman" w:hAnsi="Times New Roman" w:cs="Times New Roman"/>
                <w:sz w:val="20"/>
                <w:szCs w:val="20"/>
              </w:rPr>
              <w:t>burning</w:t>
            </w:r>
          </w:p>
        </w:tc>
        <w:tc>
          <w:tcPr>
            <w:tcW w:w="3140" w:type="dxa"/>
            <w:shd w:val="clear" w:color="auto" w:fill="FFFFFF"/>
          </w:tcPr>
          <w:p w14:paraId="12A8FCBE" w14:textId="77777777" w:rsidR="009D4FB4" w:rsidRPr="00597FFB" w:rsidRDefault="009D4FB4" w:rsidP="00873BC3">
            <w:pPr>
              <w:numPr>
                <w:ilvl w:val="0"/>
                <w:numId w:val="32"/>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 lead contamination of the immediate environment. </w:t>
            </w:r>
          </w:p>
          <w:p w14:paraId="77F4BF64" w14:textId="77777777" w:rsidR="009D4FB4" w:rsidRPr="00597FFB" w:rsidRDefault="009D4FB4" w:rsidP="009D4FB4">
            <w:pPr>
              <w:spacing w:before="26" w:after="26" w:line="276" w:lineRule="auto"/>
              <w:ind w:left="810"/>
              <w:rPr>
                <w:rFonts w:ascii="Times New Roman" w:eastAsia="Calibri" w:hAnsi="Times New Roman" w:cs="Times New Roman"/>
                <w:sz w:val="20"/>
                <w:szCs w:val="20"/>
              </w:rPr>
            </w:pPr>
          </w:p>
        </w:tc>
      </w:tr>
      <w:tr w:rsidR="009D4FB4" w:rsidRPr="00597FFB" w14:paraId="06FA1B0E" w14:textId="77777777" w:rsidTr="001E19F2">
        <w:trPr>
          <w:tblCellSpacing w:w="0" w:type="dxa"/>
        </w:trPr>
        <w:tc>
          <w:tcPr>
            <w:tcW w:w="2515" w:type="dxa"/>
            <w:tcBorders>
              <w:bottom w:val="single" w:sz="4" w:space="0" w:color="auto"/>
            </w:tcBorders>
            <w:shd w:val="clear" w:color="auto" w:fill="FFFFFF"/>
          </w:tcPr>
          <w:p w14:paraId="79FDF776"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p>
          <w:p w14:paraId="1F0B6880"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Wires</w:t>
            </w:r>
          </w:p>
        </w:tc>
        <w:tc>
          <w:tcPr>
            <w:tcW w:w="1931" w:type="dxa"/>
            <w:tcBorders>
              <w:bottom w:val="single" w:sz="4" w:space="0" w:color="auto"/>
            </w:tcBorders>
            <w:shd w:val="clear" w:color="auto" w:fill="FFFFFF"/>
          </w:tcPr>
          <w:p w14:paraId="13B4A914"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p>
          <w:p w14:paraId="14C72F0C" w14:textId="77777777" w:rsidR="009D4FB4" w:rsidRPr="00597FFB" w:rsidRDefault="009D4FB4" w:rsidP="009D4FB4">
            <w:pPr>
              <w:spacing w:before="26" w:after="26" w:line="276" w:lineRule="auto"/>
              <w:ind w:left="90"/>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Open burning to recover copper</w:t>
            </w:r>
          </w:p>
        </w:tc>
        <w:tc>
          <w:tcPr>
            <w:tcW w:w="3140" w:type="dxa"/>
            <w:tcBorders>
              <w:bottom w:val="single" w:sz="4" w:space="0" w:color="auto"/>
            </w:tcBorders>
            <w:shd w:val="clear" w:color="auto" w:fill="FFFFFF"/>
          </w:tcPr>
          <w:p w14:paraId="38649D7A" w14:textId="267B2A2A" w:rsidR="009D4FB4" w:rsidRPr="00597FFB" w:rsidRDefault="009D4FB4" w:rsidP="00873BC3">
            <w:pPr>
              <w:numPr>
                <w:ilvl w:val="0"/>
                <w:numId w:val="32"/>
              </w:numPr>
              <w:spacing w:before="26" w:after="26"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Hydrocarbons and ashes, including PAHs, are discharged into the </w:t>
            </w:r>
            <w:r w:rsidR="006D3A34" w:rsidRPr="00597FFB">
              <w:rPr>
                <w:rFonts w:ascii="Times New Roman" w:eastAsia="Calibri" w:hAnsi="Times New Roman" w:cs="Times New Roman"/>
                <w:sz w:val="20"/>
                <w:szCs w:val="20"/>
              </w:rPr>
              <w:t xml:space="preserve">soil </w:t>
            </w:r>
            <w:r w:rsidRPr="00597FFB">
              <w:rPr>
                <w:rFonts w:ascii="Times New Roman" w:eastAsia="Calibri" w:hAnsi="Times New Roman" w:cs="Times New Roman"/>
                <w:sz w:val="20"/>
                <w:szCs w:val="20"/>
              </w:rPr>
              <w:t>air, and</w:t>
            </w:r>
            <w:r w:rsidR="006D3A34" w:rsidRPr="00597FFB">
              <w:rPr>
                <w:rFonts w:ascii="Times New Roman" w:eastAsia="Calibri" w:hAnsi="Times New Roman" w:cs="Times New Roman"/>
                <w:sz w:val="20"/>
                <w:szCs w:val="20"/>
              </w:rPr>
              <w:t xml:space="preserve"> water</w:t>
            </w:r>
            <w:r w:rsidRPr="00597FFB">
              <w:rPr>
                <w:rFonts w:ascii="Times New Roman" w:eastAsia="Calibri" w:hAnsi="Times New Roman" w:cs="Times New Roman"/>
                <w:sz w:val="20"/>
                <w:szCs w:val="20"/>
              </w:rPr>
              <w:t>.</w:t>
            </w:r>
          </w:p>
        </w:tc>
      </w:tr>
    </w:tbl>
    <w:p w14:paraId="43EC915F" w14:textId="7E8F7C4A" w:rsidR="009D4FB4" w:rsidRPr="00597FFB" w:rsidRDefault="009D4FB4" w:rsidP="009D4FB4">
      <w:pPr>
        <w:autoSpaceDE w:val="0"/>
        <w:autoSpaceDN w:val="0"/>
        <w:adjustRightInd w:val="0"/>
        <w:spacing w:before="26" w:after="26" w:line="480" w:lineRule="auto"/>
        <w:ind w:left="90"/>
        <w:jc w:val="both"/>
        <w:rPr>
          <w:rFonts w:ascii="Times New Roman" w:eastAsia="Calibri" w:hAnsi="Times New Roman" w:cs="Times New Roman"/>
          <w:i/>
          <w:iCs/>
          <w:color w:val="000000"/>
          <w:sz w:val="20"/>
          <w:szCs w:val="20"/>
        </w:rPr>
      </w:pPr>
      <w:r w:rsidRPr="00597FFB">
        <w:rPr>
          <w:rFonts w:ascii="Times New Roman" w:eastAsia="Calibri" w:hAnsi="Times New Roman" w:cs="Times New Roman"/>
          <w:i/>
          <w:iCs/>
          <w:color w:val="000000"/>
          <w:sz w:val="20"/>
          <w:szCs w:val="20"/>
        </w:rPr>
        <w:t xml:space="preserve">Source: Adopted from </w:t>
      </w:r>
      <w:r w:rsidR="00FC241B" w:rsidRPr="00597FFB">
        <w:rPr>
          <w:rFonts w:ascii="Times New Roman" w:eastAsia="Calibri" w:hAnsi="Times New Roman" w:cs="Times New Roman"/>
          <w:i/>
          <w:iCs/>
          <w:color w:val="000000"/>
          <w:sz w:val="20"/>
          <w:szCs w:val="20"/>
        </w:rPr>
        <w:t>Bhardwaj et al., (2023)</w:t>
      </w:r>
      <w:r w:rsidR="007310E7" w:rsidRPr="00597FFB">
        <w:rPr>
          <w:rFonts w:ascii="Times New Roman" w:eastAsia="Calibri" w:hAnsi="Times New Roman" w:cs="Times New Roman"/>
          <w:i/>
          <w:iCs/>
          <w:color w:val="000000"/>
          <w:sz w:val="20"/>
          <w:szCs w:val="20"/>
        </w:rPr>
        <w:t>.</w:t>
      </w:r>
    </w:p>
    <w:p w14:paraId="3A7A29D6" w14:textId="66E99E8F" w:rsidR="009D4FB4" w:rsidRPr="00597FFB" w:rsidRDefault="009D4FB4" w:rsidP="008978DA">
      <w:pPr>
        <w:autoSpaceDE w:val="0"/>
        <w:autoSpaceDN w:val="0"/>
        <w:adjustRightInd w:val="0"/>
        <w:spacing w:before="26" w:after="26" w:line="480" w:lineRule="auto"/>
        <w:ind w:firstLine="720"/>
        <w:jc w:val="both"/>
        <w:rPr>
          <w:rFonts w:ascii="Times New Roman" w:eastAsia="Calibri" w:hAnsi="Times New Roman" w:cs="Times New Roman"/>
          <w:color w:val="FF0000"/>
          <w:sz w:val="24"/>
          <w:szCs w:val="24"/>
        </w:rPr>
      </w:pPr>
      <w:r w:rsidRPr="00597FFB">
        <w:rPr>
          <w:rFonts w:ascii="Times New Roman" w:eastAsia="Calibri" w:hAnsi="Times New Roman" w:cs="Times New Roman"/>
          <w:color w:val="000000"/>
          <w:sz w:val="24"/>
          <w:szCs w:val="24"/>
        </w:rPr>
        <w:t>Since several precious metals are used in manufacturing EEE components (e.g., gold, platinum, palladium, and silver), they serve as further incentives to recover these materials</w:t>
      </w:r>
      <w:r w:rsidR="00574E3C" w:rsidRPr="00597FFB">
        <w:rPr>
          <w:rFonts w:ascii="Times New Roman" w:eastAsia="Calibri" w:hAnsi="Times New Roman" w:cs="Times New Roman"/>
          <w:color w:val="000000"/>
          <w:sz w:val="24"/>
          <w:szCs w:val="24"/>
        </w:rPr>
        <w:t xml:space="preserve"> </w:t>
      </w:r>
      <w:r w:rsidR="00574E3C" w:rsidRPr="00597FFB">
        <w:rPr>
          <w:rFonts w:ascii="Times New Roman" w:eastAsia="Calibri" w:hAnsi="Times New Roman" w:cs="Times New Roman"/>
          <w:color w:val="000000"/>
          <w:sz w:val="24"/>
          <w:szCs w:val="24"/>
        </w:rPr>
        <w:fldChar w:fldCharType="begin"/>
      </w:r>
      <w:r w:rsidR="00F93F1F" w:rsidRPr="00597FFB">
        <w:rPr>
          <w:rFonts w:ascii="Times New Roman" w:eastAsia="Calibri" w:hAnsi="Times New Roman" w:cs="Times New Roman"/>
          <w:color w:val="000000"/>
          <w:sz w:val="24"/>
          <w:szCs w:val="24"/>
        </w:rPr>
        <w:instrText xml:space="preserve"> ADDIN ZOTERO_ITEM CSL_CITATION {"citationID":"a7ai9i86t3","properties":{"formattedCitation":"(Adanu, 2020a)","plainCitation":"(Adanu, 2020a)","noteIndex":0},"citationItems":[{"id":914,"uris":["http://zotero.org/users/local/b6CRLSJH/items/MGZZDMX6"],"itemData":{"id":914,"type":"article-journal","abstract":"The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management.","language":"en","page":"7","source":"Zotero","title":"Challenges of adopting sustainable technologies in e-waste management at Agbogbloshie, Ghana","author":[{"family":"Adanu","given":"Selase Kofi"}],"issued":{"date-parts":[["2020"]]}}}],"schema":"https://github.com/citation-style-language/schema/raw/master/csl-citation.json"} </w:instrText>
      </w:r>
      <w:r w:rsidR="00574E3C" w:rsidRPr="00597FFB">
        <w:rPr>
          <w:rFonts w:ascii="Times New Roman" w:eastAsia="Calibri" w:hAnsi="Times New Roman" w:cs="Times New Roman"/>
          <w:color w:val="000000"/>
          <w:sz w:val="24"/>
          <w:szCs w:val="24"/>
        </w:rPr>
        <w:fldChar w:fldCharType="separate"/>
      </w:r>
      <w:r w:rsidR="00F93F1F" w:rsidRPr="00597FFB">
        <w:rPr>
          <w:rFonts w:ascii="Times New Roman" w:hAnsi="Times New Roman" w:cs="Times New Roman"/>
          <w:sz w:val="24"/>
          <w:szCs w:val="24"/>
        </w:rPr>
        <w:t>(Adanu, 2020a)</w:t>
      </w:r>
      <w:r w:rsidR="00574E3C"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The precious metal content is critical to recycling processes' economics, with as much as 90% of E-waste's intrinsic value in the gold and palladium </w:t>
      </w:r>
      <w:r w:rsidRPr="00597FFB">
        <w:rPr>
          <w:rFonts w:ascii="Times New Roman" w:eastAsia="Calibri" w:hAnsi="Times New Roman" w:cs="Times New Roman"/>
          <w:sz w:val="24"/>
          <w:szCs w:val="24"/>
        </w:rPr>
        <w:t xml:space="preserve">content </w:t>
      </w:r>
      <w:r w:rsidR="00545FEF" w:rsidRPr="00597FFB">
        <w:rPr>
          <w:rFonts w:ascii="Times New Roman" w:eastAsia="Calibri" w:hAnsi="Times New Roman" w:cs="Times New Roman"/>
          <w:sz w:val="24"/>
          <w:szCs w:val="24"/>
        </w:rPr>
        <w:fldChar w:fldCharType="begin"/>
      </w:r>
      <w:r w:rsidR="00F93F1F" w:rsidRPr="00597FFB">
        <w:rPr>
          <w:rFonts w:ascii="Times New Roman" w:eastAsia="Calibri" w:hAnsi="Times New Roman" w:cs="Times New Roman"/>
          <w:sz w:val="24"/>
          <w:szCs w:val="24"/>
        </w:rPr>
        <w:instrText xml:space="preserve"> ADDIN ZOTERO_ITEM CSL_CITATION {"citationID":"a1tutiute0q","properties":{"formattedCitation":"(Chao et al., 2021a)","plainCitation":"(Chao et al., 2021a)","noteIndex":0},"citationItems":[{"id":3512,"uris":["http://zotero.org/users/local/b6CRLSJH/items/TIYC8YEZ"],"itemData":{"id":3512,"type":"article-journal","abstract":"Purpose – The purpose of this study is to develop and empirically test a model that can predict factors affecting student recycling behavior. The theoretical model was based on motivation, place attachment, environmental concern and interpersonal altruism.","container-title":"International Journal of Sustainability in Higher Education","DOI":"10.1108/IJSHE-07-2020-0232","ISSN":"1467-6370, 1467-6370","issue":"ahead-of-print","journalAbbreviation":"IJSHE","language":"en","note":"number: ahead-of-print","source":"DOI.org (Crossref)","title":"Understanding the factors influencing recycling behavior in college students: the role of interpersonal altruism and environmental concern","title-short":"Understanding the factors influencing recycling behavior in college students","URL":"https://www.emerald.com/insight/content/doi/10.1108/IJSHE-07-2020-0232/full/html","volume":"ahead-of-print","author":[{"family":"Chao","given":"Cheng-Min"},{"family":"Yu","given":"Tai-Kuei"},{"family":"Yu","given":"Tai-Yi"}],"accessed":{"date-parts":[["2021",5,25]]},"issued":{"date-parts":[["2021",2,1]]}}}],"schema":"https://github.com/citation-style-language/schema/raw/master/csl-citation.json"} </w:instrText>
      </w:r>
      <w:r w:rsidR="00545FEF" w:rsidRPr="00597FFB">
        <w:rPr>
          <w:rFonts w:ascii="Times New Roman" w:eastAsia="Calibri" w:hAnsi="Times New Roman" w:cs="Times New Roman"/>
          <w:sz w:val="24"/>
          <w:szCs w:val="24"/>
        </w:rPr>
        <w:fldChar w:fldCharType="separate"/>
      </w:r>
      <w:r w:rsidR="00F93F1F" w:rsidRPr="00597FFB">
        <w:rPr>
          <w:rFonts w:ascii="Times New Roman" w:hAnsi="Times New Roman" w:cs="Times New Roman"/>
          <w:sz w:val="24"/>
          <w:szCs w:val="24"/>
        </w:rPr>
        <w:t>(Chao et al., 2021a)</w:t>
      </w:r>
      <w:r w:rsidR="00545FEF" w:rsidRPr="00597FFB">
        <w:rPr>
          <w:rFonts w:ascii="Times New Roman" w:eastAsia="Calibri" w:hAnsi="Times New Roman" w:cs="Times New Roman"/>
          <w:sz w:val="24"/>
          <w:szCs w:val="24"/>
        </w:rPr>
        <w:fldChar w:fldCharType="end"/>
      </w:r>
      <w:r w:rsidR="00FD03C7"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For </w:t>
      </w:r>
      <w:r w:rsidRPr="00597FFB">
        <w:rPr>
          <w:rFonts w:ascii="Times New Roman" w:eastAsia="Calibri" w:hAnsi="Times New Roman" w:cs="Times New Roman"/>
          <w:color w:val="000000"/>
          <w:sz w:val="24"/>
          <w:szCs w:val="24"/>
        </w:rPr>
        <w:t xml:space="preserve">example, one million mobile phones would generate 24 kg of gold, 250 kilograms of silver, 9 kg of palladium, and 9000 kg of copper </w:t>
      </w:r>
      <w:r w:rsidR="00BE1605" w:rsidRPr="00597FFB">
        <w:rPr>
          <w:rFonts w:ascii="Times New Roman" w:eastAsia="Calibri" w:hAnsi="Times New Roman" w:cs="Times New Roman"/>
          <w:sz w:val="24"/>
          <w:szCs w:val="24"/>
        </w:rPr>
        <w:fldChar w:fldCharType="begin"/>
      </w:r>
      <w:r w:rsidR="00BF0B02" w:rsidRPr="00597FFB">
        <w:rPr>
          <w:rFonts w:ascii="Times New Roman" w:eastAsia="Calibri" w:hAnsi="Times New Roman" w:cs="Times New Roman"/>
          <w:sz w:val="24"/>
          <w:szCs w:val="24"/>
        </w:rPr>
        <w:instrText xml:space="preserve"> ADDIN ZOTERO_ITEM CSL_CITATION {"citationID":"a14pudgpc2n","properties":{"formattedCitation":"(Witthohn, 2023)","plainCitation":"(Witthohn, 2023)","dontUpdate":true,"noteIndex":0},"citationItems":[{"id":4684,"uris":["http://zotero.org/users/local/b6CRLSJH/items/AMH3XNAN"],"itemData":{"id":4684,"type":"chapter","container-title":"International Shipping","event-place":"Wiesbaden","ISBN":"978-3-658-34272-2","language":"en","note":"DOI: 10.1007/978-3-658-34273-9_2","page":"135-250","publisher":"Springer Fachmedien Wiesbaden","publisher-place":"Wiesbaden","source":"DOI.org (Crossref)","title":"Raw Materials","URL":"https://link.springer.com/10.1007/978-3-658-34273-9_2","container-author":[{"family":"Witthohn","given":"Ralf"}],"author":[{"family":"Witthohn","given":"Ralf"}],"accessed":{"date-parts":[["2023",1,29]]},"issued":{"date-parts":[["2023"]]}}}],"schema":"https://github.com/citation-style-language/schema/raw/master/csl-citation.json"} </w:instrText>
      </w:r>
      <w:r w:rsidR="00BE1605" w:rsidRPr="00597FFB">
        <w:rPr>
          <w:rFonts w:ascii="Times New Roman" w:eastAsia="Calibri" w:hAnsi="Times New Roman" w:cs="Times New Roman"/>
          <w:sz w:val="24"/>
          <w:szCs w:val="24"/>
        </w:rPr>
        <w:fldChar w:fldCharType="separate"/>
      </w:r>
      <w:r w:rsidR="00F93F1F" w:rsidRPr="00597FFB">
        <w:rPr>
          <w:rFonts w:ascii="Times New Roman" w:hAnsi="Times New Roman" w:cs="Times New Roman"/>
          <w:sz w:val="24"/>
          <w:szCs w:val="24"/>
        </w:rPr>
        <w:t>(</w:t>
      </w:r>
      <w:r w:rsidR="00BA1AEB" w:rsidRPr="00597FFB">
        <w:rPr>
          <w:rFonts w:ascii="Times New Roman" w:hAnsi="Times New Roman" w:cs="Times New Roman"/>
          <w:sz w:val="24"/>
          <w:szCs w:val="24"/>
        </w:rPr>
        <w:t>Bhardwaj</w:t>
      </w:r>
      <w:r w:rsidR="00F93F1F" w:rsidRPr="00597FFB">
        <w:rPr>
          <w:rFonts w:ascii="Times New Roman" w:hAnsi="Times New Roman" w:cs="Times New Roman"/>
          <w:sz w:val="24"/>
          <w:szCs w:val="24"/>
        </w:rPr>
        <w:t>, 2023)</w:t>
      </w:r>
      <w:r w:rsidR="00BE1605" w:rsidRPr="00597FFB">
        <w:rPr>
          <w:rFonts w:ascii="Times New Roman" w:eastAsia="Calibri" w:hAnsi="Times New Roman" w:cs="Times New Roman"/>
          <w:sz w:val="24"/>
          <w:szCs w:val="24"/>
        </w:rPr>
        <w:fldChar w:fldCharType="end"/>
      </w:r>
      <w:r w:rsidR="006803A2"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The StEP Annual Report (2018) </w:t>
      </w:r>
      <w:r w:rsidRPr="00597FFB">
        <w:rPr>
          <w:rFonts w:ascii="Times New Roman" w:eastAsia="Calibri" w:hAnsi="Times New Roman" w:cs="Times New Roman"/>
          <w:color w:val="000000"/>
          <w:sz w:val="24"/>
          <w:szCs w:val="24"/>
        </w:rPr>
        <w:t xml:space="preserve">estimated the total global gold content of WEEE inventory as 300 tonnes, valued at 10.4 billion euros. Environmental and health protection is currently critical, and managing E-waste </w:t>
      </w:r>
      <w:r w:rsidRPr="00597FFB">
        <w:rPr>
          <w:rFonts w:ascii="Times New Roman" w:eastAsia="Calibri" w:hAnsi="Times New Roman" w:cs="Times New Roman"/>
          <w:sz w:val="24"/>
          <w:szCs w:val="24"/>
        </w:rPr>
        <w:t xml:space="preserve">should be encouraged </w:t>
      </w:r>
      <w:r w:rsidR="006542FC" w:rsidRPr="00597FFB">
        <w:rPr>
          <w:rFonts w:ascii="Times New Roman" w:eastAsia="Calibri" w:hAnsi="Times New Roman" w:cs="Times New Roman"/>
          <w:sz w:val="24"/>
          <w:szCs w:val="24"/>
        </w:rPr>
        <w:fldChar w:fldCharType="begin"/>
      </w:r>
      <w:r w:rsidR="000B1DD9" w:rsidRPr="00597FFB">
        <w:rPr>
          <w:rFonts w:ascii="Times New Roman" w:eastAsia="Calibri" w:hAnsi="Times New Roman" w:cs="Times New Roman"/>
          <w:sz w:val="24"/>
          <w:szCs w:val="24"/>
        </w:rPr>
        <w:instrText xml:space="preserve"> ADDIN ZOTERO_ITEM CSL_CITATION {"citationID":"a2gvk85gila","properties":{"formattedCitation":"(Ramanayaka et al., 2020)","plainCitation":"(Ramanayaka et al., 2020)","noteIndex":0},"citationItems":[{"id":4685,"uris":["http://zotero.org/users/local/b6CRLSJH/items/UP9DR272"],"itemData":{"id":4685,"type":"chapter","container-title":"Handbook of Electronic Waste Management","ISBN":"978-0-12-817030-4","language":"en","note":"DOI: 10.1016/B978-0-12-817030-4.00023-1","page":"19-54","publisher":"Elsevier","source":"DOI.org (Crossref)","title":"Urban mining of E-waste: treasure hunting for precious nanometals","title-short":"Urban mining of E-waste","URL":"https://linkinghub.elsevier.com/retrieve/pii/B9780128170304000231","author":[{"family":"Ramanayaka","given":"Sammani"},{"family":"Keerthanan","given":"Santhirasekaram"},{"family":"Vithanage","given":"Meththika"}],"accessed":{"date-parts":[["2023",1,29]]},"issued":{"date-parts":[["2020"]]}}}],"schema":"https://github.com/citation-style-language/schema/raw/master/csl-citation.json"} </w:instrText>
      </w:r>
      <w:r w:rsidR="006542FC" w:rsidRPr="00597FFB">
        <w:rPr>
          <w:rFonts w:ascii="Times New Roman" w:eastAsia="Calibri" w:hAnsi="Times New Roman" w:cs="Times New Roman"/>
          <w:sz w:val="24"/>
          <w:szCs w:val="24"/>
        </w:rPr>
        <w:fldChar w:fldCharType="separate"/>
      </w:r>
      <w:r w:rsidR="000B1DD9" w:rsidRPr="00597FFB">
        <w:rPr>
          <w:rFonts w:ascii="Times New Roman" w:hAnsi="Times New Roman" w:cs="Times New Roman"/>
          <w:sz w:val="24"/>
          <w:szCs w:val="24"/>
        </w:rPr>
        <w:t>(Ramanayaka et al., 2020)</w:t>
      </w:r>
      <w:r w:rsidR="006542FC" w:rsidRPr="00597FFB">
        <w:rPr>
          <w:rFonts w:ascii="Times New Roman" w:eastAsia="Calibri" w:hAnsi="Times New Roman" w:cs="Times New Roman"/>
          <w:sz w:val="24"/>
          <w:szCs w:val="24"/>
        </w:rPr>
        <w:fldChar w:fldCharType="end"/>
      </w:r>
      <w:r w:rsidR="000B1DD9" w:rsidRPr="00597FFB">
        <w:rPr>
          <w:rFonts w:ascii="Times New Roman" w:eastAsia="Calibri" w:hAnsi="Times New Roman" w:cs="Times New Roman"/>
          <w:sz w:val="24"/>
          <w:szCs w:val="24"/>
        </w:rPr>
        <w:t xml:space="preserve">. </w:t>
      </w:r>
      <w:r w:rsidRPr="00597FFB">
        <w:rPr>
          <w:rFonts w:ascii="Times New Roman" w:eastAsia="Times New Roman" w:hAnsi="Times New Roman" w:cs="Times New Roman"/>
          <w:bCs/>
          <w:sz w:val="24"/>
          <w:szCs w:val="24"/>
        </w:rPr>
        <w:t xml:space="preserve">Therefore, E-wastes have become a new policy priority worldwide, and decision-makers should handle the E-waste problem to minimize its health effect in an economical and environmentally friendly manner (Bimir, 2020). Hence, it has attracted considerable attention from scientists, entrepreneurs, journalists, and governments worldwide. It could be achieved by reusing, refurbishing, remanufacturing, recycling products, materials, and waste </w:t>
      </w:r>
      <w:r w:rsidR="000B1DD9" w:rsidRPr="00597FFB">
        <w:rPr>
          <w:rFonts w:ascii="Times New Roman" w:eastAsia="Times New Roman" w:hAnsi="Times New Roman" w:cs="Times New Roman"/>
          <w:bCs/>
          <w:sz w:val="24"/>
          <w:szCs w:val="24"/>
        </w:rPr>
        <w:fldChar w:fldCharType="begin"/>
      </w:r>
      <w:r w:rsidR="00BF0B02" w:rsidRPr="00597FFB">
        <w:rPr>
          <w:rFonts w:ascii="Times New Roman" w:eastAsia="Times New Roman" w:hAnsi="Times New Roman" w:cs="Times New Roman"/>
          <w:bCs/>
          <w:sz w:val="24"/>
          <w:szCs w:val="24"/>
        </w:rPr>
        <w:instrText xml:space="preserve"> ADDIN ZOTERO_ITEM CSL_CITATION {"citationID":"a1fcqvcmv8f","properties":{"formattedCitation":"(Mairizal et al., 2021)","plainCitation":"(Mairizal et al., 2021)","noteIndex":0},"citationItems":[{"id":2400,"uris":["http://zotero.org/users/local/b6CRLSJH/items/TUBJHEGZ"],"itemData":{"id":2400,"type":"article-journal","abstract":"Waste electrical and electronic equipment (WEEE) or simply e-waste have been gaining attention around the world due to their rapid generation and potential economic values. While a number of global and regional estimations of e-waste have been conducted, the current and future magnitude of e-waste in Indonesia, the world’s fourth largest population, has not been thoroughly assessed. This study aims to provide an estimation and projection of e-waste generation in Indonesia, as well as its potential recoverable metals’ value from 1996 to 2040 to address this gap. An advanced multivariate InputOutput Analysis (IOA) of sales-stock-lifespan model and a dynamic, time-variant lifespan of products through Weibull distribution function were used to provide more accurate and extended estimation of e-waste generation in Indonesia. The results show that Indonesia’s e-waste generation is projected to increase from approximately 2.0 (in 2021) to 3.2 million tonnes (in 2040), which corresponds to 7.3 (in 2021) to 10 kg/capita (in 2040). These represent economic values from US$ 2.2 billion to US$ 14 billion of Copper, Gold, Silver, Platinum and Palladium in the e-waste. This study also maps the distribution of e-waste generation in Indonesia and found that in 2021, the Java Island contributes up to 56% of the total e-waste generation in the country. Lastly, the study proposes a recycling system framework that include possible processing routes and scenarios that integrate mobile/sub-station recycling facilities to 27 existing large metallurgical facilities in the context of Indonesia archipelago.","container-title":"Journal of Cleaner Production","DOI":"10.1016/j.jclepro.2021.126096","ISSN":"09596526","journalAbbreviation":"Journal of Cleaner Production","language":"en","page":"126096","source":"DOI.org (Crossref)","title":"Electronic waste generation, economic values, distribution map, and possible recycling system in Indonesia","volume":"293","author":[{"family":"Mairizal","given":"Aulia Qisthi"},{"family":"Sembada","given":"Agung Yoga"},{"family":"Tse","given":"Kwong Ming"},{"family":"Rhamdhani","given":"Muhammad Akbar"}],"issued":{"date-parts":[["2021",4]]}}}],"schema":"https://github.com/citation-style-language/schema/raw/master/csl-citation.json"} </w:instrText>
      </w:r>
      <w:r w:rsidR="000B1DD9" w:rsidRPr="00597FFB">
        <w:rPr>
          <w:rFonts w:ascii="Times New Roman" w:eastAsia="Times New Roman" w:hAnsi="Times New Roman" w:cs="Times New Roman"/>
          <w:bCs/>
          <w:sz w:val="24"/>
          <w:szCs w:val="24"/>
        </w:rPr>
        <w:fldChar w:fldCharType="separate"/>
      </w:r>
      <w:r w:rsidR="00BF0B02" w:rsidRPr="00597FFB">
        <w:rPr>
          <w:rFonts w:ascii="Times New Roman" w:hAnsi="Times New Roman" w:cs="Times New Roman"/>
          <w:sz w:val="24"/>
          <w:szCs w:val="24"/>
        </w:rPr>
        <w:t>(</w:t>
      </w:r>
      <w:r w:rsidR="008978DA" w:rsidRPr="00597FFB">
        <w:rPr>
          <w:rFonts w:ascii="Times New Roman" w:hAnsi="Times New Roman" w:cs="Times New Roman"/>
          <w:sz w:val="24"/>
          <w:szCs w:val="24"/>
          <w:lang w:val="en-GB"/>
        </w:rPr>
        <w:t>Ahirwar</w:t>
      </w:r>
      <w:r w:rsidR="008978DA" w:rsidRPr="00597FFB">
        <w:rPr>
          <w:rFonts w:ascii="Times New Roman" w:hAnsi="Times New Roman" w:cs="Times New Roman"/>
          <w:sz w:val="24"/>
          <w:szCs w:val="24"/>
        </w:rPr>
        <w:t xml:space="preserve"> </w:t>
      </w:r>
      <w:r w:rsidR="00BF0B02" w:rsidRPr="00597FFB">
        <w:rPr>
          <w:rFonts w:ascii="Times New Roman" w:hAnsi="Times New Roman" w:cs="Times New Roman"/>
          <w:sz w:val="24"/>
          <w:szCs w:val="24"/>
        </w:rPr>
        <w:t>et al., 2021)</w:t>
      </w:r>
      <w:r w:rsidR="000B1DD9" w:rsidRPr="00597FFB">
        <w:rPr>
          <w:rFonts w:ascii="Times New Roman" w:eastAsia="Times New Roman" w:hAnsi="Times New Roman" w:cs="Times New Roman"/>
          <w:bCs/>
          <w:sz w:val="24"/>
          <w:szCs w:val="24"/>
        </w:rPr>
        <w:fldChar w:fldCharType="end"/>
      </w:r>
      <w:r w:rsidR="000B1DD9" w:rsidRPr="00597FFB">
        <w:rPr>
          <w:rFonts w:ascii="Times New Roman" w:eastAsia="Times New Roman" w:hAnsi="Times New Roman" w:cs="Times New Roman"/>
          <w:bCs/>
          <w:sz w:val="24"/>
          <w:szCs w:val="24"/>
        </w:rPr>
        <w:t>.</w:t>
      </w:r>
    </w:p>
    <w:p w14:paraId="7BA3D513" w14:textId="2857963C" w:rsidR="009D4FB4" w:rsidRPr="00597FFB" w:rsidRDefault="009D4FB4" w:rsidP="00B35F6C">
      <w:pPr>
        <w:autoSpaceDE w:val="0"/>
        <w:autoSpaceDN w:val="0"/>
        <w:adjustRightInd w:val="0"/>
        <w:spacing w:before="26" w:after="26" w:line="480" w:lineRule="auto"/>
        <w:ind w:left="90" w:firstLine="630"/>
        <w:jc w:val="both"/>
        <w:rPr>
          <w:rFonts w:ascii="Times New Roman" w:eastAsia="Times New Roman" w:hAnsi="Times New Roman" w:cs="Times New Roman"/>
          <w:bCs/>
          <w:color w:val="000000"/>
          <w:sz w:val="24"/>
          <w:szCs w:val="24"/>
        </w:rPr>
      </w:pPr>
      <w:bookmarkStart w:id="37" w:name="_Hlk54013005"/>
      <w:r w:rsidRPr="00597FFB">
        <w:rPr>
          <w:rFonts w:ascii="Times New Roman" w:eastAsia="Times New Roman" w:hAnsi="Times New Roman" w:cs="Times New Roman"/>
          <w:bCs/>
          <w:color w:val="000000"/>
          <w:sz w:val="24"/>
          <w:szCs w:val="24"/>
        </w:rPr>
        <w:t xml:space="preserve">E-waste </w:t>
      </w:r>
      <w:r w:rsidR="00FE4904" w:rsidRPr="00597FFB">
        <w:rPr>
          <w:rFonts w:ascii="Times New Roman" w:eastAsia="Times New Roman" w:hAnsi="Times New Roman" w:cs="Times New Roman"/>
          <w:bCs/>
          <w:color w:val="000000"/>
          <w:sz w:val="24"/>
          <w:szCs w:val="24"/>
        </w:rPr>
        <w:t>has</w:t>
      </w:r>
      <w:r w:rsidRPr="00597FFB">
        <w:rPr>
          <w:rFonts w:ascii="Times New Roman" w:eastAsia="Times New Roman" w:hAnsi="Times New Roman" w:cs="Times New Roman"/>
          <w:bCs/>
          <w:color w:val="000000"/>
          <w:sz w:val="24"/>
          <w:szCs w:val="24"/>
        </w:rPr>
        <w:t xml:space="preserve"> the highest and the most spectacular growth rate. Although different reports show varying assessments of the predicted E-waste volume, all of them confirm that the volume is increasing </w:t>
      </w:r>
      <w:bookmarkEnd w:id="37"/>
      <w:r w:rsidR="00BF0B02" w:rsidRPr="00597FFB">
        <w:rPr>
          <w:rFonts w:ascii="Times New Roman" w:eastAsia="Times New Roman" w:hAnsi="Times New Roman" w:cs="Times New Roman"/>
          <w:bCs/>
          <w:color w:val="000000"/>
          <w:sz w:val="24"/>
          <w:szCs w:val="24"/>
        </w:rPr>
        <w:fldChar w:fldCharType="begin"/>
      </w:r>
      <w:r w:rsidR="00D52C8B" w:rsidRPr="00597FFB">
        <w:rPr>
          <w:rFonts w:ascii="Times New Roman" w:eastAsia="Times New Roman" w:hAnsi="Times New Roman" w:cs="Times New Roman"/>
          <w:bCs/>
          <w:color w:val="000000"/>
          <w:sz w:val="24"/>
          <w:szCs w:val="24"/>
        </w:rPr>
        <w:instrText xml:space="preserve"> ADDIN ZOTERO_ITEM CSL_CITATION {"citationID":"a1resbq00bv","properties":{"formattedCitation":"(Gupta &amp; Nath, 2020b)","plainCitation":"(Gupta &amp; Nath, 2020b)","noteIndex":0},"citationItems":[{"id":3862,"uris":["http://zotero.org/users/local/b6CRLSJH/items/N62CMLAF"],"itemData":{"id":3862,"type":"article-journal","abstract":"The very precious resource of Earth, the groundwater is being contaminated and polluted day by day. E-Waste is one of the major cause for this problem related to ground water. E-wastes are produced mainly due to discarded electronic gadgets like PCs, tablets, hard drives, printers, monitors, batteries, mobile phones, television, etc. The use of these electronic gadgets is increasing enormously day by day around the globe. Lack of awareness about the proper disposal of these ewastes cause serious health and environmental issue in developing countries like India and to some extent in developed countries. Discarded computers, mobile phones and other electronic equipment that are considered as e –waste contain hazardous toxic metals like chromium, lead, mercury, iron, zinc, copper, cadmium etc. These e –wastes are dumped in the landfills near the industries where large area of land is available. As most of the industries are located near the water sources, the toxic e-wastes are percolated inside the water hence make the water contaminated inside the deep aquifers. This water is not safe for drinking and other purposes. The quantity of pollutants is more near to the landfill sites and reduces as the distance between the landfill site and aquifer increases. In the present work, a literature survey of groundwater pollution by e-waste and its remedial measure to reduce groundwater contamination is being done.","container-title":"Journal of Physics: Conference Series","DOI":"10.1088/1742-6596/1531/1/012023","ISSN":"1742-6588, 1742-6596","journalAbbreviation":"J. Phys.: Conf. Ser.","language":"en","page":"012023","source":"DOI.org (Crossref)","title":"Groundwater Contamination By E-Waste And Its Remedial Measure - A Literature Review","volume":"1531","author":[{"family":"Gupta","given":"N."},{"family":"Nath","given":"M."}],"issued":{"date-parts":[["2020",5]]}}}],"schema":"https://github.com/citation-style-language/schema/raw/master/csl-citation.json"} </w:instrText>
      </w:r>
      <w:r w:rsidR="00BF0B02" w:rsidRPr="00597FFB">
        <w:rPr>
          <w:rFonts w:ascii="Times New Roman" w:eastAsia="Times New Roman" w:hAnsi="Times New Roman" w:cs="Times New Roman"/>
          <w:bCs/>
          <w:color w:val="000000"/>
          <w:sz w:val="24"/>
          <w:szCs w:val="24"/>
        </w:rPr>
        <w:fldChar w:fldCharType="separate"/>
      </w:r>
      <w:r w:rsidR="00D52C8B" w:rsidRPr="00597FFB">
        <w:rPr>
          <w:rFonts w:ascii="Times New Roman" w:hAnsi="Times New Roman" w:cs="Times New Roman"/>
          <w:sz w:val="24"/>
          <w:szCs w:val="24"/>
        </w:rPr>
        <w:t>(Gupta &amp; Nath, 2020b)</w:t>
      </w:r>
      <w:r w:rsidR="00BF0B02" w:rsidRPr="00597FFB">
        <w:rPr>
          <w:rFonts w:ascii="Times New Roman" w:eastAsia="Times New Roman" w:hAnsi="Times New Roman" w:cs="Times New Roman"/>
          <w:bCs/>
          <w:color w:val="000000"/>
          <w:sz w:val="24"/>
          <w:szCs w:val="24"/>
        </w:rPr>
        <w:fldChar w:fldCharType="end"/>
      </w:r>
      <w:r w:rsidR="00D52C8B"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It is due to several reasons. First, increasing consumer demand and a high obsolescence rate have increased electronic equipment and increased E-waste generated </w:t>
      </w:r>
      <w:r w:rsidR="00232575" w:rsidRPr="00597FFB">
        <w:rPr>
          <w:rFonts w:ascii="Times New Roman" w:eastAsia="Times New Roman" w:hAnsi="Times New Roman" w:cs="Times New Roman"/>
          <w:bCs/>
          <w:color w:val="000000"/>
          <w:sz w:val="24"/>
          <w:szCs w:val="24"/>
        </w:rPr>
        <w:fldChar w:fldCharType="begin"/>
      </w:r>
      <w:r w:rsidR="00605D17" w:rsidRPr="00597FFB">
        <w:rPr>
          <w:rFonts w:ascii="Times New Roman" w:eastAsia="Times New Roman" w:hAnsi="Times New Roman" w:cs="Times New Roman"/>
          <w:bCs/>
          <w:color w:val="000000"/>
          <w:sz w:val="24"/>
          <w:szCs w:val="24"/>
        </w:rPr>
        <w:instrText xml:space="preserve"> ADDIN ZOTERO_ITEM CSL_CITATION {"citationID":"a7qja7jq54","properties":{"formattedCitation":"(Ameko et al., 2020)","plainCitation":"(Ameko et al., 2020)","noteIndex":0},"citationItems":[{"id":4454,"uris":["http://zotero.org/users/local/b6CRLSJH/items/JCRERBKG"],"itemData":{"id":4454,"type":"paper-conference","container-title":"Fourteenth ACM Conference on Recommender Systems","DOI":"10.1145/3383313.3412244","event-place":"Virtual Event Brazil","event-title":"RecSys '20: Fourteenth ACM Conference on Recommender Systems","ISBN":"978-1-4503-7583-2","language":"en","page":"249-258","publisher":"ACM","publisher-place":"Virtual Event Brazil","source":"DOI.org (Crossref)","title":"Offline Contextual Multi-armed Bandits for Mobile Health Interventions: A Case Study on Emotion Regulation","title-short":"Offline Contextual Multi-armed Bandits for Mobile Health Interventions","URL":"https://dl.acm.org/doi/10.1145/3383313.3412244","author":[{"family":"Ameko","given":"Mawulolo K."},{"family":"Beltzer","given":"Miranda L."},{"family":"Cai","given":"Lihua"},{"family":"Boukhechba","given":"Mehdi"},{"family":"Teachman","given":"Bethany A."},{"family":"Barnes","given":"Laura E."}],"accessed":{"date-parts":[["2022",6,5]]},"issued":{"date-parts":[["2020",9,22]]}}}],"schema":"https://github.com/citation-style-language/schema/raw/master/csl-citation.json"} </w:instrText>
      </w:r>
      <w:r w:rsidR="00232575" w:rsidRPr="00597FFB">
        <w:rPr>
          <w:rFonts w:ascii="Times New Roman" w:eastAsia="Times New Roman" w:hAnsi="Times New Roman" w:cs="Times New Roman"/>
          <w:bCs/>
          <w:color w:val="000000"/>
          <w:sz w:val="24"/>
          <w:szCs w:val="24"/>
        </w:rPr>
        <w:fldChar w:fldCharType="separate"/>
      </w:r>
      <w:r w:rsidR="00605D17" w:rsidRPr="00597FFB">
        <w:rPr>
          <w:rFonts w:ascii="Times New Roman" w:hAnsi="Times New Roman" w:cs="Times New Roman"/>
          <w:sz w:val="24"/>
          <w:szCs w:val="24"/>
        </w:rPr>
        <w:t>(Ameko et al., 2020)</w:t>
      </w:r>
      <w:r w:rsidR="00232575" w:rsidRPr="00597FFB">
        <w:rPr>
          <w:rFonts w:ascii="Times New Roman" w:eastAsia="Times New Roman" w:hAnsi="Times New Roman" w:cs="Times New Roman"/>
          <w:bCs/>
          <w:color w:val="000000"/>
          <w:sz w:val="24"/>
          <w:szCs w:val="24"/>
        </w:rPr>
        <w:fldChar w:fldCharType="end"/>
      </w:r>
      <w:r w:rsidR="00232575"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The second reason is the short life span or replacement interval (e.g., mobile phones and personal computers) of most electronic </w:t>
      </w:r>
      <w:r w:rsidRPr="00597FFB">
        <w:rPr>
          <w:rFonts w:ascii="Times New Roman" w:eastAsia="Times New Roman" w:hAnsi="Times New Roman" w:cs="Times New Roman"/>
          <w:bCs/>
          <w:sz w:val="24"/>
          <w:szCs w:val="24"/>
        </w:rPr>
        <w:t xml:space="preserve">equipment (Islam et al., 2020). </w:t>
      </w:r>
      <w:r w:rsidRPr="00597FFB">
        <w:rPr>
          <w:rFonts w:ascii="Times New Roman" w:eastAsia="Times New Roman" w:hAnsi="Times New Roman" w:cs="Times New Roman"/>
          <w:bCs/>
          <w:color w:val="000000"/>
          <w:sz w:val="24"/>
          <w:szCs w:val="24"/>
        </w:rPr>
        <w:t xml:space="preserve">Third, the high difference between production and recycling rates contributes to the </w:t>
      </w:r>
      <w:r w:rsidR="00FE4904" w:rsidRPr="00597FFB">
        <w:rPr>
          <w:rFonts w:ascii="Times New Roman" w:eastAsia="Times New Roman" w:hAnsi="Times New Roman" w:cs="Times New Roman"/>
          <w:bCs/>
          <w:color w:val="000000"/>
          <w:sz w:val="24"/>
          <w:szCs w:val="24"/>
        </w:rPr>
        <w:t>production</w:t>
      </w:r>
      <w:r w:rsidRPr="00597FFB">
        <w:rPr>
          <w:rFonts w:ascii="Times New Roman" w:eastAsia="Times New Roman" w:hAnsi="Times New Roman" w:cs="Times New Roman"/>
          <w:bCs/>
          <w:color w:val="000000"/>
          <w:sz w:val="24"/>
          <w:szCs w:val="24"/>
        </w:rPr>
        <w:t xml:space="preserve"> of larger E-waste quantities (Khan et al., 2020). Understanding E-waste's production process at various levels is essential in addressing this global issue since it provides management measures at the correct scale </w:t>
      </w:r>
      <w:r w:rsidR="00B04CC3" w:rsidRPr="00597FFB">
        <w:rPr>
          <w:rFonts w:ascii="Times New Roman" w:eastAsia="Calibri" w:hAnsi="Times New Roman" w:cs="Times New Roman"/>
          <w:sz w:val="24"/>
          <w:szCs w:val="24"/>
        </w:rPr>
        <w:fldChar w:fldCharType="begin"/>
      </w:r>
      <w:r w:rsidR="00B35F6C" w:rsidRPr="00597FFB">
        <w:rPr>
          <w:rFonts w:ascii="Times New Roman" w:eastAsia="Calibri" w:hAnsi="Times New Roman" w:cs="Times New Roman"/>
          <w:sz w:val="24"/>
          <w:szCs w:val="24"/>
        </w:rPr>
        <w:instrText xml:space="preserve"> ADDIN ZOTERO_ITEM CSL_CITATION {"citationID":"a789fe2834","properties":{"formattedCitation":"(Al Bloushi et al., 2020a)","plainCitation":"(Al Bloushi et al., 2020a)","noteIndex":0},"citationItems":[{"id":4391,"uris":["http://zotero.org/users/local/b6CRLSJH/items/B8QXEB9L"],"itemData":{"id":4391,"type":"article-journal","abstract":"Learning outcomes\n              To examine and create an ideal pathway model that can implement aiming to change the current improper practices in managing municipal solid waste (MSW) to sustainable practices. To acquire a better understanding of public participation and community culture helps in achieving the aim of reducing the amount of waste generation, sending less waste to landfill sites and encouraging the reuse and recycling of materials instead. To help students whom the awareness in the community regarding the importance of protecting the environment and acting in a civilization way has increased. To improve the MSW sustainability practices and enhance the waste sustainability practices together with energy and material conservation. To have more extensive knowledge and awareness of issues in waste management and some of the dilemmas managers of strategic and operations face.\n            \n            \n              Case overview/synopsis\n              Abu Dhabi’s center of waste management is known as Tadweer is a governmental entity under the Abu Dhabi Executive Council. Tadweer is responsible for managing every MSWs includes collecting, transferring, segregating, treating, recycling, reusing and tracking all kinds of wastes. CEO of Tadweer Dr Salem Alkabi called his team that manages various departments such as strategy, operations, projects and licensing. The meeting was to discuss Tadweer’s future directing and strategy for mismanagement of solid waste dumping into landﬁlls in Abu Dhabi. Dumping in landfills is the main challenge Tadweer faced. Mr. Abdulrahman Albloushi’s strategy and business development executive director of Tadweer highlighted to Alkaabi how Tadweer could improve the waste management practices to make it more sustainable. Furthermore, assisting the center gets more benefit from the waste s instead of losing this valuable waste into landfills. Consequently, Mr. Abdulrahman must grapple with some difficult questions: how much the effectiveness in collecting waste from where it generated and removing it out-of-sight?\n            \n            \n              Complexity academic level\n              This case study is designed for undergraduate and postgraduate students, and executive MBA students of business management programs, especially for waste management, environmental management and strategic management courses.\n            \n            \n              Supplementary materials\n              Teaching Notes are available upon request.\n            \n            \n              Subject code\n              CSS 4: Environmental management.","container-title":"Emerald Emerging Markets Case Studies","DOI":"10.1108/EEMCS-08-2019-0210","ISSN":"2045-0621","issue":"2","journalAbbreviation":"EEMCS","language":"en","page":"1-26","source":"DOI.org (Crossref)","title":"Tadweer: improving municipal solid waste sustainability practices","title-short":"Tadweer","volume":"10","author":[{"family":"Al Bloushi","given":"Badreya Gharib"},{"family":"Ahmad","given":"Syed Zamberi"},{"family":"Bani Mfarrej","given":"Manar Fawzi"}],"issued":{"date-parts":[["2020",4,29]]}}}],"schema":"https://github.com/citation-style-language/schema/raw/master/csl-citation.json"} </w:instrText>
      </w:r>
      <w:r w:rsidR="00B04CC3" w:rsidRPr="00597FFB">
        <w:rPr>
          <w:rFonts w:ascii="Times New Roman" w:eastAsia="Calibri" w:hAnsi="Times New Roman" w:cs="Times New Roman"/>
          <w:sz w:val="24"/>
          <w:szCs w:val="24"/>
        </w:rPr>
        <w:fldChar w:fldCharType="separate"/>
      </w:r>
      <w:r w:rsidR="00B35F6C" w:rsidRPr="00597FFB">
        <w:rPr>
          <w:rFonts w:ascii="Times New Roman" w:hAnsi="Times New Roman" w:cs="Times New Roman"/>
          <w:sz w:val="24"/>
        </w:rPr>
        <w:t>(Al Bloushi et al., 2020a)</w:t>
      </w:r>
      <w:r w:rsidR="00B04CC3" w:rsidRPr="00597FFB">
        <w:rPr>
          <w:rFonts w:ascii="Times New Roman" w:eastAsia="Calibri" w:hAnsi="Times New Roman" w:cs="Times New Roman"/>
          <w:sz w:val="24"/>
          <w:szCs w:val="24"/>
        </w:rPr>
        <w:fldChar w:fldCharType="end"/>
      </w:r>
      <w:r w:rsidR="00B04CC3" w:rsidRPr="00597FFB">
        <w:rPr>
          <w:rFonts w:ascii="Times New Roman" w:eastAsia="Calibri" w:hAnsi="Times New Roman" w:cs="Times New Roman"/>
          <w:sz w:val="24"/>
          <w:szCs w:val="24"/>
        </w:rPr>
        <w:t>.</w:t>
      </w:r>
    </w:p>
    <w:p w14:paraId="57322E0A" w14:textId="0E73A3AB" w:rsidR="009D4FB4" w:rsidRPr="00597FFB" w:rsidRDefault="00B11344" w:rsidP="00750530">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The Global E-waste Monitor (2020) </w:t>
      </w:r>
      <w:r w:rsidR="009D4FB4" w:rsidRPr="00597FFB">
        <w:rPr>
          <w:rFonts w:ascii="Times New Roman" w:eastAsia="Times New Roman" w:hAnsi="Times New Roman" w:cs="Times New Roman"/>
          <w:bCs/>
          <w:color w:val="000000"/>
          <w:sz w:val="24"/>
          <w:szCs w:val="24"/>
        </w:rPr>
        <w:t>estimated that the electronic industry generated about 41.8 and 43.8 million tonnes (Mt) of E-waste in 2014 and 201</w:t>
      </w:r>
      <w:r w:rsidR="00C86E22" w:rsidRPr="00597FFB">
        <w:rPr>
          <w:rFonts w:ascii="Times New Roman" w:eastAsia="Times New Roman" w:hAnsi="Times New Roman" w:cs="Times New Roman"/>
          <w:bCs/>
          <w:color w:val="000000"/>
          <w:sz w:val="24"/>
          <w:szCs w:val="24"/>
        </w:rPr>
        <w:t>9</w:t>
      </w:r>
      <w:r w:rsidR="009D4FB4" w:rsidRPr="00597FFB">
        <w:rPr>
          <w:rFonts w:ascii="Times New Roman" w:eastAsia="Times New Roman" w:hAnsi="Times New Roman" w:cs="Times New Roman"/>
          <w:bCs/>
          <w:color w:val="000000"/>
          <w:sz w:val="24"/>
          <w:szCs w:val="24"/>
        </w:rPr>
        <w:t>, respectively</w:t>
      </w:r>
      <w:r w:rsidR="00C86E22" w:rsidRPr="00597FFB">
        <w:rPr>
          <w:rFonts w:ascii="Times New Roman" w:eastAsia="Times New Roman" w:hAnsi="Times New Roman" w:cs="Times New Roman"/>
          <w:bCs/>
          <w:color w:val="000000"/>
          <w:sz w:val="24"/>
          <w:szCs w:val="24"/>
        </w:rPr>
        <w:t xml:space="preserve"> </w:t>
      </w:r>
      <w:r w:rsidR="00C75F59" w:rsidRPr="00597FFB">
        <w:rPr>
          <w:rFonts w:ascii="Times New Roman" w:eastAsia="Times New Roman" w:hAnsi="Times New Roman" w:cs="Times New Roman"/>
          <w:bCs/>
          <w:color w:val="000000"/>
          <w:sz w:val="24"/>
          <w:szCs w:val="24"/>
        </w:rPr>
        <w:fldChar w:fldCharType="begin"/>
      </w:r>
      <w:r w:rsidR="00C2263A" w:rsidRPr="00597FFB">
        <w:rPr>
          <w:rFonts w:ascii="Times New Roman" w:eastAsia="Times New Roman" w:hAnsi="Times New Roman" w:cs="Times New Roman"/>
          <w:bCs/>
          <w:color w:val="000000"/>
          <w:sz w:val="24"/>
          <w:szCs w:val="24"/>
        </w:rPr>
        <w:instrText xml:space="preserve"> ADDIN ZOTERO_ITEM CSL_CITATION {"citationID":"a7uas1nppe","properties":{"formattedCitation":"(Arya &amp; Kumar, 2020)","plainCitation":"(Arya &amp; Kumar, 2020)","noteIndex":0},"citationItems":[{"id":4686,"uris":["http://zotero.org/users/local/b6CRLSJH/items/FN7XRNS3"],"itemData":{"id":4686,"type":"article-journal","container-title":"Journal of Cleaner Production","DOI":"10.1016/j.jclepro.2020.122707","ISSN":"09596526","journalAbbreviation":"Journal of Cleaner Production","language":"en","page":"122707","source":"DOI.org (Crossref)","title":"E-waste in India at a glance: Current trends, regulations, challenges and management strategies","title-short":"E-waste in India at a glance","volume":"271","author":[{"family":"Arya","given":"Shashi"},{"family":"Kumar","given":"Sunil"}],"issued":{"date-parts":[["2020",10]]}}}],"schema":"https://github.com/citation-style-language/schema/raw/master/csl-citation.json"} </w:instrText>
      </w:r>
      <w:r w:rsidR="00C75F59" w:rsidRPr="00597FFB">
        <w:rPr>
          <w:rFonts w:ascii="Times New Roman" w:eastAsia="Times New Roman" w:hAnsi="Times New Roman" w:cs="Times New Roman"/>
          <w:bCs/>
          <w:color w:val="000000"/>
          <w:sz w:val="24"/>
          <w:szCs w:val="24"/>
        </w:rPr>
        <w:fldChar w:fldCharType="separate"/>
      </w:r>
      <w:r w:rsidR="00C2263A" w:rsidRPr="00597FFB">
        <w:rPr>
          <w:rFonts w:ascii="Times New Roman" w:hAnsi="Times New Roman" w:cs="Times New Roman"/>
          <w:sz w:val="24"/>
          <w:szCs w:val="24"/>
        </w:rPr>
        <w:t>(Arya &amp; Kumar, 2020)</w:t>
      </w:r>
      <w:r w:rsidR="00C75F59" w:rsidRPr="00597FFB">
        <w:rPr>
          <w:rFonts w:ascii="Times New Roman" w:eastAsia="Times New Roman" w:hAnsi="Times New Roman" w:cs="Times New Roman"/>
          <w:bCs/>
          <w:color w:val="000000"/>
          <w:sz w:val="24"/>
          <w:szCs w:val="24"/>
        </w:rPr>
        <w:fldChar w:fldCharType="end"/>
      </w:r>
      <w:r w:rsidR="009D4FB4" w:rsidRPr="00597FFB">
        <w:rPr>
          <w:rFonts w:ascii="Times New Roman" w:eastAsia="Times New Roman" w:hAnsi="Times New Roman" w:cs="Times New Roman"/>
          <w:bCs/>
          <w:color w:val="000000"/>
          <w:sz w:val="24"/>
          <w:szCs w:val="24"/>
        </w:rPr>
        <w:t>.</w:t>
      </w:r>
      <w:r w:rsidR="009D4FB4" w:rsidRPr="00597FFB">
        <w:rPr>
          <w:rFonts w:ascii="Times New Roman" w:eastAsia="Calibri" w:hAnsi="Times New Roman" w:cs="Times New Roman"/>
          <w:sz w:val="24"/>
          <w:szCs w:val="24"/>
        </w:rPr>
        <w:t xml:space="preserve"> </w:t>
      </w:r>
      <w:r w:rsidR="009D4FB4" w:rsidRPr="00597FFB">
        <w:rPr>
          <w:rFonts w:ascii="Times New Roman" w:eastAsia="Times New Roman" w:hAnsi="Times New Roman" w:cs="Times New Roman"/>
          <w:bCs/>
          <w:color w:val="000000"/>
          <w:sz w:val="24"/>
          <w:szCs w:val="24"/>
        </w:rPr>
        <w:t xml:space="preserve">Developed countries, such as the US, the United Kingdom, and Germany, significantly generate more E-waste than developing countries </w:t>
      </w:r>
      <w:r w:rsidR="00FE4904" w:rsidRPr="00597FFB">
        <w:rPr>
          <w:rFonts w:ascii="Times New Roman" w:eastAsia="Times New Roman" w:hAnsi="Times New Roman" w:cs="Times New Roman"/>
          <w:bCs/>
          <w:color w:val="000000"/>
          <w:sz w:val="24"/>
          <w:szCs w:val="24"/>
        </w:rPr>
        <w:t>owing</w:t>
      </w:r>
      <w:r w:rsidR="009D4FB4" w:rsidRPr="00597FFB">
        <w:rPr>
          <w:rFonts w:ascii="Times New Roman" w:eastAsia="Times New Roman" w:hAnsi="Times New Roman" w:cs="Times New Roman"/>
          <w:bCs/>
          <w:color w:val="000000"/>
          <w:sz w:val="24"/>
          <w:szCs w:val="24"/>
        </w:rPr>
        <w:t xml:space="preserve"> to lack of or inadequate to handle the </w:t>
      </w:r>
      <w:r w:rsidR="00FE4904" w:rsidRPr="00597FFB">
        <w:rPr>
          <w:rFonts w:ascii="Times New Roman" w:eastAsia="Times New Roman" w:hAnsi="Times New Roman" w:cs="Times New Roman"/>
          <w:bCs/>
          <w:color w:val="000000"/>
          <w:sz w:val="24"/>
          <w:szCs w:val="24"/>
        </w:rPr>
        <w:t xml:space="preserve">management practices of </w:t>
      </w:r>
      <w:r w:rsidR="009D4FB4" w:rsidRPr="00597FFB">
        <w:rPr>
          <w:rFonts w:ascii="Times New Roman" w:eastAsia="Times New Roman" w:hAnsi="Times New Roman" w:cs="Times New Roman"/>
          <w:bCs/>
          <w:color w:val="000000"/>
          <w:sz w:val="24"/>
          <w:szCs w:val="24"/>
        </w:rPr>
        <w:t xml:space="preserve">E-waste. Most of the developing countries are still struggling for specific policy direction on E-waste. While </w:t>
      </w:r>
      <w:r w:rsidR="00FE4904" w:rsidRPr="00597FFB">
        <w:rPr>
          <w:rFonts w:ascii="Times New Roman" w:eastAsia="Times New Roman" w:hAnsi="Times New Roman" w:cs="Times New Roman"/>
          <w:bCs/>
          <w:color w:val="000000"/>
          <w:sz w:val="24"/>
          <w:szCs w:val="24"/>
        </w:rPr>
        <w:t xml:space="preserve">among </w:t>
      </w:r>
      <w:r w:rsidR="009D4FB4" w:rsidRPr="00597FFB">
        <w:rPr>
          <w:rFonts w:ascii="Times New Roman" w:eastAsia="Times New Roman" w:hAnsi="Times New Roman" w:cs="Times New Roman"/>
          <w:bCs/>
          <w:color w:val="000000"/>
          <w:sz w:val="24"/>
          <w:szCs w:val="24"/>
        </w:rPr>
        <w:t xml:space="preserve">the fastest-growing economies and a large producer of E-waste countries, China and India, could have finalized their legislation recently, the implementation results are yet to have come </w:t>
      </w:r>
      <w:r w:rsidR="00C2263A" w:rsidRPr="00597FFB">
        <w:rPr>
          <w:rFonts w:ascii="Times New Roman" w:eastAsia="Times New Roman" w:hAnsi="Times New Roman" w:cs="Times New Roman"/>
          <w:bCs/>
          <w:color w:val="000000"/>
          <w:sz w:val="24"/>
          <w:szCs w:val="24"/>
        </w:rPr>
        <w:fldChar w:fldCharType="begin"/>
      </w:r>
      <w:r w:rsidR="00AD6771" w:rsidRPr="00597FFB">
        <w:rPr>
          <w:rFonts w:ascii="Times New Roman" w:eastAsia="Times New Roman" w:hAnsi="Times New Roman" w:cs="Times New Roman"/>
          <w:bCs/>
          <w:color w:val="000000"/>
          <w:sz w:val="24"/>
          <w:szCs w:val="24"/>
        </w:rPr>
        <w:instrText xml:space="preserve"> ADDIN ZOTERO_ITEM CSL_CITATION {"citationID":"a1l76n4ros8","properties":{"formattedCitation":"(Srivastava et al., 2021)","plainCitation":"(Srivastava et al., 2021)","noteIndex":0},"citationItems":[{"id":4310,"uris":["http://zotero.org/users/local/b6CRLSJH/items/53JTJNIN"],"itemData":{"id":4310,"type":"article-journal","container-title":"Corporate Reputation Review","DOI":"10.1057/s41299-021-00111-x","ISSN":"1363-3589, 1479-1889","journalAbbreviation":"Corp Reputation Rev","language":"en","source":"DOI.org (Crossref)","title":"Criticism of Triple Bottom Line: TBL (With Special Reference to Sustainability)","title-short":"Criticism of Triple Bottom Line","URL":"https://link.springer.com/10.1057/s41299-021-00111-x","author":[{"family":"Srivastava","given":"Amit Kumar"},{"family":"Dixit","given":"Shailja"},{"family":"Srivastava","given":"Akansha Abhi"}],"accessed":{"date-parts":[["2021",9,9]]},"issued":{"date-parts":[["2021",3,22]]}}}],"schema":"https://github.com/citation-style-language/schema/raw/master/csl-citation.json"} </w:instrText>
      </w:r>
      <w:r w:rsidR="00C2263A" w:rsidRPr="00597FFB">
        <w:rPr>
          <w:rFonts w:ascii="Times New Roman" w:eastAsia="Times New Roman" w:hAnsi="Times New Roman" w:cs="Times New Roman"/>
          <w:bCs/>
          <w:color w:val="000000"/>
          <w:sz w:val="24"/>
          <w:szCs w:val="24"/>
        </w:rPr>
        <w:fldChar w:fldCharType="separate"/>
      </w:r>
      <w:r w:rsidR="00AD6771" w:rsidRPr="00597FFB">
        <w:rPr>
          <w:rFonts w:ascii="Times New Roman" w:hAnsi="Times New Roman" w:cs="Times New Roman"/>
          <w:sz w:val="24"/>
          <w:szCs w:val="24"/>
        </w:rPr>
        <w:t>(Srivastava et al., 2021)</w:t>
      </w:r>
      <w:r w:rsidR="00C2263A" w:rsidRPr="00597FFB">
        <w:rPr>
          <w:rFonts w:ascii="Times New Roman" w:eastAsia="Times New Roman" w:hAnsi="Times New Roman" w:cs="Times New Roman"/>
          <w:bCs/>
          <w:color w:val="000000"/>
          <w:sz w:val="24"/>
          <w:szCs w:val="24"/>
        </w:rPr>
        <w:fldChar w:fldCharType="end"/>
      </w:r>
      <w:r w:rsidR="00C2263A"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bCs/>
          <w:color w:val="000000"/>
          <w:sz w:val="24"/>
          <w:szCs w:val="24"/>
        </w:rPr>
        <w:t xml:space="preserve">Although the overall E-waste generated by Asian countries, such as Taiwan, Hong Kong, and South Korea, is low, their per capita production is comparable to that of the European Union, the US, and Canada </w:t>
      </w:r>
      <w:r w:rsidR="00C2263A" w:rsidRPr="00597FFB">
        <w:rPr>
          <w:rFonts w:ascii="Times New Roman" w:eastAsia="Times New Roman" w:hAnsi="Times New Roman" w:cs="Times New Roman"/>
          <w:bCs/>
          <w:color w:val="000000"/>
          <w:sz w:val="24"/>
          <w:szCs w:val="24"/>
        </w:rPr>
        <w:fldChar w:fldCharType="begin"/>
      </w:r>
      <w:r w:rsidR="00AD6771" w:rsidRPr="00597FFB">
        <w:rPr>
          <w:rFonts w:ascii="Times New Roman" w:eastAsia="Times New Roman" w:hAnsi="Times New Roman" w:cs="Times New Roman"/>
          <w:bCs/>
          <w:color w:val="000000"/>
          <w:sz w:val="24"/>
          <w:szCs w:val="24"/>
        </w:rPr>
        <w:instrText xml:space="preserve"> ADDIN ZOTERO_ITEM CSL_CITATION {"citationID":"a228ckms71m","properties":{"formattedCitation":"(Brisman &amp; South, 2020)","plainCitation":"(Brisman &amp; South, 2020)","noteIndex":0},"citationItems":[{"id":4361,"uris":["http://zotero.org/users/local/b6CRLSJH/items/K7SBF8EX"],"itemData":{"id":4361,"type":"book","abstract":"\"The Routledge International Handbook of Green Criminology was the first comprehensive and international anthology dedicated to green criminology. It presented green criminology to an international audience, described the state of the field, offered a description of a range of environmental issues of regional and global importance, and argued for continued criminological attention to environmental crimes and harms, setting an agenda for further study. In the six years since its publication, the field has continued to grow and thrive. This revised and expanded second edition of the Handbook reflects new methodological orientations, new locations of study such as Asia, Canada and South America, and new responses to environmental harms. While a number of the original chapters have been fully revised, it offers a range of fresh chapters covering new and emerging areas of study, such as: Conservation criminology Eco-feminism Environmental victimology Fracking Migration and eco-rights E-waste. This Handbook continues to define and capture the field of green criminology and is essential reading for students and researchers engaged in green crime and environmental harm\"--","call-number":"HV6401 .R68 2020","collection-title":"Routledge international handbooks","edition":"Second edition","event-place":"Milton Park, Abingdon, Oxon ; New York","ISBN":"978-1-138-63380-3","publisher":"Routledge","publisher-place":"Milton Park, Abingdon, Oxon ; New York","source":"Library of Congress ISBN","title":"Routledge international handbook of green criminology","editor":[{"family":"Brisman","given":"Avi"},{"family":"South","given":"Nigel"}],"issued":{"date-parts":[["2020"]]}}}],"schema":"https://github.com/citation-style-language/schema/raw/master/csl-citation.json"} </w:instrText>
      </w:r>
      <w:r w:rsidR="00C2263A" w:rsidRPr="00597FFB">
        <w:rPr>
          <w:rFonts w:ascii="Times New Roman" w:eastAsia="Times New Roman" w:hAnsi="Times New Roman" w:cs="Times New Roman"/>
          <w:bCs/>
          <w:color w:val="000000"/>
          <w:sz w:val="24"/>
          <w:szCs w:val="24"/>
        </w:rPr>
        <w:fldChar w:fldCharType="separate"/>
      </w:r>
      <w:r w:rsidR="00AD6771" w:rsidRPr="00597FFB">
        <w:rPr>
          <w:rFonts w:ascii="Times New Roman" w:hAnsi="Times New Roman" w:cs="Times New Roman"/>
          <w:sz w:val="24"/>
          <w:szCs w:val="24"/>
        </w:rPr>
        <w:t>(</w:t>
      </w:r>
      <w:r w:rsidR="0071031F" w:rsidRPr="00597FFB">
        <w:rPr>
          <w:rFonts w:ascii="Times New Roman" w:hAnsi="Times New Roman" w:cs="Times New Roman"/>
          <w:sz w:val="24"/>
          <w:szCs w:val="24"/>
        </w:rPr>
        <w:t>Bimir</w:t>
      </w:r>
      <w:r w:rsidR="00AD6771" w:rsidRPr="00597FFB">
        <w:rPr>
          <w:rFonts w:ascii="Times New Roman" w:hAnsi="Times New Roman" w:cs="Times New Roman"/>
          <w:sz w:val="24"/>
          <w:szCs w:val="24"/>
        </w:rPr>
        <w:t>, 2020)</w:t>
      </w:r>
      <w:r w:rsidR="00C2263A" w:rsidRPr="00597FFB">
        <w:rPr>
          <w:rFonts w:ascii="Times New Roman" w:eastAsia="Times New Roman" w:hAnsi="Times New Roman" w:cs="Times New Roman"/>
          <w:bCs/>
          <w:color w:val="000000"/>
          <w:sz w:val="24"/>
          <w:szCs w:val="24"/>
        </w:rPr>
        <w:fldChar w:fldCharType="end"/>
      </w:r>
      <w:r w:rsidR="00C2263A"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bCs/>
          <w:color w:val="000000"/>
          <w:sz w:val="24"/>
          <w:szCs w:val="24"/>
        </w:rPr>
        <w:t xml:space="preserve">For instance, Malaysia generates 0.8 to 1.3kg of E-waste per capita </w:t>
      </w:r>
      <w:r w:rsidR="00AD6771" w:rsidRPr="00597FFB">
        <w:rPr>
          <w:rFonts w:ascii="Times New Roman" w:eastAsia="Times New Roman" w:hAnsi="Times New Roman" w:cs="Times New Roman"/>
          <w:bCs/>
          <w:color w:val="000000"/>
          <w:sz w:val="24"/>
          <w:szCs w:val="24"/>
        </w:rPr>
        <w:fldChar w:fldCharType="begin"/>
      </w:r>
      <w:r w:rsidR="00173BF9" w:rsidRPr="00597FFB">
        <w:rPr>
          <w:rFonts w:ascii="Times New Roman" w:eastAsia="Times New Roman" w:hAnsi="Times New Roman" w:cs="Times New Roman"/>
          <w:bCs/>
          <w:color w:val="000000"/>
          <w:sz w:val="24"/>
          <w:szCs w:val="24"/>
        </w:rPr>
        <w:instrText xml:space="preserve"> ADDIN ZOTERO_ITEM CSL_CITATION {"citationID":"a16fro61ne0","properties":{"formattedCitation":"(M. H. Ali et al., 2019b)","plainCitation":"(M. H. Ali et al., 2019b)","noteIndex":0},"citationItems":[{"id":2629,"uris":["http://zotero.org/users/local/b6CRLSJH/items/CMH5RNWZ"],"itemData":{"id":2629,"type":"article-journal","abstract":"The management of waste, energy, and resources has received special attention from academics and practitioners due to the growing evidence for its e</w:instrText>
      </w:r>
      <w:r w:rsidR="00173BF9" w:rsidRPr="00597FFB">
        <w:rPr>
          <w:rFonts w:ascii="Cambria Math" w:eastAsia="Times New Roman" w:hAnsi="Cambria Math" w:cs="Cambria Math"/>
          <w:bCs/>
          <w:color w:val="000000"/>
          <w:sz w:val="24"/>
          <w:szCs w:val="24"/>
        </w:rPr>
        <w:instrText>↵</w:instrText>
      </w:r>
      <w:r w:rsidR="00173BF9" w:rsidRPr="00597FFB">
        <w:rPr>
          <w:rFonts w:ascii="Times New Roman" w:eastAsia="Times New Roman" w:hAnsi="Times New Roman" w:cs="Times New Roman"/>
          <w:bCs/>
          <w:color w:val="000000"/>
          <w:sz w:val="24"/>
          <w:szCs w:val="24"/>
        </w:rPr>
        <w:instrText>ects on the environment. The aim of this study is to investigate the environmental drivers of waste, energy, and resource management and, in turn, its e</w:instrText>
      </w:r>
      <w:r w:rsidR="00173BF9" w:rsidRPr="00597FFB">
        <w:rPr>
          <w:rFonts w:ascii="Cambria Math" w:eastAsia="Times New Roman" w:hAnsi="Cambria Math" w:cs="Cambria Math"/>
          <w:bCs/>
          <w:color w:val="000000"/>
          <w:sz w:val="24"/>
          <w:szCs w:val="24"/>
        </w:rPr>
        <w:instrText>↵</w:instrText>
      </w:r>
      <w:r w:rsidR="00173BF9" w:rsidRPr="00597FFB">
        <w:rPr>
          <w:rFonts w:ascii="Times New Roman" w:eastAsia="Times New Roman" w:hAnsi="Times New Roman" w:cs="Times New Roman"/>
          <w:bCs/>
          <w:color w:val="000000"/>
          <w:sz w:val="24"/>
          <w:szCs w:val="24"/>
        </w:rPr>
        <w:instrText>ect on the sustainable performance of manufacturing ﬁrms. The data were collected from a survey of 173 large manufacturing ﬁrms in Malaysia and analysed using partial least squares. The results indicate that although environmental regulatory pressure, customer pressure, environmental uncertainty, and expected business beneﬁts have positive e</w:instrText>
      </w:r>
      <w:r w:rsidR="00173BF9" w:rsidRPr="00597FFB">
        <w:rPr>
          <w:rFonts w:ascii="Cambria Math" w:eastAsia="Times New Roman" w:hAnsi="Cambria Math" w:cs="Cambria Math"/>
          <w:bCs/>
          <w:color w:val="000000"/>
          <w:sz w:val="24"/>
          <w:szCs w:val="24"/>
        </w:rPr>
        <w:instrText>↵</w:instrText>
      </w:r>
      <w:r w:rsidR="00173BF9" w:rsidRPr="00597FFB">
        <w:rPr>
          <w:rFonts w:ascii="Times New Roman" w:eastAsia="Times New Roman" w:hAnsi="Times New Roman" w:cs="Times New Roman"/>
          <w:bCs/>
          <w:color w:val="000000"/>
          <w:sz w:val="24"/>
          <w:szCs w:val="24"/>
        </w:rPr>
        <w:instrText>ects on the extent of waste, energy, and resource management, social responsibility has no e</w:instrText>
      </w:r>
      <w:r w:rsidR="00173BF9" w:rsidRPr="00597FFB">
        <w:rPr>
          <w:rFonts w:ascii="Cambria Math" w:eastAsia="Times New Roman" w:hAnsi="Cambria Math" w:cs="Cambria Math"/>
          <w:bCs/>
          <w:color w:val="000000"/>
          <w:sz w:val="24"/>
          <w:szCs w:val="24"/>
        </w:rPr>
        <w:instrText>↵</w:instrText>
      </w:r>
      <w:r w:rsidR="00173BF9" w:rsidRPr="00597FFB">
        <w:rPr>
          <w:rFonts w:ascii="Times New Roman" w:eastAsia="Times New Roman" w:hAnsi="Times New Roman" w:cs="Times New Roman"/>
          <w:bCs/>
          <w:color w:val="000000"/>
          <w:sz w:val="24"/>
          <w:szCs w:val="24"/>
        </w:rPr>
        <w:instrText>ect. Furthermore, waste, energy, and resource management has a positive e</w:instrText>
      </w:r>
      <w:r w:rsidR="00173BF9" w:rsidRPr="00597FFB">
        <w:rPr>
          <w:rFonts w:ascii="Cambria Math" w:eastAsia="Times New Roman" w:hAnsi="Cambria Math" w:cs="Cambria Math"/>
          <w:bCs/>
          <w:color w:val="000000"/>
          <w:sz w:val="24"/>
          <w:szCs w:val="24"/>
        </w:rPr>
        <w:instrText>↵</w:instrText>
      </w:r>
      <w:r w:rsidR="00173BF9" w:rsidRPr="00597FFB">
        <w:rPr>
          <w:rFonts w:ascii="Times New Roman" w:eastAsia="Times New Roman" w:hAnsi="Times New Roman" w:cs="Times New Roman"/>
          <w:bCs/>
          <w:color w:val="000000"/>
          <w:sz w:val="24"/>
          <w:szCs w:val="24"/>
        </w:rPr>
        <w:instrText xml:space="preserve">ect on the sustainable performance of large manufacturing ﬁrms. The ﬁndings of this study extend the knowledge of the drivers and outcomes of waste, energy, and resource management. The results can help policymakers to adjust policies and strategies in a way to inspire managers to implement waste, energy, and resource management.","container-title":"Sustainability","DOI":"10.3390/su11082443","ISSN":"2071-1050","issue":"8","journalAbbreviation":"Sustainability","language":"en","page":"2443","source":"DOI.org (Crossref)","title":"Impacts of Environmental Factors on Waste, Energy, and Resource Management and Sustainable Performance","volume":"11","author":[{"family":"Ali","given":"Mohd Helmi"},{"family":"Zailani","given":"Suhaiza"},{"family":"Iranmanesh","given":"Mohammad"},{"family":"Foroughi","given":"Behzad"}],"issued":{"date-parts":[["2019",4,25]]}}}],"schema":"https://github.com/citation-style-language/schema/raw/master/csl-citation.json"} </w:instrText>
      </w:r>
      <w:r w:rsidR="00AD6771" w:rsidRPr="00597FFB">
        <w:rPr>
          <w:rFonts w:ascii="Times New Roman" w:eastAsia="Times New Roman" w:hAnsi="Times New Roman" w:cs="Times New Roman"/>
          <w:bCs/>
          <w:color w:val="000000"/>
          <w:sz w:val="24"/>
          <w:szCs w:val="24"/>
        </w:rPr>
        <w:fldChar w:fldCharType="separate"/>
      </w:r>
      <w:r w:rsidR="00173BF9" w:rsidRPr="00597FFB">
        <w:rPr>
          <w:rFonts w:ascii="Times New Roman" w:hAnsi="Times New Roman" w:cs="Times New Roman"/>
          <w:sz w:val="24"/>
        </w:rPr>
        <w:t>(Ali et al., 2019b)</w:t>
      </w:r>
      <w:r w:rsidR="00AD6771" w:rsidRPr="00597FFB">
        <w:rPr>
          <w:rFonts w:ascii="Times New Roman" w:eastAsia="Times New Roman" w:hAnsi="Times New Roman" w:cs="Times New Roman"/>
          <w:bCs/>
          <w:color w:val="000000"/>
          <w:sz w:val="24"/>
          <w:szCs w:val="24"/>
        </w:rPr>
        <w:fldChar w:fldCharType="end"/>
      </w:r>
      <w:r w:rsidR="00CF101B"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bCs/>
          <w:color w:val="000000"/>
          <w:sz w:val="24"/>
          <w:szCs w:val="24"/>
        </w:rPr>
        <w:t>Europe 16.2 kg per capita, and the US 13.3kg per capita</w:t>
      </w:r>
      <w:r w:rsidR="00FE4904" w:rsidRPr="00597FFB">
        <w:rPr>
          <w:rFonts w:ascii="Times New Roman" w:eastAsia="Times New Roman" w:hAnsi="Times New Roman" w:cs="Times New Roman"/>
          <w:bCs/>
          <w:color w:val="000000"/>
          <w:sz w:val="24"/>
          <w:szCs w:val="24"/>
        </w:rPr>
        <w:t>.</w:t>
      </w:r>
      <w:r w:rsidR="009D4FB4" w:rsidRPr="00597FFB">
        <w:rPr>
          <w:rFonts w:ascii="Times New Roman" w:eastAsia="Times New Roman" w:hAnsi="Times New Roman" w:cs="Times New Roman"/>
          <w:bCs/>
          <w:color w:val="000000"/>
          <w:sz w:val="24"/>
          <w:szCs w:val="24"/>
        </w:rPr>
        <w:t xml:space="preserve"> In 2016, the total amount of E-waste </w:t>
      </w:r>
      <w:r w:rsidR="008862DD" w:rsidRPr="00597FFB">
        <w:rPr>
          <w:rFonts w:ascii="Times New Roman" w:eastAsia="Times New Roman" w:hAnsi="Times New Roman" w:cs="Times New Roman"/>
          <w:bCs/>
          <w:color w:val="000000"/>
          <w:sz w:val="24"/>
          <w:szCs w:val="24"/>
        </w:rPr>
        <w:t>produced</w:t>
      </w:r>
      <w:r w:rsidR="009D4FB4" w:rsidRPr="00597FFB">
        <w:rPr>
          <w:rFonts w:ascii="Times New Roman" w:eastAsia="Times New Roman" w:hAnsi="Times New Roman" w:cs="Times New Roman"/>
          <w:bCs/>
          <w:color w:val="000000"/>
          <w:sz w:val="24"/>
          <w:szCs w:val="24"/>
        </w:rPr>
        <w:t xml:space="preserve"> in Canada was </w:t>
      </w:r>
      <w:r w:rsidR="009D4FB4" w:rsidRPr="00597FFB">
        <w:rPr>
          <w:rFonts w:ascii="Times New Roman" w:eastAsia="Times New Roman" w:hAnsi="Times New Roman" w:cs="Times New Roman"/>
          <w:bCs/>
          <w:sz w:val="24"/>
          <w:szCs w:val="24"/>
        </w:rPr>
        <w:t>724 Kilo tones (kt)</w:t>
      </w:r>
      <w:r w:rsidR="009D4FB4" w:rsidRPr="00597FFB">
        <w:rPr>
          <w:rFonts w:ascii="Times New Roman" w:eastAsia="Times New Roman" w:hAnsi="Times New Roman" w:cs="Times New Roman"/>
          <w:bCs/>
          <w:color w:val="000000"/>
          <w:sz w:val="24"/>
          <w:szCs w:val="24"/>
        </w:rPr>
        <w:t xml:space="preserve"> </w:t>
      </w:r>
      <w:r w:rsidR="00CF101B" w:rsidRPr="00597FFB">
        <w:rPr>
          <w:rFonts w:ascii="Times New Roman" w:eastAsia="Times New Roman" w:hAnsi="Times New Roman" w:cs="Times New Roman"/>
          <w:bCs/>
          <w:color w:val="000000"/>
          <w:sz w:val="24"/>
          <w:szCs w:val="24"/>
        </w:rPr>
        <w:fldChar w:fldCharType="begin"/>
      </w:r>
      <w:r w:rsidR="001B3FEB" w:rsidRPr="00597FFB">
        <w:rPr>
          <w:rFonts w:ascii="Times New Roman" w:eastAsia="Times New Roman" w:hAnsi="Times New Roman" w:cs="Times New Roman"/>
          <w:bCs/>
          <w:color w:val="000000"/>
          <w:sz w:val="24"/>
          <w:szCs w:val="24"/>
        </w:rPr>
        <w:instrText xml:space="preserve"> ADDIN ZOTERO_ITEM CSL_CITATION {"citationID":"a1fm5ocshe2","properties":{"formattedCitation":"(Grimes &amp; Maguire, 2020)","plainCitation":"(Grimes &amp; Maguire, 2020)","noteIndex":0},"citationItems":[{"id":2900,"uris":["http://zotero.org/users/local/b6CRLSJH/items/TRR8L98C"],"itemData":{"id":2900,"type":"article-journal","abstract":"A major problem in developing environmental management systems for assessing recovery priorities for high added-value materials such as critical metals from wastes is that the input data required are contained in a variety of databases compiled for different purposes with different levels of content and accuracy. To deal with decision-making priorities for environmental issues where uncertainties and inconsistencies are inherent in input data sources a Multi-Criteria Decision Analysis (MCDA) approach using an Analytic Hierarchy Process (AHP) to determine weights and fuzzy numbers to account for input data uncertainties is developed and is illustrated for determination of critical metal recovery priorities from Waste Electrical and Electronic Equipment (WEEE) in Europe. A spreadsheet programme with many user-friendly input and output features is developed to aid datahandling and the calculations required in the MCDA approach. Where data uncertainties exist, weighted input parameters for the critical metals are determined by an absolute judgement panel of key stakeholders and include data on: recovery potential, geographical supply concentration and stability, end use substitution, future metal demand and economic importance in key industrial sectors. Sensitivity analyses can be carried out on results of recovery priority outputs by simple numerical variation of input parameters and/or by the use of specialist input decision panels representing stakeholder groups with differing priorities, and the results suggest that recovery priorities in the European situation should concentrate on gallium, indium and germanium. The spreadsheetMCDA program set up in developing the methodology for criticality has wide general application in environ­ mental decision-making analysis particularly where uncertainties exist in the input data required.","container-title":"Resources Policy","DOI":"10.1016/j.resourpol.2020.101658","ISSN":"03014207","journalAbbreviation":"Resources Policy","language":"en","page":"101658","source":"DOI.org (Crossref)","title":"Assessment of priorities in critical material recovery from Waste Electrical and Electronic Equipment","volume":"68","author":[{"family":"Grimes","given":"Sue M."},{"family":"Maguire","given":"David"}],"issued":{"date-parts":[["2020",10]]}}}],"schema":"https://github.com/citation-style-language/schema/raw/master/csl-citation.json"} </w:instrText>
      </w:r>
      <w:r w:rsidR="00CF101B" w:rsidRPr="00597FFB">
        <w:rPr>
          <w:rFonts w:ascii="Times New Roman" w:eastAsia="Times New Roman" w:hAnsi="Times New Roman" w:cs="Times New Roman"/>
          <w:bCs/>
          <w:color w:val="000000"/>
          <w:sz w:val="24"/>
          <w:szCs w:val="24"/>
        </w:rPr>
        <w:fldChar w:fldCharType="separate"/>
      </w:r>
      <w:r w:rsidR="001B3FEB" w:rsidRPr="00597FFB">
        <w:rPr>
          <w:rFonts w:ascii="Times New Roman" w:hAnsi="Times New Roman" w:cs="Times New Roman"/>
          <w:sz w:val="24"/>
          <w:szCs w:val="24"/>
        </w:rPr>
        <w:t>(</w:t>
      </w:r>
      <w:r w:rsidR="00750530" w:rsidRPr="00597FFB">
        <w:rPr>
          <w:rFonts w:ascii="Times New Roman" w:hAnsi="Times New Roman" w:cs="Times New Roman"/>
          <w:sz w:val="24"/>
          <w:szCs w:val="24"/>
          <w:lang w:val="en-GB"/>
        </w:rPr>
        <w:t>Amirmokhtar et al.</w:t>
      </w:r>
      <w:r w:rsidR="001B3FEB" w:rsidRPr="00597FFB">
        <w:rPr>
          <w:rFonts w:ascii="Times New Roman" w:hAnsi="Times New Roman" w:cs="Times New Roman"/>
          <w:sz w:val="24"/>
          <w:szCs w:val="24"/>
        </w:rPr>
        <w:t>, 2020)</w:t>
      </w:r>
      <w:r w:rsidR="00CF101B" w:rsidRPr="00597FFB">
        <w:rPr>
          <w:rFonts w:ascii="Times New Roman" w:eastAsia="Times New Roman" w:hAnsi="Times New Roman" w:cs="Times New Roman"/>
          <w:bCs/>
          <w:color w:val="000000"/>
          <w:sz w:val="24"/>
          <w:szCs w:val="24"/>
        </w:rPr>
        <w:fldChar w:fldCharType="end"/>
      </w:r>
      <w:r w:rsidR="00CF101B"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bCs/>
          <w:color w:val="000000"/>
          <w:sz w:val="24"/>
          <w:szCs w:val="24"/>
        </w:rPr>
        <w:t>Approximately 140 kt of E-waste is disposed of in</w:t>
      </w:r>
      <w:r w:rsidR="008862DD" w:rsidRPr="00597FFB">
        <w:rPr>
          <w:rFonts w:ascii="Times New Roman" w:eastAsia="Times New Roman" w:hAnsi="Times New Roman" w:cs="Times New Roman"/>
          <w:bCs/>
          <w:color w:val="000000"/>
          <w:sz w:val="24"/>
          <w:szCs w:val="24"/>
        </w:rPr>
        <w:t>to</w:t>
      </w:r>
      <w:r w:rsidR="009D4FB4" w:rsidRPr="00597FFB">
        <w:rPr>
          <w:rFonts w:ascii="Times New Roman" w:eastAsia="Times New Roman" w:hAnsi="Times New Roman" w:cs="Times New Roman"/>
          <w:bCs/>
          <w:color w:val="000000"/>
          <w:sz w:val="24"/>
          <w:szCs w:val="24"/>
        </w:rPr>
        <w:t xml:space="preserve"> Canadian landfills each year. Furthermore, the</w:t>
      </w:r>
      <w:r w:rsidR="008B3D63" w:rsidRPr="00597FFB">
        <w:rPr>
          <w:rFonts w:ascii="Times New Roman" w:eastAsia="Times New Roman" w:hAnsi="Times New Roman" w:cs="Times New Roman"/>
          <w:bCs/>
          <w:color w:val="000000"/>
          <w:sz w:val="24"/>
          <w:szCs w:val="24"/>
        </w:rPr>
        <w:t xml:space="preserve"> Global E-waste Monitor (2020) </w:t>
      </w:r>
      <w:r w:rsidR="009D4FB4" w:rsidRPr="00597FFB">
        <w:rPr>
          <w:rFonts w:ascii="Times New Roman" w:eastAsia="Times New Roman" w:hAnsi="Times New Roman" w:cs="Times New Roman"/>
          <w:bCs/>
          <w:color w:val="000000"/>
          <w:sz w:val="24"/>
          <w:szCs w:val="24"/>
        </w:rPr>
        <w:t xml:space="preserve">estimated high global </w:t>
      </w:r>
      <w:r w:rsidR="003E36C4" w:rsidRPr="00597FFB">
        <w:rPr>
          <w:rFonts w:ascii="Times New Roman" w:eastAsia="Times New Roman" w:hAnsi="Times New Roman" w:cs="Times New Roman"/>
          <w:bCs/>
          <w:color w:val="000000"/>
          <w:sz w:val="24"/>
          <w:szCs w:val="24"/>
        </w:rPr>
        <w:t>e</w:t>
      </w:r>
      <w:r w:rsidR="009D4FB4" w:rsidRPr="00597FFB">
        <w:rPr>
          <w:rFonts w:ascii="Times New Roman" w:eastAsia="Times New Roman" w:hAnsi="Times New Roman" w:cs="Times New Roman"/>
          <w:bCs/>
          <w:color w:val="000000"/>
          <w:sz w:val="24"/>
          <w:szCs w:val="24"/>
        </w:rPr>
        <w:t>-waste volumes in 201</w:t>
      </w:r>
      <w:r w:rsidR="002A2E11" w:rsidRPr="00597FFB">
        <w:rPr>
          <w:rFonts w:ascii="Times New Roman" w:eastAsia="Times New Roman" w:hAnsi="Times New Roman" w:cs="Times New Roman"/>
          <w:bCs/>
          <w:color w:val="000000"/>
          <w:sz w:val="24"/>
          <w:szCs w:val="24"/>
        </w:rPr>
        <w:t>9</w:t>
      </w:r>
      <w:r w:rsidR="009D4FB4" w:rsidRPr="00597FFB">
        <w:rPr>
          <w:rFonts w:ascii="Times New Roman" w:eastAsia="Times New Roman" w:hAnsi="Times New Roman" w:cs="Times New Roman"/>
          <w:bCs/>
          <w:color w:val="000000"/>
          <w:sz w:val="24"/>
          <w:szCs w:val="24"/>
        </w:rPr>
        <w:t>, which was at 93.5 Mt, compared with 41.5 Mt reported in 201</w:t>
      </w:r>
      <w:r w:rsidR="002A2E11" w:rsidRPr="00597FFB">
        <w:rPr>
          <w:rFonts w:ascii="Times New Roman" w:eastAsia="Times New Roman" w:hAnsi="Times New Roman" w:cs="Times New Roman"/>
          <w:bCs/>
          <w:color w:val="000000"/>
          <w:sz w:val="24"/>
          <w:szCs w:val="24"/>
        </w:rPr>
        <w:t>6</w:t>
      </w:r>
      <w:r w:rsidR="009D4FB4" w:rsidRPr="00597FFB">
        <w:rPr>
          <w:rFonts w:ascii="Times New Roman" w:eastAsia="Times New Roman" w:hAnsi="Times New Roman" w:cs="Times New Roman"/>
          <w:bCs/>
          <w:color w:val="000000"/>
          <w:sz w:val="24"/>
          <w:szCs w:val="24"/>
        </w:rPr>
        <w:t xml:space="preserve">, it is increasing at a compound </w:t>
      </w:r>
      <w:r w:rsidR="00DB207A" w:rsidRPr="00597FFB">
        <w:rPr>
          <w:rFonts w:ascii="Times New Roman" w:eastAsia="Times New Roman" w:hAnsi="Times New Roman" w:cs="Times New Roman"/>
          <w:bCs/>
          <w:color w:val="000000"/>
          <w:sz w:val="24"/>
          <w:szCs w:val="24"/>
        </w:rPr>
        <w:t>growth rate each year</w:t>
      </w:r>
      <w:r w:rsidR="009D4FB4" w:rsidRPr="00597FFB">
        <w:rPr>
          <w:rFonts w:ascii="Times New Roman" w:eastAsia="Times New Roman" w:hAnsi="Times New Roman" w:cs="Times New Roman"/>
          <w:bCs/>
          <w:color w:val="000000"/>
          <w:sz w:val="24"/>
          <w:szCs w:val="24"/>
        </w:rPr>
        <w:t xml:space="preserve"> (CAGR) of 17.6% </w:t>
      </w:r>
      <w:r w:rsidR="003E36C4" w:rsidRPr="00597FFB">
        <w:rPr>
          <w:rFonts w:ascii="Times New Roman" w:eastAsia="Times New Roman" w:hAnsi="Times New Roman" w:cs="Times New Roman"/>
          <w:bCs/>
          <w:sz w:val="24"/>
          <w:szCs w:val="24"/>
        </w:rPr>
        <w:fldChar w:fldCharType="begin"/>
      </w:r>
      <w:r w:rsidR="004D18C0" w:rsidRPr="00597FFB">
        <w:rPr>
          <w:rFonts w:ascii="Times New Roman" w:eastAsia="Times New Roman" w:hAnsi="Times New Roman" w:cs="Times New Roman"/>
          <w:bCs/>
          <w:sz w:val="24"/>
          <w:szCs w:val="24"/>
        </w:rPr>
        <w:instrText xml:space="preserve"> ADDIN ZOTERO_ITEM CSL_CITATION {"citationID":"a1vtjnsrkb0","properties":{"formattedCitation":"(Adanu et al., 2020a)","plainCitation":"(Adanu et al., 2020a)","noteIndex":0},"citationItems":[{"id":3726,"uris":["http://zotero.org/users/local/b6CRLSJH/items/F8K4ZZVG"],"itemData":{"id":3726,"type":"article-journal","abstract":"The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3E36C4" w:rsidRPr="00597FFB">
        <w:rPr>
          <w:rFonts w:ascii="Times New Roman" w:eastAsia="Times New Roman" w:hAnsi="Times New Roman" w:cs="Times New Roman"/>
          <w:bCs/>
          <w:sz w:val="24"/>
          <w:szCs w:val="24"/>
        </w:rPr>
        <w:fldChar w:fldCharType="separate"/>
      </w:r>
      <w:r w:rsidR="004D18C0" w:rsidRPr="00597FFB">
        <w:rPr>
          <w:rFonts w:ascii="Times New Roman" w:hAnsi="Times New Roman" w:cs="Times New Roman"/>
          <w:sz w:val="24"/>
        </w:rPr>
        <w:t>(Adanu et al., 2020a)</w:t>
      </w:r>
      <w:r w:rsidR="003E36C4" w:rsidRPr="00597FFB">
        <w:rPr>
          <w:rFonts w:ascii="Times New Roman" w:eastAsia="Times New Roman" w:hAnsi="Times New Roman" w:cs="Times New Roman"/>
          <w:bCs/>
          <w:sz w:val="24"/>
          <w:szCs w:val="24"/>
        </w:rPr>
        <w:fldChar w:fldCharType="end"/>
      </w:r>
      <w:r w:rsidR="00A97E3B" w:rsidRPr="00597FFB">
        <w:rPr>
          <w:rFonts w:ascii="Times New Roman" w:eastAsia="Times New Roman" w:hAnsi="Times New Roman" w:cs="Times New Roman"/>
          <w:bCs/>
          <w:sz w:val="24"/>
          <w:szCs w:val="24"/>
        </w:rPr>
        <w:t>.</w:t>
      </w:r>
    </w:p>
    <w:p w14:paraId="3B1D2474" w14:textId="069DA8B1" w:rsidR="009D4FB4" w:rsidRPr="00597FFB" w:rsidRDefault="009D4FB4" w:rsidP="00D80064">
      <w:pPr>
        <w:autoSpaceDE w:val="0"/>
        <w:autoSpaceDN w:val="0"/>
        <w:adjustRightInd w:val="0"/>
        <w:spacing w:before="26" w:after="26" w:line="480" w:lineRule="auto"/>
        <w:ind w:firstLine="720"/>
        <w:jc w:val="both"/>
        <w:rPr>
          <w:rFonts w:ascii="Times New Roman" w:eastAsia="Calibri" w:hAnsi="Times New Roman" w:cs="Times New Roman"/>
          <w:sz w:val="24"/>
          <w:szCs w:val="24"/>
        </w:rPr>
      </w:pPr>
      <w:r w:rsidRPr="00597FFB">
        <w:rPr>
          <w:rFonts w:ascii="Times New Roman" w:eastAsia="Times New Roman" w:hAnsi="Times New Roman" w:cs="Times New Roman"/>
          <w:bCs/>
          <w:color w:val="000000"/>
          <w:sz w:val="24"/>
          <w:szCs w:val="24"/>
        </w:rPr>
        <w:t xml:space="preserve">The United Nations </w:t>
      </w:r>
      <w:r w:rsidRPr="00597FFB">
        <w:rPr>
          <w:rFonts w:ascii="Times New Roman" w:eastAsia="Times New Roman" w:hAnsi="Times New Roman" w:cs="Times New Roman"/>
          <w:bCs/>
          <w:sz w:val="24"/>
          <w:szCs w:val="24"/>
        </w:rPr>
        <w:t xml:space="preserve">University's (UNU) 2017 report </w:t>
      </w:r>
      <w:r w:rsidRPr="00597FFB">
        <w:rPr>
          <w:rFonts w:ascii="Times New Roman" w:eastAsia="Times New Roman" w:hAnsi="Times New Roman" w:cs="Times New Roman"/>
          <w:bCs/>
          <w:color w:val="000000"/>
          <w:sz w:val="24"/>
          <w:szCs w:val="24"/>
        </w:rPr>
        <w:t xml:space="preserve"> presented the total E-waste generated in Africa (53 countries) and </w:t>
      </w:r>
      <w:r w:rsidRPr="00597FFB">
        <w:rPr>
          <w:rFonts w:ascii="Times New Roman" w:eastAsia="Times New Roman" w:hAnsi="Times New Roman" w:cs="Times New Roman"/>
          <w:bCs/>
          <w:sz w:val="24"/>
          <w:szCs w:val="24"/>
        </w:rPr>
        <w:t>Oceania (13 countries) in 2016, and the volumes were 2.2 and 0.7 Mt, respectively</w:t>
      </w:r>
      <w:r w:rsidR="009C0570" w:rsidRPr="00597FFB">
        <w:rPr>
          <w:rFonts w:ascii="Times New Roman" w:eastAsia="Times New Roman" w:hAnsi="Times New Roman" w:cs="Times New Roman"/>
          <w:bCs/>
          <w:sz w:val="24"/>
          <w:szCs w:val="24"/>
        </w:rPr>
        <w:t xml:space="preserve"> </w:t>
      </w:r>
      <w:r w:rsidR="009C0570" w:rsidRPr="00597FFB">
        <w:rPr>
          <w:rFonts w:ascii="Times New Roman" w:eastAsia="Times New Roman" w:hAnsi="Times New Roman" w:cs="Times New Roman"/>
          <w:bCs/>
          <w:sz w:val="24"/>
          <w:szCs w:val="24"/>
        </w:rPr>
        <w:fldChar w:fldCharType="begin"/>
      </w:r>
      <w:r w:rsidR="00D80064" w:rsidRPr="00597FFB">
        <w:rPr>
          <w:rFonts w:ascii="Times New Roman" w:eastAsia="Times New Roman" w:hAnsi="Times New Roman" w:cs="Times New Roman"/>
          <w:bCs/>
          <w:sz w:val="24"/>
          <w:szCs w:val="24"/>
        </w:rPr>
        <w:instrText xml:space="preserve"> ADDIN ZOTERO_ITEM CSL_CITATION {"citationID":"a1faagk0lv4","properties":{"formattedCitation":"(Alao et al., 2020a)","plainCitation":"(Alao et al., 2020a)","noteIndex":0},"citationItems":[{"id":2898,"uris":["http://zotero.org/users/local/b6CRLSJH/items/VZDVDK4L"],"itemData":{"id":2898,"type":"article-journal","abstract":"Selection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009C0570" w:rsidRPr="00597FFB">
        <w:rPr>
          <w:rFonts w:ascii="Times New Roman" w:eastAsia="Times New Roman" w:hAnsi="Times New Roman" w:cs="Times New Roman"/>
          <w:bCs/>
          <w:sz w:val="24"/>
          <w:szCs w:val="24"/>
        </w:rPr>
        <w:fldChar w:fldCharType="separate"/>
      </w:r>
      <w:r w:rsidR="00D80064" w:rsidRPr="00597FFB">
        <w:rPr>
          <w:rFonts w:ascii="Times New Roman" w:hAnsi="Times New Roman" w:cs="Times New Roman"/>
          <w:sz w:val="24"/>
        </w:rPr>
        <w:t>(Alao et al., 2020a)</w:t>
      </w:r>
      <w:r w:rsidR="009C0570" w:rsidRPr="00597FFB">
        <w:rPr>
          <w:rFonts w:ascii="Times New Roman" w:eastAsia="Times New Roman" w:hAnsi="Times New Roman" w:cs="Times New Roman"/>
          <w:bCs/>
          <w:sz w:val="24"/>
          <w:szCs w:val="24"/>
        </w:rPr>
        <w:fldChar w:fldCharType="end"/>
      </w:r>
      <w:r w:rsidRPr="00597FFB">
        <w:rPr>
          <w:rFonts w:ascii="Times New Roman" w:eastAsia="Times New Roman" w:hAnsi="Times New Roman" w:cs="Times New Roman"/>
          <w:bCs/>
          <w:sz w:val="24"/>
          <w:szCs w:val="24"/>
        </w:rPr>
        <w:t xml:space="preserve">. The per-capita generation in Africa was 1.9 kg, while the same in Oceania was 17.3 kg, which was the highest. Only 6% of the generation was reported to be collected and recycled in Oceania. In contrast, the same figure in Africa was 0.2%, which was the lowest in 2016 </w:t>
      </w:r>
      <w:r w:rsidR="006C3982" w:rsidRPr="00597FFB">
        <w:rPr>
          <w:rFonts w:ascii="Times New Roman" w:eastAsia="Times New Roman" w:hAnsi="Times New Roman" w:cs="Times New Roman"/>
          <w:bCs/>
          <w:sz w:val="24"/>
          <w:szCs w:val="24"/>
        </w:rPr>
        <w:fldChar w:fldCharType="begin"/>
      </w:r>
      <w:r w:rsidR="00D80064" w:rsidRPr="00597FFB">
        <w:rPr>
          <w:rFonts w:ascii="Times New Roman" w:eastAsia="Times New Roman" w:hAnsi="Times New Roman" w:cs="Times New Roman"/>
          <w:bCs/>
          <w:sz w:val="24"/>
          <w:szCs w:val="24"/>
        </w:rPr>
        <w:instrText xml:space="preserve"> ADDIN ZOTERO_ITEM CSL_CITATION {"citationID":"a1eo237mn34","properties":{"formattedCitation":"(Aidonis et al., 2019a)","plainCitation":"(Aidonis et al., 2019a)","noteIndex":0},"citationItems":[{"id":2624,"uris":["http://zotero.org/users/local/b6CRLSJH/items/JL4KQPN7"],"itemData":{"id":2624,"type":"article-journal","abstract":"Waste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D80064" w:rsidRPr="00597FFB">
        <w:rPr>
          <w:rFonts w:ascii="Cambria Math" w:eastAsia="Times New Roman" w:hAnsi="Cambria Math" w:cs="Cambria Math"/>
          <w:bCs/>
          <w:sz w:val="24"/>
          <w:szCs w:val="24"/>
        </w:rPr>
        <w:instrText>↵</w:instrText>
      </w:r>
      <w:r w:rsidR="00D80064" w:rsidRPr="00597FFB">
        <w:rPr>
          <w:rFonts w:ascii="Times New Roman" w:eastAsia="Times New Roman" w:hAnsi="Times New Roman" w:cs="Times New Roman"/>
          <w:bCs/>
          <w:sz w:val="24"/>
          <w:szCs w:val="24"/>
        </w:rPr>
        <w:instrText xml:space="preserve">ectiveness, is required for the integrated WEEE management at a national level.","container-title":"Sustainability","DOI":"10.3390/su11123364","ISSN":"2071-1050","issue":"12","journalAbbreviation":"Sustainability","language":"en","page":"3364","source":"DOI.org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6C3982" w:rsidRPr="00597FFB">
        <w:rPr>
          <w:rFonts w:ascii="Times New Roman" w:eastAsia="Times New Roman" w:hAnsi="Times New Roman" w:cs="Times New Roman"/>
          <w:bCs/>
          <w:sz w:val="24"/>
          <w:szCs w:val="24"/>
        </w:rPr>
        <w:fldChar w:fldCharType="separate"/>
      </w:r>
      <w:r w:rsidR="00D80064" w:rsidRPr="00597FFB">
        <w:rPr>
          <w:rFonts w:ascii="Times New Roman" w:hAnsi="Times New Roman" w:cs="Times New Roman"/>
          <w:sz w:val="24"/>
          <w:szCs w:val="24"/>
        </w:rPr>
        <w:t>(Aidonis et al., 2019a)</w:t>
      </w:r>
      <w:r w:rsidR="006C3982" w:rsidRPr="00597FFB">
        <w:rPr>
          <w:rFonts w:ascii="Times New Roman" w:eastAsia="Times New Roman" w:hAnsi="Times New Roman" w:cs="Times New Roman"/>
          <w:bCs/>
          <w:sz w:val="24"/>
          <w:szCs w:val="24"/>
        </w:rPr>
        <w:fldChar w:fldCharType="end"/>
      </w:r>
      <w:r w:rsidR="00D80064"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 xml:space="preserve">The </w:t>
      </w:r>
      <w:r w:rsidRPr="00597FFB">
        <w:rPr>
          <w:rFonts w:ascii="Times New Roman" w:eastAsia="Times New Roman" w:hAnsi="Times New Roman" w:cs="Times New Roman"/>
          <w:bCs/>
          <w:color w:val="000000"/>
          <w:sz w:val="24"/>
          <w:szCs w:val="24"/>
        </w:rPr>
        <w:t xml:space="preserve">data in </w:t>
      </w:r>
      <w:r w:rsidRPr="00597FFB">
        <w:rPr>
          <w:rFonts w:ascii="Times New Roman" w:eastAsia="Calibri" w:hAnsi="Times New Roman" w:cs="Times New Roman"/>
          <w:sz w:val="24"/>
          <w:szCs w:val="24"/>
        </w:rPr>
        <w:t>Table 4, which shows the E-waste generated at the global and country-level in 201</w:t>
      </w:r>
      <w:r w:rsidR="009C3A54" w:rsidRPr="00597FFB">
        <w:rPr>
          <w:rFonts w:ascii="Times New Roman" w:eastAsia="Calibri" w:hAnsi="Times New Roman" w:cs="Times New Roman"/>
          <w:sz w:val="24"/>
          <w:szCs w:val="24"/>
        </w:rPr>
        <w:t>6</w:t>
      </w:r>
      <w:r w:rsidRPr="00597FFB">
        <w:rPr>
          <w:rFonts w:ascii="Times New Roman" w:eastAsia="Calibri" w:hAnsi="Times New Roman" w:cs="Times New Roman"/>
          <w:sz w:val="24"/>
          <w:szCs w:val="24"/>
        </w:rPr>
        <w:t xml:space="preserve"> and 201</w:t>
      </w:r>
      <w:r w:rsidR="009C3A54" w:rsidRPr="00597FFB">
        <w:rPr>
          <w:rFonts w:ascii="Times New Roman" w:eastAsia="Calibri" w:hAnsi="Times New Roman" w:cs="Times New Roman"/>
          <w:sz w:val="24"/>
          <w:szCs w:val="24"/>
        </w:rPr>
        <w:t>9</w:t>
      </w:r>
      <w:r w:rsidRPr="00597FFB">
        <w:rPr>
          <w:rFonts w:ascii="Times New Roman" w:eastAsia="Calibri" w:hAnsi="Times New Roman" w:cs="Times New Roman"/>
          <w:sz w:val="24"/>
          <w:szCs w:val="24"/>
        </w:rPr>
        <w:t>, was extracted from the "StEP E-waste world map" (StEP, 2018) tabulated to illustrate the contribution of some countries</w:t>
      </w:r>
      <w:r w:rsidR="009C3A54" w:rsidRPr="00597FFB">
        <w:rPr>
          <w:rFonts w:ascii="Times New Roman" w:eastAsia="SimSun" w:hAnsi="Times New Roman" w:cs="Times New Roman"/>
          <w:kern w:val="24"/>
          <w:sz w:val="24"/>
          <w:szCs w:val="24"/>
          <w:lang w:val="en-GB" w:eastAsia="ja-JP"/>
        </w:rPr>
        <w:t xml:space="preserve"> (Arocha, 2021)</w:t>
      </w:r>
      <w:r w:rsidRPr="00597FFB">
        <w:rPr>
          <w:rFonts w:ascii="Times New Roman" w:eastAsia="Calibri" w:hAnsi="Times New Roman" w:cs="Times New Roman"/>
          <w:sz w:val="24"/>
          <w:szCs w:val="24"/>
        </w:rPr>
        <w:t>.</w:t>
      </w:r>
      <w:r w:rsidRPr="00597FFB">
        <w:rPr>
          <w:rFonts w:ascii="Times New Roman" w:eastAsia="Times New Roman" w:hAnsi="Times New Roman" w:cs="Times New Roman"/>
          <w:bCs/>
          <w:color w:val="000000"/>
          <w:sz w:val="24"/>
          <w:szCs w:val="24"/>
        </w:rPr>
        <w:t xml:space="preserve"> </w:t>
      </w:r>
      <w:r w:rsidR="009C3A54" w:rsidRPr="00597FFB">
        <w:rPr>
          <w:rFonts w:ascii="Times New Roman" w:eastAsia="SimSun" w:hAnsi="Times New Roman" w:cs="Times New Roman"/>
          <w:kern w:val="24"/>
          <w:sz w:val="24"/>
          <w:szCs w:val="24"/>
          <w:lang w:val="en-GB" w:eastAsia="ja-JP"/>
        </w:rPr>
        <w:t>Arocha</w:t>
      </w:r>
      <w:r w:rsidR="001357AA" w:rsidRPr="00597FFB">
        <w:rPr>
          <w:rFonts w:ascii="Times New Roman" w:eastAsia="Calibri" w:hAnsi="Times New Roman" w:cs="Times New Roman"/>
          <w:sz w:val="24"/>
          <w:szCs w:val="24"/>
        </w:rPr>
        <w:t>. (20</w:t>
      </w:r>
      <w:r w:rsidR="009C3A54" w:rsidRPr="00597FFB">
        <w:rPr>
          <w:rFonts w:ascii="Times New Roman" w:eastAsia="Calibri" w:hAnsi="Times New Roman" w:cs="Times New Roman"/>
          <w:sz w:val="24"/>
          <w:szCs w:val="24"/>
        </w:rPr>
        <w:t>21</w:t>
      </w:r>
      <w:r w:rsidR="001357AA" w:rsidRPr="00597FFB">
        <w:rPr>
          <w:rFonts w:ascii="Times New Roman" w:eastAsia="Calibri" w:hAnsi="Times New Roman" w:cs="Times New Roman"/>
          <w:sz w:val="24"/>
          <w:szCs w:val="24"/>
        </w:rPr>
        <w:t>)</w:t>
      </w:r>
      <w:r w:rsidR="001357AA"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 xml:space="preserve">examined </w:t>
      </w:r>
      <w:r w:rsidRPr="00597FFB">
        <w:rPr>
          <w:rFonts w:ascii="Times New Roman" w:eastAsia="Times New Roman" w:hAnsi="Times New Roman" w:cs="Times New Roman"/>
          <w:bCs/>
          <w:color w:val="000000"/>
          <w:sz w:val="24"/>
          <w:szCs w:val="24"/>
        </w:rPr>
        <w:t xml:space="preserve">the </w:t>
      </w:r>
      <w:r w:rsidR="00DB207A" w:rsidRPr="00597FFB">
        <w:rPr>
          <w:rFonts w:ascii="Times New Roman" w:eastAsia="Times New Roman" w:hAnsi="Times New Roman" w:cs="Times New Roman"/>
          <w:bCs/>
          <w:color w:val="000000"/>
          <w:sz w:val="24"/>
          <w:szCs w:val="24"/>
        </w:rPr>
        <w:t>relationship</w:t>
      </w:r>
      <w:r w:rsidRPr="00597FFB">
        <w:rPr>
          <w:rFonts w:ascii="Times New Roman" w:eastAsia="Times New Roman" w:hAnsi="Times New Roman" w:cs="Times New Roman"/>
          <w:bCs/>
          <w:color w:val="000000"/>
          <w:sz w:val="24"/>
          <w:szCs w:val="24"/>
        </w:rPr>
        <w:t xml:space="preserve"> between E-waste production and Gross Domestic Product (GDP) growth in several </w:t>
      </w:r>
      <w:r w:rsidR="00DB207A" w:rsidRPr="00597FFB">
        <w:rPr>
          <w:rFonts w:ascii="Times New Roman" w:eastAsia="Times New Roman" w:hAnsi="Times New Roman" w:cs="Times New Roman"/>
          <w:bCs/>
          <w:color w:val="000000"/>
          <w:sz w:val="24"/>
          <w:szCs w:val="24"/>
        </w:rPr>
        <w:t>nations</w:t>
      </w:r>
      <w:r w:rsidRPr="00597FFB">
        <w:rPr>
          <w:rFonts w:ascii="Times New Roman" w:eastAsia="Times New Roman" w:hAnsi="Times New Roman" w:cs="Times New Roman"/>
          <w:bCs/>
          <w:color w:val="000000"/>
          <w:sz w:val="24"/>
          <w:szCs w:val="24"/>
        </w:rPr>
        <w:t xml:space="preserve"> in the Pan-European region.</w:t>
      </w:r>
      <w:r w:rsidRPr="00597FFB">
        <w:rPr>
          <w:rFonts w:ascii="Times New Roman" w:eastAsia="Calibri" w:hAnsi="Times New Roman" w:cs="Times New Roman"/>
          <w:sz w:val="24"/>
          <w:szCs w:val="24"/>
        </w:rPr>
        <w:t xml:space="preserve"> StEP report (2018) suggests that each person in Europe generated 18.7 kg of E-waste in 2014, a threefold increase of the global average. The overall</w:t>
      </w:r>
      <w:r w:rsidRPr="00597FFB">
        <w:rPr>
          <w:rFonts w:ascii="Times New Roman" w:eastAsia="Times New Roman" w:hAnsi="Times New Roman" w:cs="Times New Roman"/>
          <w:bCs/>
          <w:color w:val="000000"/>
          <w:sz w:val="24"/>
          <w:szCs w:val="24"/>
        </w:rPr>
        <w:t xml:space="preserve"> </w:t>
      </w:r>
      <w:r w:rsidRPr="00597FFB">
        <w:rPr>
          <w:rFonts w:ascii="Times New Roman" w:eastAsia="Calibri" w:hAnsi="Times New Roman" w:cs="Times New Roman"/>
          <w:sz w:val="24"/>
          <w:szCs w:val="24"/>
        </w:rPr>
        <w:t xml:space="preserve">E-waste generated within the European Union in 2014 was about 9.5 </w:t>
      </w:r>
      <w:r w:rsidRPr="00597FFB">
        <w:rPr>
          <w:rFonts w:ascii="Times New Roman" w:eastAsia="Times New Roman" w:hAnsi="Times New Roman" w:cs="Times New Roman"/>
          <w:bCs/>
          <w:color w:val="000000"/>
          <w:sz w:val="24"/>
          <w:szCs w:val="24"/>
        </w:rPr>
        <w:t>Mt</w:t>
      </w:r>
      <w:r w:rsidRPr="00597FFB">
        <w:rPr>
          <w:rFonts w:ascii="Times New Roman" w:eastAsia="Calibri" w:hAnsi="Times New Roman" w:cs="Times New Roman"/>
          <w:sz w:val="24"/>
          <w:szCs w:val="24"/>
        </w:rPr>
        <w:t xml:space="preserve">, which was approximately 22.7% of the total e-waste generated globally in that year </w:t>
      </w:r>
      <w:r w:rsidR="00062F04" w:rsidRPr="00597FFB">
        <w:rPr>
          <w:rFonts w:ascii="Times New Roman" w:eastAsia="SimSun" w:hAnsi="Times New Roman" w:cs="Times New Roman"/>
          <w:kern w:val="24"/>
          <w:sz w:val="24"/>
          <w:szCs w:val="24"/>
          <w:lang w:val="en-GB" w:eastAsia="ja-JP"/>
        </w:rPr>
        <w:t>(Arocha, 2021)</w:t>
      </w:r>
      <w:r w:rsidR="00062F04" w:rsidRPr="00597FFB">
        <w:rPr>
          <w:rFonts w:ascii="Times New Roman" w:eastAsia="Calibri" w:hAnsi="Times New Roman" w:cs="Times New Roman"/>
          <w:sz w:val="24"/>
          <w:szCs w:val="24"/>
        </w:rPr>
        <w:t>.</w:t>
      </w:r>
    </w:p>
    <w:p w14:paraId="395CD944" w14:textId="467AB4F3" w:rsidR="009D4FB4" w:rsidRPr="00597FFB" w:rsidRDefault="009D4FB4" w:rsidP="00173BF9">
      <w:pPr>
        <w:autoSpaceDE w:val="0"/>
        <w:autoSpaceDN w:val="0"/>
        <w:adjustRightInd w:val="0"/>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Calibri" w:hAnsi="Times New Roman" w:cs="Times New Roman"/>
          <w:sz w:val="24"/>
          <w:szCs w:val="24"/>
        </w:rPr>
        <w:t xml:space="preserve">The </w:t>
      </w:r>
      <w:r w:rsidR="00DB207A" w:rsidRPr="00597FFB">
        <w:rPr>
          <w:rFonts w:ascii="Times New Roman" w:eastAsia="Calibri" w:hAnsi="Times New Roman" w:cs="Times New Roman"/>
          <w:sz w:val="24"/>
          <w:szCs w:val="24"/>
        </w:rPr>
        <w:t xml:space="preserve">2020 </w:t>
      </w:r>
      <w:r w:rsidRPr="00597FFB">
        <w:rPr>
          <w:rFonts w:ascii="Times New Roman" w:eastAsia="Calibri" w:hAnsi="Times New Roman" w:cs="Times New Roman"/>
          <w:sz w:val="24"/>
          <w:szCs w:val="24"/>
        </w:rPr>
        <w:t>global E-waste monitor report estimate</w:t>
      </w:r>
      <w:r w:rsidR="00DB207A" w:rsidRPr="00597FFB">
        <w:rPr>
          <w:rFonts w:ascii="Times New Roman" w:eastAsia="Calibri" w:hAnsi="Times New Roman" w:cs="Times New Roman"/>
          <w:sz w:val="24"/>
          <w:szCs w:val="24"/>
        </w:rPr>
        <w:t>s showed</w:t>
      </w:r>
      <w:r w:rsidRPr="00597FFB">
        <w:rPr>
          <w:rFonts w:ascii="Times New Roman" w:eastAsia="Calibri" w:hAnsi="Times New Roman" w:cs="Times New Roman"/>
          <w:sz w:val="24"/>
          <w:szCs w:val="24"/>
        </w:rPr>
        <w:t xml:space="preserve"> that 12.3 </w:t>
      </w:r>
      <w:r w:rsidRPr="00597FFB">
        <w:rPr>
          <w:rFonts w:ascii="Times New Roman" w:eastAsia="Times New Roman" w:hAnsi="Times New Roman" w:cs="Times New Roman"/>
          <w:bCs/>
          <w:color w:val="000000"/>
          <w:sz w:val="24"/>
          <w:szCs w:val="24"/>
        </w:rPr>
        <w:t>Mt</w:t>
      </w:r>
      <w:r w:rsidRPr="00597FFB">
        <w:rPr>
          <w:rFonts w:ascii="Times New Roman" w:eastAsia="Calibri" w:hAnsi="Times New Roman" w:cs="Times New Roman"/>
          <w:sz w:val="24"/>
          <w:szCs w:val="24"/>
        </w:rPr>
        <w:t xml:space="preserve"> of E-waste was generated in Europe (40 countries, including Russia) in 2016; it is equivalent to 16.6 kg for each person. More importantly, the documented, collected, and the recycled portion was 4.3 </w:t>
      </w:r>
      <w:r w:rsidRPr="00597FFB">
        <w:rPr>
          <w:rFonts w:ascii="Times New Roman" w:eastAsia="Times New Roman" w:hAnsi="Times New Roman" w:cs="Times New Roman"/>
          <w:bCs/>
          <w:color w:val="000000"/>
          <w:sz w:val="24"/>
          <w:szCs w:val="24"/>
        </w:rPr>
        <w:t>Mt</w:t>
      </w:r>
      <w:r w:rsidRPr="00597FFB">
        <w:rPr>
          <w:rFonts w:ascii="Times New Roman" w:eastAsia="Calibri" w:hAnsi="Times New Roman" w:cs="Times New Roman"/>
          <w:sz w:val="24"/>
          <w:szCs w:val="24"/>
        </w:rPr>
        <w:t xml:space="preserve"> or 35%, which was the highest in the world (Baldé et al., 20</w:t>
      </w:r>
      <w:r w:rsidR="00E55B59" w:rsidRPr="00597FFB">
        <w:rPr>
          <w:rFonts w:ascii="Times New Roman" w:eastAsia="Calibri" w:hAnsi="Times New Roman" w:cs="Times New Roman"/>
          <w:sz w:val="24"/>
          <w:szCs w:val="24"/>
        </w:rPr>
        <w:t>21</w:t>
      </w:r>
      <w:r w:rsidRPr="00597FFB">
        <w:rPr>
          <w:rFonts w:ascii="Times New Roman" w:eastAsia="Calibri" w:hAnsi="Times New Roman" w:cs="Times New Roman"/>
          <w:sz w:val="24"/>
          <w:szCs w:val="24"/>
        </w:rPr>
        <w:t xml:space="preserve">). The report presented the E-waste generated in the North, South, and Central America as 7, 3, and 1.3 </w:t>
      </w:r>
      <w:r w:rsidRPr="00597FFB">
        <w:rPr>
          <w:rFonts w:ascii="Times New Roman" w:eastAsia="Times New Roman" w:hAnsi="Times New Roman" w:cs="Times New Roman"/>
          <w:bCs/>
          <w:color w:val="000000"/>
          <w:sz w:val="24"/>
          <w:szCs w:val="24"/>
        </w:rPr>
        <w:t>Mt</w:t>
      </w:r>
      <w:r w:rsidRPr="00597FFB">
        <w:rPr>
          <w:rFonts w:ascii="Times New Roman" w:eastAsia="Calibri" w:hAnsi="Times New Roman" w:cs="Times New Roman"/>
          <w:sz w:val="24"/>
          <w:szCs w:val="24"/>
        </w:rPr>
        <w:t xml:space="preserve">, respectively. The total was 11.3 </w:t>
      </w:r>
      <w:r w:rsidRPr="00597FFB">
        <w:rPr>
          <w:rFonts w:ascii="Times New Roman" w:eastAsia="Times New Roman" w:hAnsi="Times New Roman" w:cs="Times New Roman"/>
          <w:bCs/>
          <w:color w:val="000000"/>
          <w:sz w:val="24"/>
          <w:szCs w:val="24"/>
        </w:rPr>
        <w:t>Mt</w:t>
      </w:r>
      <w:r w:rsidRPr="00597FFB">
        <w:rPr>
          <w:rFonts w:ascii="Times New Roman" w:eastAsia="Calibri" w:hAnsi="Times New Roman" w:cs="Times New Roman"/>
          <w:sz w:val="24"/>
          <w:szCs w:val="24"/>
        </w:rPr>
        <w:t xml:space="preserve"> in 2016 (35 countries); each person generated 11.6 kg of E-waste</w:t>
      </w:r>
      <w:r w:rsidR="00165752" w:rsidRPr="00597FFB">
        <w:rPr>
          <w:rFonts w:ascii="Times New Roman" w:eastAsia="Calibri" w:hAnsi="Times New Roman" w:cs="Times New Roman"/>
          <w:sz w:val="24"/>
          <w:szCs w:val="24"/>
        </w:rPr>
        <w:t xml:space="preserve"> </w:t>
      </w:r>
      <w:r w:rsidR="005D7763" w:rsidRPr="00597FFB">
        <w:rPr>
          <w:rFonts w:ascii="Times New Roman" w:eastAsia="Calibri" w:hAnsi="Times New Roman" w:cs="Times New Roman"/>
          <w:sz w:val="24"/>
          <w:szCs w:val="24"/>
        </w:rPr>
        <w:fldChar w:fldCharType="begin"/>
      </w:r>
      <w:r w:rsidR="00F1237B" w:rsidRPr="00597FFB">
        <w:rPr>
          <w:rFonts w:ascii="Times New Roman" w:eastAsia="Calibri" w:hAnsi="Times New Roman" w:cs="Times New Roman"/>
          <w:sz w:val="24"/>
          <w:szCs w:val="24"/>
        </w:rPr>
        <w:instrText xml:space="preserve"> ADDIN ZOTERO_ITEM CSL_CITATION {"citationID":"ad81g83nv2","properties":{"formattedCitation":"(Ayyildiz &amp; Taskin Gumus, 2020)","plainCitation":"(Ayyildiz &amp; Taskin Gumus, 2020)","noteIndex":0},"citationItems":[{"id":4324,"uris":["http://zotero.org/users/local/b6CRLSJH/items/BF46KCPF"],"itemData":{"id":4324,"type":"article-journal","container-title":"Environmental Science and Pollution Research","DOI":"10.1007/s11356-020-09640-0","ISSN":"0944-1344, 1614-7499","issue":"29","journalAbbreviation":"Environ Sci Pollut Res","language":"en","page":"36109-36120","source":"DOI.org (Crossref)","title":"A novel spherical fuzzy AHP-integrated spherical WASPAS methodology for petrol station location selection problem: a real case study for İstanbul","title-short":"A novel spherical fuzzy AHP-integrated spherical WASPAS methodology for petrol station location selection problem","volume":"27","author":[{"family":"Ayyildiz","given":"Ertugrul"},{"family":"Taskin Gumus","given":"Alev"}],"issued":{"date-parts":[["2020",10]]}}}],"schema":"https://github.com/citation-style-language/schema/raw/master/csl-citation.json"} </w:instrText>
      </w:r>
      <w:r w:rsidR="005D7763" w:rsidRPr="00597FFB">
        <w:rPr>
          <w:rFonts w:ascii="Times New Roman" w:eastAsia="Calibri" w:hAnsi="Times New Roman" w:cs="Times New Roman"/>
          <w:sz w:val="24"/>
          <w:szCs w:val="24"/>
        </w:rPr>
        <w:fldChar w:fldCharType="separate"/>
      </w:r>
      <w:r w:rsidR="00F1237B" w:rsidRPr="00597FFB">
        <w:rPr>
          <w:rFonts w:ascii="Times New Roman" w:hAnsi="Times New Roman" w:cs="Times New Roman"/>
          <w:sz w:val="24"/>
          <w:szCs w:val="24"/>
        </w:rPr>
        <w:t>(A</w:t>
      </w:r>
      <w:r w:rsidR="00165752" w:rsidRPr="00597FFB">
        <w:rPr>
          <w:rFonts w:ascii="Times New Roman" w:hAnsi="Times New Roman" w:cs="Times New Roman"/>
          <w:sz w:val="24"/>
          <w:szCs w:val="24"/>
        </w:rPr>
        <w:t>rya &amp; Kumar</w:t>
      </w:r>
      <w:r w:rsidR="00F1237B" w:rsidRPr="00597FFB">
        <w:rPr>
          <w:rFonts w:ascii="Times New Roman" w:hAnsi="Times New Roman" w:cs="Times New Roman"/>
          <w:sz w:val="24"/>
          <w:szCs w:val="24"/>
        </w:rPr>
        <w:t>, 2020)</w:t>
      </w:r>
      <w:r w:rsidR="005D7763" w:rsidRPr="00597FFB">
        <w:rPr>
          <w:rFonts w:ascii="Times New Roman" w:eastAsia="Calibri" w:hAnsi="Times New Roman" w:cs="Times New Roman"/>
          <w:sz w:val="24"/>
          <w:szCs w:val="24"/>
        </w:rPr>
        <w:fldChar w:fldCharType="end"/>
      </w:r>
      <w:r w:rsidR="009A753B" w:rsidRPr="00597FFB">
        <w:rPr>
          <w:rFonts w:ascii="Times New Roman" w:eastAsia="Calibri" w:hAnsi="Times New Roman" w:cs="Times New Roman"/>
          <w:sz w:val="24"/>
          <w:szCs w:val="24"/>
        </w:rPr>
        <w:t>.</w:t>
      </w:r>
      <w:r w:rsidRPr="00597FFB">
        <w:rPr>
          <w:rFonts w:ascii="Times New Roman" w:eastAsia="Times New Roman" w:hAnsi="Times New Roman" w:cs="Times New Roman"/>
          <w:bCs/>
          <w:sz w:val="24"/>
          <w:szCs w:val="24"/>
        </w:rPr>
        <w:t>Globally, statistical data show that E-waste crossed the 48.5 Mt in 2018; it is projected that it will double in the next five years (</w:t>
      </w:r>
      <w:r w:rsidRPr="00597FFB">
        <w:rPr>
          <w:rFonts w:ascii="Times New Roman" w:eastAsia="Calibri" w:hAnsi="Times New Roman" w:cs="Times New Roman"/>
          <w:sz w:val="24"/>
          <w:szCs w:val="24"/>
        </w:rPr>
        <w:t>StEP</w:t>
      </w:r>
      <w:r w:rsidRPr="00597FFB">
        <w:rPr>
          <w:rFonts w:ascii="Times New Roman" w:eastAsia="Times New Roman" w:hAnsi="Times New Roman" w:cs="Times New Roman"/>
          <w:bCs/>
          <w:sz w:val="24"/>
          <w:szCs w:val="24"/>
        </w:rPr>
        <w:t xml:space="preserve">, 2018). In 2019, the </w:t>
      </w:r>
      <w:r w:rsidR="00300177" w:rsidRPr="00597FFB">
        <w:rPr>
          <w:rFonts w:ascii="Times New Roman" w:eastAsia="Times New Roman" w:hAnsi="Times New Roman" w:cs="Times New Roman"/>
          <w:bCs/>
          <w:sz w:val="24"/>
          <w:szCs w:val="24"/>
        </w:rPr>
        <w:t>global</w:t>
      </w:r>
      <w:r w:rsidRPr="00597FFB">
        <w:rPr>
          <w:rFonts w:ascii="Times New Roman" w:eastAsia="Times New Roman" w:hAnsi="Times New Roman" w:cs="Times New Roman"/>
          <w:bCs/>
          <w:sz w:val="24"/>
          <w:szCs w:val="24"/>
        </w:rPr>
        <w:t xml:space="preserve"> </w:t>
      </w:r>
      <w:r w:rsidR="00300177" w:rsidRPr="00597FFB">
        <w:rPr>
          <w:rFonts w:ascii="Times New Roman" w:eastAsia="Times New Roman" w:hAnsi="Times New Roman" w:cs="Times New Roman"/>
          <w:bCs/>
          <w:sz w:val="24"/>
          <w:szCs w:val="24"/>
        </w:rPr>
        <w:t xml:space="preserve">E-waste generation was </w:t>
      </w:r>
      <w:r w:rsidRPr="00597FFB">
        <w:rPr>
          <w:rFonts w:ascii="Times New Roman" w:eastAsia="Times New Roman" w:hAnsi="Times New Roman" w:cs="Times New Roman"/>
          <w:bCs/>
          <w:sz w:val="24"/>
          <w:szCs w:val="24"/>
        </w:rPr>
        <w:t xml:space="preserve">53.6 Mt, 7.3 kg per capita </w:t>
      </w:r>
      <w:r w:rsidR="009A753B"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{"citationID":"aatefd3m6v","properties":{"formattedCitation":"(Barua, 2021a)","plainCitation":"(Barua, 2021a)","noteIndex":0},"citationItems":[{"id":1437,"uris":["http://zotero.org/users/local/b6CRLSJH/items/TZCHN5LB"],"itemData":{"id":1437,"type":"article-journal","abstract":"Purpose\n              Total quality management (TQM) and knowledge management (KM) are two similar and complementary management philosophies synergistic combinations that can form a cycle of improvement and development. This paper aims to investigate the impact of TQM factors on knowledge creation in the organizations of Bangladesh.\n            \n            \n              Design/methodology/approach\n              A list of TQM factors was identified through reviewing the relevant literature. Knowledge creation was analyzed through the framework proposed by Nonaka and Takeuchi (1995). Data were collected through a self-administered questionnaire survey among 450 top and mid-level managers of the organizations. A quantitative research approach, namely, structural equation modeling (SEM) was used in the study. The data were analyzed in SmartPLS 3.\n            \n            \n              Findings\n              From the study, it is found that a positive and significant relationship exists between leadership, employee empowerment, benchmarking, customer focus and information technology with the knowledge creation process and four knowledge conversion modes. In contrast, a negative and significant relationship has been found between employee training and continuous improvement with the knowledge creation process and three knowledge conversion modes.\n            \n            \n              Research limitations/implications\n              Previous researches in Bangladesh empirically validated the effect of TQM on organizational performance, competitive advantage, financial performance, market performance and productivity. But, no such study was undertaken to empirically validate the effect of TQM on knowledge creation process for organizations of Bangladesh. Here, the study has a unique contribution. The empirical support for the hypotheses to explain and predict the contribution of the TQM in promoting knowledge creation.\n            \n            \n              Practical implications\n              The findings highlight the role of leadership practices. Organizational leadership needs to focus more on following issues: gathering required knowledge from the superior sources; transforming prevailing knowledge into a meaningful format to perform activities in better and innovative ways; employing opinions from experiences; facilitating mechanism for employees to update their knowledge; creating a virtual network; implementing customer relationship management system and providing tools and technologies to employees for performing KM activities more efficiently. On the other hand, negative effect of employee training and continuous improvement on knowledge creation sheds light on understanding the reasons for this kind of relationship and formulating effective strategies to resolve problems inside the organizations. In this regard, employees need to be well equipped through regular and appropriate training. Also, employees need to use problem-solving approach to identify problems inside the organizational system thereby availing opportunities for continuous improvement.\n            \n            \n              Originality/value\n              This study was conducted to identify factors that enable knowledge creation in organizations from developing countries like Bangladesh. TQM has been adopted in many organizations. But, its effect was mostly measured to determine its impact on improving organizational performance or competitiveness or identifying its critical success factors of implementation. Hence, this study sheds light on identifying the effect of TQM from a new perspective.","container-title":"The TQM Journal","DOI":"10.1108/TQM-06-2020-0145","ISSN":"1754-2731","issue":"ahead-of-print","journalAbbreviation":"TQM","language":"en","source":"DOI.org (Crossref)","title":"Impact of total quality management factors on knowledge creation in the organizations of Bangladesh","URL":"https://www.emerald.com/insight/content/doi/10.1108/TQM-06-2020-0145/full/html","volume":"ahead-of-print","author":[{"family":"Barua","given":"Bikash"}],"accessed":{"date-parts":[["2021",5,21]]},"issued":{"date-parts":[["2021",1,13]]}}}],"schema":"https://github.com/citation-style-language/schema/raw/master/csl-citation.json"} </w:instrText>
      </w:r>
      <w:r w:rsidR="009A753B"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rPr>
        <w:t>(Barua, 2021a)</w:t>
      </w:r>
      <w:r w:rsidR="009A753B" w:rsidRPr="00597FFB">
        <w:rPr>
          <w:rFonts w:ascii="Times New Roman" w:eastAsia="Times New Roman" w:hAnsi="Times New Roman" w:cs="Times New Roman"/>
          <w:bCs/>
          <w:sz w:val="24"/>
          <w:szCs w:val="24"/>
        </w:rPr>
        <w:fldChar w:fldCharType="end"/>
      </w:r>
      <w:r w:rsidR="00F1237B" w:rsidRPr="00597FFB">
        <w:rPr>
          <w:rFonts w:ascii="Times New Roman" w:eastAsia="Times New Roman" w:hAnsi="Times New Roman" w:cs="Times New Roman"/>
          <w:bCs/>
          <w:sz w:val="24"/>
          <w:szCs w:val="24"/>
        </w:rPr>
        <w:t>.</w:t>
      </w:r>
    </w:p>
    <w:p w14:paraId="3A07C9BD" w14:textId="63C0CAC5"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i/>
          <w:iCs/>
        </w:rPr>
      </w:pPr>
      <w:r w:rsidRPr="00597FFB">
        <w:rPr>
          <w:rFonts w:ascii="Times New Roman" w:eastAsia="Calibri" w:hAnsi="Times New Roman" w:cs="Times New Roman"/>
          <w:b/>
          <w:bCs/>
        </w:rPr>
        <w:t>Table 4:</w:t>
      </w:r>
      <w:r w:rsidRPr="00597FFB">
        <w:rPr>
          <w:rFonts w:ascii="Times New Roman" w:eastAsia="Calibri" w:hAnsi="Times New Roman" w:cs="Times New Roman"/>
        </w:rPr>
        <w:t xml:space="preserve"> </w:t>
      </w:r>
      <w:bookmarkStart w:id="38" w:name="_Hlk57288549"/>
      <w:bookmarkStart w:id="39" w:name="_Hlk123389209"/>
      <w:r w:rsidRPr="00597FFB">
        <w:rPr>
          <w:rFonts w:ascii="Times New Roman" w:eastAsia="Calibri" w:hAnsi="Times New Roman" w:cs="Times New Roman"/>
          <w:i/>
          <w:iCs/>
        </w:rPr>
        <w:t xml:space="preserve">Global </w:t>
      </w:r>
      <w:r w:rsidR="00937660" w:rsidRPr="00597FFB">
        <w:rPr>
          <w:rFonts w:ascii="Times New Roman" w:eastAsia="Calibri" w:hAnsi="Times New Roman" w:cs="Times New Roman"/>
          <w:i/>
          <w:iCs/>
        </w:rPr>
        <w:t>a</w:t>
      </w:r>
      <w:r w:rsidR="00475F49" w:rsidRPr="00597FFB">
        <w:rPr>
          <w:rFonts w:ascii="Times New Roman" w:eastAsia="Calibri" w:hAnsi="Times New Roman" w:cs="Times New Roman"/>
          <w:i/>
          <w:iCs/>
        </w:rPr>
        <w:t xml:space="preserve">nd Selected Country </w:t>
      </w:r>
      <w:r w:rsidRPr="00597FFB">
        <w:rPr>
          <w:rFonts w:ascii="Times New Roman" w:eastAsia="Calibri" w:hAnsi="Times New Roman" w:cs="Times New Roman"/>
          <w:i/>
          <w:iCs/>
        </w:rPr>
        <w:t>E</w:t>
      </w:r>
      <w:r w:rsidR="00475F49" w:rsidRPr="00597FFB">
        <w:rPr>
          <w:rFonts w:ascii="Times New Roman" w:eastAsia="Calibri" w:hAnsi="Times New Roman" w:cs="Times New Roman"/>
          <w:i/>
          <w:iCs/>
        </w:rPr>
        <w:t xml:space="preserve">-Waste Production </w:t>
      </w:r>
      <w:r w:rsidR="00937660" w:rsidRPr="00597FFB">
        <w:rPr>
          <w:rFonts w:ascii="Times New Roman" w:eastAsia="Calibri" w:hAnsi="Times New Roman" w:cs="Times New Roman"/>
          <w:i/>
          <w:iCs/>
        </w:rPr>
        <w:t>i</w:t>
      </w:r>
      <w:r w:rsidR="00475F49" w:rsidRPr="00597FFB">
        <w:rPr>
          <w:rFonts w:ascii="Times New Roman" w:eastAsia="Calibri" w:hAnsi="Times New Roman" w:cs="Times New Roman"/>
          <w:i/>
          <w:iCs/>
        </w:rPr>
        <w:t>n 201</w:t>
      </w:r>
      <w:r w:rsidR="005D7763" w:rsidRPr="00597FFB">
        <w:rPr>
          <w:rFonts w:ascii="Times New Roman" w:eastAsia="Calibri" w:hAnsi="Times New Roman" w:cs="Times New Roman"/>
          <w:i/>
          <w:iCs/>
        </w:rPr>
        <w:t>6</w:t>
      </w:r>
      <w:r w:rsidR="00475F49" w:rsidRPr="00597FFB">
        <w:rPr>
          <w:rFonts w:ascii="Times New Roman" w:eastAsia="Calibri" w:hAnsi="Times New Roman" w:cs="Times New Roman"/>
          <w:i/>
          <w:iCs/>
        </w:rPr>
        <w:t xml:space="preserve"> </w:t>
      </w:r>
      <w:r w:rsidR="00937660" w:rsidRPr="00597FFB">
        <w:rPr>
          <w:rFonts w:ascii="Times New Roman" w:eastAsia="Calibri" w:hAnsi="Times New Roman" w:cs="Times New Roman"/>
          <w:i/>
          <w:iCs/>
        </w:rPr>
        <w:t>a</w:t>
      </w:r>
      <w:r w:rsidR="00475F49" w:rsidRPr="00597FFB">
        <w:rPr>
          <w:rFonts w:ascii="Times New Roman" w:eastAsia="Calibri" w:hAnsi="Times New Roman" w:cs="Times New Roman"/>
          <w:i/>
          <w:iCs/>
        </w:rPr>
        <w:t>nd 201</w:t>
      </w:r>
      <w:bookmarkEnd w:id="38"/>
      <w:r w:rsidR="005D7763" w:rsidRPr="00597FFB">
        <w:rPr>
          <w:rFonts w:ascii="Times New Roman" w:eastAsia="Calibri" w:hAnsi="Times New Roman" w:cs="Times New Roman"/>
          <w:i/>
          <w:iCs/>
        </w:rPr>
        <w:t>9</w:t>
      </w:r>
      <w:r w:rsidR="00475F49" w:rsidRPr="00597FFB">
        <w:rPr>
          <w:rFonts w:ascii="Times New Roman" w:eastAsia="Calibri" w:hAnsi="Times New Roman" w:cs="Times New Roman"/>
          <w:i/>
          <w:iCs/>
        </w:rPr>
        <w:t xml:space="preserve">. </w:t>
      </w:r>
      <w:bookmarkEnd w:id="39"/>
    </w:p>
    <w:tbl>
      <w:tblPr>
        <w:tblW w:w="0" w:type="auto"/>
        <w:tblLook w:val="04A0" w:firstRow="1" w:lastRow="0" w:firstColumn="1" w:lastColumn="0" w:noHBand="0" w:noVBand="1"/>
      </w:tblPr>
      <w:tblGrid>
        <w:gridCol w:w="2217"/>
        <w:gridCol w:w="1779"/>
        <w:gridCol w:w="2702"/>
      </w:tblGrid>
      <w:tr w:rsidR="009D4FB4" w:rsidRPr="00597FFB" w14:paraId="3AD95FE0" w14:textId="77777777" w:rsidTr="001E19F2">
        <w:tc>
          <w:tcPr>
            <w:tcW w:w="0" w:type="auto"/>
            <w:tcBorders>
              <w:top w:val="single" w:sz="4" w:space="0" w:color="auto"/>
              <w:bottom w:val="single" w:sz="4" w:space="0" w:color="auto"/>
            </w:tcBorders>
          </w:tcPr>
          <w:p w14:paraId="57D32EC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b/>
                <w:bCs/>
              </w:rPr>
            </w:pPr>
            <w:r w:rsidRPr="00597FFB">
              <w:rPr>
                <w:rFonts w:ascii="Times New Roman" w:eastAsia="Calibri" w:hAnsi="Times New Roman" w:cs="Times New Roman"/>
                <w:b/>
                <w:bCs/>
              </w:rPr>
              <w:t>Country/Region</w:t>
            </w:r>
          </w:p>
        </w:tc>
        <w:tc>
          <w:tcPr>
            <w:tcW w:w="0" w:type="auto"/>
            <w:tcBorders>
              <w:top w:val="single" w:sz="4" w:space="0" w:color="auto"/>
              <w:bottom w:val="single" w:sz="4" w:space="0" w:color="auto"/>
            </w:tcBorders>
          </w:tcPr>
          <w:p w14:paraId="5BB751D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b/>
                <w:bCs/>
              </w:rPr>
            </w:pPr>
            <w:r w:rsidRPr="00597FFB">
              <w:rPr>
                <w:rFonts w:ascii="Times New Roman" w:eastAsia="Calibri" w:hAnsi="Times New Roman" w:cs="Times New Roman"/>
                <w:b/>
                <w:bCs/>
              </w:rPr>
              <w:t>Per capita</w:t>
            </w:r>
          </w:p>
          <w:p w14:paraId="22CB0650"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b/>
                <w:bCs/>
              </w:rPr>
            </w:pPr>
            <w:r w:rsidRPr="00597FFB">
              <w:rPr>
                <w:rFonts w:ascii="Times New Roman" w:eastAsia="Calibri" w:hAnsi="Times New Roman" w:cs="Times New Roman"/>
                <w:b/>
                <w:bCs/>
              </w:rPr>
              <w:t>production (kg)</w:t>
            </w:r>
          </w:p>
        </w:tc>
        <w:tc>
          <w:tcPr>
            <w:tcW w:w="0" w:type="auto"/>
            <w:tcBorders>
              <w:top w:val="single" w:sz="4" w:space="0" w:color="auto"/>
              <w:bottom w:val="single" w:sz="4" w:space="0" w:color="auto"/>
            </w:tcBorders>
          </w:tcPr>
          <w:p w14:paraId="61BDEBCC"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b/>
                <w:bCs/>
              </w:rPr>
            </w:pPr>
            <w:r w:rsidRPr="00597FFB">
              <w:rPr>
                <w:rFonts w:ascii="Times New Roman" w:eastAsia="Calibri" w:hAnsi="Times New Roman" w:cs="Times New Roman"/>
                <w:b/>
                <w:bCs/>
              </w:rPr>
              <w:t>Total E-waste production</w:t>
            </w:r>
          </w:p>
          <w:p w14:paraId="4E0BEEEA"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b/>
                <w:bCs/>
              </w:rPr>
            </w:pPr>
            <w:r w:rsidRPr="00597FFB">
              <w:rPr>
                <w:rFonts w:ascii="Times New Roman" w:eastAsia="Calibri" w:hAnsi="Times New Roman" w:cs="Times New Roman"/>
                <w:b/>
                <w:bCs/>
              </w:rPr>
              <w:t>(million tonnes)</w:t>
            </w:r>
          </w:p>
        </w:tc>
      </w:tr>
      <w:tr w:rsidR="009D4FB4" w:rsidRPr="00597FFB" w14:paraId="2B38BF23" w14:textId="77777777" w:rsidTr="001E19F2">
        <w:tc>
          <w:tcPr>
            <w:tcW w:w="0" w:type="auto"/>
            <w:tcBorders>
              <w:top w:val="single" w:sz="4" w:space="0" w:color="auto"/>
            </w:tcBorders>
          </w:tcPr>
          <w:p w14:paraId="403FD82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World (2014 data) </w:t>
            </w:r>
          </w:p>
        </w:tc>
        <w:tc>
          <w:tcPr>
            <w:tcW w:w="0" w:type="auto"/>
            <w:tcBorders>
              <w:top w:val="single" w:sz="4" w:space="0" w:color="auto"/>
            </w:tcBorders>
          </w:tcPr>
          <w:p w14:paraId="6C556BAC"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5.9 </w:t>
            </w:r>
          </w:p>
        </w:tc>
        <w:tc>
          <w:tcPr>
            <w:tcW w:w="0" w:type="auto"/>
            <w:tcBorders>
              <w:top w:val="single" w:sz="4" w:space="0" w:color="auto"/>
            </w:tcBorders>
          </w:tcPr>
          <w:p w14:paraId="2410953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41.8</w:t>
            </w:r>
          </w:p>
        </w:tc>
      </w:tr>
      <w:tr w:rsidR="009D4FB4" w:rsidRPr="00597FFB" w14:paraId="16D1F0E6" w14:textId="77777777" w:rsidTr="001E19F2">
        <w:trPr>
          <w:trHeight w:val="242"/>
        </w:trPr>
        <w:tc>
          <w:tcPr>
            <w:tcW w:w="0" w:type="auto"/>
          </w:tcPr>
          <w:p w14:paraId="3B0973F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World (2016 data) </w:t>
            </w:r>
          </w:p>
        </w:tc>
        <w:tc>
          <w:tcPr>
            <w:tcW w:w="0" w:type="auto"/>
          </w:tcPr>
          <w:p w14:paraId="74B3755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6.1 </w:t>
            </w:r>
          </w:p>
        </w:tc>
        <w:tc>
          <w:tcPr>
            <w:tcW w:w="0" w:type="auto"/>
          </w:tcPr>
          <w:p w14:paraId="23A89E69"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44.7</w:t>
            </w:r>
          </w:p>
        </w:tc>
      </w:tr>
      <w:tr w:rsidR="009D4FB4" w:rsidRPr="00597FFB" w14:paraId="06A8E8D3" w14:textId="77777777" w:rsidTr="001E19F2">
        <w:tc>
          <w:tcPr>
            <w:tcW w:w="0" w:type="auto"/>
          </w:tcPr>
          <w:p w14:paraId="0F13575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World (2021 estimated) </w:t>
            </w:r>
          </w:p>
        </w:tc>
        <w:tc>
          <w:tcPr>
            <w:tcW w:w="0" w:type="auto"/>
          </w:tcPr>
          <w:p w14:paraId="740B39EA"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6.8 </w:t>
            </w:r>
          </w:p>
        </w:tc>
        <w:tc>
          <w:tcPr>
            <w:tcW w:w="0" w:type="auto"/>
          </w:tcPr>
          <w:p w14:paraId="6DB9A983"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52.2</w:t>
            </w:r>
          </w:p>
        </w:tc>
      </w:tr>
      <w:tr w:rsidR="009D4FB4" w:rsidRPr="00597FFB" w14:paraId="00EA5409" w14:textId="77777777" w:rsidTr="001E19F2">
        <w:tc>
          <w:tcPr>
            <w:tcW w:w="0" w:type="auto"/>
          </w:tcPr>
          <w:p w14:paraId="18F89F3A"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United Kingdom </w:t>
            </w:r>
          </w:p>
        </w:tc>
        <w:tc>
          <w:tcPr>
            <w:tcW w:w="0" w:type="auto"/>
          </w:tcPr>
          <w:p w14:paraId="15012CDE"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23.5 </w:t>
            </w:r>
          </w:p>
        </w:tc>
        <w:tc>
          <w:tcPr>
            <w:tcW w:w="0" w:type="auto"/>
          </w:tcPr>
          <w:p w14:paraId="69230E59"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1.50</w:t>
            </w:r>
          </w:p>
        </w:tc>
      </w:tr>
      <w:tr w:rsidR="009D4FB4" w:rsidRPr="00597FFB" w14:paraId="6946BC3F" w14:textId="77777777" w:rsidTr="001E19F2">
        <w:tc>
          <w:tcPr>
            <w:tcW w:w="0" w:type="auto"/>
          </w:tcPr>
          <w:p w14:paraId="38A69FB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USA </w:t>
            </w:r>
          </w:p>
        </w:tc>
        <w:tc>
          <w:tcPr>
            <w:tcW w:w="0" w:type="auto"/>
          </w:tcPr>
          <w:p w14:paraId="6B4AA73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22.1</w:t>
            </w:r>
          </w:p>
        </w:tc>
        <w:tc>
          <w:tcPr>
            <w:tcW w:w="0" w:type="auto"/>
          </w:tcPr>
          <w:p w14:paraId="29FCFB70"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7</w:t>
            </w:r>
          </w:p>
        </w:tc>
      </w:tr>
      <w:tr w:rsidR="009D4FB4" w:rsidRPr="00597FFB" w14:paraId="5363C21E" w14:textId="77777777" w:rsidTr="001E19F2">
        <w:tc>
          <w:tcPr>
            <w:tcW w:w="0" w:type="auto"/>
          </w:tcPr>
          <w:p w14:paraId="59B09E7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Germany </w:t>
            </w:r>
          </w:p>
        </w:tc>
        <w:tc>
          <w:tcPr>
            <w:tcW w:w="0" w:type="auto"/>
          </w:tcPr>
          <w:p w14:paraId="67BB41E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21.7 </w:t>
            </w:r>
          </w:p>
        </w:tc>
        <w:tc>
          <w:tcPr>
            <w:tcW w:w="0" w:type="auto"/>
          </w:tcPr>
          <w:p w14:paraId="15DCD1A7"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1.77</w:t>
            </w:r>
          </w:p>
        </w:tc>
      </w:tr>
      <w:tr w:rsidR="009D4FB4" w:rsidRPr="00597FFB" w14:paraId="0E3E83BF" w14:textId="77777777" w:rsidTr="001E19F2">
        <w:tc>
          <w:tcPr>
            <w:tcW w:w="0" w:type="auto"/>
          </w:tcPr>
          <w:p w14:paraId="351AD98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Hong Kong </w:t>
            </w:r>
          </w:p>
        </w:tc>
        <w:tc>
          <w:tcPr>
            <w:tcW w:w="0" w:type="auto"/>
          </w:tcPr>
          <w:p w14:paraId="62190290"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21.5</w:t>
            </w:r>
          </w:p>
        </w:tc>
        <w:tc>
          <w:tcPr>
            <w:tcW w:w="0" w:type="auto"/>
          </w:tcPr>
          <w:p w14:paraId="7484305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0.16</w:t>
            </w:r>
          </w:p>
        </w:tc>
      </w:tr>
      <w:tr w:rsidR="009D4FB4" w:rsidRPr="00597FFB" w14:paraId="518A921D" w14:textId="77777777" w:rsidTr="001E19F2">
        <w:tc>
          <w:tcPr>
            <w:tcW w:w="0" w:type="auto"/>
          </w:tcPr>
          <w:p w14:paraId="0F50F4A8"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Canada </w:t>
            </w:r>
          </w:p>
        </w:tc>
        <w:tc>
          <w:tcPr>
            <w:tcW w:w="0" w:type="auto"/>
          </w:tcPr>
          <w:p w14:paraId="2FC68256"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20.4</w:t>
            </w:r>
          </w:p>
        </w:tc>
        <w:tc>
          <w:tcPr>
            <w:tcW w:w="0" w:type="auto"/>
          </w:tcPr>
          <w:p w14:paraId="6D82E4A5"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0.72</w:t>
            </w:r>
          </w:p>
        </w:tc>
      </w:tr>
      <w:tr w:rsidR="009D4FB4" w:rsidRPr="00597FFB" w14:paraId="200FD477" w14:textId="77777777" w:rsidTr="001E19F2">
        <w:tc>
          <w:tcPr>
            <w:tcW w:w="0" w:type="auto"/>
          </w:tcPr>
          <w:p w14:paraId="4C144C42"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Australia </w:t>
            </w:r>
          </w:p>
        </w:tc>
        <w:tc>
          <w:tcPr>
            <w:tcW w:w="0" w:type="auto"/>
          </w:tcPr>
          <w:p w14:paraId="41BE652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20.1</w:t>
            </w:r>
          </w:p>
        </w:tc>
        <w:tc>
          <w:tcPr>
            <w:tcW w:w="0" w:type="auto"/>
          </w:tcPr>
          <w:p w14:paraId="403A8512"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0.46</w:t>
            </w:r>
          </w:p>
        </w:tc>
      </w:tr>
      <w:tr w:rsidR="009D4FB4" w:rsidRPr="00597FFB" w14:paraId="0F35F4FB" w14:textId="77777777" w:rsidTr="001E19F2">
        <w:tc>
          <w:tcPr>
            <w:tcW w:w="0" w:type="auto"/>
          </w:tcPr>
          <w:p w14:paraId="1A56934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Singapore </w:t>
            </w:r>
          </w:p>
        </w:tc>
        <w:tc>
          <w:tcPr>
            <w:tcW w:w="0" w:type="auto"/>
          </w:tcPr>
          <w:p w14:paraId="065DC20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19.6</w:t>
            </w:r>
          </w:p>
        </w:tc>
        <w:tc>
          <w:tcPr>
            <w:tcW w:w="0" w:type="auto"/>
          </w:tcPr>
          <w:p w14:paraId="55EA0E5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0.11</w:t>
            </w:r>
          </w:p>
        </w:tc>
      </w:tr>
      <w:tr w:rsidR="009D4FB4" w:rsidRPr="00597FFB" w14:paraId="5D59047C" w14:textId="77777777" w:rsidTr="001E19F2">
        <w:tc>
          <w:tcPr>
            <w:tcW w:w="0" w:type="auto"/>
          </w:tcPr>
          <w:p w14:paraId="240409F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European Union </w:t>
            </w:r>
          </w:p>
        </w:tc>
        <w:tc>
          <w:tcPr>
            <w:tcW w:w="0" w:type="auto"/>
          </w:tcPr>
          <w:p w14:paraId="49FE2456"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18.7</w:t>
            </w:r>
          </w:p>
        </w:tc>
        <w:tc>
          <w:tcPr>
            <w:tcW w:w="0" w:type="auto"/>
          </w:tcPr>
          <w:p w14:paraId="35C4E38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9.50</w:t>
            </w:r>
          </w:p>
        </w:tc>
      </w:tr>
      <w:tr w:rsidR="009D4FB4" w:rsidRPr="00597FFB" w14:paraId="31A73C6F" w14:textId="77777777" w:rsidTr="001E19F2">
        <w:tc>
          <w:tcPr>
            <w:tcW w:w="0" w:type="auto"/>
          </w:tcPr>
          <w:p w14:paraId="3B0DF877"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Taiwan </w:t>
            </w:r>
          </w:p>
        </w:tc>
        <w:tc>
          <w:tcPr>
            <w:tcW w:w="0" w:type="auto"/>
          </w:tcPr>
          <w:p w14:paraId="2201CAE5"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18.6</w:t>
            </w:r>
          </w:p>
        </w:tc>
        <w:tc>
          <w:tcPr>
            <w:tcW w:w="0" w:type="auto"/>
          </w:tcPr>
          <w:p w14:paraId="39D1689E"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0.44</w:t>
            </w:r>
          </w:p>
        </w:tc>
      </w:tr>
      <w:tr w:rsidR="009D4FB4" w:rsidRPr="00597FFB" w14:paraId="3940209F" w14:textId="77777777" w:rsidTr="001E19F2">
        <w:tc>
          <w:tcPr>
            <w:tcW w:w="0" w:type="auto"/>
          </w:tcPr>
          <w:p w14:paraId="77C6294A"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Japan </w:t>
            </w:r>
          </w:p>
        </w:tc>
        <w:tc>
          <w:tcPr>
            <w:tcW w:w="0" w:type="auto"/>
          </w:tcPr>
          <w:p w14:paraId="082AFA37"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17.3</w:t>
            </w:r>
          </w:p>
        </w:tc>
        <w:tc>
          <w:tcPr>
            <w:tcW w:w="0" w:type="auto"/>
          </w:tcPr>
          <w:p w14:paraId="73CDCD0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2.20</w:t>
            </w:r>
          </w:p>
        </w:tc>
      </w:tr>
      <w:tr w:rsidR="009D4FB4" w:rsidRPr="00597FFB" w14:paraId="76A9A87D" w14:textId="77777777" w:rsidTr="001E19F2">
        <w:tc>
          <w:tcPr>
            <w:tcW w:w="0" w:type="auto"/>
          </w:tcPr>
          <w:p w14:paraId="6C3056E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South Korea </w:t>
            </w:r>
          </w:p>
        </w:tc>
        <w:tc>
          <w:tcPr>
            <w:tcW w:w="0" w:type="auto"/>
          </w:tcPr>
          <w:p w14:paraId="15824E95"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15.9</w:t>
            </w:r>
          </w:p>
        </w:tc>
        <w:tc>
          <w:tcPr>
            <w:tcW w:w="0" w:type="auto"/>
          </w:tcPr>
          <w:p w14:paraId="430D776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0.80</w:t>
            </w:r>
          </w:p>
        </w:tc>
      </w:tr>
      <w:tr w:rsidR="009D4FB4" w:rsidRPr="00597FFB" w14:paraId="7383C334" w14:textId="77777777" w:rsidTr="001E19F2">
        <w:tc>
          <w:tcPr>
            <w:tcW w:w="0" w:type="auto"/>
          </w:tcPr>
          <w:p w14:paraId="65B1C4F6"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Malaysia</w:t>
            </w:r>
          </w:p>
        </w:tc>
        <w:tc>
          <w:tcPr>
            <w:tcW w:w="0" w:type="auto"/>
          </w:tcPr>
          <w:p w14:paraId="6FDDED7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7.6 </w:t>
            </w:r>
          </w:p>
        </w:tc>
        <w:tc>
          <w:tcPr>
            <w:tcW w:w="0" w:type="auto"/>
          </w:tcPr>
          <w:p w14:paraId="2FEB5E0C"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0.23</w:t>
            </w:r>
          </w:p>
        </w:tc>
      </w:tr>
      <w:tr w:rsidR="009D4FB4" w:rsidRPr="00597FFB" w14:paraId="1F1E68FD" w14:textId="77777777" w:rsidTr="001E19F2">
        <w:tc>
          <w:tcPr>
            <w:tcW w:w="0" w:type="auto"/>
          </w:tcPr>
          <w:p w14:paraId="20E4A1B8"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Brazil </w:t>
            </w:r>
          </w:p>
        </w:tc>
        <w:tc>
          <w:tcPr>
            <w:tcW w:w="0" w:type="auto"/>
          </w:tcPr>
          <w:p w14:paraId="7E1CE52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7.0 </w:t>
            </w:r>
          </w:p>
        </w:tc>
        <w:tc>
          <w:tcPr>
            <w:tcW w:w="0" w:type="auto"/>
          </w:tcPr>
          <w:p w14:paraId="35913802"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1.40</w:t>
            </w:r>
          </w:p>
        </w:tc>
      </w:tr>
      <w:tr w:rsidR="009D4FB4" w:rsidRPr="00597FFB" w14:paraId="0AD68FC1" w14:textId="77777777" w:rsidTr="001E19F2">
        <w:tc>
          <w:tcPr>
            <w:tcW w:w="0" w:type="auto"/>
          </w:tcPr>
          <w:p w14:paraId="6CAE7797"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Argentina </w:t>
            </w:r>
          </w:p>
        </w:tc>
        <w:tc>
          <w:tcPr>
            <w:tcW w:w="0" w:type="auto"/>
          </w:tcPr>
          <w:p w14:paraId="7C2ED935"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7.0 </w:t>
            </w:r>
          </w:p>
        </w:tc>
        <w:tc>
          <w:tcPr>
            <w:tcW w:w="0" w:type="auto"/>
          </w:tcPr>
          <w:p w14:paraId="2C4FC21D"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0.29</w:t>
            </w:r>
          </w:p>
        </w:tc>
      </w:tr>
      <w:tr w:rsidR="009D4FB4" w:rsidRPr="00597FFB" w14:paraId="30F04A1E" w14:textId="77777777" w:rsidTr="001E19F2">
        <w:tc>
          <w:tcPr>
            <w:tcW w:w="0" w:type="auto"/>
          </w:tcPr>
          <w:p w14:paraId="6455A1F3"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South Africa </w:t>
            </w:r>
          </w:p>
        </w:tc>
        <w:tc>
          <w:tcPr>
            <w:tcW w:w="0" w:type="auto"/>
          </w:tcPr>
          <w:p w14:paraId="4432C20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6.6 </w:t>
            </w:r>
          </w:p>
        </w:tc>
        <w:tc>
          <w:tcPr>
            <w:tcW w:w="0" w:type="auto"/>
          </w:tcPr>
          <w:p w14:paraId="6A49EC04"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0.35</w:t>
            </w:r>
          </w:p>
        </w:tc>
      </w:tr>
      <w:tr w:rsidR="009D4FB4" w:rsidRPr="00597FFB" w14:paraId="133F4608" w14:textId="77777777" w:rsidTr="001E19F2">
        <w:tc>
          <w:tcPr>
            <w:tcW w:w="0" w:type="auto"/>
          </w:tcPr>
          <w:p w14:paraId="0D58339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China </w:t>
            </w:r>
          </w:p>
        </w:tc>
        <w:tc>
          <w:tcPr>
            <w:tcW w:w="0" w:type="auto"/>
          </w:tcPr>
          <w:p w14:paraId="0BC1229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4.4 </w:t>
            </w:r>
          </w:p>
        </w:tc>
        <w:tc>
          <w:tcPr>
            <w:tcW w:w="0" w:type="auto"/>
          </w:tcPr>
          <w:p w14:paraId="0B59E8A9"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6.00</w:t>
            </w:r>
          </w:p>
        </w:tc>
      </w:tr>
      <w:tr w:rsidR="009D4FB4" w:rsidRPr="00597FFB" w14:paraId="74FF0615" w14:textId="77777777" w:rsidTr="001E19F2">
        <w:tc>
          <w:tcPr>
            <w:tcW w:w="0" w:type="auto"/>
          </w:tcPr>
          <w:p w14:paraId="7D6E61F1"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Sri Lanka </w:t>
            </w:r>
          </w:p>
        </w:tc>
        <w:tc>
          <w:tcPr>
            <w:tcW w:w="0" w:type="auto"/>
          </w:tcPr>
          <w:p w14:paraId="0EB04DDE"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4.2 </w:t>
            </w:r>
          </w:p>
        </w:tc>
        <w:tc>
          <w:tcPr>
            <w:tcW w:w="0" w:type="auto"/>
          </w:tcPr>
          <w:p w14:paraId="1CA8061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0.09</w:t>
            </w:r>
          </w:p>
        </w:tc>
      </w:tr>
      <w:tr w:rsidR="009D4FB4" w:rsidRPr="00597FFB" w14:paraId="5BCC2745" w14:textId="77777777" w:rsidTr="001E19F2">
        <w:tc>
          <w:tcPr>
            <w:tcW w:w="0" w:type="auto"/>
          </w:tcPr>
          <w:p w14:paraId="76995062"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India </w:t>
            </w:r>
          </w:p>
        </w:tc>
        <w:tc>
          <w:tcPr>
            <w:tcW w:w="0" w:type="auto"/>
          </w:tcPr>
          <w:p w14:paraId="72ADAA12"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1.3 </w:t>
            </w:r>
          </w:p>
        </w:tc>
        <w:tc>
          <w:tcPr>
            <w:tcW w:w="0" w:type="auto"/>
          </w:tcPr>
          <w:p w14:paraId="0B627917"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1.60</w:t>
            </w:r>
          </w:p>
        </w:tc>
      </w:tr>
      <w:tr w:rsidR="009D4FB4" w:rsidRPr="00597FFB" w14:paraId="3A2D90D9" w14:textId="77777777" w:rsidTr="001E19F2">
        <w:tc>
          <w:tcPr>
            <w:tcW w:w="0" w:type="auto"/>
          </w:tcPr>
          <w:p w14:paraId="420B5995"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Nigeria </w:t>
            </w:r>
          </w:p>
        </w:tc>
        <w:tc>
          <w:tcPr>
            <w:tcW w:w="0" w:type="auto"/>
          </w:tcPr>
          <w:p w14:paraId="487888F6"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1.3 </w:t>
            </w:r>
          </w:p>
        </w:tc>
        <w:tc>
          <w:tcPr>
            <w:tcW w:w="0" w:type="auto"/>
          </w:tcPr>
          <w:p w14:paraId="532B2B6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0.22</w:t>
            </w:r>
          </w:p>
        </w:tc>
      </w:tr>
      <w:tr w:rsidR="009D4FB4" w:rsidRPr="00597FFB" w14:paraId="4B556A5C" w14:textId="77777777" w:rsidTr="001E19F2">
        <w:tc>
          <w:tcPr>
            <w:tcW w:w="0" w:type="auto"/>
            <w:tcBorders>
              <w:bottom w:val="single" w:sz="4" w:space="0" w:color="auto"/>
            </w:tcBorders>
          </w:tcPr>
          <w:p w14:paraId="011A9AAB"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Zambia </w:t>
            </w:r>
          </w:p>
        </w:tc>
        <w:tc>
          <w:tcPr>
            <w:tcW w:w="0" w:type="auto"/>
            <w:tcBorders>
              <w:bottom w:val="single" w:sz="4" w:space="0" w:color="auto"/>
            </w:tcBorders>
          </w:tcPr>
          <w:p w14:paraId="74AC50AF"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0.9 </w:t>
            </w:r>
          </w:p>
        </w:tc>
        <w:tc>
          <w:tcPr>
            <w:tcW w:w="0" w:type="auto"/>
            <w:tcBorders>
              <w:bottom w:val="single" w:sz="4" w:space="0" w:color="auto"/>
            </w:tcBorders>
          </w:tcPr>
          <w:p w14:paraId="11A03D1E" w14:textId="77777777" w:rsidR="009D4FB4" w:rsidRPr="00597FFB" w:rsidRDefault="009D4FB4" w:rsidP="009D4FB4">
            <w:pPr>
              <w:autoSpaceDE w:val="0"/>
              <w:autoSpaceDN w:val="0"/>
              <w:adjustRightInd w:val="0"/>
              <w:spacing w:before="26" w:after="26" w:line="276" w:lineRule="auto"/>
              <w:ind w:left="90"/>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0.01</w:t>
            </w:r>
          </w:p>
        </w:tc>
      </w:tr>
    </w:tbl>
    <w:p w14:paraId="26DE29AF" w14:textId="0FAF41A6" w:rsidR="009D4FB4" w:rsidRPr="00597FFB" w:rsidRDefault="009D4FB4" w:rsidP="00EF48DE">
      <w:pPr>
        <w:autoSpaceDE w:val="0"/>
        <w:autoSpaceDN w:val="0"/>
        <w:adjustRightInd w:val="0"/>
        <w:spacing w:before="26" w:after="26" w:line="276" w:lineRule="auto"/>
        <w:ind w:left="90"/>
        <w:jc w:val="both"/>
        <w:rPr>
          <w:rFonts w:ascii="Times New Roman" w:eastAsia="Calibri" w:hAnsi="Times New Roman" w:cs="Times New Roman"/>
          <w:i/>
          <w:iCs/>
          <w:color w:val="000000"/>
          <w:sz w:val="20"/>
          <w:szCs w:val="20"/>
        </w:rPr>
      </w:pPr>
      <w:r w:rsidRPr="00597FFB">
        <w:rPr>
          <w:rFonts w:ascii="Times New Roman" w:eastAsia="Calibri" w:hAnsi="Times New Roman" w:cs="Times New Roman"/>
          <w:i/>
          <w:iCs/>
          <w:color w:val="000000"/>
          <w:sz w:val="20"/>
          <w:szCs w:val="20"/>
        </w:rPr>
        <w:t>Source: Adopted from the global E-waste monitor</w:t>
      </w:r>
      <w:r w:rsidR="00EF48DE" w:rsidRPr="00597FFB">
        <w:rPr>
          <w:rFonts w:ascii="Times New Roman" w:eastAsia="Calibri" w:hAnsi="Times New Roman" w:cs="Times New Roman"/>
          <w:i/>
          <w:iCs/>
          <w:color w:val="000000"/>
          <w:sz w:val="20"/>
          <w:szCs w:val="20"/>
        </w:rPr>
        <w:t>,</w:t>
      </w:r>
      <w:r w:rsidRPr="00597FFB">
        <w:rPr>
          <w:rFonts w:ascii="Times New Roman" w:eastAsia="Calibri" w:hAnsi="Times New Roman" w:cs="Times New Roman"/>
          <w:i/>
          <w:iCs/>
          <w:color w:val="000000"/>
          <w:sz w:val="20"/>
          <w:szCs w:val="20"/>
        </w:rPr>
        <w:t xml:space="preserve"> </w:t>
      </w:r>
      <w:r w:rsidR="00EF48DE" w:rsidRPr="00597FFB">
        <w:rPr>
          <w:rFonts w:ascii="Times New Roman" w:eastAsia="Calibri" w:hAnsi="Times New Roman" w:cs="Times New Roman"/>
          <w:i/>
          <w:iCs/>
          <w:color w:val="000000"/>
          <w:sz w:val="20"/>
          <w:szCs w:val="20"/>
        </w:rPr>
        <w:t>(</w:t>
      </w:r>
      <w:r w:rsidRPr="00597FFB">
        <w:rPr>
          <w:rFonts w:ascii="Times New Roman" w:eastAsia="Calibri" w:hAnsi="Times New Roman" w:cs="Times New Roman"/>
          <w:i/>
          <w:iCs/>
          <w:color w:val="000000"/>
          <w:sz w:val="20"/>
          <w:szCs w:val="20"/>
        </w:rPr>
        <w:t>20</w:t>
      </w:r>
      <w:r w:rsidR="00091F9D" w:rsidRPr="00597FFB">
        <w:rPr>
          <w:rFonts w:ascii="Times New Roman" w:eastAsia="Calibri" w:hAnsi="Times New Roman" w:cs="Times New Roman"/>
          <w:i/>
          <w:iCs/>
          <w:color w:val="000000"/>
          <w:sz w:val="20"/>
          <w:szCs w:val="20"/>
        </w:rPr>
        <w:t>20</w:t>
      </w:r>
      <w:r w:rsidR="00EF48DE" w:rsidRPr="00597FFB">
        <w:rPr>
          <w:rFonts w:ascii="Times New Roman" w:eastAsia="Calibri" w:hAnsi="Times New Roman" w:cs="Times New Roman"/>
          <w:i/>
          <w:iCs/>
          <w:color w:val="000000"/>
          <w:sz w:val="20"/>
          <w:szCs w:val="20"/>
        </w:rPr>
        <w:t>).</w:t>
      </w:r>
      <w:r w:rsidRPr="00597FFB">
        <w:rPr>
          <w:rFonts w:ascii="Times New Roman" w:eastAsia="Calibri" w:hAnsi="Times New Roman" w:cs="Times New Roman"/>
          <w:i/>
          <w:iCs/>
          <w:color w:val="000000"/>
          <w:sz w:val="20"/>
          <w:szCs w:val="20"/>
        </w:rPr>
        <w:t xml:space="preserve"> </w:t>
      </w:r>
    </w:p>
    <w:p w14:paraId="1A3447BD" w14:textId="77777777" w:rsidR="00A558FE" w:rsidRPr="00597FFB" w:rsidRDefault="00A558FE" w:rsidP="004E3FD6">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p>
    <w:p w14:paraId="61F9AD07" w14:textId="2D5CCF2B" w:rsidR="009D4FB4" w:rsidRPr="00597FFB" w:rsidRDefault="009D4FB4" w:rsidP="00A558FE">
      <w:pPr>
        <w:autoSpaceDE w:val="0"/>
        <w:autoSpaceDN w:val="0"/>
        <w:adjustRightInd w:val="0"/>
        <w:spacing w:before="26" w:after="26" w:line="480" w:lineRule="auto"/>
        <w:ind w:left="90"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China, the largest producer and consumer of EEE in the world, contribute to the rapid growth of E-waste, with a of 13% </w:t>
      </w:r>
      <w:r w:rsidR="00BC7AD6" w:rsidRPr="00597FFB">
        <w:rPr>
          <w:rFonts w:ascii="Times New Roman" w:eastAsia="Times New Roman" w:hAnsi="Times New Roman" w:cs="Times New Roman"/>
          <w:bCs/>
          <w:color w:val="000000"/>
          <w:sz w:val="24"/>
          <w:szCs w:val="24"/>
        </w:rPr>
        <w:t xml:space="preserve">annual growth rate </w:t>
      </w:r>
      <w:r w:rsidRPr="00597FFB">
        <w:rPr>
          <w:rFonts w:ascii="Times New Roman" w:eastAsia="Times New Roman" w:hAnsi="Times New Roman" w:cs="Times New Roman"/>
          <w:bCs/>
          <w:color w:val="000000"/>
          <w:sz w:val="24"/>
          <w:szCs w:val="24"/>
        </w:rPr>
        <w:t>to 15%, making it the fastest growing waste,</w:t>
      </w:r>
      <w:r w:rsidRPr="00597FFB">
        <w:rPr>
          <w:rFonts w:ascii="Times New Roman" w:eastAsia="Calibri" w:hAnsi="Times New Roman" w:cs="Times New Roman"/>
          <w:color w:val="000000"/>
          <w:sz w:val="24"/>
          <w:szCs w:val="24"/>
        </w:rPr>
        <w:t xml:space="preserve"> </w:t>
      </w:r>
      <w:r w:rsidRPr="00597FFB">
        <w:rPr>
          <w:rFonts w:ascii="Times New Roman" w:eastAsia="Times New Roman" w:hAnsi="Times New Roman" w:cs="Times New Roman"/>
          <w:bCs/>
          <w:color w:val="000000"/>
          <w:sz w:val="24"/>
          <w:szCs w:val="24"/>
        </w:rPr>
        <w:t xml:space="preserve">and it accounts </w:t>
      </w:r>
      <w:r w:rsidRPr="00597FFB">
        <w:rPr>
          <w:rFonts w:ascii="Times New Roman" w:eastAsia="Times New Roman" w:hAnsi="Times New Roman" w:cs="Times New Roman"/>
          <w:bCs/>
          <w:sz w:val="24"/>
          <w:szCs w:val="24"/>
        </w:rPr>
        <w:t xml:space="preserve">for approximately 20% of the global volume of E-waste </w:t>
      </w:r>
      <w:r w:rsidR="00F1237B" w:rsidRPr="00597FFB">
        <w:rPr>
          <w:rFonts w:ascii="Times New Roman" w:eastAsia="Times New Roman" w:hAnsi="Times New Roman" w:cs="Times New Roman"/>
          <w:bCs/>
          <w:sz w:val="24"/>
          <w:szCs w:val="24"/>
        </w:rPr>
        <w:fldChar w:fldCharType="begin"/>
      </w:r>
      <w:r w:rsidR="00A2720F" w:rsidRPr="00597FFB">
        <w:rPr>
          <w:rFonts w:ascii="Times New Roman" w:eastAsia="Times New Roman" w:hAnsi="Times New Roman" w:cs="Times New Roman"/>
          <w:bCs/>
          <w:sz w:val="24"/>
          <w:szCs w:val="24"/>
        </w:rPr>
        <w:instrText xml:space="preserve"> ADDIN ZOTERO_ITEM CSL_CITATION {"citationID":"ahi759ojae","properties":{"formattedCitation":"(M. Chen et al., 2018)","plainCitation":"(M. Chen et al., 2018)","noteIndex":0},"citationItems":[{"id":3940,"uris":["http://zotero.org/users/local/b6CRLSJH/items/PNDIBLSU"],"itemData":{"id":3940,"type":"article-journal","container-title":"Resources, Conservation and Recycling","DOI":"10.1016/j.resconrec.2018.08.006","ISSN":"09213449","journalAbbreviation":"Resources, Conservation and Recycling","language":"en","page":"48-49","source":"DOI.org (Crossref)","title":"China E-waste management: Struggling for future success","title-short":"China E-waste management","volume":"139","author":[{"family":"Chen","given":"Mengjun"},{"family":"Ogunseitan","given":"Oladele A."},{"family":"Duan","given":"Huabo"},{"family":"Zeng","given":"Xianlai"},{"family":"Li","given":"Jinhui"}],"issued":{"date-parts":[["2018",12]]}}}],"schema":"https://github.com/citation-style-language/schema/raw/master/csl-citation.json"} </w:instrText>
      </w:r>
      <w:r w:rsidR="00F1237B" w:rsidRPr="00597FFB">
        <w:rPr>
          <w:rFonts w:ascii="Times New Roman" w:eastAsia="Times New Roman" w:hAnsi="Times New Roman" w:cs="Times New Roman"/>
          <w:bCs/>
          <w:sz w:val="24"/>
          <w:szCs w:val="24"/>
        </w:rPr>
        <w:fldChar w:fldCharType="separate"/>
      </w:r>
      <w:r w:rsidR="00A2720F" w:rsidRPr="00597FFB">
        <w:rPr>
          <w:rFonts w:ascii="Times New Roman" w:hAnsi="Times New Roman" w:cs="Times New Roman"/>
          <w:sz w:val="24"/>
          <w:szCs w:val="24"/>
        </w:rPr>
        <w:t>(Chen et al., 2018)</w:t>
      </w:r>
      <w:r w:rsidR="00F1237B" w:rsidRPr="00597FFB">
        <w:rPr>
          <w:rFonts w:ascii="Times New Roman" w:eastAsia="Times New Roman" w:hAnsi="Times New Roman" w:cs="Times New Roman"/>
          <w:bCs/>
          <w:sz w:val="24"/>
          <w:szCs w:val="24"/>
        </w:rPr>
        <w:fldChar w:fldCharType="end"/>
      </w:r>
      <w:r w:rsidR="00407523" w:rsidRPr="00597FFB">
        <w:rPr>
          <w:rFonts w:ascii="Times New Roman" w:eastAsia="Times New Roman" w:hAnsi="Times New Roman" w:cs="Times New Roman"/>
          <w:bCs/>
          <w:sz w:val="24"/>
          <w:szCs w:val="24"/>
        </w:rPr>
        <w:t xml:space="preserve">. </w:t>
      </w:r>
      <w:r w:rsidRPr="00597FFB">
        <w:rPr>
          <w:rFonts w:ascii="Times New Roman" w:eastAsia="Calibri" w:hAnsi="Times New Roman" w:cs="Times New Roman"/>
          <w:sz w:val="24"/>
          <w:szCs w:val="24"/>
        </w:rPr>
        <w:t>In contrast, the StEP report indicates that the per capita E-waste generated in China in 201</w:t>
      </w:r>
      <w:r w:rsidR="005A5FB7" w:rsidRPr="00597FFB">
        <w:rPr>
          <w:rFonts w:ascii="Times New Roman" w:eastAsia="Calibri" w:hAnsi="Times New Roman" w:cs="Times New Roman"/>
          <w:sz w:val="24"/>
          <w:szCs w:val="24"/>
        </w:rPr>
        <w:t>6</w:t>
      </w:r>
      <w:r w:rsidRPr="00597FFB">
        <w:rPr>
          <w:rFonts w:ascii="Times New Roman" w:eastAsia="Calibri" w:hAnsi="Times New Roman" w:cs="Times New Roman"/>
          <w:sz w:val="24"/>
          <w:szCs w:val="24"/>
        </w:rPr>
        <w:t xml:space="preserve"> was 4.4 kg, about 6 Mt </w:t>
      </w:r>
      <w:r w:rsidR="00407523" w:rsidRPr="00597FFB">
        <w:rPr>
          <w:rFonts w:ascii="Times New Roman" w:eastAsia="Calibri" w:hAnsi="Times New Roman" w:cs="Times New Roman"/>
          <w:sz w:val="24"/>
          <w:szCs w:val="24"/>
        </w:rPr>
        <w:fldChar w:fldCharType="begin"/>
      </w:r>
      <w:r w:rsidR="00A2720F" w:rsidRPr="00597FFB">
        <w:rPr>
          <w:rFonts w:ascii="Times New Roman" w:eastAsia="Calibri" w:hAnsi="Times New Roman" w:cs="Times New Roman"/>
          <w:sz w:val="24"/>
          <w:szCs w:val="24"/>
        </w:rPr>
        <w:instrText xml:space="preserve"> ADDIN ZOTERO_ITEM CSL_CITATION {"citationID":"a227vqiudjg","properties":{"formattedCitation":"(Y. Li et al., 2018)","plainCitation":"(Y. Li et al., 2018)","noteIndex":0},"citationItems":[{"id":3067,"uris":["http://zotero.org/users/local/b6CRLSJH/items/548BIA6R"],"itemData":{"id":3067,"type":"article-journal","container-title":"Journal of Cleaner Production","DOI":"10.1016/j.jclepro.2017.12.273","ISSN":"09596526","journalAbbreviation":"Journal of Cleaner Production","language":"en","page":"580-586","source":"DOI.org (Crossref)","title":"Urbanization for rural sustainability – Rethinking China's urbanization strategy","volume":"178","author":[{"family":"Li","given":"Yuheng"},{"family":"Jia","given":"Linrui"},{"family":"Wu","given":"Wenhao"},{"family":"Yan","given":"Jiayu"},{"family":"Liu","given":"Yansui"}],"issued":{"date-parts":[["2018",3]]}}}],"schema":"https://github.com/citation-style-language/schema/raw/master/csl-citation.json"} </w:instrText>
      </w:r>
      <w:r w:rsidR="00407523" w:rsidRPr="00597FFB">
        <w:rPr>
          <w:rFonts w:ascii="Times New Roman" w:eastAsia="Calibri" w:hAnsi="Times New Roman" w:cs="Times New Roman"/>
          <w:sz w:val="24"/>
          <w:szCs w:val="24"/>
        </w:rPr>
        <w:fldChar w:fldCharType="separate"/>
      </w:r>
      <w:r w:rsidR="00A2720F" w:rsidRPr="00597FFB">
        <w:rPr>
          <w:rFonts w:ascii="Times New Roman" w:hAnsi="Times New Roman" w:cs="Times New Roman"/>
          <w:sz w:val="24"/>
          <w:szCs w:val="24"/>
        </w:rPr>
        <w:t>(Li et al., 2018)</w:t>
      </w:r>
      <w:r w:rsidR="00407523"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w:t>
      </w:r>
      <w:r w:rsidR="005A5FB7" w:rsidRPr="00597FFB">
        <w:rPr>
          <w:rFonts w:ascii="Times New Roman" w:eastAsia="Calibri" w:hAnsi="Times New Roman" w:cs="Times New Roman"/>
          <w:sz w:val="24"/>
          <w:szCs w:val="24"/>
        </w:rPr>
        <w:t xml:space="preserve">Li et al. (2018) </w:t>
      </w:r>
      <w:r w:rsidRPr="00597FFB">
        <w:rPr>
          <w:rFonts w:ascii="Times New Roman" w:eastAsia="Calibri" w:hAnsi="Times New Roman" w:cs="Times New Roman"/>
          <w:sz w:val="24"/>
          <w:szCs w:val="24"/>
        </w:rPr>
        <w:t>examined the correlation between China's E-waste generation and the per capita growth of gross national product (GDP) and urbanization rate. They found that the per capita E-waste generation rate is higher than the per capita GDP growth rate and more than double the urbanization rate</w:t>
      </w:r>
      <w:r w:rsidR="005A5FB7" w:rsidRPr="00597FFB">
        <w:rPr>
          <w:rFonts w:ascii="Times New Roman" w:eastAsia="SimSun" w:hAnsi="Times New Roman" w:cs="Times New Roman"/>
          <w:kern w:val="24"/>
          <w:sz w:val="24"/>
          <w:szCs w:val="24"/>
          <w:lang w:val="en-GB" w:eastAsia="ja-JP"/>
        </w:rPr>
        <w:t xml:space="preserve"> (Arli et al.,2020)</w:t>
      </w:r>
      <w:r w:rsidRPr="00597FFB">
        <w:rPr>
          <w:rFonts w:ascii="Times New Roman" w:eastAsia="Calibri" w:hAnsi="Times New Roman" w:cs="Times New Roman"/>
          <w:sz w:val="24"/>
          <w:szCs w:val="24"/>
        </w:rPr>
        <w:t>.</w:t>
      </w:r>
      <w:r w:rsidRPr="00597FFB">
        <w:rPr>
          <w:rFonts w:ascii="Times New Roman" w:eastAsia="Times New Roman" w:hAnsi="Times New Roman" w:cs="Times New Roman"/>
          <w:bCs/>
          <w:color w:val="000000"/>
          <w:sz w:val="24"/>
          <w:szCs w:val="24"/>
        </w:rPr>
        <w:t xml:space="preserve"> China produced 15.5 Mt in 2020, and it is </w:t>
      </w:r>
      <w:r w:rsidR="00BC7AD6" w:rsidRPr="00597FFB">
        <w:rPr>
          <w:rFonts w:ascii="Times New Roman" w:eastAsia="Times New Roman" w:hAnsi="Times New Roman" w:cs="Times New Roman"/>
          <w:bCs/>
          <w:color w:val="000000"/>
          <w:sz w:val="24"/>
          <w:szCs w:val="24"/>
        </w:rPr>
        <w:t>projected</w:t>
      </w:r>
      <w:r w:rsidRPr="00597FFB">
        <w:rPr>
          <w:rFonts w:ascii="Times New Roman" w:eastAsia="Times New Roman" w:hAnsi="Times New Roman" w:cs="Times New Roman"/>
          <w:bCs/>
          <w:color w:val="000000"/>
          <w:sz w:val="24"/>
          <w:szCs w:val="24"/>
        </w:rPr>
        <w:t xml:space="preserve"> to </w:t>
      </w:r>
      <w:r w:rsidR="00BC7AD6" w:rsidRPr="00597FFB">
        <w:rPr>
          <w:rFonts w:ascii="Times New Roman" w:eastAsia="Times New Roman" w:hAnsi="Times New Roman" w:cs="Times New Roman"/>
          <w:bCs/>
          <w:color w:val="000000"/>
          <w:sz w:val="24"/>
          <w:szCs w:val="24"/>
        </w:rPr>
        <w:t>reach</w:t>
      </w:r>
      <w:r w:rsidRPr="00597FFB">
        <w:rPr>
          <w:rFonts w:ascii="Times New Roman" w:eastAsia="Times New Roman" w:hAnsi="Times New Roman" w:cs="Times New Roman"/>
          <w:bCs/>
          <w:color w:val="000000"/>
          <w:sz w:val="24"/>
          <w:szCs w:val="24"/>
        </w:rPr>
        <w:t xml:space="preserve"> 28.4 Mt by 2030. It is predicted that in 2025, the total volume of obsolete cellular phones in China will be more than 0.14Mt </w:t>
      </w:r>
      <w:r w:rsidR="006D4385" w:rsidRPr="00597FFB">
        <w:rPr>
          <w:rFonts w:ascii="Times New Roman" w:eastAsia="Times New Roman" w:hAnsi="Times New Roman" w:cs="Times New Roman"/>
          <w:bCs/>
          <w:color w:val="000000"/>
          <w:sz w:val="24"/>
          <w:szCs w:val="24"/>
        </w:rPr>
        <w:fldChar w:fldCharType="begin"/>
      </w:r>
      <w:r w:rsidR="00A2720F" w:rsidRPr="00597FFB">
        <w:rPr>
          <w:rFonts w:ascii="Times New Roman" w:eastAsia="Times New Roman" w:hAnsi="Times New Roman" w:cs="Times New Roman"/>
          <w:bCs/>
          <w:color w:val="000000"/>
          <w:sz w:val="24"/>
          <w:szCs w:val="24"/>
        </w:rPr>
        <w:instrText xml:space="preserve"> ADDIN ZOTERO_ITEM CSL_CITATION {"citationID":"a2bofror2ui","properties":{"formattedCitation":"(D. Zhang et al., 2019)","plainCitation":"(D. Zhang et al., 2019)","noteIndex":0},"citationItems":[{"id":3117,"uris":["http://zotero.org/users/local/b6CRLSJH/items/SLUXX85U"],"itemData":{"id":3117,"type":"article-journal","container-title":"Resources, Conservation and Recycling","DOI":"10.1016/j.resconrec.2019.01.023","ISSN":"09213449","journalAbbreviation":"Resources, Conservation and Recycling","language":"en","page":"48-55","source":"DOI.org (Crossref)","title":"Green innovation and firm performance: Evidence from listed companies in China","title-short":"Green innovation and firm performance","volume":"144","author":[{"family":"Zhang","given":"Dayong"},{"family":"Rong","given":"Zhao"},{"family":"Ji","given":"Qiang"}],"issued":{"date-parts":[["2019",5]]}}}],"schema":"https://github.com/citation-style-language/schema/raw/master/csl-citation.json"} </w:instrText>
      </w:r>
      <w:r w:rsidR="006D4385" w:rsidRPr="00597FFB">
        <w:rPr>
          <w:rFonts w:ascii="Times New Roman" w:eastAsia="Times New Roman" w:hAnsi="Times New Roman" w:cs="Times New Roman"/>
          <w:bCs/>
          <w:color w:val="000000"/>
          <w:sz w:val="24"/>
          <w:szCs w:val="24"/>
        </w:rPr>
        <w:fldChar w:fldCharType="separate"/>
      </w:r>
      <w:r w:rsidR="00A2720F" w:rsidRPr="00597FFB">
        <w:rPr>
          <w:rFonts w:ascii="Times New Roman" w:hAnsi="Times New Roman" w:cs="Times New Roman"/>
          <w:sz w:val="24"/>
          <w:szCs w:val="24"/>
        </w:rPr>
        <w:t>(Zhang et al., 20</w:t>
      </w:r>
      <w:r w:rsidR="008B37D0" w:rsidRPr="00597FFB">
        <w:rPr>
          <w:rFonts w:ascii="Times New Roman" w:hAnsi="Times New Roman" w:cs="Times New Roman"/>
          <w:sz w:val="24"/>
          <w:szCs w:val="24"/>
        </w:rPr>
        <w:t>20</w:t>
      </w:r>
      <w:r w:rsidR="00A2720F" w:rsidRPr="00597FFB">
        <w:rPr>
          <w:rFonts w:ascii="Times New Roman" w:hAnsi="Times New Roman" w:cs="Times New Roman"/>
          <w:sz w:val="24"/>
          <w:szCs w:val="24"/>
        </w:rPr>
        <w:t>)</w:t>
      </w:r>
      <w:r w:rsidR="006D4385" w:rsidRPr="00597FFB">
        <w:rPr>
          <w:rFonts w:ascii="Times New Roman" w:eastAsia="Times New Roman" w:hAnsi="Times New Roman" w:cs="Times New Roman"/>
          <w:bCs/>
          <w:color w:val="000000"/>
          <w:sz w:val="24"/>
          <w:szCs w:val="24"/>
        </w:rPr>
        <w:fldChar w:fldCharType="end"/>
      </w:r>
      <w:r w:rsidR="00A2720F" w:rsidRPr="00597FFB">
        <w:rPr>
          <w:rFonts w:ascii="Times New Roman" w:eastAsia="Times New Roman" w:hAnsi="Times New Roman" w:cs="Times New Roman"/>
          <w:bCs/>
          <w:color w:val="000000"/>
          <w:sz w:val="24"/>
          <w:szCs w:val="24"/>
        </w:rPr>
        <w:t>.</w:t>
      </w:r>
    </w:p>
    <w:p w14:paraId="136264E8" w14:textId="270E4DDA" w:rsidR="009D4FB4" w:rsidRPr="00597FFB" w:rsidRDefault="00BC7AD6" w:rsidP="00743677">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Times New Roman" w:hAnsi="Times New Roman" w:cs="Times New Roman"/>
          <w:bCs/>
          <w:color w:val="000000"/>
          <w:sz w:val="24"/>
          <w:szCs w:val="24"/>
        </w:rPr>
        <w:t>Currently, a</w:t>
      </w:r>
      <w:r w:rsidR="009D4FB4" w:rsidRPr="00597FFB">
        <w:rPr>
          <w:rFonts w:ascii="Times New Roman" w:eastAsia="Times New Roman" w:hAnsi="Times New Roman" w:cs="Times New Roman"/>
          <w:bCs/>
          <w:color w:val="000000"/>
          <w:sz w:val="24"/>
          <w:szCs w:val="24"/>
        </w:rPr>
        <w:t xml:space="preserve"> high E-waste </w:t>
      </w:r>
      <w:r w:rsidRPr="00597FFB">
        <w:rPr>
          <w:rFonts w:ascii="Times New Roman" w:eastAsia="Times New Roman" w:hAnsi="Times New Roman" w:cs="Times New Roman"/>
          <w:bCs/>
          <w:color w:val="000000"/>
          <w:sz w:val="24"/>
          <w:szCs w:val="24"/>
        </w:rPr>
        <w:t xml:space="preserve">amount </w:t>
      </w:r>
      <w:r w:rsidR="009D4FB4" w:rsidRPr="00597FFB">
        <w:rPr>
          <w:rFonts w:ascii="Times New Roman" w:eastAsia="Times New Roman" w:hAnsi="Times New Roman" w:cs="Times New Roman"/>
          <w:bCs/>
          <w:color w:val="000000"/>
          <w:sz w:val="24"/>
          <w:szCs w:val="24"/>
        </w:rPr>
        <w:t xml:space="preserve">is generated globally at a projected </w:t>
      </w:r>
      <w:r w:rsidRPr="00597FFB">
        <w:rPr>
          <w:rFonts w:ascii="Times New Roman" w:eastAsia="Times New Roman" w:hAnsi="Times New Roman" w:cs="Times New Roman"/>
          <w:bCs/>
          <w:color w:val="000000"/>
          <w:sz w:val="24"/>
          <w:szCs w:val="24"/>
        </w:rPr>
        <w:t>increase</w:t>
      </w:r>
      <w:r w:rsidR="009D4FB4" w:rsidRPr="00597FFB">
        <w:rPr>
          <w:rFonts w:ascii="Times New Roman" w:eastAsia="Times New Roman" w:hAnsi="Times New Roman" w:cs="Times New Roman"/>
          <w:bCs/>
          <w:color w:val="000000"/>
          <w:sz w:val="24"/>
          <w:szCs w:val="24"/>
        </w:rPr>
        <w:t xml:space="preserve"> rate between 4% and 5% per annum. Asia created 24.9Mt of E-waste, which is the highest in the world </w:t>
      </w:r>
      <w:r w:rsidR="009D4FB4" w:rsidRPr="00597FFB">
        <w:rPr>
          <w:rFonts w:ascii="Times New Roman" w:eastAsia="Times New Roman" w:hAnsi="Times New Roman" w:cs="Times New Roman"/>
          <w:bCs/>
          <w:sz w:val="24"/>
          <w:szCs w:val="24"/>
        </w:rPr>
        <w:t>(</w:t>
      </w:r>
      <w:r w:rsidR="009D4FB4" w:rsidRPr="00597FFB">
        <w:rPr>
          <w:rFonts w:ascii="Times New Roman" w:eastAsia="Times New Roman" w:hAnsi="Times New Roman" w:cs="Times New Roman"/>
          <w:bCs/>
          <w:color w:val="000000"/>
          <w:sz w:val="24"/>
          <w:szCs w:val="24"/>
        </w:rPr>
        <w:t>Aboelmaged,</w:t>
      </w:r>
      <w:r w:rsidR="009D4FB4" w:rsidRPr="00597FFB">
        <w:rPr>
          <w:rFonts w:ascii="Times New Roman" w:eastAsia="Times New Roman" w:hAnsi="Times New Roman" w:cs="Times New Roman"/>
          <w:bCs/>
          <w:sz w:val="24"/>
          <w:szCs w:val="24"/>
        </w:rPr>
        <w:t xml:space="preserve"> 2020).</w:t>
      </w:r>
      <w:r w:rsidR="009D4FB4" w:rsidRPr="00597FFB">
        <w:rPr>
          <w:rFonts w:ascii="Times New Roman" w:eastAsia="Times New Roman" w:hAnsi="Times New Roman" w:cs="Times New Roman"/>
          <w:bCs/>
          <w:color w:val="000000"/>
          <w:sz w:val="24"/>
          <w:szCs w:val="24"/>
        </w:rPr>
        <w:t xml:space="preserve"> The Americas generated 13.1 Mt of E-waste, and Europe generated 12 Mt, whereas Africa and Oceania produced 2.9 Mt and 0.7 Mt, respectively (Adrian et al., 2020). </w:t>
      </w:r>
      <w:r w:rsidR="00717F9D" w:rsidRPr="00597FFB">
        <w:rPr>
          <w:rFonts w:ascii="Times New Roman" w:eastAsia="Times New Roman" w:hAnsi="Times New Roman" w:cs="Times New Roman"/>
          <w:bCs/>
          <w:color w:val="000000"/>
          <w:sz w:val="24"/>
          <w:szCs w:val="24"/>
        </w:rPr>
        <w:t>Compared to all other forms of municipal waste these</w:t>
      </w:r>
      <w:r w:rsidR="009D4FB4" w:rsidRPr="00597FFB">
        <w:rPr>
          <w:rFonts w:ascii="Times New Roman" w:eastAsia="Times New Roman" w:hAnsi="Times New Roman" w:cs="Times New Roman"/>
          <w:bCs/>
          <w:color w:val="000000"/>
          <w:sz w:val="24"/>
          <w:szCs w:val="24"/>
        </w:rPr>
        <w:t xml:space="preserve"> quantities are </w:t>
      </w:r>
      <w:r w:rsidR="00717F9D" w:rsidRPr="00597FFB">
        <w:rPr>
          <w:rFonts w:ascii="Times New Roman" w:eastAsia="Times New Roman" w:hAnsi="Times New Roman" w:cs="Times New Roman"/>
          <w:bCs/>
          <w:color w:val="000000"/>
          <w:sz w:val="24"/>
          <w:szCs w:val="24"/>
        </w:rPr>
        <w:t>on the most rapid increase</w:t>
      </w:r>
      <w:r w:rsidR="009D4FB4" w:rsidRPr="00597FFB">
        <w:rPr>
          <w:rFonts w:ascii="Times New Roman" w:eastAsia="Times New Roman" w:hAnsi="Times New Roman" w:cs="Times New Roman"/>
          <w:bCs/>
          <w:color w:val="000000"/>
          <w:sz w:val="24"/>
          <w:szCs w:val="24"/>
        </w:rPr>
        <w:t xml:space="preserve"> </w:t>
      </w:r>
      <w:r w:rsidR="00717F9D" w:rsidRPr="00597FFB">
        <w:rPr>
          <w:rFonts w:ascii="Times New Roman" w:eastAsia="Times New Roman" w:hAnsi="Times New Roman" w:cs="Times New Roman"/>
          <w:bCs/>
          <w:color w:val="000000"/>
          <w:sz w:val="24"/>
          <w:szCs w:val="24"/>
        </w:rPr>
        <w:t>with projections</w:t>
      </w:r>
      <w:r w:rsidR="009D4FB4" w:rsidRPr="00597FFB">
        <w:rPr>
          <w:rFonts w:ascii="Times New Roman" w:eastAsia="Times New Roman" w:hAnsi="Times New Roman" w:cs="Times New Roman"/>
          <w:bCs/>
          <w:color w:val="000000"/>
          <w:sz w:val="24"/>
          <w:szCs w:val="24"/>
        </w:rPr>
        <w:t xml:space="preserve"> that it could reach </w:t>
      </w:r>
      <w:r w:rsidR="009D4FB4" w:rsidRPr="00597FFB">
        <w:rPr>
          <w:rFonts w:ascii="Times New Roman" w:eastAsia="Times New Roman" w:hAnsi="Times New Roman" w:cs="Times New Roman"/>
          <w:bCs/>
          <w:sz w:val="24"/>
          <w:szCs w:val="24"/>
        </w:rPr>
        <w:t xml:space="preserve">50 Mt by the end of 2020, </w:t>
      </w:r>
      <w:r w:rsidR="009D4FB4" w:rsidRPr="00597FFB">
        <w:rPr>
          <w:rFonts w:ascii="Times New Roman" w:eastAsia="Times New Roman" w:hAnsi="Times New Roman" w:cs="Times New Roman"/>
          <w:bCs/>
          <w:color w:val="000000"/>
          <w:sz w:val="24"/>
          <w:szCs w:val="24"/>
        </w:rPr>
        <w:t xml:space="preserve">and the </w:t>
      </w:r>
      <w:r w:rsidR="00B0073C" w:rsidRPr="00597FFB">
        <w:rPr>
          <w:rFonts w:ascii="Times New Roman" w:eastAsia="Times New Roman" w:hAnsi="Times New Roman" w:cs="Times New Roman"/>
          <w:bCs/>
          <w:color w:val="000000"/>
          <w:sz w:val="24"/>
          <w:szCs w:val="24"/>
        </w:rPr>
        <w:t xml:space="preserve">E-waste </w:t>
      </w:r>
      <w:r w:rsidR="009D4FB4" w:rsidRPr="00597FFB">
        <w:rPr>
          <w:rFonts w:ascii="Times New Roman" w:eastAsia="Times New Roman" w:hAnsi="Times New Roman" w:cs="Times New Roman"/>
          <w:bCs/>
          <w:color w:val="000000"/>
          <w:sz w:val="24"/>
          <w:szCs w:val="24"/>
        </w:rPr>
        <w:t>volume is projected to reach its peak, 52.2 Mt, by 20</w:t>
      </w:r>
      <w:r w:rsidR="00A2720F" w:rsidRPr="00597FFB">
        <w:rPr>
          <w:rFonts w:ascii="Times New Roman" w:eastAsia="Times New Roman" w:hAnsi="Times New Roman" w:cs="Times New Roman"/>
          <w:bCs/>
          <w:color w:val="000000"/>
          <w:sz w:val="24"/>
          <w:szCs w:val="24"/>
        </w:rPr>
        <w:t>30</w:t>
      </w:r>
      <w:r w:rsidR="009D4FB4" w:rsidRPr="00597FFB">
        <w:rPr>
          <w:rFonts w:ascii="Times New Roman" w:eastAsia="Times New Roman" w:hAnsi="Times New Roman" w:cs="Times New Roman"/>
          <w:bCs/>
          <w:color w:val="000000"/>
          <w:sz w:val="24"/>
          <w:szCs w:val="24"/>
        </w:rPr>
        <w:t xml:space="preserve"> </w:t>
      </w:r>
      <w:r w:rsidR="00A2720F" w:rsidRPr="00597FFB">
        <w:rPr>
          <w:rFonts w:ascii="Times New Roman" w:eastAsia="Times New Roman" w:hAnsi="Times New Roman" w:cs="Times New Roman"/>
          <w:bCs/>
          <w:color w:val="000000"/>
          <w:sz w:val="24"/>
          <w:szCs w:val="24"/>
        </w:rPr>
        <w:fldChar w:fldCharType="begin"/>
      </w:r>
      <w:r w:rsidR="00743677" w:rsidRPr="00597FFB">
        <w:rPr>
          <w:rFonts w:ascii="Times New Roman" w:eastAsia="Times New Roman" w:hAnsi="Times New Roman" w:cs="Times New Roman"/>
          <w:bCs/>
          <w:color w:val="000000"/>
          <w:sz w:val="24"/>
          <w:szCs w:val="24"/>
        </w:rPr>
        <w:instrText xml:space="preserve"> ADDIN ZOTERO_ITEM CSL_CITATION {"citationID":"a15cqatomv9","properties":{"formattedCitation":"(Witthohn, 2023)","plainCitation":"(Witthohn, 2023)","noteIndex":0},"citationItems":[{"id":4684,"uris":["http://zotero.org/users/local/b6CRLSJH/items/AMH3XNAN"],"itemData":{"id":4684,"type":"chapter","container-title":"International Shipping","event-place":"Wiesbaden","ISBN":"978-3-658-34272-2","language":"en","note":"DOI: 10.1007/978-3-658-34273-9_2","page":"135-250","publisher":"Springer Fachmedien Wiesbaden","publisher-place":"Wiesbaden","source":"DOI.org (Crossref)","title":"Raw Materials","URL":"https://link.springer.com/10.1007/978-3-658-34273-9_2","container-author":[{"family":"Witthohn","given":"Ralf"}],"author":[{"family":"Witthohn","given":"Ralf"}],"accessed":{"date-parts":[["2023",1,29]]},"issued":{"date-parts":[["2023"]]}}}],"schema":"https://github.com/citation-style-language/schema/raw/master/csl-citation.json"} </w:instrText>
      </w:r>
      <w:r w:rsidR="00A2720F" w:rsidRPr="00597FFB">
        <w:rPr>
          <w:rFonts w:ascii="Times New Roman" w:eastAsia="Times New Roman" w:hAnsi="Times New Roman" w:cs="Times New Roman"/>
          <w:bCs/>
          <w:color w:val="000000"/>
          <w:sz w:val="24"/>
          <w:szCs w:val="24"/>
        </w:rPr>
        <w:fldChar w:fldCharType="separate"/>
      </w:r>
      <w:r w:rsidR="00743677" w:rsidRPr="00597FFB">
        <w:rPr>
          <w:rFonts w:ascii="Times New Roman" w:hAnsi="Times New Roman" w:cs="Times New Roman"/>
          <w:sz w:val="24"/>
          <w:szCs w:val="24"/>
        </w:rPr>
        <w:t>(Witthohn, 2023)</w:t>
      </w:r>
      <w:r w:rsidR="00A2720F" w:rsidRPr="00597FFB">
        <w:rPr>
          <w:rFonts w:ascii="Times New Roman" w:eastAsia="Times New Roman" w:hAnsi="Times New Roman" w:cs="Times New Roman"/>
          <w:bCs/>
          <w:color w:val="000000"/>
          <w:sz w:val="24"/>
          <w:szCs w:val="24"/>
        </w:rPr>
        <w:fldChar w:fldCharType="end"/>
      </w:r>
      <w:r w:rsidR="00743677"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color w:val="000000"/>
          <w:sz w:val="24"/>
          <w:szCs w:val="24"/>
        </w:rPr>
        <w:t xml:space="preserve">Table </w:t>
      </w:r>
      <w:r w:rsidR="00CF27C4" w:rsidRPr="00597FFB">
        <w:rPr>
          <w:rFonts w:ascii="Times New Roman" w:eastAsia="Times New Roman" w:hAnsi="Times New Roman" w:cs="Times New Roman"/>
          <w:color w:val="000000"/>
          <w:sz w:val="24"/>
          <w:szCs w:val="24"/>
        </w:rPr>
        <w:t>5</w:t>
      </w:r>
      <w:r w:rsidR="009D4FB4" w:rsidRPr="00597FFB">
        <w:rPr>
          <w:rFonts w:ascii="Times New Roman" w:eastAsia="Times New Roman" w:hAnsi="Times New Roman" w:cs="Times New Roman"/>
          <w:color w:val="000000"/>
          <w:sz w:val="24"/>
          <w:szCs w:val="24"/>
        </w:rPr>
        <w:t xml:space="preserve"> shows the E-waste generated worldwide.</w:t>
      </w:r>
      <w:r w:rsidR="009D4FB4" w:rsidRPr="00597FFB">
        <w:rPr>
          <w:rFonts w:ascii="Times New Roman" w:eastAsia="Times New Roman" w:hAnsi="Times New Roman" w:cs="Times New Roman"/>
          <w:bCs/>
          <w:color w:val="000000"/>
          <w:sz w:val="24"/>
          <w:szCs w:val="24"/>
        </w:rPr>
        <w:t xml:space="preserve"> The E-waste </w:t>
      </w:r>
      <w:r w:rsidR="00C93910" w:rsidRPr="00597FFB">
        <w:rPr>
          <w:rFonts w:ascii="Times New Roman" w:eastAsia="Times New Roman" w:hAnsi="Times New Roman" w:cs="Times New Roman"/>
          <w:bCs/>
          <w:color w:val="000000"/>
          <w:sz w:val="24"/>
          <w:szCs w:val="24"/>
        </w:rPr>
        <w:t>produced</w:t>
      </w:r>
      <w:r w:rsidR="009D4FB4" w:rsidRPr="00597FFB">
        <w:rPr>
          <w:rFonts w:ascii="Times New Roman" w:eastAsia="Times New Roman" w:hAnsi="Times New Roman" w:cs="Times New Roman"/>
          <w:bCs/>
          <w:color w:val="000000"/>
          <w:sz w:val="24"/>
          <w:szCs w:val="24"/>
        </w:rPr>
        <w:t xml:space="preserve"> worldwide </w:t>
      </w:r>
      <w:r w:rsidR="00C93910" w:rsidRPr="00597FFB">
        <w:rPr>
          <w:rFonts w:ascii="Times New Roman" w:eastAsia="Times New Roman" w:hAnsi="Times New Roman" w:cs="Times New Roman"/>
          <w:bCs/>
          <w:color w:val="000000"/>
          <w:sz w:val="24"/>
          <w:szCs w:val="24"/>
        </w:rPr>
        <w:t>rose</w:t>
      </w:r>
      <w:r w:rsidR="009D4FB4" w:rsidRPr="00597FFB">
        <w:rPr>
          <w:rFonts w:ascii="Times New Roman" w:eastAsia="Times New Roman" w:hAnsi="Times New Roman" w:cs="Times New Roman"/>
          <w:bCs/>
          <w:color w:val="000000"/>
          <w:sz w:val="24"/>
          <w:szCs w:val="24"/>
        </w:rPr>
        <w:t xml:space="preserve"> by 9.2 </w:t>
      </w:r>
      <w:r w:rsidR="009D4FB4" w:rsidRPr="00597FFB">
        <w:rPr>
          <w:rFonts w:ascii="Times New Roman" w:eastAsia="Times New Roman" w:hAnsi="Times New Roman" w:cs="Times New Roman"/>
          <w:bCs/>
          <w:sz w:val="24"/>
          <w:szCs w:val="24"/>
        </w:rPr>
        <w:t xml:space="preserve">Mt since 2014, and it is projected to increase to 74.7 Mt by 2030, nearly </w:t>
      </w:r>
      <w:r w:rsidR="00C93910" w:rsidRPr="00597FFB">
        <w:rPr>
          <w:rFonts w:ascii="Times New Roman" w:eastAsia="Times New Roman" w:hAnsi="Times New Roman" w:cs="Times New Roman"/>
          <w:bCs/>
          <w:sz w:val="24"/>
          <w:szCs w:val="24"/>
        </w:rPr>
        <w:t>growing twofold</w:t>
      </w:r>
      <w:r w:rsidR="009D4FB4" w:rsidRPr="00597FFB">
        <w:rPr>
          <w:rFonts w:ascii="Times New Roman" w:eastAsia="Times New Roman" w:hAnsi="Times New Roman" w:cs="Times New Roman"/>
          <w:bCs/>
          <w:sz w:val="24"/>
          <w:szCs w:val="24"/>
        </w:rPr>
        <w:t xml:space="preserve"> in just 16 years. Many countries that were not generating high E-waste volumes showed a rapid growth rate;</w:t>
      </w:r>
      <w:r w:rsidR="009D4FB4" w:rsidRPr="00597FFB" w:rsidDel="009278D1">
        <w:rPr>
          <w:rFonts w:ascii="Times New Roman" w:eastAsia="Times New Roman" w:hAnsi="Times New Roman" w:cs="Times New Roman"/>
          <w:bCs/>
          <w:sz w:val="24"/>
          <w:szCs w:val="24"/>
        </w:rPr>
        <w:t xml:space="preserve"> </w:t>
      </w:r>
      <w:r w:rsidR="009D4FB4" w:rsidRPr="00597FFB">
        <w:rPr>
          <w:rFonts w:ascii="Times New Roman" w:eastAsia="Times New Roman" w:hAnsi="Times New Roman" w:cs="Times New Roman"/>
          <w:bCs/>
          <w:sz w:val="24"/>
          <w:szCs w:val="24"/>
        </w:rPr>
        <w:t xml:space="preserve">Iceland, Mongolia, and Zimbabwe increased their E-waste to 1.5, 1.6, and 2.0 Mt, respectively. There are no national regulations in these countries to control E-waste </w:t>
      </w:r>
      <w:r w:rsidR="00743677" w:rsidRPr="00597FFB">
        <w:rPr>
          <w:rFonts w:ascii="Times New Roman" w:eastAsia="Times New Roman" w:hAnsi="Times New Roman" w:cs="Times New Roman"/>
          <w:bCs/>
          <w:sz w:val="24"/>
          <w:szCs w:val="24"/>
        </w:rPr>
        <w:fldChar w:fldCharType="begin"/>
      </w:r>
      <w:r w:rsidR="00E65059" w:rsidRPr="00597FFB">
        <w:rPr>
          <w:rFonts w:ascii="Times New Roman" w:eastAsia="Times New Roman" w:hAnsi="Times New Roman" w:cs="Times New Roman"/>
          <w:bCs/>
          <w:sz w:val="24"/>
          <w:szCs w:val="24"/>
        </w:rPr>
        <w:instrText xml:space="preserve"> ADDIN ZOTERO_ITEM CSL_CITATION {"citationID":"a2741l38092","properties":{"formattedCitation":"(Alblooshi et al., 2022)","plainCitation":"(Alblooshi et al., 2022)","noteIndex":0},"citationItems":[{"id":4644,"uris":["http://zotero.org/users/local/b6CRLSJH/items/G9FCR68C"],"itemData":{"id":4644,"type":"article-journal","container-title":"Business Strategy and the Environment","DOI":"10.1002/bse.2987","ISSN":"0964-4733, 1099-0836","issue":"4","journalAbbreviation":"Bus Strat Env","language":"en","page":"1856-1874","source":"DOI.org (Crossref)","title":"Sustainable management of electronic waste: Empirical evidences from a stakeholders' perspective","title-short":"Sustainable management of electronic waste","volume":"31","author":[{"family":"Alblooshi","given":"Badreya Gharib Khamis Mohammed"},{"family":"Ahmad","given":"Syed Zamberi"},{"family":"Hussain","given":"Matloub"},{"family":"Singh","given":"Sanjay Kumar"}],"issued":{"date-parts":[["2022",5]]}}}],"schema":"https://github.com/citation-style-language/schema/raw/master/csl-citation.json"} </w:instrText>
      </w:r>
      <w:r w:rsidR="00743677" w:rsidRPr="00597FFB">
        <w:rPr>
          <w:rFonts w:ascii="Times New Roman" w:eastAsia="Times New Roman" w:hAnsi="Times New Roman" w:cs="Times New Roman"/>
          <w:bCs/>
          <w:sz w:val="24"/>
          <w:szCs w:val="24"/>
        </w:rPr>
        <w:fldChar w:fldCharType="separate"/>
      </w:r>
      <w:r w:rsidR="00E65059" w:rsidRPr="00597FFB">
        <w:rPr>
          <w:rFonts w:ascii="Times New Roman" w:hAnsi="Times New Roman" w:cs="Times New Roman"/>
          <w:sz w:val="24"/>
          <w:szCs w:val="24"/>
        </w:rPr>
        <w:t>(Alblooshi et al., 2022)</w:t>
      </w:r>
      <w:r w:rsidR="00743677" w:rsidRPr="00597FFB">
        <w:rPr>
          <w:rFonts w:ascii="Times New Roman" w:eastAsia="Times New Roman" w:hAnsi="Times New Roman" w:cs="Times New Roman"/>
          <w:bCs/>
          <w:sz w:val="24"/>
          <w:szCs w:val="24"/>
        </w:rPr>
        <w:fldChar w:fldCharType="end"/>
      </w:r>
      <w:r w:rsidR="00E65059" w:rsidRPr="00597FFB">
        <w:rPr>
          <w:rFonts w:ascii="Times New Roman" w:eastAsia="Times New Roman" w:hAnsi="Times New Roman" w:cs="Times New Roman"/>
          <w:bCs/>
          <w:sz w:val="24"/>
          <w:szCs w:val="24"/>
        </w:rPr>
        <w:t xml:space="preserve">. </w:t>
      </w:r>
      <w:r w:rsidR="009D4FB4" w:rsidRPr="00597FFB">
        <w:rPr>
          <w:rFonts w:ascii="Times New Roman" w:eastAsia="Calibri" w:hAnsi="Times New Roman" w:cs="Times New Roman"/>
          <w:sz w:val="24"/>
          <w:szCs w:val="24"/>
        </w:rPr>
        <w:t>The Middle East and North Africa (MENA) are relative newcomers consuming readily disposable electrical devices, such as computers and cellular phones</w:t>
      </w:r>
      <w:r w:rsidR="00494FF2" w:rsidRPr="00597FFB">
        <w:rPr>
          <w:rFonts w:ascii="Times New Roman" w:eastAsia="Calibri" w:hAnsi="Times New Roman" w:cs="Times New Roman"/>
          <w:sz w:val="24"/>
          <w:szCs w:val="24"/>
        </w:rPr>
        <w:t xml:space="preserve"> (Zheng &amp; Cai, 2020)</w:t>
      </w:r>
      <w:r w:rsidR="009D4FB4" w:rsidRPr="00597FFB">
        <w:rPr>
          <w:rFonts w:ascii="Times New Roman" w:eastAsia="Calibri" w:hAnsi="Times New Roman" w:cs="Times New Roman"/>
          <w:sz w:val="24"/>
          <w:szCs w:val="24"/>
        </w:rPr>
        <w:t xml:space="preserve">. The </w:t>
      </w:r>
      <w:r w:rsidR="00EF2B7D" w:rsidRPr="00597FFB">
        <w:rPr>
          <w:rFonts w:ascii="Times New Roman" w:eastAsia="Calibri" w:hAnsi="Times New Roman" w:cs="Times New Roman"/>
          <w:sz w:val="24"/>
          <w:szCs w:val="24"/>
        </w:rPr>
        <w:t>quantity</w:t>
      </w:r>
      <w:r w:rsidR="009D4FB4" w:rsidRPr="00597FFB">
        <w:rPr>
          <w:rFonts w:ascii="Times New Roman" w:eastAsia="Calibri" w:hAnsi="Times New Roman" w:cs="Times New Roman"/>
          <w:sz w:val="24"/>
          <w:szCs w:val="24"/>
        </w:rPr>
        <w:t xml:space="preserve"> of E-waste </w:t>
      </w:r>
      <w:r w:rsidR="00EF2B7D" w:rsidRPr="00597FFB">
        <w:rPr>
          <w:rFonts w:ascii="Times New Roman" w:eastAsia="Calibri" w:hAnsi="Times New Roman" w:cs="Times New Roman"/>
          <w:sz w:val="24"/>
          <w:szCs w:val="24"/>
        </w:rPr>
        <w:t>produced</w:t>
      </w:r>
      <w:r w:rsidR="009D4FB4" w:rsidRPr="00597FFB">
        <w:rPr>
          <w:rFonts w:ascii="Times New Roman" w:eastAsia="Calibri" w:hAnsi="Times New Roman" w:cs="Times New Roman"/>
          <w:sz w:val="24"/>
          <w:szCs w:val="24"/>
        </w:rPr>
        <w:t xml:space="preserve"> in MENA is estimated to be 2.9 Mt, with Saudi Arabia as the highest generator, 0.5 Mt (Alnaser &amp; Alnaser, 2020). Over the past decade, electronic devices</w:t>
      </w:r>
      <w:r w:rsidR="00EF2B7D" w:rsidRPr="00597FFB">
        <w:rPr>
          <w:rFonts w:ascii="Times New Roman" w:eastAsia="Calibri" w:hAnsi="Times New Roman" w:cs="Times New Roman"/>
          <w:sz w:val="24"/>
          <w:szCs w:val="24"/>
        </w:rPr>
        <w:t>’ usage</w:t>
      </w:r>
      <w:r w:rsidR="009D4FB4" w:rsidRPr="00597FFB">
        <w:rPr>
          <w:rFonts w:ascii="Times New Roman" w:eastAsia="Calibri" w:hAnsi="Times New Roman" w:cs="Times New Roman"/>
          <w:sz w:val="24"/>
          <w:szCs w:val="24"/>
        </w:rPr>
        <w:t xml:space="preserve"> has increased remarkably, especially in the Gulf nations (the United Arab Emirates (UAE), Qatar, Kuwait, Bahrain, Oman, and Saudi Arabia), Israel, and Egypt. GCC countries have a unique situation due to the significant economic growth with the resulting urbanization and population growth accompanied by high living standards that increase all types of waste</w:t>
      </w:r>
      <w:r w:rsidR="00BD268B" w:rsidRPr="00597FFB">
        <w:rPr>
          <w:rFonts w:ascii="Times New Roman" w:eastAsia="Calibri" w:hAnsi="Times New Roman" w:cs="Times New Roman"/>
          <w:sz w:val="24"/>
          <w:szCs w:val="24"/>
        </w:rPr>
        <w:t xml:space="preserve"> </w:t>
      </w:r>
      <w:r w:rsidR="00BD268B" w:rsidRPr="00597FFB">
        <w:rPr>
          <w:rFonts w:ascii="Times New Roman" w:eastAsia="Calibri" w:hAnsi="Times New Roman" w:cs="Times New Roman"/>
          <w:sz w:val="24"/>
          <w:szCs w:val="24"/>
        </w:rPr>
        <w:fldChar w:fldCharType="begin"/>
      </w:r>
      <w:r w:rsidR="00BD5436" w:rsidRPr="00597FFB">
        <w:rPr>
          <w:rFonts w:ascii="Times New Roman" w:eastAsia="Calibri" w:hAnsi="Times New Roman" w:cs="Times New Roman"/>
          <w:sz w:val="24"/>
          <w:szCs w:val="24"/>
        </w:rPr>
        <w:instrText xml:space="preserve"> ADDIN ZOTERO_ITEM CSL_CITATION {"citationID":"a72tbl0nj1","properties":{"formattedCitation":"(Shaikh et al., 2020)","plainCitation":"(Shaikh et al., 2020)","noteIndex":0},"citationItems":[{"id":4404,"uris":["http://zotero.org/users/local/b6CRLSJH/items/FNS9BQZJ"],"itemData":{"id":4404,"type":"article-journal","container-title":"Resources, Conservation and Recycling","DOI":"10.1016/j.resconrec.2019.104662","ISSN":"09213449","journalAbbreviation":"Resources, Conservation and Recycling","language":"en","page":"104662","source":"DOI.org (Crossref)","title":"An exploratory study of e-waste creation and disposal: Upstream considerations","title-short":"An exploratory study of e-waste creation and disposal","volume":"155","author":[{"family":"Shaikh","given":"Salsabil"},{"family":"Thomas","given":"Keith"},{"family":"Zuhair","given":"Segu"}],"issued":{"date-parts":[["2020",4]]}}}],"schema":"https://github.com/citation-style-language/schema/raw/master/csl-citation.json"} </w:instrText>
      </w:r>
      <w:r w:rsidR="00BD268B" w:rsidRPr="00597FFB">
        <w:rPr>
          <w:rFonts w:ascii="Times New Roman" w:eastAsia="Calibri" w:hAnsi="Times New Roman" w:cs="Times New Roman"/>
          <w:sz w:val="24"/>
          <w:szCs w:val="24"/>
        </w:rPr>
        <w:fldChar w:fldCharType="separate"/>
      </w:r>
      <w:r w:rsidR="00BD5436" w:rsidRPr="00597FFB">
        <w:rPr>
          <w:rFonts w:ascii="Times New Roman" w:hAnsi="Times New Roman" w:cs="Times New Roman"/>
          <w:sz w:val="24"/>
          <w:szCs w:val="24"/>
        </w:rPr>
        <w:t>(Shaikh et al., 2020)</w:t>
      </w:r>
      <w:r w:rsidR="00BD268B" w:rsidRPr="00597FFB">
        <w:rPr>
          <w:rFonts w:ascii="Times New Roman" w:eastAsia="Calibri" w:hAnsi="Times New Roman" w:cs="Times New Roman"/>
          <w:sz w:val="24"/>
          <w:szCs w:val="24"/>
        </w:rPr>
        <w:fldChar w:fldCharType="end"/>
      </w:r>
      <w:r w:rsidR="00BD268B" w:rsidRPr="00597FFB">
        <w:rPr>
          <w:rFonts w:ascii="Times New Roman" w:eastAsia="Calibri" w:hAnsi="Times New Roman" w:cs="Times New Roman"/>
          <w:sz w:val="24"/>
          <w:szCs w:val="24"/>
        </w:rPr>
        <w:t xml:space="preserve">. </w:t>
      </w:r>
      <w:r w:rsidR="009D4FB4" w:rsidRPr="00597FFB">
        <w:rPr>
          <w:rFonts w:ascii="Times New Roman" w:eastAsia="Calibri" w:hAnsi="Times New Roman" w:cs="Times New Roman"/>
          <w:sz w:val="24"/>
          <w:szCs w:val="24"/>
        </w:rPr>
        <w:t xml:space="preserve">A direct link between the living standards and the quantity of </w:t>
      </w:r>
      <w:r w:rsidR="00EB4646" w:rsidRPr="00597FFB">
        <w:rPr>
          <w:rFonts w:ascii="Times New Roman" w:eastAsia="Calibri" w:hAnsi="Times New Roman" w:cs="Times New Roman"/>
          <w:sz w:val="24"/>
          <w:szCs w:val="24"/>
        </w:rPr>
        <w:t>E-</w:t>
      </w:r>
      <w:r w:rsidR="009D4FB4" w:rsidRPr="00597FFB">
        <w:rPr>
          <w:rFonts w:ascii="Times New Roman" w:eastAsia="Calibri" w:hAnsi="Times New Roman" w:cs="Times New Roman"/>
          <w:sz w:val="24"/>
          <w:szCs w:val="24"/>
        </w:rPr>
        <w:t>waste produc</w:t>
      </w:r>
      <w:r w:rsidR="00EB4646" w:rsidRPr="00597FFB">
        <w:rPr>
          <w:rFonts w:ascii="Times New Roman" w:eastAsia="Calibri" w:hAnsi="Times New Roman" w:cs="Times New Roman"/>
          <w:sz w:val="24"/>
          <w:szCs w:val="24"/>
        </w:rPr>
        <w:t>ed</w:t>
      </w:r>
      <w:r w:rsidR="009D4FB4" w:rsidRPr="00597FFB">
        <w:rPr>
          <w:rFonts w:ascii="Times New Roman" w:eastAsia="Calibri" w:hAnsi="Times New Roman" w:cs="Times New Roman"/>
          <w:sz w:val="24"/>
          <w:szCs w:val="24"/>
        </w:rPr>
        <w:t xml:space="preserve"> is observed in the GCC states. The annual growth of electronic waste in GCC is 3–5%. In contrast, the current estimated electronic waste generation exceeds 52.2 Mt </w:t>
      </w:r>
      <w:r w:rsidR="00BD5436" w:rsidRPr="00597FFB">
        <w:rPr>
          <w:rFonts w:ascii="Times New Roman" w:eastAsia="Calibri" w:hAnsi="Times New Roman" w:cs="Times New Roman"/>
          <w:sz w:val="24"/>
          <w:szCs w:val="24"/>
        </w:rPr>
        <w:fldChar w:fldCharType="begin"/>
      </w:r>
      <w:r w:rsidR="00813129" w:rsidRPr="00597FFB">
        <w:rPr>
          <w:rFonts w:ascii="Times New Roman" w:eastAsia="Calibri" w:hAnsi="Times New Roman" w:cs="Times New Roman"/>
          <w:sz w:val="24"/>
          <w:szCs w:val="24"/>
        </w:rPr>
        <w:instrText xml:space="preserve"> ADDIN ZOTERO_ITEM CSL_CITATION {"citationID":"a1db2proja4","properties":{"formattedCitation":"(Alblooshi et al., 2022)","plainCitation":"(Alblooshi et al., 2022)","noteIndex":0},"citationItems":[{"id":4644,"uris":["http://zotero.org/users/local/b6CRLSJH/items/G9FCR68C"],"itemData":{"id":4644,"type":"article-journal","container-title":"Business Strategy and the Environment","DOI":"10.1002/bse.2987","ISSN":"0964-4733, 1099-0836","issue":"4","journalAbbreviation":"Bus Strat Env","language":"en","page":"1856-1874","source":"DOI.org (Crossref)","title":"Sustainable management of electronic waste: Empirical evidences from a stakeholders' perspective","title-short":"Sustainable management of electronic waste","volume":"31","author":[{"family":"Alblooshi","given":"Badreya Gharib Khamis Mohammed"},{"family":"Ahmad","given":"Syed Zamberi"},{"family":"Hussain","given":"Matloub"},{"family":"Singh","given":"Sanjay Kumar"}],"issued":{"date-parts":[["2022",5]]}}}],"schema":"https://github.com/citation-style-language/schema/raw/master/csl-citation.json"} </w:instrText>
      </w:r>
      <w:r w:rsidR="00BD5436" w:rsidRPr="00597FFB">
        <w:rPr>
          <w:rFonts w:ascii="Times New Roman" w:eastAsia="Calibri" w:hAnsi="Times New Roman" w:cs="Times New Roman"/>
          <w:sz w:val="24"/>
          <w:szCs w:val="24"/>
        </w:rPr>
        <w:fldChar w:fldCharType="separate"/>
      </w:r>
      <w:r w:rsidR="00813129" w:rsidRPr="00597FFB">
        <w:rPr>
          <w:rFonts w:ascii="Times New Roman" w:hAnsi="Times New Roman" w:cs="Times New Roman"/>
          <w:sz w:val="24"/>
          <w:szCs w:val="24"/>
        </w:rPr>
        <w:t>(Alblooshi et al., 2022)</w:t>
      </w:r>
      <w:r w:rsidR="00BD5436" w:rsidRPr="00597FFB">
        <w:rPr>
          <w:rFonts w:ascii="Times New Roman" w:eastAsia="Calibri" w:hAnsi="Times New Roman" w:cs="Times New Roman"/>
          <w:sz w:val="24"/>
          <w:szCs w:val="24"/>
        </w:rPr>
        <w:fldChar w:fldCharType="end"/>
      </w:r>
      <w:r w:rsidR="00BD5436" w:rsidRPr="00597FFB">
        <w:rPr>
          <w:rFonts w:ascii="Times New Roman" w:eastAsia="Calibri" w:hAnsi="Times New Roman" w:cs="Times New Roman"/>
          <w:sz w:val="24"/>
          <w:szCs w:val="24"/>
        </w:rPr>
        <w:t xml:space="preserve">. </w:t>
      </w:r>
      <w:r w:rsidR="009D4FB4" w:rsidRPr="00597FFB">
        <w:rPr>
          <w:rFonts w:ascii="Times New Roman" w:eastAsia="Calibri" w:hAnsi="Times New Roman" w:cs="Times New Roman"/>
          <w:sz w:val="24"/>
          <w:szCs w:val="24"/>
        </w:rPr>
        <w:t xml:space="preserve">In 2018, GCC states generated 857 kilotonnes (kt) of electronic waste that would be 1.094 Mt by 2040 </w:t>
      </w:r>
      <w:r w:rsidR="00624727" w:rsidRPr="00597FFB">
        <w:rPr>
          <w:rFonts w:ascii="Times New Roman" w:eastAsia="Calibri" w:hAnsi="Times New Roman" w:cs="Times New Roman"/>
          <w:sz w:val="24"/>
          <w:szCs w:val="24"/>
        </w:rPr>
        <w:fldChar w:fldCharType="begin"/>
      </w:r>
      <w:r w:rsidR="004C04A8" w:rsidRPr="00597FFB">
        <w:rPr>
          <w:rFonts w:ascii="Times New Roman" w:eastAsia="Calibri" w:hAnsi="Times New Roman" w:cs="Times New Roman"/>
          <w:sz w:val="24"/>
          <w:szCs w:val="24"/>
        </w:rPr>
        <w:instrText xml:space="preserve"> ADDIN ZOTERO_ITEM CSL_CITATION {"citationID":"airo0uuriu","properties":{"formattedCitation":"(Alghazo et al., 2019)","plainCitation":"(Alghazo et al., 2019)","noteIndex":0},"citationItems":[{"id":3838,"uris":["http://zotero.org/users/local/b6CRLSJH/items/MR67BK24"],"itemData":{"id":3838,"type":"article-journal","abstract":"This paper for the first time aims to valorize the environmental and economic values of electronic waste recycling for member states of the Gulf Cooperation Council (GCC) from the year 2018 up to 2040. GCC countries have a unique situation due to the significant economic growth with the resulting urbanization and population growth accompanied by high standards of living that in turn increase all types of waste. A direct link among the living standards and quantity of electronic waste production is observed in the GCC states. The annual growth of electronic waste in GCC is 3–5% while the current estimated electronic waste generation exceeds 52.2 million metric tonnes (Mt). In 2018, GCC states generated 857 kilotonnes (kt) electronic waste that would be 1.094 Mt by 2040. KSA, among the GCC states, generated the highest amount of electronic waste (533 kt) in 2018 that would be 675 kt by 2040. GCC countries are on the right track of developing policies and regulations for managing electronic waste. However, more efforts are required to ensure the implementation of these regulations. The findings of this study would be a base for the future studies in the electronic waste sector in the GCC region and a novel initiative for GCC to develop a unified free zone for the electronic waste recycling that will meet the local, regional, and international standards and regulations. This unified GCC initiative has substantial economic and environmental benefits for the region.","container-title":"Environmental Science and Pollution Research","DOI":"10.1007/s11356-019-04956-y","ISSN":"0944-1344, 1614-7499","issue":"35","journalAbbreviation":"Environ Sci Pollut Res","language":"en","note":"number: 35","page":"35610-35619","source":"DOI.org (Crossref)","title":"Potential of electronic waste recycling in Gulf Cooperation Council states: an environmental and economic analysis","title-short":"Potential of electronic waste recycling in Gulf Cooperation Council states","volume":"26","author":[{"family":"Alghazo","given":"Jaafar"},{"family":"Ouda","given":"Omar"},{"family":"Alanezi","given":"Faisal"},{"family":"Asam","given":"Zaki-ul-Zaman"},{"family":"Rehan","given":"Mohammad"},{"family":"Salameh","given":"Muamar Hasan"},{"family":"Nizami","given":"Abdul-Sattar"}],"issued":{"date-parts":[["2019",12]]}}}],"schema":"https://github.com/citation-style-language/schema/raw/master/csl-citation.json"} </w:instrText>
      </w:r>
      <w:r w:rsidR="00624727" w:rsidRPr="00597FFB">
        <w:rPr>
          <w:rFonts w:ascii="Times New Roman" w:eastAsia="Calibri" w:hAnsi="Times New Roman" w:cs="Times New Roman"/>
          <w:sz w:val="24"/>
          <w:szCs w:val="24"/>
        </w:rPr>
        <w:fldChar w:fldCharType="separate"/>
      </w:r>
      <w:r w:rsidR="004C04A8" w:rsidRPr="00597FFB">
        <w:rPr>
          <w:rFonts w:ascii="Times New Roman" w:hAnsi="Times New Roman" w:cs="Times New Roman"/>
          <w:sz w:val="24"/>
          <w:szCs w:val="24"/>
        </w:rPr>
        <w:t>(Alghazo et al., 2019)</w:t>
      </w:r>
      <w:r w:rsidR="00624727" w:rsidRPr="00597FFB">
        <w:rPr>
          <w:rFonts w:ascii="Times New Roman" w:eastAsia="Calibri" w:hAnsi="Times New Roman" w:cs="Times New Roman"/>
          <w:sz w:val="24"/>
          <w:szCs w:val="24"/>
        </w:rPr>
        <w:fldChar w:fldCharType="end"/>
      </w:r>
      <w:r w:rsidR="00624727" w:rsidRPr="00597FFB">
        <w:rPr>
          <w:rFonts w:ascii="Times New Roman" w:eastAsia="Calibri" w:hAnsi="Times New Roman" w:cs="Times New Roman"/>
          <w:sz w:val="24"/>
          <w:szCs w:val="24"/>
        </w:rPr>
        <w:t xml:space="preserve">. </w:t>
      </w:r>
      <w:r w:rsidR="009D4FB4" w:rsidRPr="00597FFB">
        <w:rPr>
          <w:rFonts w:ascii="Times New Roman" w:eastAsia="Calibri" w:hAnsi="Times New Roman" w:cs="Times New Roman"/>
          <w:sz w:val="24"/>
          <w:szCs w:val="24"/>
        </w:rPr>
        <w:t>A United Nations Development Program's (UNDP) (2018) revealed that the average resident generates 17.2 kg of E-waste annually in the UAE</w:t>
      </w:r>
      <w:r w:rsidR="00C348AA" w:rsidRPr="00597FFB">
        <w:rPr>
          <w:rFonts w:ascii="Times New Roman" w:eastAsia="Calibri" w:hAnsi="Times New Roman" w:cs="Times New Roman"/>
          <w:sz w:val="24"/>
          <w:szCs w:val="24"/>
        </w:rPr>
        <w:t xml:space="preserve"> </w:t>
      </w:r>
      <w:r w:rsidR="00C348AA" w:rsidRPr="00597FFB">
        <w:rPr>
          <w:rFonts w:ascii="Times New Roman" w:eastAsia="Calibri" w:hAnsi="Times New Roman" w:cs="Times New Roman"/>
          <w:sz w:val="24"/>
          <w:szCs w:val="24"/>
        </w:rPr>
        <w:fldChar w:fldCharType="begin"/>
      </w:r>
      <w:r w:rsidR="00741DC4" w:rsidRPr="00597FFB">
        <w:rPr>
          <w:rFonts w:ascii="Times New Roman" w:eastAsia="Calibri" w:hAnsi="Times New Roman" w:cs="Times New Roman"/>
          <w:sz w:val="24"/>
          <w:szCs w:val="24"/>
        </w:rPr>
        <w:instrText xml:space="preserve"> ADDIN ZOTERO_ITEM CSL_CITATION {"citationID":"a2fsi46n02m","properties":{"formattedCitation":"(Alblooshi et al., 2022)","plainCitation":"(Alblooshi et al., 2022)","noteIndex":0},"citationItems":[{"id":4644,"uris":["http://zotero.org/users/local/b6CRLSJH/items/G9FCR68C"],"itemData":{"id":4644,"type":"article-journal","container-title":"Business Strategy and the Environment","DOI":"10.1002/bse.2987","ISSN":"0964-4733, 1099-0836","issue":"4","journalAbbreviation":"Bus Strat Env","language":"en","page":"1856-1874","source":"DOI.org (Crossref)","title":"Sustainable management of electronic waste: Empirical evidences from a stakeholders' perspective","title-short":"Sustainable management of electronic waste","volume":"31","author":[{"family":"Alblooshi","given":"Badreya Gharib Khamis Mohammed"},{"family":"Ahmad","given":"Syed Zamberi"},{"family":"Hussain","given":"Matloub"},{"family":"Singh","given":"Sanjay Kumar"}],"issued":{"date-parts":[["2022",5]]}}}],"schema":"https://github.com/citation-style-language/schema/raw/master/csl-citation.json"} </w:instrText>
      </w:r>
      <w:r w:rsidR="00C348AA" w:rsidRPr="00597FFB">
        <w:rPr>
          <w:rFonts w:ascii="Times New Roman" w:eastAsia="Calibri" w:hAnsi="Times New Roman" w:cs="Times New Roman"/>
          <w:sz w:val="24"/>
          <w:szCs w:val="24"/>
        </w:rPr>
        <w:fldChar w:fldCharType="separate"/>
      </w:r>
      <w:r w:rsidR="00741DC4" w:rsidRPr="00597FFB">
        <w:rPr>
          <w:rFonts w:ascii="Times New Roman" w:hAnsi="Times New Roman" w:cs="Times New Roman"/>
          <w:sz w:val="24"/>
          <w:szCs w:val="24"/>
        </w:rPr>
        <w:t>(Alblooshi et al., 2022)</w:t>
      </w:r>
      <w:r w:rsidR="00C348AA" w:rsidRPr="00597FFB">
        <w:rPr>
          <w:rFonts w:ascii="Times New Roman" w:eastAsia="Calibri" w:hAnsi="Times New Roman" w:cs="Times New Roman"/>
          <w:sz w:val="24"/>
          <w:szCs w:val="24"/>
        </w:rPr>
        <w:fldChar w:fldCharType="end"/>
      </w:r>
      <w:r w:rsidR="009D4FB4" w:rsidRPr="00597FFB">
        <w:rPr>
          <w:rFonts w:ascii="Times New Roman" w:eastAsia="Calibri" w:hAnsi="Times New Roman" w:cs="Times New Roman"/>
          <w:sz w:val="24"/>
          <w:szCs w:val="24"/>
        </w:rPr>
        <w:t xml:space="preserve">. Among the GCC states, KSA generated the highest E-waste (533kt) in 2018 that would be 675 kt by 2040 </w:t>
      </w:r>
      <w:r w:rsidR="00A31F3A" w:rsidRPr="00597FFB">
        <w:rPr>
          <w:rFonts w:ascii="Times New Roman" w:eastAsia="Calibri" w:hAnsi="Times New Roman" w:cs="Times New Roman"/>
          <w:sz w:val="24"/>
          <w:szCs w:val="24"/>
        </w:rPr>
        <w:fldChar w:fldCharType="begin"/>
      </w:r>
      <w:r w:rsidR="00741DC4" w:rsidRPr="00597FFB">
        <w:rPr>
          <w:rFonts w:ascii="Times New Roman" w:eastAsia="Calibri" w:hAnsi="Times New Roman" w:cs="Times New Roman"/>
          <w:sz w:val="24"/>
          <w:szCs w:val="24"/>
        </w:rPr>
        <w:instrText xml:space="preserve"> ADDIN ZOTERO_ITEM CSL_CITATION {"citationID":"a2b0lhfmh50","properties":{"formattedCitation":"(M. Aboelmaged, 2021b)","plainCitation":"(M. Aboelmaged, 2021b)","noteIndex":0},"citationItems":[{"id":4547,"uris":["http://zotero.org/users/local/b6CRLSJH/items/XBZMAXAV"],"itemData":{"id":4547,"type":"article-journal","container-title":"Journal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00A31F3A" w:rsidRPr="00597FFB">
        <w:rPr>
          <w:rFonts w:ascii="Times New Roman" w:eastAsia="Calibri" w:hAnsi="Times New Roman" w:cs="Times New Roman"/>
          <w:sz w:val="24"/>
          <w:szCs w:val="24"/>
        </w:rPr>
        <w:fldChar w:fldCharType="separate"/>
      </w:r>
      <w:r w:rsidR="00741DC4" w:rsidRPr="00597FFB">
        <w:rPr>
          <w:rFonts w:ascii="Times New Roman" w:hAnsi="Times New Roman" w:cs="Times New Roman"/>
          <w:sz w:val="24"/>
          <w:szCs w:val="24"/>
        </w:rPr>
        <w:t>(Aboelmaged, 2021b)</w:t>
      </w:r>
      <w:r w:rsidR="00A31F3A" w:rsidRPr="00597FFB">
        <w:rPr>
          <w:rFonts w:ascii="Times New Roman" w:eastAsia="Calibri" w:hAnsi="Times New Roman" w:cs="Times New Roman"/>
          <w:sz w:val="24"/>
          <w:szCs w:val="24"/>
        </w:rPr>
        <w:fldChar w:fldCharType="end"/>
      </w:r>
      <w:r w:rsidR="00A31F3A" w:rsidRPr="00597FFB">
        <w:rPr>
          <w:rFonts w:ascii="Times New Roman" w:eastAsia="Calibri" w:hAnsi="Times New Roman" w:cs="Times New Roman"/>
          <w:sz w:val="24"/>
          <w:szCs w:val="24"/>
        </w:rPr>
        <w:t xml:space="preserve">. </w:t>
      </w:r>
      <w:r w:rsidR="009D4FB4" w:rsidRPr="00597FFB">
        <w:rPr>
          <w:rFonts w:ascii="Times New Roman" w:eastAsia="Calibri" w:hAnsi="Times New Roman" w:cs="Times New Roman"/>
          <w:sz w:val="24"/>
          <w:szCs w:val="24"/>
        </w:rPr>
        <w:t>GCC, such as the UAE, on the right track to</w:t>
      </w:r>
      <w:r w:rsidR="005A152E" w:rsidRPr="00597FFB">
        <w:rPr>
          <w:rFonts w:ascii="Times New Roman" w:eastAsia="Calibri" w:hAnsi="Times New Roman" w:cs="Times New Roman"/>
          <w:sz w:val="24"/>
          <w:szCs w:val="24"/>
        </w:rPr>
        <w:t xml:space="preserve"> the</w:t>
      </w:r>
      <w:r w:rsidR="009D4FB4" w:rsidRPr="00597FFB">
        <w:rPr>
          <w:rFonts w:ascii="Times New Roman" w:eastAsia="Calibri" w:hAnsi="Times New Roman" w:cs="Times New Roman"/>
          <w:sz w:val="24"/>
          <w:szCs w:val="24"/>
        </w:rPr>
        <w:t xml:space="preserve"> </w:t>
      </w:r>
      <w:r w:rsidR="005A152E" w:rsidRPr="00597FFB">
        <w:rPr>
          <w:rFonts w:ascii="Times New Roman" w:eastAsia="Calibri" w:hAnsi="Times New Roman" w:cs="Times New Roman"/>
          <w:sz w:val="24"/>
          <w:szCs w:val="24"/>
        </w:rPr>
        <w:t>development of</w:t>
      </w:r>
      <w:r w:rsidR="009D4FB4" w:rsidRPr="00597FFB">
        <w:rPr>
          <w:rFonts w:ascii="Times New Roman" w:eastAsia="Calibri" w:hAnsi="Times New Roman" w:cs="Times New Roman"/>
          <w:sz w:val="24"/>
          <w:szCs w:val="24"/>
        </w:rPr>
        <w:t xml:space="preserve"> </w:t>
      </w:r>
      <w:r w:rsidR="005A152E" w:rsidRPr="00597FFB">
        <w:rPr>
          <w:rFonts w:ascii="Times New Roman" w:eastAsia="Calibri" w:hAnsi="Times New Roman" w:cs="Times New Roman"/>
          <w:sz w:val="24"/>
          <w:szCs w:val="24"/>
        </w:rPr>
        <w:t xml:space="preserve">E-waste management </w:t>
      </w:r>
      <w:r w:rsidR="009D4FB4" w:rsidRPr="00597FFB">
        <w:rPr>
          <w:rFonts w:ascii="Times New Roman" w:eastAsia="Calibri" w:hAnsi="Times New Roman" w:cs="Times New Roman"/>
          <w:sz w:val="24"/>
          <w:szCs w:val="24"/>
        </w:rPr>
        <w:t xml:space="preserve">policies and regulations </w:t>
      </w:r>
      <w:r w:rsidR="005B1E7E" w:rsidRPr="00597FFB">
        <w:rPr>
          <w:rFonts w:ascii="Times New Roman" w:eastAsia="Calibri" w:hAnsi="Times New Roman" w:cs="Times New Roman"/>
          <w:sz w:val="24"/>
          <w:szCs w:val="24"/>
        </w:rPr>
        <w:fldChar w:fldCharType="begin"/>
      </w:r>
      <w:r w:rsidR="000F7B36" w:rsidRPr="00597FFB">
        <w:rPr>
          <w:rFonts w:ascii="Times New Roman" w:eastAsia="Calibri" w:hAnsi="Times New Roman" w:cs="Times New Roman"/>
          <w:sz w:val="24"/>
          <w:szCs w:val="24"/>
        </w:rPr>
        <w:instrText xml:space="preserve"> ADDIN ZOTERO_ITEM CSL_CITATION {"citationID":"arrgomdo3t","properties":{"formattedCitation":"(El Bilali &amp; Ben Hassen, 2020)","plainCitation":"(El Bilali &amp; Ben Hassen, 2020)","noteIndex":0},"citationItems":[{"id":4659,"uris":["http://zotero.org/users/local/b6CRLSJH/items/PYSC2LIW"],"itemData":{"id":4659,"type":"article-journal","abstract":"Food waste (FW) is a critical challenge in the Gulf Cooperation Council (GCC). This paper analyzes research dealing with food waste in the GCC countries (viz. Bahrain, Kuwait, Oman, Qatar, Saudi Arabia, United Arab Emirates). It draws upon a systematic review performed on Scopus in January 2020. The paper covers both bibliometrics (e.g., authors, affiliations, journals) and research topics (e.g., causes, food supply chain stages, extent and quantity, food security, economic impacts, environmental implications, management strategies). A main finding of the review is the scarcity of data on FW in the GCC in general and in Kuwait, Oman, and Bahrain in particular. Most of the selected articles address FW reuse and recycling (e.g., waste-to-energy conversion, compost production). Indeed, other FW management strategies, such as reduction/prevention and redistribution, are overlooked. The systematic review highlights that further research on FW in the GCC is highly needed with a focus on the identified research gaps such as causes and drivers, trends, magnitude and extent, environmental and economic impacts, along with implications of food wastage in terms of food security. Since food wastage is a common issue for all GCC countries, these research gaps should be addressed in a shared regional research agenda.","container-title":"Foods","DOI":"10.3390/foods9040463","ISSN":"2304-8158","issue":"4","journalAbbreviation":"Foods","language":"en","page":"463","source":"DOI.org (Crossref)","title":"Food Waste in the Countries of the Gulf Cooperation Council: A Systematic Review","title-short":"Food Waste in the Countries of the Gulf Cooperation Council","volume":"9","author":[{"family":"El Bilali","given":"Hamid"},{"family":"Ben Hassen","given":"Tarek"}],"issued":{"date-parts":[["2020",4,8]]}}}],"schema":"https://github.com/citation-style-language/schema/raw/master/csl-citation.json"} </w:instrText>
      </w:r>
      <w:r w:rsidR="005B1E7E" w:rsidRPr="00597FFB">
        <w:rPr>
          <w:rFonts w:ascii="Times New Roman" w:eastAsia="Calibri" w:hAnsi="Times New Roman" w:cs="Times New Roman"/>
          <w:sz w:val="24"/>
          <w:szCs w:val="24"/>
        </w:rPr>
        <w:fldChar w:fldCharType="separate"/>
      </w:r>
      <w:r w:rsidR="000F7B36" w:rsidRPr="00597FFB">
        <w:rPr>
          <w:rFonts w:ascii="Times New Roman" w:hAnsi="Times New Roman" w:cs="Times New Roman"/>
          <w:sz w:val="24"/>
          <w:szCs w:val="24"/>
        </w:rPr>
        <w:t>(El Bilali &amp; Ben Hassen, 2020)</w:t>
      </w:r>
      <w:r w:rsidR="005B1E7E" w:rsidRPr="00597FFB">
        <w:rPr>
          <w:rFonts w:ascii="Times New Roman" w:eastAsia="Calibri" w:hAnsi="Times New Roman" w:cs="Times New Roman"/>
          <w:sz w:val="24"/>
          <w:szCs w:val="24"/>
        </w:rPr>
        <w:fldChar w:fldCharType="end"/>
      </w:r>
      <w:r w:rsidR="005B1E7E" w:rsidRPr="00597FFB">
        <w:rPr>
          <w:rFonts w:ascii="Times New Roman" w:eastAsia="Calibri" w:hAnsi="Times New Roman" w:cs="Times New Roman"/>
          <w:sz w:val="24"/>
          <w:szCs w:val="24"/>
        </w:rPr>
        <w:t xml:space="preserve">. </w:t>
      </w:r>
      <w:r w:rsidR="009D4FB4" w:rsidRPr="00597FFB">
        <w:rPr>
          <w:rFonts w:ascii="Times New Roman" w:eastAsia="Calibri" w:hAnsi="Times New Roman" w:cs="Times New Roman"/>
          <w:sz w:val="24"/>
          <w:szCs w:val="24"/>
        </w:rPr>
        <w:t xml:space="preserve">However, more efforts are required to ensure the implementation of these regulations. </w:t>
      </w:r>
      <w:r w:rsidR="009D4FB4" w:rsidRPr="00597FFB">
        <w:rPr>
          <w:rFonts w:ascii="Times New Roman" w:eastAsia="Times New Roman" w:hAnsi="Times New Roman" w:cs="Times New Roman"/>
          <w:bCs/>
          <w:sz w:val="24"/>
          <w:szCs w:val="24"/>
        </w:rPr>
        <w:t>Although t</w:t>
      </w:r>
      <w:r w:rsidR="009D4FB4" w:rsidRPr="00597FFB">
        <w:rPr>
          <w:rFonts w:ascii="Times New Roman" w:eastAsia="Calibri" w:hAnsi="Times New Roman" w:cs="Times New Roman"/>
          <w:sz w:val="24"/>
          <w:szCs w:val="24"/>
        </w:rPr>
        <w:t xml:space="preserve">he amount of household gadgets, cellular phones, and computers in these countries is high, more initiatives need to be taken to handle the resulting E-waste, recovering resources and promoting circularity </w:t>
      </w:r>
      <w:r w:rsidR="000F7B36" w:rsidRPr="00597FFB">
        <w:rPr>
          <w:rFonts w:ascii="Times New Roman" w:eastAsia="Calibri" w:hAnsi="Times New Roman" w:cs="Times New Roman"/>
          <w:sz w:val="24"/>
          <w:szCs w:val="24"/>
        </w:rPr>
        <w:fldChar w:fldCharType="begin"/>
      </w:r>
      <w:r w:rsidR="00DE5C1D" w:rsidRPr="00597FFB">
        <w:rPr>
          <w:rFonts w:ascii="Times New Roman" w:eastAsia="Calibri" w:hAnsi="Times New Roman" w:cs="Times New Roman"/>
          <w:sz w:val="24"/>
          <w:szCs w:val="24"/>
        </w:rPr>
        <w:instrText xml:space="preserve"> ADDIN ZOTERO_ITEM CSL_CITATION {"citationID":"abt727m4tu","properties":{"formattedCitation":"(Ahmad et al., 2019a)","plainCitation":"(Ahmad et al., 2019a)","noteIndex":0},"citationItems":[{"id":4550,"uris":["http://zotero.org/users/local/b6CRLSJH/items/8S88RYG6"],"itemData":{"id":4550,"type":"article-journal","abstract":"Purpose\n              The purpose of this paper was to review the indicators for the three aspects (environment, economy and society) of sustainability (the triple-bottom line (TBL) perspective) for manufacturing sectors. In addition, this paper aimed to: document the sustainability indicators for manufacturing sectors; perform an analysis of these indicators to show their evolutional progress and maturity in terms of their consistent, repeated and standardized usage; and highlight the further work needed to make them mature and more standardized.\n            \n            \n              Design/methodology/approach\n              The following keywords were used to explore and find the relevant articles: sustainable manufacturing evaluation, sustainability indicators, life cycle assessment, tools for sustainability assessment, and economic and social evaluation in industries. To find articles within this sample, the major focus remained on the terms “indicators,” “metrics,” and “performance measures.” This paper systematically reviewed the studies and analyzed the different sustainability indicators from the TBL viewpoint. Following this, the documented indicators were critically discussed along with their evolutional progress and maturity level.\n            \n            \n              Findings\n              The results showed that solid waste was the least used and immature aspect in the environmental category, whereas the more frequently used and developed indicators were related to material used, energy used and air emissions. Economic assessment was most of the time limited to cost-based indicators. From a social viewpoint, most of the reviewed studies were based on workers and local community and society related indicators rather than consumers-based indicators. From a sectoral viewpoint, comparatively, studies for metal manufacturing industries were more focused on all three dimensions of sustainability. On an overall basis, of the 144 discussed indicators, almost 34 percent (49) were used just once. Comparatively, the usage of indicators was more mature in manufacturing activities of developed countries than developing ones. Moreover, the usage of indicators was more common at the product level than at the other levels.\n            \n            \n              Originality/value\n              Unlike previous sustainability indicator sets which were generally long lists of proposed indicators rather than applicable and measurable ones, this paper reported the indicator sets based on studies for manufacturing sectors. Moreover, in contrast to previous reviews on indicators which were mostly based on the environmental dimension, this paper included all three dimensions of sustainability in one comprehensive review while focusing on recent studies published from 2007 to 2017. This paper has explored the recent evolutional progress and maturity of sustainability indicators, and provided insights into their development in manufacturing sectors.","container-title":"Journal of Manufacturing Technology Management","DOI":"10.1108/JMTM-03-2018-0091","ISSN":"1741-038X","issue":"2","journalAbbreviation":"JMTM","language":"en","page":"312-334","source":"DOI.org (Crossref)","title":"Sustainability indicators for manufacturing sectors: A literature survey and maturity analysis from the triple-bottom line perspective","title-short":"Sustainability indicators for manufacturing sectors","volume":"30","author":[{"family":"Ahmad","given":"Shamraiz"},{"family":"Wong","given":"Kuan Yew"},{"family":"Rajoo","given":"Srithar"}],"issued":{"date-parts":[["2019",2,28]]}}}],"schema":"https://github.com/citation-style-language/schema/raw/master/csl-citation.json"} </w:instrText>
      </w:r>
      <w:r w:rsidR="000F7B36" w:rsidRPr="00597FFB">
        <w:rPr>
          <w:rFonts w:ascii="Times New Roman" w:eastAsia="Calibri" w:hAnsi="Times New Roman" w:cs="Times New Roman"/>
          <w:sz w:val="24"/>
          <w:szCs w:val="24"/>
        </w:rPr>
        <w:fldChar w:fldCharType="separate"/>
      </w:r>
      <w:r w:rsidR="00DE5C1D" w:rsidRPr="00597FFB">
        <w:rPr>
          <w:rFonts w:ascii="Times New Roman" w:hAnsi="Times New Roman" w:cs="Times New Roman"/>
          <w:sz w:val="24"/>
          <w:szCs w:val="24"/>
        </w:rPr>
        <w:t>(Ahmad et al., 2019a)</w:t>
      </w:r>
      <w:r w:rsidR="000F7B36" w:rsidRPr="00597FFB">
        <w:rPr>
          <w:rFonts w:ascii="Times New Roman" w:eastAsia="Calibri" w:hAnsi="Times New Roman" w:cs="Times New Roman"/>
          <w:sz w:val="24"/>
          <w:szCs w:val="24"/>
        </w:rPr>
        <w:fldChar w:fldCharType="end"/>
      </w:r>
      <w:r w:rsidR="000F7B36" w:rsidRPr="00597FFB">
        <w:rPr>
          <w:rFonts w:ascii="Times New Roman" w:eastAsia="Calibri" w:hAnsi="Times New Roman" w:cs="Times New Roman"/>
          <w:sz w:val="24"/>
          <w:szCs w:val="24"/>
        </w:rPr>
        <w:t xml:space="preserve">. </w:t>
      </w:r>
      <w:r w:rsidR="009D4FB4" w:rsidRPr="00597FFB">
        <w:rPr>
          <w:rFonts w:ascii="Times New Roman" w:eastAsia="Times New Roman" w:hAnsi="Times New Roman" w:cs="Times New Roman"/>
          <w:bCs/>
          <w:color w:val="000000"/>
          <w:sz w:val="24"/>
          <w:szCs w:val="24"/>
        </w:rPr>
        <w:t xml:space="preserve">UAE has one of the highest per capita incomes globally, and the current electronic sales per capita stand at USD 580 </w:t>
      </w:r>
      <w:r w:rsidR="00BB12B7" w:rsidRPr="00597FFB">
        <w:rPr>
          <w:rFonts w:ascii="Times New Roman" w:eastAsia="Times New Roman" w:hAnsi="Times New Roman" w:cs="Times New Roman"/>
          <w:bCs/>
          <w:color w:val="000000"/>
          <w:sz w:val="24"/>
          <w:szCs w:val="24"/>
        </w:rPr>
        <w:fldChar w:fldCharType="begin"/>
      </w:r>
      <w:r w:rsidR="00DF2E79" w:rsidRPr="00597FFB">
        <w:rPr>
          <w:rFonts w:ascii="Times New Roman" w:eastAsia="Times New Roman" w:hAnsi="Times New Roman" w:cs="Times New Roman"/>
          <w:bCs/>
          <w:color w:val="000000"/>
          <w:sz w:val="24"/>
          <w:szCs w:val="24"/>
        </w:rPr>
        <w:instrText xml:space="preserve"> ADDIN ZOTERO_ITEM CSL_CITATION {"citationID":"a1ic69sokg6","properties":{"formattedCitation":"(Alblooshi et al., 2022)","plainCitation":"(Alblooshi et al., 2022)","noteIndex":0},"citationItems":[{"id":4644,"uris":["http://zotero.org/users/local/b6CRLSJH/items/G9FCR68C"],"itemData":{"id":4644,"type":"article-journal","container-title":"Business Strategy and the Environment","DOI":"10.1002/bse.2987","ISSN":"0964-4733, 1099-0836","issue":"4","journalAbbreviation":"Bus Strat Env","language":"en","page":"1856-1874","source":"DOI.org (Crossref)","title":"Sustainable management of electronic waste: Empirical evidences from a stakeholders' perspective","title-short":"Sustainable management of electronic waste","volume":"31","author":[{"family":"Alblooshi","given":"Badreya Gharib Khamis Mohammed"},{"family":"Ahmad","given":"Syed Zamberi"},{"family":"Hussain","given":"Matloub"},{"family":"Singh","given":"Sanjay Kumar"}],"issued":{"date-parts":[["2022",5]]}}}],"schema":"https://github.com/citation-style-language/schema/raw/master/csl-citation.json"} </w:instrText>
      </w:r>
      <w:r w:rsidR="00BB12B7" w:rsidRPr="00597FFB">
        <w:rPr>
          <w:rFonts w:ascii="Times New Roman" w:eastAsia="Times New Roman" w:hAnsi="Times New Roman" w:cs="Times New Roman"/>
          <w:bCs/>
          <w:color w:val="000000"/>
          <w:sz w:val="24"/>
          <w:szCs w:val="24"/>
        </w:rPr>
        <w:fldChar w:fldCharType="separate"/>
      </w:r>
      <w:r w:rsidR="00DF2E79" w:rsidRPr="00597FFB">
        <w:rPr>
          <w:rFonts w:ascii="Times New Roman" w:hAnsi="Times New Roman" w:cs="Times New Roman"/>
          <w:sz w:val="24"/>
          <w:szCs w:val="24"/>
        </w:rPr>
        <w:t>(Alblooshi et al., 2022)</w:t>
      </w:r>
      <w:r w:rsidR="00BB12B7" w:rsidRPr="00597FFB">
        <w:rPr>
          <w:rFonts w:ascii="Times New Roman" w:eastAsia="Times New Roman" w:hAnsi="Times New Roman" w:cs="Times New Roman"/>
          <w:bCs/>
          <w:color w:val="000000"/>
          <w:sz w:val="24"/>
          <w:szCs w:val="24"/>
        </w:rPr>
        <w:fldChar w:fldCharType="end"/>
      </w:r>
      <w:r w:rsidR="00BB12B7" w:rsidRPr="00597FFB">
        <w:rPr>
          <w:rFonts w:ascii="Times New Roman" w:eastAsia="Times New Roman" w:hAnsi="Times New Roman" w:cs="Times New Roman"/>
          <w:bCs/>
          <w:color w:val="000000"/>
          <w:sz w:val="24"/>
          <w:szCs w:val="24"/>
        </w:rPr>
        <w:t xml:space="preserve">. </w:t>
      </w:r>
      <w:r w:rsidR="009D4FB4" w:rsidRPr="00597FFB">
        <w:rPr>
          <w:rFonts w:ascii="Times New Roman" w:eastAsia="Times New Roman" w:hAnsi="Times New Roman" w:cs="Times New Roman"/>
          <w:bCs/>
          <w:color w:val="000000"/>
          <w:sz w:val="24"/>
          <w:szCs w:val="24"/>
        </w:rPr>
        <w:t>The thriving economy can only make the situation better, and electronics usage is higher</w:t>
      </w:r>
      <w:r w:rsidR="009D4FB4" w:rsidRPr="00597FFB">
        <w:rPr>
          <w:rFonts w:ascii="Times New Roman" w:eastAsia="Calibri" w:hAnsi="Times New Roman" w:cs="Times New Roman"/>
          <w:color w:val="000000"/>
        </w:rPr>
        <w:t xml:space="preserve"> (</w:t>
      </w:r>
      <w:r w:rsidR="009D4FB4" w:rsidRPr="00597FFB">
        <w:rPr>
          <w:rFonts w:ascii="Times New Roman" w:eastAsia="Times New Roman" w:hAnsi="Times New Roman" w:cs="Times New Roman"/>
          <w:bCs/>
          <w:color w:val="000000"/>
          <w:sz w:val="24"/>
          <w:szCs w:val="24"/>
        </w:rPr>
        <w:t xml:space="preserve">Aboelmaged, 2020). Amidst all this prosperity, E-waste disposal has </w:t>
      </w:r>
      <w:r w:rsidR="005A152E" w:rsidRPr="00597FFB">
        <w:rPr>
          <w:rFonts w:ascii="Times New Roman" w:eastAsia="Times New Roman" w:hAnsi="Times New Roman" w:cs="Times New Roman"/>
          <w:bCs/>
          <w:color w:val="000000"/>
          <w:sz w:val="24"/>
          <w:szCs w:val="24"/>
        </w:rPr>
        <w:t>lacked both consciousness and channelization resulting</w:t>
      </w:r>
      <w:r w:rsidR="009D4FB4" w:rsidRPr="00597FFB">
        <w:rPr>
          <w:rFonts w:ascii="Times New Roman" w:eastAsia="Times New Roman" w:hAnsi="Times New Roman" w:cs="Times New Roman"/>
          <w:bCs/>
          <w:color w:val="000000"/>
          <w:sz w:val="24"/>
          <w:szCs w:val="24"/>
        </w:rPr>
        <w:t xml:space="preserve"> in </w:t>
      </w:r>
      <w:r w:rsidR="005A152E" w:rsidRPr="00597FFB">
        <w:rPr>
          <w:rFonts w:ascii="Times New Roman" w:eastAsia="Times New Roman" w:hAnsi="Times New Roman" w:cs="Times New Roman"/>
          <w:bCs/>
          <w:color w:val="000000"/>
          <w:sz w:val="24"/>
          <w:szCs w:val="24"/>
        </w:rPr>
        <w:t>inappropriate</w:t>
      </w:r>
      <w:r w:rsidR="009D4FB4" w:rsidRPr="00597FFB">
        <w:rPr>
          <w:rFonts w:ascii="Times New Roman" w:eastAsia="Times New Roman" w:hAnsi="Times New Roman" w:cs="Times New Roman"/>
          <w:bCs/>
          <w:color w:val="000000"/>
          <w:sz w:val="24"/>
          <w:szCs w:val="24"/>
        </w:rPr>
        <w:t xml:space="preserve"> E-waste disposal. </w:t>
      </w:r>
      <w:r w:rsidR="009D4FB4" w:rsidRPr="00597FFB">
        <w:rPr>
          <w:rFonts w:ascii="Times New Roman" w:eastAsia="Calibri" w:hAnsi="Times New Roman" w:cs="Times New Roman"/>
          <w:color w:val="000000"/>
          <w:sz w:val="24"/>
          <w:szCs w:val="24"/>
        </w:rPr>
        <w:t xml:space="preserve">(Alotaibi et al., 2020). There are no statistics on how much E-waste is sent to landfills, but there is cause for concern </w:t>
      </w:r>
      <w:r w:rsidR="00DF2E79" w:rsidRPr="00597FFB">
        <w:rPr>
          <w:rFonts w:ascii="Times New Roman" w:eastAsia="Calibri" w:hAnsi="Times New Roman" w:cs="Times New Roman"/>
          <w:color w:val="000000"/>
          <w:sz w:val="24"/>
          <w:szCs w:val="24"/>
        </w:rPr>
        <w:fldChar w:fldCharType="begin"/>
      </w:r>
      <w:r w:rsidR="00274FBD" w:rsidRPr="00597FFB">
        <w:rPr>
          <w:rFonts w:ascii="Times New Roman" w:eastAsia="Calibri" w:hAnsi="Times New Roman" w:cs="Times New Roman"/>
          <w:color w:val="000000"/>
          <w:sz w:val="24"/>
          <w:szCs w:val="24"/>
        </w:rPr>
        <w:instrText xml:space="preserve"> ADDIN ZOTERO_ITEM CSL_CITATION {"citationID":"a12ivd9p6lj","properties":{"formattedCitation":"(Ouda et al., 2021)","plainCitation":"(Ouda et al., 2021)","noteIndex":0},"citationItems":[{"id":4608,"uris":["http://zotero.org/users/local/b6CRLSJH/items/SIHUC97I"],"itemData":{"id":4608,"type":"article-journal","container-title":"Science of The Total Environment","DOI":"10.1016/j.scitotenv.2020.142177","ISSN":"00489697","journalAbbreviation":"Science of The Total Environment","language":"en","page":"142177","source":"DOI.org (Crossref)","title":"Emerging contaminants in the water bodies of the Middle East and North Africa (MENA): A critical review","title-short":"Emerging contaminants in the water bodies of the Middle East and North Africa (MENA)","volume":"754","author":[{"family":"Ouda","given":"Mariam"},{"family":"Kadadou","given":"Dana"},{"family":"Swaidan","given":"Balsam"},{"family":"Al-Othman","given":"Amani"},{"family":"Al-Asheh","given":"Sameer"},{"family":"Banat","given":"Fawzi"},{"family":"Hasan","given":"Shadi W."}],"issued":{"date-parts":[["2021",2]]}}}],"schema":"https://github.com/citation-style-language/schema/raw/master/csl-citation.json"} </w:instrText>
      </w:r>
      <w:r w:rsidR="00DF2E79" w:rsidRPr="00597FFB">
        <w:rPr>
          <w:rFonts w:ascii="Times New Roman" w:eastAsia="Calibri" w:hAnsi="Times New Roman" w:cs="Times New Roman"/>
          <w:color w:val="000000"/>
          <w:sz w:val="24"/>
          <w:szCs w:val="24"/>
        </w:rPr>
        <w:fldChar w:fldCharType="separate"/>
      </w:r>
      <w:r w:rsidR="00274FBD" w:rsidRPr="00597FFB">
        <w:rPr>
          <w:rFonts w:ascii="Times New Roman" w:hAnsi="Times New Roman" w:cs="Times New Roman"/>
          <w:sz w:val="24"/>
          <w:szCs w:val="24"/>
        </w:rPr>
        <w:t>(Ouda et al., 2021)</w:t>
      </w:r>
      <w:r w:rsidR="00DF2E79" w:rsidRPr="00597FFB">
        <w:rPr>
          <w:rFonts w:ascii="Times New Roman" w:eastAsia="Calibri" w:hAnsi="Times New Roman" w:cs="Times New Roman"/>
          <w:color w:val="000000"/>
          <w:sz w:val="24"/>
          <w:szCs w:val="24"/>
        </w:rPr>
        <w:fldChar w:fldCharType="end"/>
      </w:r>
      <w:r w:rsidR="00DF2E79" w:rsidRPr="00597FFB">
        <w:rPr>
          <w:rFonts w:ascii="Times New Roman" w:eastAsia="Calibri" w:hAnsi="Times New Roman" w:cs="Times New Roman"/>
          <w:color w:val="000000"/>
          <w:sz w:val="24"/>
          <w:szCs w:val="24"/>
        </w:rPr>
        <w:t xml:space="preserve">. </w:t>
      </w:r>
      <w:r w:rsidR="009D4FB4" w:rsidRPr="00597FFB">
        <w:rPr>
          <w:rFonts w:ascii="Times New Roman" w:eastAsia="Calibri" w:hAnsi="Times New Roman" w:cs="Times New Roman"/>
          <w:color w:val="000000"/>
          <w:sz w:val="24"/>
          <w:szCs w:val="24"/>
        </w:rPr>
        <w:t xml:space="preserve">After the consumers' concerns being a part of E-waste recycling's value chain were captured, a sustainable working model in the form of the "Integrated E-Waste Management Centre (IEWMC)" is worked in the UAE. It addresses the causes of concern for both the consumer and the E-waste recycling industry. For example, the majority of the consumers in the UAE are oriented towards donating E-waste to charity. The IEWMC would partner with charitable organizations to foster growth for both institutions. IEWMC would help charitable organizations collect electronic devices and money </w:t>
      </w:r>
      <w:r w:rsidR="00274FBD" w:rsidRPr="00597FFB">
        <w:rPr>
          <w:rFonts w:ascii="Times New Roman" w:eastAsia="Calibri" w:hAnsi="Times New Roman" w:cs="Times New Roman"/>
          <w:bCs/>
          <w:color w:val="000000"/>
          <w:sz w:val="24"/>
          <w:szCs w:val="24"/>
        </w:rPr>
        <w:fldChar w:fldCharType="begin"/>
      </w:r>
      <w:r w:rsidR="00B10E99" w:rsidRPr="00597FFB">
        <w:rPr>
          <w:rFonts w:ascii="Times New Roman" w:eastAsia="Calibri" w:hAnsi="Times New Roman" w:cs="Times New Roman"/>
          <w:bCs/>
          <w:color w:val="000000"/>
          <w:sz w:val="24"/>
          <w:szCs w:val="24"/>
        </w:rPr>
        <w:instrText xml:space="preserve"> ADDIN ZOTERO_ITEM CSL_CITATION {"citationID":"a2d3hshgfrg","properties":{"formattedCitation":"(Alghazo et al., 2019)","plainCitation":"(Alghazo et al., 2019)","noteIndex":0},"citationItems":[{"id":3838,"uris":["http://zotero.org/users/local/b6CRLSJH/items/MR67BK24"],"itemData":{"id":3838,"type":"article-journal","abstract":"This paper for the first time aims to valorize the environmental and economic values of electronic waste recycling for member states of the Gulf Cooperation Council (GCC) from the year 2018 up to 2040. GCC countries have a unique situation due to the significant economic growth with the resulting urbanization and population growth accompanied by high standards of living that in turn increase all types of waste. A direct link among the living standards and quantity of electronic waste production is observed in the GCC states. The annual growth of electronic waste in GCC is 3–5% while the current estimated electronic waste generation exceeds 52.2 million metric tonnes (Mt). In 2018, GCC states generated 857 kilotonnes (kt) electronic waste that would be 1.094 Mt by 2040. KSA, among the GCC states, generated the highest amount of electronic waste (533 kt) in 2018 that would be 675 kt by 2040. GCC countries are on the right track of developing policies and regulations for managing electronic waste. However, more efforts are required to ensure the implementation of these regulations. The findings of this study would be a base for the future studies in the electronic waste sector in the GCC region and a novel initiative for GCC to develop a unified free zone for the electronic waste recycling that will meet the local, regional, and international standards and regulations. This unified GCC initiative has substantial economic and environmental benefits for the region.","container-title":"Environmental Science and Pollution Research","DOI":"10.1007/s11356-019-04956-y","ISSN":"0944-1344, 1614-7499","issue":"35","journalAbbreviation":"Environ Sci Pollut Res","language":"en","note":"number: 35","page":"35610-35619","source":"DOI.org (Crossref)","title":"Potential of electronic waste recycling in Gulf Cooperation Council states: an environmental and economic analysis","title-short":"Potential of electronic waste recycling in Gulf Cooperation Council states","volume":"26","author":[{"family":"Alghazo","given":"Jaafar"},{"family":"Ouda","given":"Omar"},{"family":"Alanezi","given":"Faisal"},{"family":"Asam","given":"Zaki-ul-Zaman"},{"family":"Rehan","given":"Mohammad"},{"family":"Salameh","given":"Muamar Hasan"},{"family":"Nizami","given":"Abdul-Sattar"}],"issued":{"date-parts":[["2019",12]]}}}],"schema":"https://github.com/citation-style-language/schema/raw/master/csl-citation.json"} </w:instrText>
      </w:r>
      <w:r w:rsidR="00274FBD" w:rsidRPr="00597FFB">
        <w:rPr>
          <w:rFonts w:ascii="Times New Roman" w:eastAsia="Calibri" w:hAnsi="Times New Roman" w:cs="Times New Roman"/>
          <w:bCs/>
          <w:color w:val="000000"/>
          <w:sz w:val="24"/>
          <w:szCs w:val="24"/>
        </w:rPr>
        <w:fldChar w:fldCharType="separate"/>
      </w:r>
      <w:r w:rsidR="00B10E99" w:rsidRPr="00597FFB">
        <w:rPr>
          <w:rFonts w:ascii="Times New Roman" w:hAnsi="Times New Roman" w:cs="Times New Roman"/>
          <w:sz w:val="24"/>
          <w:szCs w:val="24"/>
        </w:rPr>
        <w:t>(Alghazo et al., 2019)</w:t>
      </w:r>
      <w:r w:rsidR="00274FBD" w:rsidRPr="00597FFB">
        <w:rPr>
          <w:rFonts w:ascii="Times New Roman" w:eastAsia="Calibri" w:hAnsi="Times New Roman" w:cs="Times New Roman"/>
          <w:bCs/>
          <w:color w:val="000000"/>
          <w:sz w:val="24"/>
          <w:szCs w:val="24"/>
        </w:rPr>
        <w:fldChar w:fldCharType="end"/>
      </w:r>
      <w:r w:rsidR="00274FBD" w:rsidRPr="00597FFB">
        <w:rPr>
          <w:rFonts w:ascii="Times New Roman" w:eastAsia="Calibri" w:hAnsi="Times New Roman" w:cs="Times New Roman"/>
          <w:bCs/>
          <w:color w:val="000000"/>
          <w:sz w:val="24"/>
          <w:szCs w:val="24"/>
        </w:rPr>
        <w:t>.</w:t>
      </w:r>
    </w:p>
    <w:p w14:paraId="7DE4C8A2" w14:textId="50CEEFE6" w:rsidR="009D4FB4" w:rsidRPr="00597FFB" w:rsidRDefault="009D4FB4" w:rsidP="00BD4BEC">
      <w:pPr>
        <w:autoSpaceDE w:val="0"/>
        <w:autoSpaceDN w:val="0"/>
        <w:adjustRightInd w:val="0"/>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Calibri" w:hAnsi="Times New Roman" w:cs="Times New Roman"/>
          <w:bCs/>
          <w:color w:val="000000"/>
          <w:sz w:val="24"/>
          <w:szCs w:val="24"/>
        </w:rPr>
        <w:t>The geography of global trade in electronic disposal no longer assumes, which to a small extent underpins international regulations (the Basel Convention</w:t>
      </w:r>
      <w:r w:rsidRPr="00597FFB">
        <w:rPr>
          <w:rStyle w:val="FootnoteReference"/>
        </w:rPr>
        <w:footnoteReference w:id="2"/>
      </w:r>
      <w:r w:rsidRPr="00597FFB">
        <w:rPr>
          <w:rFonts w:ascii="Times New Roman" w:eastAsia="Calibri" w:hAnsi="Times New Roman" w:cs="Times New Roman"/>
          <w:bCs/>
          <w:color w:val="000000"/>
          <w:sz w:val="24"/>
          <w:szCs w:val="24"/>
        </w:rPr>
        <w:t xml:space="preserve">), that advanced countries in the west are dumping waste on emerging countries in the South. </w:t>
      </w:r>
      <w:r w:rsidRPr="00597FFB">
        <w:rPr>
          <w:rFonts w:ascii="Times New Roman" w:eastAsia="Times New Roman" w:hAnsi="Times New Roman" w:cs="Times New Roman"/>
          <w:bCs/>
          <w:color w:val="000000"/>
          <w:sz w:val="24"/>
          <w:szCs w:val="24"/>
        </w:rPr>
        <w:t xml:space="preserve">India is one of the largest consumers of EEE </w:t>
      </w:r>
      <w:r w:rsidR="008657D6" w:rsidRPr="00597FFB">
        <w:rPr>
          <w:rFonts w:ascii="Times New Roman" w:eastAsia="Times New Roman" w:hAnsi="Times New Roman" w:cs="Times New Roman"/>
          <w:bCs/>
          <w:color w:val="000000"/>
          <w:sz w:val="24"/>
          <w:szCs w:val="24"/>
        </w:rPr>
        <w:fldChar w:fldCharType="begin"/>
      </w:r>
      <w:r w:rsidR="00000F16" w:rsidRPr="00597FFB">
        <w:rPr>
          <w:rFonts w:ascii="Times New Roman" w:eastAsia="Times New Roman" w:hAnsi="Times New Roman" w:cs="Times New Roman"/>
          <w:bCs/>
          <w:color w:val="000000"/>
          <w:sz w:val="24"/>
          <w:szCs w:val="24"/>
        </w:rPr>
        <w:instrText xml:space="preserve"> ADDIN ZOTERO_ITEM CSL_CITATION {"citationID":"a1n9hm0hoc2","properties":{"formattedCitation":"(Guarnieri et al., 2020)","plainCitation":"(Guarnieri et al., 2020)","noteIndex":0},"citationItems":[{"id":1898,"uris":["http://zotero.org/users/local/b6CRLSJH/items/MR369ZFJ"],"itemData":{"id":1898,"type":"article-journal","abstract":"As e-waste exponentially increases on a global scale, some legislation and plans to implement reverse logistics have arisen in some countries. While reverse logistics is already well consolidated in developed countries, it is still in a state of infancy in developing countries. In this article, we propose a theoretical model to assess reverse logistics, based on a multicriteria decision aid perspective. This was done while considering a context in which the implementation of the reverse logistics of e-waste is at the beginning. To show the main characteristics of the literature and obtain the model’s inputs, we conducted a systematic literature review to help us understand the main criteria and methods used for this purpose. Then, we illustrated the use of the proposed model with a numerical example. This paper contributes to the current body of research, and aims to assist practitioners within the ﬁeld of reverse logistics by systematizing the knowledge related to this issue, and o</w:instrText>
      </w:r>
      <w:r w:rsidR="00000F16" w:rsidRPr="00597FFB">
        <w:rPr>
          <w:rFonts w:ascii="Cambria Math" w:eastAsia="Times New Roman" w:hAnsi="Cambria Math" w:cs="Cambria Math"/>
          <w:bCs/>
          <w:color w:val="000000"/>
          <w:sz w:val="24"/>
          <w:szCs w:val="24"/>
        </w:rPr>
        <w:instrText>ﬀ</w:instrText>
      </w:r>
      <w:r w:rsidR="00000F16" w:rsidRPr="00597FFB">
        <w:rPr>
          <w:rFonts w:ascii="Times New Roman" w:eastAsia="Times New Roman" w:hAnsi="Times New Roman" w:cs="Times New Roman"/>
          <w:bCs/>
          <w:color w:val="000000"/>
          <w:sz w:val="24"/>
          <w:szCs w:val="24"/>
        </w:rPr>
        <w:instrText>ering a model that can guide the decision-making. This model di</w:instrText>
      </w:r>
      <w:r w:rsidR="00000F16" w:rsidRPr="00597FFB">
        <w:rPr>
          <w:rFonts w:ascii="Cambria Math" w:eastAsia="Times New Roman" w:hAnsi="Cambria Math" w:cs="Cambria Math"/>
          <w:bCs/>
          <w:color w:val="000000"/>
          <w:sz w:val="24"/>
          <w:szCs w:val="24"/>
        </w:rPr>
        <w:instrText>ﬀ</w:instrText>
      </w:r>
      <w:r w:rsidR="00000F16" w:rsidRPr="00597FFB">
        <w:rPr>
          <w:rFonts w:ascii="Times New Roman" w:eastAsia="Times New Roman" w:hAnsi="Times New Roman" w:cs="Times New Roman"/>
          <w:bCs/>
          <w:color w:val="000000"/>
          <w:sz w:val="24"/>
          <w:szCs w:val="24"/>
        </w:rPr>
        <w:instrText xml:space="preserve">erentiates from others already published because it uses the probabilistic composition of preferences (PCP) method, which does not require the assignment of weights. The model can also be used while considering the preferences of several decision-makers, therefore covering several points of view and providing a more holistic view of the decision problem.","container-title":"Logistics","DOI":"10.3390/logistics4040025","ISSN":"2305-6290","issue":"4","journalAbbreviation":"Logistics","language":"en","page":"25","source":"DOI.org (Crossref)","title":"How to Assess Reverse Logistics of e-Waste Considering a Multicriteria Perspective? A Model Proposition","title-short":"How to Assess Reverse Logistics of e-Waste Considering a Multicriteria Perspective?","volume":"4","author":[{"family":"Guarnieri","given":"Patricia"},{"family":"Camara e Silva","given":"Lucio"},{"family":"Vieira","given":"Bárbara"}],"issued":{"date-parts":[["2020",10,11]]}}}],"schema":"https://github.com/citation-style-language/schema/raw/master/csl-citation.json"} </w:instrText>
      </w:r>
      <w:r w:rsidR="008657D6" w:rsidRPr="00597FFB">
        <w:rPr>
          <w:rFonts w:ascii="Times New Roman" w:eastAsia="Times New Roman" w:hAnsi="Times New Roman" w:cs="Times New Roman"/>
          <w:bCs/>
          <w:color w:val="000000"/>
          <w:sz w:val="24"/>
          <w:szCs w:val="24"/>
        </w:rPr>
        <w:fldChar w:fldCharType="separate"/>
      </w:r>
      <w:r w:rsidR="00000F16" w:rsidRPr="00597FFB">
        <w:rPr>
          <w:rFonts w:ascii="Times New Roman" w:hAnsi="Times New Roman" w:cs="Times New Roman"/>
          <w:sz w:val="24"/>
          <w:szCs w:val="24"/>
        </w:rPr>
        <w:t>(Guarnieri et al., 2020)</w:t>
      </w:r>
      <w:r w:rsidR="008657D6" w:rsidRPr="00597FFB">
        <w:rPr>
          <w:rFonts w:ascii="Times New Roman" w:eastAsia="Times New Roman" w:hAnsi="Times New Roman" w:cs="Times New Roman"/>
          <w:bCs/>
          <w:color w:val="000000"/>
          <w:sz w:val="24"/>
          <w:szCs w:val="24"/>
        </w:rPr>
        <w:fldChar w:fldCharType="end"/>
      </w:r>
      <w:r w:rsidR="00000F16"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About 70% of the E-waste generated or disposed of in India originates from abroad. According to the Associated Chambers of Commerce of India (ASSOCHAM), it is likely that </w:t>
      </w:r>
      <w:r w:rsidR="004C3A03" w:rsidRPr="00597FFB">
        <w:rPr>
          <w:rFonts w:ascii="Times New Roman" w:eastAsia="Times New Roman" w:hAnsi="Times New Roman" w:cs="Times New Roman"/>
          <w:bCs/>
          <w:sz w:val="24"/>
          <w:szCs w:val="24"/>
        </w:rPr>
        <w:t xml:space="preserve">India’s </w:t>
      </w:r>
      <w:r w:rsidRPr="00597FFB">
        <w:rPr>
          <w:rFonts w:ascii="Times New Roman" w:eastAsia="Times New Roman" w:hAnsi="Times New Roman" w:cs="Times New Roman"/>
          <w:bCs/>
          <w:color w:val="000000"/>
          <w:sz w:val="24"/>
          <w:szCs w:val="24"/>
        </w:rPr>
        <w:t>E-</w:t>
      </w:r>
      <w:r w:rsidRPr="00597FFB">
        <w:rPr>
          <w:rFonts w:ascii="Times New Roman" w:eastAsia="Times New Roman" w:hAnsi="Times New Roman" w:cs="Times New Roman"/>
          <w:bCs/>
          <w:sz w:val="24"/>
          <w:szCs w:val="24"/>
        </w:rPr>
        <w:t xml:space="preserve">waste </w:t>
      </w:r>
      <w:r w:rsidR="004C3A03" w:rsidRPr="00597FFB">
        <w:rPr>
          <w:rFonts w:ascii="Times New Roman" w:eastAsia="Times New Roman" w:hAnsi="Times New Roman" w:cs="Times New Roman"/>
          <w:bCs/>
          <w:sz w:val="24"/>
          <w:szCs w:val="24"/>
        </w:rPr>
        <w:t>quantity</w:t>
      </w:r>
      <w:r w:rsidRPr="00597FFB">
        <w:rPr>
          <w:rFonts w:ascii="Times New Roman" w:eastAsia="Times New Roman" w:hAnsi="Times New Roman" w:cs="Times New Roman"/>
          <w:bCs/>
          <w:sz w:val="24"/>
          <w:szCs w:val="24"/>
        </w:rPr>
        <w:t xml:space="preserve"> will reach 1</w:t>
      </w:r>
      <w:r w:rsidR="004C3A03" w:rsidRPr="00597FFB">
        <w:rPr>
          <w:rFonts w:ascii="Times New Roman" w:eastAsia="Times New Roman" w:hAnsi="Times New Roman" w:cs="Times New Roman"/>
          <w:bCs/>
          <w:sz w:val="24"/>
          <w:szCs w:val="24"/>
        </w:rPr>
        <w:t>.</w:t>
      </w:r>
      <w:r w:rsidRPr="00597FFB">
        <w:rPr>
          <w:rFonts w:ascii="Times New Roman" w:eastAsia="Times New Roman" w:hAnsi="Times New Roman" w:cs="Times New Roman"/>
          <w:bCs/>
          <w:sz w:val="24"/>
          <w:szCs w:val="24"/>
        </w:rPr>
        <w:t xml:space="preserve">25 Mt by 2025 if it grows at an annual rate </w:t>
      </w:r>
      <w:r w:rsidRPr="00597FFB">
        <w:rPr>
          <w:rFonts w:ascii="Times New Roman" w:eastAsia="Times New Roman" w:hAnsi="Times New Roman" w:cs="Times New Roman"/>
          <w:bCs/>
          <w:color w:val="000000"/>
          <w:sz w:val="24"/>
          <w:szCs w:val="24"/>
        </w:rPr>
        <w:t xml:space="preserve">of 25% </w:t>
      </w:r>
      <w:sdt>
        <w:sdtPr>
          <w:rPr>
            <w:rFonts w:ascii="Times New Roman" w:eastAsia="Calibri" w:hAnsi="Times New Roman" w:cs="Times New Roman"/>
            <w:color w:val="000000" w:themeColor="text1"/>
            <w:sz w:val="24"/>
            <w:szCs w:val="24"/>
          </w:rPr>
          <w:id w:val="1678306006"/>
          <w:citation/>
        </w:sdtPr>
        <w:sdtContent>
          <w:r w:rsidR="008657D6" w:rsidRPr="00597FFB">
            <w:rPr>
              <w:rFonts w:ascii="Times New Roman" w:eastAsia="Calibri" w:hAnsi="Times New Roman" w:cs="Times New Roman"/>
              <w:color w:val="000000" w:themeColor="text1"/>
              <w:sz w:val="24"/>
              <w:szCs w:val="24"/>
            </w:rPr>
            <w:fldChar w:fldCharType="begin"/>
          </w:r>
          <w:r w:rsidR="008657D6" w:rsidRPr="00597FFB">
            <w:rPr>
              <w:rFonts w:ascii="Times New Roman" w:eastAsia="Calibri" w:hAnsi="Times New Roman" w:cs="Times New Roman"/>
              <w:color w:val="000000" w:themeColor="text1"/>
              <w:sz w:val="24"/>
              <w:szCs w:val="24"/>
            </w:rPr>
            <w:instrText xml:space="preserve">CITATION The221 \l 1033 </w:instrText>
          </w:r>
          <w:r w:rsidR="008657D6" w:rsidRPr="00597FFB">
            <w:rPr>
              <w:rFonts w:ascii="Times New Roman" w:eastAsia="Calibri" w:hAnsi="Times New Roman" w:cs="Times New Roman"/>
              <w:color w:val="000000" w:themeColor="text1"/>
              <w:sz w:val="24"/>
              <w:szCs w:val="24"/>
            </w:rPr>
            <w:fldChar w:fldCharType="separate"/>
          </w:r>
          <w:r w:rsidR="008657D6" w:rsidRPr="00597FFB">
            <w:rPr>
              <w:rFonts w:ascii="Times New Roman" w:eastAsia="Calibri" w:hAnsi="Times New Roman" w:cs="Times New Roman"/>
              <w:noProof/>
              <w:color w:val="000000" w:themeColor="text1"/>
              <w:sz w:val="24"/>
              <w:szCs w:val="24"/>
            </w:rPr>
            <w:t>(The World Bank Group, 2022b)</w:t>
          </w:r>
          <w:r w:rsidR="008657D6" w:rsidRPr="00597FFB">
            <w:rPr>
              <w:rFonts w:ascii="Times New Roman" w:eastAsia="Calibri" w:hAnsi="Times New Roman" w:cs="Times New Roman"/>
              <w:color w:val="000000" w:themeColor="text1"/>
              <w:sz w:val="24"/>
              <w:szCs w:val="24"/>
            </w:rPr>
            <w:fldChar w:fldCharType="end"/>
          </w:r>
        </w:sdtContent>
      </w:sdt>
      <w:r w:rsidR="008657D6" w:rsidRPr="00597FFB">
        <w:rPr>
          <w:rFonts w:ascii="Times New Roman" w:eastAsia="Calibri" w:hAnsi="Times New Roman" w:cs="Times New Roman"/>
          <w:color w:val="000000" w:themeColor="text1"/>
          <w:sz w:val="24"/>
          <w:szCs w:val="24"/>
        </w:rPr>
        <w:t>.</w:t>
      </w:r>
      <w:r w:rsidR="008657D6"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Another hotspot destination of E-waste is Pakistan since the US, the European Union, and Australia send large E-waste volumes.</w:t>
      </w:r>
      <w:r w:rsidRPr="00597FFB">
        <w:rPr>
          <w:rFonts w:ascii="Times New Roman" w:eastAsia="Calibri" w:hAnsi="Times New Roman" w:cs="Times New Roman"/>
          <w:color w:val="000000"/>
          <w:sz w:val="24"/>
          <w:szCs w:val="24"/>
        </w:rPr>
        <w:t xml:space="preserve"> </w:t>
      </w:r>
      <w:r w:rsidRPr="00597FFB">
        <w:rPr>
          <w:rFonts w:ascii="Times New Roman" w:eastAsia="Times New Roman" w:hAnsi="Times New Roman" w:cs="Times New Roman"/>
          <w:bCs/>
          <w:sz w:val="24"/>
          <w:szCs w:val="24"/>
        </w:rPr>
        <w:t xml:space="preserve">Although policies prohibit E-waste's importation to Pakistan annually, approximately 0.1 Mt of E-waste is sent to Pakistan as second-hand goods </w:t>
      </w:r>
      <w:r w:rsidR="00892096" w:rsidRPr="00597FFB">
        <w:rPr>
          <w:rFonts w:ascii="Times New Roman" w:eastAsia="Times New Roman" w:hAnsi="Times New Roman" w:cs="Times New Roman"/>
          <w:bCs/>
          <w:sz w:val="24"/>
          <w:szCs w:val="24"/>
        </w:rPr>
        <w:fldChar w:fldCharType="begin"/>
      </w:r>
      <w:r w:rsidR="00BD4BEC" w:rsidRPr="00597FFB">
        <w:rPr>
          <w:rFonts w:ascii="Times New Roman" w:eastAsia="Times New Roman" w:hAnsi="Times New Roman" w:cs="Times New Roman"/>
          <w:bCs/>
          <w:sz w:val="24"/>
          <w:szCs w:val="24"/>
        </w:rPr>
        <w:instrText xml:space="preserve"> ADDIN ZOTERO_ITEM CSL_CITATION {"citationID":"a98o6kdid7","properties":{"formattedCitation":"(Esfandiar et al., 2020a)","plainCitation":"(Esfandiar et al., 2020a)","noteIndex":0},"citationItems":[{"id":1646,"uris":["http://zotero.org/users/local/b6CRLSJH/items/2XYDRIZP"],"itemData":{"id":1646,"type":"article-journal","abstract":"A pro-environmental behaviour to solve the problem of litter management in the national parks is binning. This study is the first to explore the factors affecting an individual’s binning behaviour in the context of a national park. Drawing on theories with self-interest (i.e. theory of planned behaviour) and other-interest/pro-social (i.e. norm-activation model) motives, an integrated structural model of binning behaviour (IMB) was developed. Our study analysed data from visitors (n ¼ 240) to Sorkh-ehesar National Park in Iran. Based on our proposed integrated theory of planned behaviour and norm activation model, the partial least squares structural equation modelling (PLS-SEM) provided satisfactory empirical anticipatory efficacy for binning behaviours. The PLS-SEM results revealed the association between awareness of consequences and personal norms was the strongest, and personal norm was the most influential determinant of pro-environmental binning behaviour. The results also showed that attitude had no significant effect on binning behaviour but was influenced by awareness of consequences. Moreover, a salient role of personal norms in predicting binning behaviour emerged – personal norms illuminated a significant mediator between social norms, awareness of consequences and binning behaviour. Results of this study endorse the proposed theoretical framework, including the associations among study variables. National park agencies should strengthen the saliency of visitors’ personal norms and raise awareness of littering problems and social norms to increase visitors’ bin use while visiting the park.","container-title":"Journal of Sustainable Tourism","DOI":"10.1080/09669582.2019.1663203","ISSN":"0966-9582, 1747-7646","issue":"1","journalAbbreviation":"Journal of Sustainable Tourism","language":"en","page":"10-32","source":"DOI.org (Crossref)","title":"Personal norms and the adoption of pro-environmental binning behaviour in national parks: an integrated structural model approach","title-short":"Personal norms and the adoption of pro-environmental binning behaviour in national parks","volume":"28","author":[{"family":"Esfandiar","given":"Kourosh"},{"family":"Dowling","given":"Ross"},{"family":"Pearce","given":"Joanna"},{"family":"Goh","given":"Edmund"}],"issued":{"date-parts":[["2020",1,2]]}}}],"schema":"https://github.com/citation-style-language/schema/raw/master/csl-citation.json"} </w:instrText>
      </w:r>
      <w:r w:rsidR="00892096" w:rsidRPr="00597FFB">
        <w:rPr>
          <w:rFonts w:ascii="Times New Roman" w:eastAsia="Times New Roman" w:hAnsi="Times New Roman" w:cs="Times New Roman"/>
          <w:bCs/>
          <w:sz w:val="24"/>
          <w:szCs w:val="24"/>
        </w:rPr>
        <w:fldChar w:fldCharType="separate"/>
      </w:r>
      <w:r w:rsidR="00BD4BEC" w:rsidRPr="00597FFB">
        <w:rPr>
          <w:rFonts w:ascii="Times New Roman" w:hAnsi="Times New Roman" w:cs="Times New Roman"/>
          <w:sz w:val="24"/>
        </w:rPr>
        <w:t>(Esfandiar et al., 2020a)</w:t>
      </w:r>
      <w:r w:rsidR="00892096" w:rsidRPr="00597FFB">
        <w:rPr>
          <w:rFonts w:ascii="Times New Roman" w:eastAsia="Times New Roman" w:hAnsi="Times New Roman" w:cs="Times New Roman"/>
          <w:bCs/>
          <w:sz w:val="24"/>
          <w:szCs w:val="24"/>
        </w:rPr>
        <w:fldChar w:fldCharType="end"/>
      </w:r>
      <w:r w:rsidR="00E564BA" w:rsidRPr="00597FFB">
        <w:rPr>
          <w:rFonts w:ascii="Times New Roman" w:eastAsia="Times New Roman" w:hAnsi="Times New Roman" w:cs="Times New Roman"/>
          <w:bCs/>
          <w:sz w:val="24"/>
          <w:szCs w:val="24"/>
        </w:rPr>
        <w:t>.</w:t>
      </w:r>
    </w:p>
    <w:p w14:paraId="4CF1E6BD" w14:textId="104AA6F6" w:rsidR="009D4FB4" w:rsidRPr="00597FFB" w:rsidRDefault="009D4FB4" w:rsidP="004D18C0">
      <w:pPr>
        <w:autoSpaceDE w:val="0"/>
        <w:autoSpaceDN w:val="0"/>
        <w:adjustRightInd w:val="0"/>
        <w:spacing w:before="26" w:after="26" w:line="480" w:lineRule="auto"/>
        <w:ind w:firstLine="720"/>
        <w:jc w:val="both"/>
        <w:rPr>
          <w:rFonts w:ascii="Times New Roman" w:eastAsia="Calibri" w:hAnsi="Times New Roman" w:cs="Times New Roman"/>
          <w:bCs/>
          <w:color w:val="000000"/>
          <w:sz w:val="24"/>
          <w:szCs w:val="24"/>
        </w:rPr>
      </w:pPr>
      <w:r w:rsidRPr="00597FFB">
        <w:rPr>
          <w:rFonts w:ascii="Times New Roman" w:eastAsia="Calibri" w:hAnsi="Times New Roman" w:cs="Times New Roman"/>
          <w:sz w:val="24"/>
          <w:szCs w:val="24"/>
        </w:rPr>
        <w:t xml:space="preserve">Africa has the least direct EEE; they generate approximately 5% of the </w:t>
      </w:r>
      <w:r w:rsidR="003B027B" w:rsidRPr="00597FFB">
        <w:rPr>
          <w:rFonts w:ascii="Times New Roman" w:eastAsia="Calibri" w:hAnsi="Times New Roman" w:cs="Times New Roman"/>
          <w:sz w:val="24"/>
          <w:szCs w:val="24"/>
        </w:rPr>
        <w:t>global</w:t>
      </w:r>
      <w:r w:rsidRPr="00597FFB">
        <w:rPr>
          <w:rFonts w:ascii="Times New Roman" w:eastAsia="Calibri" w:hAnsi="Times New Roman" w:cs="Times New Roman"/>
          <w:sz w:val="24"/>
          <w:szCs w:val="24"/>
        </w:rPr>
        <w:t xml:space="preserve"> E-waste. </w:t>
      </w:r>
      <w:r w:rsidRPr="00597FFB">
        <w:rPr>
          <w:rFonts w:ascii="Times New Roman" w:eastAsia="Calibri" w:hAnsi="Times New Roman" w:cs="Times New Roman"/>
          <w:color w:val="000000"/>
          <w:sz w:val="24"/>
          <w:szCs w:val="24"/>
        </w:rPr>
        <w:t xml:space="preserve">About 50% of the E-waste that Africa generates is </w:t>
      </w:r>
      <w:r w:rsidR="00BD522E" w:rsidRPr="00597FFB">
        <w:rPr>
          <w:rFonts w:ascii="Times New Roman" w:eastAsia="Calibri" w:hAnsi="Times New Roman" w:cs="Times New Roman"/>
          <w:color w:val="000000"/>
          <w:sz w:val="24"/>
          <w:szCs w:val="24"/>
        </w:rPr>
        <w:t>attributed</w:t>
      </w:r>
      <w:r w:rsidRPr="00597FFB">
        <w:rPr>
          <w:rFonts w:ascii="Times New Roman" w:eastAsia="Calibri" w:hAnsi="Times New Roman" w:cs="Times New Roman"/>
          <w:color w:val="000000"/>
          <w:sz w:val="24"/>
          <w:szCs w:val="24"/>
        </w:rPr>
        <w:t xml:space="preserve"> to transboundary imports from developed countries </w:t>
      </w:r>
      <w:r w:rsidR="00E564BA" w:rsidRPr="00597FFB">
        <w:rPr>
          <w:rFonts w:ascii="Times New Roman" w:eastAsia="Calibri" w:hAnsi="Times New Roman" w:cs="Times New Roman"/>
          <w:color w:val="000000"/>
          <w:sz w:val="24"/>
          <w:szCs w:val="24"/>
        </w:rPr>
        <w:fldChar w:fldCharType="begin"/>
      </w:r>
      <w:r w:rsidR="004D18C0" w:rsidRPr="00597FFB">
        <w:rPr>
          <w:rFonts w:ascii="Times New Roman" w:eastAsia="Calibri" w:hAnsi="Times New Roman" w:cs="Times New Roman"/>
          <w:color w:val="000000"/>
          <w:sz w:val="24"/>
          <w:szCs w:val="24"/>
        </w:rPr>
        <w:instrText xml:space="preserve"> ADDIN ZOTERO_ITEM CSL_CITATION {"citationID":"aiit62938e","properties":{"formattedCitation":"(Adanu et al., 2020b)","plainCitation":"(Adanu et al., 2020b)","noteIndex":0},"citationItems":[{"id":1918,"uris":["http://zotero.org/users/local/b6CRLSJH/items/Z4R9T454"],"itemData":{"id":1918,"type":"article-journal","abstract":"The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E564BA" w:rsidRPr="00597FFB">
        <w:rPr>
          <w:rFonts w:ascii="Times New Roman" w:eastAsia="Calibri" w:hAnsi="Times New Roman" w:cs="Times New Roman"/>
          <w:color w:val="000000"/>
          <w:sz w:val="24"/>
          <w:szCs w:val="24"/>
        </w:rPr>
        <w:fldChar w:fldCharType="separate"/>
      </w:r>
      <w:r w:rsidR="004D18C0" w:rsidRPr="00597FFB">
        <w:rPr>
          <w:rFonts w:ascii="Times New Roman" w:hAnsi="Times New Roman" w:cs="Times New Roman"/>
          <w:sz w:val="24"/>
        </w:rPr>
        <w:t>(Adanu et al., 2020b)</w:t>
      </w:r>
      <w:r w:rsidR="00E564BA" w:rsidRPr="00597FFB">
        <w:rPr>
          <w:rFonts w:ascii="Times New Roman" w:eastAsia="Calibri" w:hAnsi="Times New Roman" w:cs="Times New Roman"/>
          <w:color w:val="000000"/>
          <w:sz w:val="24"/>
          <w:szCs w:val="24"/>
        </w:rPr>
        <w:fldChar w:fldCharType="end"/>
      </w:r>
      <w:r w:rsidR="00931AC8"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 xml:space="preserve">For example, </w:t>
      </w:r>
      <w:r w:rsidRPr="00597FFB">
        <w:rPr>
          <w:rFonts w:ascii="Times New Roman" w:eastAsia="Calibri" w:hAnsi="Times New Roman" w:cs="Times New Roman"/>
          <w:color w:val="000000"/>
          <w:sz w:val="24"/>
          <w:szCs w:val="24"/>
        </w:rPr>
        <w:t xml:space="preserve">the </w:t>
      </w:r>
      <w:r w:rsidR="00BD522E" w:rsidRPr="00597FFB">
        <w:rPr>
          <w:rFonts w:ascii="Times New Roman" w:eastAsia="Calibri" w:hAnsi="Times New Roman" w:cs="Times New Roman"/>
          <w:color w:val="000000"/>
          <w:sz w:val="24"/>
          <w:szCs w:val="24"/>
        </w:rPr>
        <w:t xml:space="preserve">E-waste </w:t>
      </w:r>
      <w:r w:rsidRPr="00597FFB">
        <w:rPr>
          <w:rFonts w:ascii="Times New Roman" w:eastAsia="Calibri" w:hAnsi="Times New Roman" w:cs="Times New Roman"/>
          <w:color w:val="000000"/>
          <w:sz w:val="24"/>
          <w:szCs w:val="24"/>
        </w:rPr>
        <w:t xml:space="preserve">percentages from the </w:t>
      </w:r>
      <w:r w:rsidR="004C3A03" w:rsidRPr="00597FFB">
        <w:rPr>
          <w:rFonts w:ascii="Times New Roman" w:eastAsia="Calibri" w:hAnsi="Times New Roman" w:cs="Times New Roman"/>
          <w:color w:val="000000"/>
          <w:sz w:val="24"/>
          <w:szCs w:val="24"/>
        </w:rPr>
        <w:t>UK</w:t>
      </w:r>
      <w:r w:rsidRPr="00597FFB">
        <w:rPr>
          <w:rFonts w:ascii="Times New Roman" w:eastAsia="Calibri" w:hAnsi="Times New Roman" w:cs="Times New Roman"/>
          <w:color w:val="000000"/>
          <w:sz w:val="24"/>
          <w:szCs w:val="24"/>
        </w:rPr>
        <w:t xml:space="preserve">, Germany, China, the US, and other countries to Nigeria were 60%, 16%, 9%, 3%, and 12%, respectively, and the importation of E-waste to Nigeria is mainly through seaports </w:t>
      </w:r>
      <w:r w:rsidR="00BD30DD" w:rsidRPr="00597FFB">
        <w:rPr>
          <w:rFonts w:ascii="Times New Roman" w:eastAsia="Calibri" w:hAnsi="Times New Roman" w:cs="Times New Roman"/>
          <w:color w:val="000000"/>
          <w:sz w:val="24"/>
          <w:szCs w:val="24"/>
        </w:rPr>
        <w:fldChar w:fldCharType="begin"/>
      </w:r>
      <w:r w:rsidR="00156C44" w:rsidRPr="00597FFB">
        <w:rPr>
          <w:rFonts w:ascii="Times New Roman" w:eastAsia="Calibri" w:hAnsi="Times New Roman" w:cs="Times New Roman"/>
          <w:color w:val="000000"/>
          <w:sz w:val="24"/>
          <w:szCs w:val="24"/>
        </w:rPr>
        <w:instrText xml:space="preserve"> ADDIN ZOTERO_ITEM CSL_CITATION {"citationID":"ap2gi5ho8d","properties":{"formattedCitation":"(Delcea et al., 2020b)","plainCitation":"(Delcea et al., 2020b)","noteIndex":0},"citationItems":[{"id":3968,"uris":["http://zotero.org/users/local/b6CRLSJH/items/LQHGEWED"],"itemData":{"id":3968,"type":"article-journal","abstract":"Due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00156C44" w:rsidRPr="00597FFB">
        <w:rPr>
          <w:rFonts w:ascii="Cambria Math" w:eastAsia="Calibri" w:hAnsi="Cambria Math" w:cs="Cambria Math"/>
          <w:color w:val="000000"/>
          <w:sz w:val="24"/>
          <w:szCs w:val="24"/>
        </w:rPr>
        <w:instrText>ﬃ</w:instrText>
      </w:r>
      <w:r w:rsidR="00156C44" w:rsidRPr="00597FFB">
        <w:rPr>
          <w:rFonts w:ascii="Times New Roman" w:eastAsia="Calibri" w:hAnsi="Times New Roman" w:cs="Times New Roman"/>
          <w:color w:val="000000"/>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00156C44" w:rsidRPr="00597FFB">
        <w:rPr>
          <w:rFonts w:ascii="Cambria Math" w:eastAsia="Calibri" w:hAnsi="Cambria Math" w:cs="Cambria Math"/>
          <w:color w:val="000000"/>
          <w:sz w:val="24"/>
          <w:szCs w:val="24"/>
        </w:rPr>
        <w:instrText>ﬀ</w:instrText>
      </w:r>
      <w:r w:rsidR="00156C44" w:rsidRPr="00597FFB">
        <w:rPr>
          <w:rFonts w:ascii="Times New Roman" w:eastAsia="Calibri" w:hAnsi="Times New Roman" w:cs="Times New Roman"/>
          <w:color w:val="000000"/>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system.","container-title":"Sustainability","DOI":"10.3390/su12072753","ISSN":"2071-1050","issue":"7","journalAbbreviation":"Sustainability","language":"en","note":"number: 7","page":"2753","source":"DOI.org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00BD30DD" w:rsidRPr="00597FFB">
        <w:rPr>
          <w:rFonts w:ascii="Times New Roman" w:eastAsia="Calibri" w:hAnsi="Times New Roman" w:cs="Times New Roman"/>
          <w:color w:val="000000"/>
          <w:sz w:val="24"/>
          <w:szCs w:val="24"/>
        </w:rPr>
        <w:fldChar w:fldCharType="separate"/>
      </w:r>
      <w:r w:rsidR="00156C44" w:rsidRPr="00597FFB">
        <w:rPr>
          <w:rFonts w:ascii="Times New Roman" w:hAnsi="Times New Roman" w:cs="Times New Roman"/>
          <w:sz w:val="24"/>
          <w:szCs w:val="24"/>
        </w:rPr>
        <w:t>(Delcea et al., 2020b)</w:t>
      </w:r>
      <w:r w:rsidR="00BD30DD" w:rsidRPr="00597FFB">
        <w:rPr>
          <w:rFonts w:ascii="Times New Roman" w:eastAsia="Calibri" w:hAnsi="Times New Roman" w:cs="Times New Roman"/>
          <w:color w:val="000000"/>
          <w:sz w:val="24"/>
          <w:szCs w:val="24"/>
        </w:rPr>
        <w:fldChar w:fldCharType="end"/>
      </w:r>
      <w:r w:rsidR="00BD30DD"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 xml:space="preserve">It is believed that the actual amount of E-waste in Africa is much higher since high levels of E-waste enter the countries through illegal routes and are therefore not captured by official audits </w:t>
      </w:r>
      <w:r w:rsidR="00251E32" w:rsidRPr="00597FFB">
        <w:rPr>
          <w:rFonts w:ascii="Times New Roman" w:eastAsia="Calibri" w:hAnsi="Times New Roman" w:cs="Times New Roman"/>
          <w:sz w:val="24"/>
          <w:szCs w:val="24"/>
        </w:rPr>
        <w:t>(</w:t>
      </w:r>
      <w:r w:rsidR="00AB05A1" w:rsidRPr="00597FFB">
        <w:rPr>
          <w:rFonts w:ascii="Times New Roman" w:eastAsia="Calibri" w:hAnsi="Times New Roman" w:cs="Times New Roman"/>
          <w:sz w:val="24"/>
          <w:szCs w:val="24"/>
        </w:rPr>
        <w:fldChar w:fldCharType="begin"/>
      </w:r>
      <w:r w:rsidR="00156C44" w:rsidRPr="00597FFB">
        <w:rPr>
          <w:rFonts w:ascii="Times New Roman" w:eastAsia="Calibri" w:hAnsi="Times New Roman" w:cs="Times New Roman"/>
          <w:sz w:val="24"/>
          <w:szCs w:val="24"/>
        </w:rPr>
        <w:instrText xml:space="preserve"> ADDIN ZOTERO_ITEM CSL_CITATION {"citationID":"ajk7k6qfqm","properties":{"formattedCitation":"(Boubellouta &amp; Kusch-Brandt, 2021)","plainCitation":"(Boubellouta &amp; Kusch-Brandt, 2021)","noteIndex":0},"citationItems":[{"id":3852,"uris":["http://zotero.org/users/local/b6CRLSJH/items/4ARIJN9A"],"itemData":{"id":3852,"type":"article-journal","container-title":"Sustainable Production and Consumption","DOI":"10.1016/j.spc.2020.08.006","ISSN":"23525509","journalAbbreviation":"Sustainable Production and Consumption","language":"en","page":"136-151","source":"DOI.org (Crossref)","title":"Cross-country evidence on Environmental Kuznets Curve in Waste Electrical and Electronic Equipment for 174 Countries","volume":"25","author":[{"family":"Boubellouta","given":"Bilal"},{"family":"Kusch-Brandt","given":"Sigrid"}],"issued":{"date-parts":[["2021",1]]}}}],"schema":"https://github.com/citation-style-language/schema/raw/master/csl-citation.json"} </w:instrText>
      </w:r>
      <w:r w:rsidR="00AB05A1" w:rsidRPr="00597FFB">
        <w:rPr>
          <w:rFonts w:ascii="Times New Roman" w:eastAsia="Calibri" w:hAnsi="Times New Roman" w:cs="Times New Roman"/>
          <w:sz w:val="24"/>
          <w:szCs w:val="24"/>
        </w:rPr>
        <w:fldChar w:fldCharType="separate"/>
      </w:r>
      <w:r w:rsidR="00660A25" w:rsidRPr="00597FFB">
        <w:rPr>
          <w:rFonts w:ascii="Times New Roman" w:hAnsi="Times New Roman" w:cs="Times New Roman"/>
          <w:sz w:val="24"/>
          <w:szCs w:val="24"/>
        </w:rPr>
        <w:t>Zhu et al.,</w:t>
      </w:r>
      <w:r w:rsidR="00156C44" w:rsidRPr="00597FFB">
        <w:rPr>
          <w:rFonts w:ascii="Times New Roman" w:hAnsi="Times New Roman" w:cs="Times New Roman"/>
          <w:sz w:val="24"/>
          <w:szCs w:val="24"/>
        </w:rPr>
        <w:t xml:space="preserve"> 202</w:t>
      </w:r>
      <w:r w:rsidR="00660A25" w:rsidRPr="00597FFB">
        <w:rPr>
          <w:rFonts w:ascii="Times New Roman" w:hAnsi="Times New Roman" w:cs="Times New Roman"/>
          <w:sz w:val="24"/>
          <w:szCs w:val="24"/>
        </w:rPr>
        <w:t>2</w:t>
      </w:r>
      <w:r w:rsidR="00156C44" w:rsidRPr="00597FFB">
        <w:rPr>
          <w:rFonts w:ascii="Times New Roman" w:hAnsi="Times New Roman" w:cs="Times New Roman"/>
          <w:sz w:val="24"/>
          <w:szCs w:val="24"/>
        </w:rPr>
        <w:t>)</w:t>
      </w:r>
      <w:r w:rsidR="00AB05A1" w:rsidRPr="00597FFB">
        <w:rPr>
          <w:rFonts w:ascii="Times New Roman" w:eastAsia="Calibri" w:hAnsi="Times New Roman" w:cs="Times New Roman"/>
          <w:sz w:val="24"/>
          <w:szCs w:val="24"/>
        </w:rPr>
        <w:fldChar w:fldCharType="end"/>
      </w:r>
      <w:r w:rsidR="00AB05A1"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bCs/>
          <w:color w:val="000000"/>
          <w:sz w:val="24"/>
          <w:szCs w:val="24"/>
        </w:rPr>
        <w:t>While developed countries have established high capital, state-of-art plants to process various fractions and components of E-waste, developing countries face environmental and health challenges due to the prevalence of artisanal and informal recyclers</w:t>
      </w:r>
      <w:r w:rsidRPr="00597FFB">
        <w:rPr>
          <w:rFonts w:ascii="Times New Roman" w:eastAsia="Calibri" w:hAnsi="Times New Roman" w:cs="Times New Roman"/>
          <w:sz w:val="24"/>
          <w:szCs w:val="24"/>
        </w:rPr>
        <w:t xml:space="preserve"> </w:t>
      </w:r>
      <w:r w:rsidR="00156C44" w:rsidRPr="00597FFB">
        <w:rPr>
          <w:rFonts w:ascii="Times New Roman" w:eastAsia="Calibri" w:hAnsi="Times New Roman" w:cs="Times New Roman"/>
          <w:sz w:val="24"/>
          <w:szCs w:val="24"/>
        </w:rPr>
        <w:fldChar w:fldCharType="begin"/>
      </w:r>
      <w:r w:rsidR="004D18C0" w:rsidRPr="00597FFB">
        <w:rPr>
          <w:rFonts w:ascii="Times New Roman" w:eastAsia="Calibri" w:hAnsi="Times New Roman" w:cs="Times New Roman"/>
          <w:sz w:val="24"/>
          <w:szCs w:val="24"/>
        </w:rPr>
        <w:instrText xml:space="preserve"> ADDIN ZOTERO_ITEM CSL_CITATION {"citationID":"aa7i289abt","properties":{"formattedCitation":"(Adanu et al., 2020a)","plainCitation":"(Adanu et al., 2020a)","noteIndex":0},"citationItems":[{"id":3726,"uris":["http://zotero.org/users/local/b6CRLSJH/items/F8K4ZZVG"],"itemData":{"id":3726,"type":"article-journal","abstract":"The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156C44" w:rsidRPr="00597FFB">
        <w:rPr>
          <w:rFonts w:ascii="Times New Roman" w:eastAsia="Calibri" w:hAnsi="Times New Roman" w:cs="Times New Roman"/>
          <w:sz w:val="24"/>
          <w:szCs w:val="24"/>
        </w:rPr>
        <w:fldChar w:fldCharType="separate"/>
      </w:r>
      <w:r w:rsidR="004D18C0" w:rsidRPr="00597FFB">
        <w:rPr>
          <w:rFonts w:ascii="Times New Roman" w:hAnsi="Times New Roman" w:cs="Times New Roman"/>
          <w:sz w:val="24"/>
        </w:rPr>
        <w:t>(Adanu et al., 2020a)</w:t>
      </w:r>
      <w:r w:rsidR="00156C44" w:rsidRPr="00597FFB">
        <w:rPr>
          <w:rFonts w:ascii="Times New Roman" w:eastAsia="Calibri" w:hAnsi="Times New Roman" w:cs="Times New Roman"/>
          <w:sz w:val="24"/>
          <w:szCs w:val="24"/>
        </w:rPr>
        <w:fldChar w:fldCharType="end"/>
      </w:r>
      <w:r w:rsidR="00156C44"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bCs/>
          <w:color w:val="000000"/>
          <w:sz w:val="24"/>
          <w:szCs w:val="24"/>
        </w:rPr>
        <w:t xml:space="preserve">The growing role of ICT in transforming Africa into a haven of E-waste, thus, overlooking the Basel Convention, </w:t>
      </w:r>
      <w:r w:rsidR="00957E11" w:rsidRPr="00597FFB">
        <w:rPr>
          <w:rFonts w:ascii="Times New Roman" w:eastAsia="Calibri" w:hAnsi="Times New Roman" w:cs="Times New Roman"/>
          <w:bCs/>
          <w:color w:val="000000"/>
          <w:sz w:val="24"/>
          <w:szCs w:val="24"/>
        </w:rPr>
        <w:t>requires</w:t>
      </w:r>
      <w:r w:rsidRPr="00597FFB">
        <w:rPr>
          <w:rFonts w:ascii="Times New Roman" w:eastAsia="Calibri" w:hAnsi="Times New Roman" w:cs="Times New Roman"/>
          <w:bCs/>
          <w:color w:val="000000"/>
          <w:sz w:val="24"/>
          <w:szCs w:val="24"/>
        </w:rPr>
        <w:t xml:space="preserve"> reduc</w:t>
      </w:r>
      <w:r w:rsidR="00957E11" w:rsidRPr="00597FFB">
        <w:rPr>
          <w:rFonts w:ascii="Times New Roman" w:eastAsia="Calibri" w:hAnsi="Times New Roman" w:cs="Times New Roman"/>
          <w:bCs/>
          <w:color w:val="000000"/>
          <w:sz w:val="24"/>
          <w:szCs w:val="24"/>
        </w:rPr>
        <w:t>ing</w:t>
      </w:r>
      <w:r w:rsidRPr="00597FFB">
        <w:rPr>
          <w:rFonts w:ascii="Times New Roman" w:eastAsia="Calibri" w:hAnsi="Times New Roman" w:cs="Times New Roman"/>
          <w:bCs/>
          <w:color w:val="000000"/>
          <w:sz w:val="24"/>
          <w:szCs w:val="24"/>
        </w:rPr>
        <w:t xml:space="preserve"> the amount of hazardous waste that developed countries send to developing countries </w:t>
      </w:r>
      <w:r w:rsidR="002A3D00" w:rsidRPr="00597FFB">
        <w:rPr>
          <w:rFonts w:ascii="Times New Roman" w:eastAsia="Calibri" w:hAnsi="Times New Roman" w:cs="Times New Roman"/>
          <w:bCs/>
          <w:color w:val="000000"/>
          <w:sz w:val="24"/>
          <w:szCs w:val="24"/>
        </w:rPr>
        <w:fldChar w:fldCharType="begin"/>
      </w:r>
      <w:r w:rsidR="00D84AD5" w:rsidRPr="00597FFB">
        <w:rPr>
          <w:rFonts w:ascii="Times New Roman" w:eastAsia="Calibri" w:hAnsi="Times New Roman" w:cs="Times New Roman"/>
          <w:bCs/>
          <w:color w:val="000000"/>
          <w:sz w:val="24"/>
          <w:szCs w:val="24"/>
        </w:rPr>
        <w:instrText xml:space="preserve"> ADDIN ZOTERO_ITEM CSL_CITATION {"citationID":"a1ij091c9g9","properties":{"formattedCitation":"(Dalvi-Esfahani et al., 2020)","plainCitation":"(Dalvi-Esfahani et al., 2020)","noteIndex":0},"citationItems":[{"id":3508,"uris":["http://zotero.org/users/local/b6CRLSJH/items/UF8GEQVL"],"itemData":{"id":3508,"type":"article-journal","abstract":"Adoption of green information technology (Green IT) as an initiative of pro-environmental behavior is quite sparse among Malaysian students. Due to the need to integrate personality traits in environmental behavioral studies, the current study deriving from the planned behavior theory attempts to investigate the inﬂuence of attitudinal factors on students’ pro-ecological behavioral intention to practice Green IT. Extremely few studies explored the moderating role of personality traits in the context of Green IT adoption and thus this study attempts to ﬁll the current research gap. The personality traits of openness, agreeableness and conscientiousness were included in the research model as moderating variables. A number of 262 pieces of data were collected from students. Based on the partial least squares approach and bootstrapping method, the results revealed that except social norms, other variables greatly inﬂuenced the intention to practice Green IT. Moreover, the moderating effects analysis showed that the personality trait of conscientiousness was the only trait that signiﬁcantly moderated the relationships in the proposed model.","container-title":"Journal of Cleaner Production","DOI":"10.1016/j.jclepro.2020.120406","ISSN":"09596526","journalAbbreviation":"Journal of Cleaner Production","language":"en","page":"120406","source":"DOI.org (Crossref)","title":"Students’ green information technology behavior: Beliefs and personality traits","title-short":"Students’ green information technology behavior","volume":"257","author":[{"family":"Dalvi-Esfahani","given":"Mohammad"},{"family":"Alaedini","given":"Zohre"},{"family":"Nilashi","given":"Mehrbakhsh"},{"family":"Samad","given":"Sarminah"},{"family":"Asadi","given":"Shahla"},{"family":"Mohammadi","given":"Majid"}],"issued":{"date-parts":[["2020",6]]}}}],"schema":"https://github.com/citation-style-language/schema/raw/master/csl-citation.json"} </w:instrText>
      </w:r>
      <w:r w:rsidR="002A3D00" w:rsidRPr="00597FFB">
        <w:rPr>
          <w:rFonts w:ascii="Times New Roman" w:eastAsia="Calibri" w:hAnsi="Times New Roman" w:cs="Times New Roman"/>
          <w:bCs/>
          <w:color w:val="000000"/>
          <w:sz w:val="24"/>
          <w:szCs w:val="24"/>
        </w:rPr>
        <w:fldChar w:fldCharType="separate"/>
      </w:r>
      <w:r w:rsidR="00D84AD5" w:rsidRPr="00597FFB">
        <w:rPr>
          <w:rFonts w:ascii="Times New Roman" w:hAnsi="Times New Roman" w:cs="Times New Roman"/>
          <w:sz w:val="24"/>
          <w:szCs w:val="24"/>
        </w:rPr>
        <w:t>(Dalvi-Esfahani et al., 2020)</w:t>
      </w:r>
      <w:r w:rsidR="002A3D00" w:rsidRPr="00597FFB">
        <w:rPr>
          <w:rFonts w:ascii="Times New Roman" w:eastAsia="Calibri" w:hAnsi="Times New Roman" w:cs="Times New Roman"/>
          <w:bCs/>
          <w:color w:val="000000"/>
          <w:sz w:val="24"/>
          <w:szCs w:val="24"/>
        </w:rPr>
        <w:fldChar w:fldCharType="end"/>
      </w:r>
      <w:r w:rsidR="006561C2" w:rsidRPr="00597FFB">
        <w:rPr>
          <w:rFonts w:ascii="Times New Roman" w:eastAsia="Calibri" w:hAnsi="Times New Roman" w:cs="Times New Roman"/>
          <w:bCs/>
          <w:color w:val="000000"/>
          <w:sz w:val="24"/>
          <w:szCs w:val="24"/>
        </w:rPr>
        <w:t xml:space="preserve">. </w:t>
      </w:r>
      <w:r w:rsidR="00882A5C" w:rsidRPr="00597FFB">
        <w:rPr>
          <w:rFonts w:ascii="Times New Roman" w:eastAsia="Calibri" w:hAnsi="Times New Roman" w:cs="Times New Roman"/>
          <w:bCs/>
          <w:color w:val="000000"/>
          <w:sz w:val="24"/>
          <w:szCs w:val="24"/>
        </w:rPr>
        <w:t xml:space="preserve">Gupta </w:t>
      </w:r>
      <w:r w:rsidR="00957E11" w:rsidRPr="00597FFB">
        <w:rPr>
          <w:rFonts w:ascii="Times New Roman" w:eastAsia="Calibri" w:hAnsi="Times New Roman" w:cs="Times New Roman"/>
          <w:bCs/>
          <w:color w:val="000000"/>
          <w:sz w:val="24"/>
          <w:szCs w:val="24"/>
        </w:rPr>
        <w:t>and</w:t>
      </w:r>
      <w:r w:rsidR="00882A5C" w:rsidRPr="00597FFB">
        <w:rPr>
          <w:rFonts w:ascii="Times New Roman" w:eastAsia="Calibri" w:hAnsi="Times New Roman" w:cs="Times New Roman"/>
          <w:bCs/>
          <w:color w:val="000000"/>
          <w:sz w:val="24"/>
          <w:szCs w:val="24"/>
        </w:rPr>
        <w:t xml:space="preserve"> Nath (2020) </w:t>
      </w:r>
      <w:r w:rsidRPr="00597FFB">
        <w:rPr>
          <w:rFonts w:ascii="Times New Roman" w:eastAsia="Calibri" w:hAnsi="Times New Roman" w:cs="Times New Roman"/>
          <w:bCs/>
          <w:color w:val="000000"/>
          <w:sz w:val="24"/>
          <w:szCs w:val="24"/>
        </w:rPr>
        <w:t xml:space="preserve">showed that the groundwater in surrounding areas of landfill sites in South Africa is highly contaminated with mercury; this can </w:t>
      </w:r>
      <w:r w:rsidR="000A6C7F" w:rsidRPr="00597FFB">
        <w:rPr>
          <w:rFonts w:ascii="Times New Roman" w:eastAsia="Calibri" w:hAnsi="Times New Roman" w:cs="Times New Roman"/>
          <w:bCs/>
          <w:color w:val="000000"/>
          <w:sz w:val="24"/>
          <w:szCs w:val="24"/>
        </w:rPr>
        <w:t>affect</w:t>
      </w:r>
      <w:r w:rsidRPr="00597FFB">
        <w:rPr>
          <w:rFonts w:ascii="Times New Roman" w:eastAsia="Calibri" w:hAnsi="Times New Roman" w:cs="Times New Roman"/>
          <w:bCs/>
          <w:color w:val="000000"/>
          <w:sz w:val="24"/>
          <w:szCs w:val="24"/>
        </w:rPr>
        <w:t xml:space="preserve"> the surrounding environment and human health</w:t>
      </w:r>
      <w:r w:rsidR="000A6C7F" w:rsidRPr="00597FFB">
        <w:rPr>
          <w:rFonts w:ascii="Times New Roman" w:eastAsia="Calibri" w:hAnsi="Times New Roman" w:cs="Times New Roman"/>
          <w:bCs/>
          <w:color w:val="000000"/>
          <w:sz w:val="24"/>
          <w:szCs w:val="24"/>
        </w:rPr>
        <w:t xml:space="preserve"> harmfully</w:t>
      </w:r>
      <w:r w:rsidRPr="00597FFB">
        <w:rPr>
          <w:rFonts w:ascii="Times New Roman" w:eastAsia="Calibri" w:hAnsi="Times New Roman" w:cs="Times New Roman"/>
          <w:bCs/>
          <w:color w:val="000000"/>
          <w:sz w:val="24"/>
          <w:szCs w:val="24"/>
        </w:rPr>
        <w:t>.</w:t>
      </w:r>
      <w:r w:rsidRPr="00597FFB">
        <w:rPr>
          <w:rFonts w:ascii="Times New Roman" w:eastAsia="Calibri" w:hAnsi="Times New Roman" w:cs="Times New Roman"/>
          <w:color w:val="000000"/>
          <w:sz w:val="24"/>
          <w:szCs w:val="24"/>
        </w:rPr>
        <w:t xml:space="preserve"> E-waste recycling (EWR) and safe disposal in both </w:t>
      </w:r>
      <w:r w:rsidR="000A6C7F" w:rsidRPr="00597FFB">
        <w:rPr>
          <w:rFonts w:ascii="Times New Roman" w:eastAsia="Calibri" w:hAnsi="Times New Roman" w:cs="Times New Roman"/>
          <w:color w:val="000000"/>
          <w:sz w:val="24"/>
          <w:szCs w:val="24"/>
        </w:rPr>
        <w:t xml:space="preserve">developing </w:t>
      </w:r>
      <w:r w:rsidRPr="00597FFB">
        <w:rPr>
          <w:rFonts w:ascii="Times New Roman" w:eastAsia="Calibri" w:hAnsi="Times New Roman" w:cs="Times New Roman"/>
          <w:color w:val="000000"/>
          <w:sz w:val="24"/>
          <w:szCs w:val="24"/>
        </w:rPr>
        <w:t xml:space="preserve">and </w:t>
      </w:r>
      <w:r w:rsidR="000A6C7F" w:rsidRPr="00597FFB">
        <w:rPr>
          <w:rFonts w:ascii="Times New Roman" w:eastAsia="Calibri" w:hAnsi="Times New Roman" w:cs="Times New Roman"/>
          <w:color w:val="000000"/>
          <w:sz w:val="24"/>
          <w:szCs w:val="24"/>
        </w:rPr>
        <w:t xml:space="preserve">developed </w:t>
      </w:r>
      <w:r w:rsidRPr="00597FFB">
        <w:rPr>
          <w:rFonts w:ascii="Times New Roman" w:eastAsia="Calibri" w:hAnsi="Times New Roman" w:cs="Times New Roman"/>
          <w:color w:val="000000"/>
          <w:sz w:val="24"/>
          <w:szCs w:val="24"/>
        </w:rPr>
        <w:t>countries are crucial in solving the E-waste challenge that could severely affect the limited resources, ecosystem, and human health (Aboelmaged, 2020).</w:t>
      </w:r>
    </w:p>
    <w:p w14:paraId="2E30AB01" w14:textId="36C35F3A" w:rsidR="009D4FB4" w:rsidRPr="00597FFB" w:rsidRDefault="009D4FB4" w:rsidP="00BD4BEC">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In summary, </w:t>
      </w:r>
      <w:bookmarkStart w:id="40" w:name="_Hlk53997129"/>
      <w:r w:rsidRPr="00597FFB">
        <w:rPr>
          <w:rFonts w:ascii="Times New Roman" w:eastAsia="Times New Roman" w:hAnsi="Times New Roman" w:cs="Times New Roman"/>
          <w:bCs/>
          <w:color w:val="000000"/>
          <w:sz w:val="24"/>
          <w:szCs w:val="24"/>
        </w:rPr>
        <w:t xml:space="preserve">sustainable waste management, recycling, or resource recovery are critical in handling the increased E-waste volume </w:t>
      </w:r>
      <w:r w:rsidR="000A6C7F" w:rsidRPr="00597FFB">
        <w:rPr>
          <w:rFonts w:ascii="Times New Roman" w:eastAsia="Times New Roman" w:hAnsi="Times New Roman" w:cs="Times New Roman"/>
          <w:bCs/>
          <w:color w:val="000000"/>
          <w:sz w:val="24"/>
          <w:szCs w:val="24"/>
        </w:rPr>
        <w:t>produced</w:t>
      </w:r>
      <w:r w:rsidRPr="00597FFB">
        <w:rPr>
          <w:rFonts w:ascii="Times New Roman" w:eastAsia="Times New Roman" w:hAnsi="Times New Roman" w:cs="Times New Roman"/>
          <w:bCs/>
          <w:color w:val="000000"/>
          <w:sz w:val="24"/>
          <w:szCs w:val="24"/>
        </w:rPr>
        <w:t xml:space="preserve"> in developed and developing countries. It is challenging, </w:t>
      </w:r>
      <w:r w:rsidR="000A6C7F" w:rsidRPr="00597FFB">
        <w:rPr>
          <w:rFonts w:ascii="Times New Roman" w:eastAsia="Times New Roman" w:hAnsi="Times New Roman" w:cs="Times New Roman"/>
          <w:bCs/>
          <w:color w:val="000000"/>
          <w:sz w:val="24"/>
          <w:szCs w:val="24"/>
        </w:rPr>
        <w:t>particularly</w:t>
      </w:r>
      <w:r w:rsidRPr="00597FFB">
        <w:rPr>
          <w:rFonts w:ascii="Times New Roman" w:eastAsia="Times New Roman" w:hAnsi="Times New Roman" w:cs="Times New Roman"/>
          <w:bCs/>
          <w:color w:val="000000"/>
          <w:sz w:val="24"/>
          <w:szCs w:val="24"/>
        </w:rPr>
        <w:t xml:space="preserve"> in developing </w:t>
      </w:r>
      <w:r w:rsidR="000A6C7F" w:rsidRPr="00597FFB">
        <w:rPr>
          <w:rFonts w:ascii="Times New Roman" w:eastAsia="Times New Roman" w:hAnsi="Times New Roman" w:cs="Times New Roman"/>
          <w:bCs/>
          <w:color w:val="000000"/>
          <w:sz w:val="24"/>
          <w:szCs w:val="24"/>
        </w:rPr>
        <w:t>nations</w:t>
      </w:r>
      <w:r w:rsidRPr="00597FFB">
        <w:rPr>
          <w:rFonts w:ascii="Times New Roman" w:eastAsia="Times New Roman" w:hAnsi="Times New Roman" w:cs="Times New Roman"/>
          <w:bCs/>
          <w:color w:val="000000"/>
          <w:sz w:val="24"/>
          <w:szCs w:val="24"/>
        </w:rPr>
        <w:t>, where</w:t>
      </w:r>
      <w:r w:rsidR="000A6C7F" w:rsidRPr="00597FFB">
        <w:rPr>
          <w:rFonts w:ascii="Times New Roman" w:eastAsia="Times New Roman" w:hAnsi="Times New Roman" w:cs="Times New Roman"/>
          <w:bCs/>
          <w:color w:val="000000"/>
          <w:sz w:val="24"/>
          <w:szCs w:val="24"/>
        </w:rPr>
        <w:t>by</w:t>
      </w:r>
      <w:r w:rsidRPr="00597FFB">
        <w:rPr>
          <w:rFonts w:ascii="Times New Roman" w:eastAsia="Times New Roman" w:hAnsi="Times New Roman" w:cs="Times New Roman"/>
          <w:bCs/>
          <w:color w:val="000000"/>
          <w:sz w:val="24"/>
          <w:szCs w:val="24"/>
        </w:rPr>
        <w:t xml:space="preserve"> efficient EWM systems are </w:t>
      </w:r>
      <w:r w:rsidR="000A6C7F" w:rsidRPr="00597FFB">
        <w:rPr>
          <w:rFonts w:ascii="Times New Roman" w:eastAsia="Times New Roman" w:hAnsi="Times New Roman" w:cs="Times New Roman"/>
          <w:bCs/>
          <w:color w:val="000000"/>
          <w:sz w:val="24"/>
          <w:szCs w:val="24"/>
        </w:rPr>
        <w:t>yet to be</w:t>
      </w:r>
      <w:r w:rsidRPr="00597FFB">
        <w:rPr>
          <w:rFonts w:ascii="Times New Roman" w:eastAsia="Times New Roman" w:hAnsi="Times New Roman" w:cs="Times New Roman"/>
          <w:bCs/>
          <w:color w:val="000000"/>
          <w:sz w:val="24"/>
          <w:szCs w:val="24"/>
        </w:rPr>
        <w:t xml:space="preserve"> adopted</w:t>
      </w:r>
      <w:r w:rsidR="000A6C7F" w:rsidRPr="00597FFB">
        <w:rPr>
          <w:rFonts w:ascii="Times New Roman" w:eastAsia="Times New Roman" w:hAnsi="Times New Roman" w:cs="Times New Roman"/>
          <w:bCs/>
          <w:color w:val="000000"/>
          <w:sz w:val="24"/>
          <w:szCs w:val="24"/>
        </w:rPr>
        <w:t xml:space="preserve"> fully</w:t>
      </w:r>
      <w:r w:rsidRPr="00597FFB">
        <w:rPr>
          <w:rFonts w:ascii="Times New Roman" w:eastAsia="Times New Roman" w:hAnsi="Times New Roman" w:cs="Times New Roman"/>
          <w:bCs/>
          <w:color w:val="000000"/>
          <w:sz w:val="24"/>
          <w:szCs w:val="24"/>
        </w:rPr>
        <w:t xml:space="preserve">, and </w:t>
      </w:r>
      <w:r w:rsidR="000A6C7F" w:rsidRPr="00597FFB">
        <w:rPr>
          <w:rFonts w:ascii="Times New Roman" w:eastAsia="Times New Roman" w:hAnsi="Times New Roman" w:cs="Times New Roman"/>
          <w:bCs/>
          <w:color w:val="000000"/>
          <w:sz w:val="24"/>
          <w:szCs w:val="24"/>
        </w:rPr>
        <w:t>considerable</w:t>
      </w:r>
      <w:r w:rsidRPr="00597FFB">
        <w:rPr>
          <w:rFonts w:ascii="Times New Roman" w:eastAsia="Times New Roman" w:hAnsi="Times New Roman" w:cs="Times New Roman"/>
          <w:bCs/>
          <w:color w:val="000000"/>
          <w:sz w:val="24"/>
          <w:szCs w:val="24"/>
        </w:rPr>
        <w:t xml:space="preserve"> trans</w:t>
      </w:r>
      <w:r w:rsidR="000A6C7F" w:rsidRPr="00597FFB">
        <w:rPr>
          <w:rFonts w:ascii="Times New Roman" w:eastAsia="Times New Roman" w:hAnsi="Times New Roman" w:cs="Times New Roman"/>
          <w:bCs/>
          <w:color w:val="000000"/>
          <w:sz w:val="24"/>
          <w:szCs w:val="24"/>
        </w:rPr>
        <w:t>national</w:t>
      </w:r>
      <w:r w:rsidRPr="00597FFB">
        <w:rPr>
          <w:rFonts w:ascii="Times New Roman" w:eastAsia="Times New Roman" w:hAnsi="Times New Roman" w:cs="Times New Roman"/>
          <w:bCs/>
          <w:color w:val="000000"/>
          <w:sz w:val="24"/>
          <w:szCs w:val="24"/>
        </w:rPr>
        <w:t xml:space="preserve"> E-waste movement is reported. The future challenge of E-waste is a global concern. </w:t>
      </w:r>
      <w:r w:rsidR="003D55FE" w:rsidRPr="00597FFB">
        <w:rPr>
          <w:rFonts w:ascii="Times New Roman" w:eastAsia="Times New Roman" w:hAnsi="Times New Roman" w:cs="Times New Roman"/>
          <w:bCs/>
          <w:color w:val="000000"/>
          <w:sz w:val="24"/>
          <w:szCs w:val="24"/>
        </w:rPr>
        <w:t>By 2050, the approximate E-waste volumes could rise to 78 million Mt based on t</w:t>
      </w:r>
      <w:r w:rsidRPr="00597FFB">
        <w:rPr>
          <w:rFonts w:ascii="Times New Roman" w:eastAsia="Times New Roman" w:hAnsi="Times New Roman" w:cs="Times New Roman"/>
          <w:bCs/>
          <w:color w:val="000000"/>
          <w:sz w:val="24"/>
          <w:szCs w:val="24"/>
        </w:rPr>
        <w:t xml:space="preserve">he International Renewable Energy Agency (IRENA, 2016) </w:t>
      </w:r>
      <w:r w:rsidR="003D55FE" w:rsidRPr="00597FFB">
        <w:rPr>
          <w:rFonts w:ascii="Times New Roman" w:eastAsia="Times New Roman" w:hAnsi="Times New Roman" w:cs="Times New Roman"/>
          <w:bCs/>
          <w:color w:val="000000"/>
          <w:sz w:val="24"/>
          <w:szCs w:val="24"/>
        </w:rPr>
        <w:t>estimates</w:t>
      </w:r>
      <w:r w:rsidRPr="00597FFB">
        <w:rPr>
          <w:rFonts w:ascii="Times New Roman" w:eastAsia="Times New Roman" w:hAnsi="Times New Roman" w:cs="Times New Roman"/>
          <w:bCs/>
          <w:color w:val="000000"/>
          <w:sz w:val="24"/>
          <w:szCs w:val="24"/>
        </w:rPr>
        <w:t xml:space="preserve"> </w:t>
      </w:r>
      <w:r w:rsidR="00931162" w:rsidRPr="00597FFB">
        <w:rPr>
          <w:rFonts w:ascii="Times New Roman" w:eastAsia="Times New Roman" w:hAnsi="Times New Roman" w:cs="Times New Roman"/>
          <w:bCs/>
          <w:color w:val="000000"/>
          <w:sz w:val="24"/>
          <w:szCs w:val="24"/>
        </w:rPr>
        <w:fldChar w:fldCharType="begin"/>
      </w:r>
      <w:r w:rsidR="00504905" w:rsidRPr="00597FFB">
        <w:rPr>
          <w:rFonts w:ascii="Times New Roman" w:eastAsia="Times New Roman" w:hAnsi="Times New Roman" w:cs="Times New Roman"/>
          <w:bCs/>
          <w:color w:val="000000"/>
          <w:sz w:val="24"/>
          <w:szCs w:val="24"/>
        </w:rPr>
        <w:instrText xml:space="preserve"> ADDIN ZOTERO_ITEM CSL_CITATION {"citationID":"a2dphr8nc2k","properties":{"formattedCitation":"(M. Aboelmaged, 2021c)","plainCitation":"(M. Aboelmaged, 2021c)","dontUpdate":true,"noteIndex":0},"citationItems":[{"id":2425,"uris":["http://zotero.org/users/local/b6CRLSJH/items/I5FMJQCQ"],"itemData":{"id":2425,"type":"article-journal","abstract":"This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00931162" w:rsidRPr="00597FFB">
        <w:rPr>
          <w:rFonts w:ascii="Times New Roman" w:eastAsia="Times New Roman" w:hAnsi="Times New Roman" w:cs="Times New Roman"/>
          <w:bCs/>
          <w:color w:val="000000"/>
          <w:sz w:val="24"/>
          <w:szCs w:val="24"/>
        </w:rPr>
        <w:fldChar w:fldCharType="separate"/>
      </w:r>
      <w:r w:rsidR="00B062E5" w:rsidRPr="00597FFB">
        <w:rPr>
          <w:rFonts w:ascii="Times New Roman" w:hAnsi="Times New Roman" w:cs="Times New Roman"/>
          <w:sz w:val="24"/>
          <w:szCs w:val="24"/>
        </w:rPr>
        <w:t>(Aboelmaged, 2021c)</w:t>
      </w:r>
      <w:r w:rsidR="00931162" w:rsidRPr="00597FFB">
        <w:rPr>
          <w:rFonts w:ascii="Times New Roman" w:eastAsia="Times New Roman" w:hAnsi="Times New Roman" w:cs="Times New Roman"/>
          <w:bCs/>
          <w:color w:val="000000"/>
          <w:sz w:val="24"/>
          <w:szCs w:val="24"/>
        </w:rPr>
        <w:fldChar w:fldCharType="end"/>
      </w:r>
      <w:r w:rsidRPr="00597FFB">
        <w:rPr>
          <w:rFonts w:ascii="Times New Roman" w:eastAsia="Times New Roman" w:hAnsi="Times New Roman" w:cs="Times New Roman"/>
          <w:bCs/>
          <w:color w:val="000000"/>
          <w:sz w:val="24"/>
          <w:szCs w:val="24"/>
        </w:rPr>
        <w:t>.</w:t>
      </w:r>
      <w:r w:rsidRPr="00597FFB">
        <w:rPr>
          <w:rFonts w:ascii="Times New Roman" w:eastAsia="Calibri" w:hAnsi="Times New Roman" w:cs="Times New Roman"/>
          <w:color w:val="000000"/>
          <w:sz w:val="24"/>
          <w:szCs w:val="24"/>
        </w:rPr>
        <w:t xml:space="preserve"> </w:t>
      </w:r>
      <w:bookmarkEnd w:id="40"/>
      <w:r w:rsidRPr="00597FFB">
        <w:rPr>
          <w:rFonts w:ascii="Times New Roman" w:eastAsia="Times New Roman" w:hAnsi="Times New Roman" w:cs="Times New Roman"/>
          <w:bCs/>
          <w:sz w:val="24"/>
          <w:szCs w:val="24"/>
        </w:rPr>
        <w:t xml:space="preserve">Presently, the global </w:t>
      </w:r>
      <w:r w:rsidR="003D55FE" w:rsidRPr="00597FFB">
        <w:rPr>
          <w:rFonts w:ascii="Times New Roman" w:eastAsia="Times New Roman" w:hAnsi="Times New Roman" w:cs="Times New Roman"/>
          <w:bCs/>
          <w:sz w:val="24"/>
          <w:szCs w:val="24"/>
        </w:rPr>
        <w:t xml:space="preserve">E-waste volumes </w:t>
      </w:r>
      <w:r w:rsidRPr="00597FFB">
        <w:rPr>
          <w:rFonts w:ascii="Times New Roman" w:eastAsia="Times New Roman" w:hAnsi="Times New Roman" w:cs="Times New Roman"/>
          <w:bCs/>
          <w:sz w:val="24"/>
          <w:szCs w:val="24"/>
        </w:rPr>
        <w:t xml:space="preserve">generated is more than 5% of the total generated municipal solid waste stream, with the USA alone producing nearly 10 Mt of E-waste annually </w:t>
      </w:r>
      <w:bookmarkStart w:id="41" w:name="_Hlk52121749"/>
      <w:r w:rsidR="00DB4564" w:rsidRPr="00597FFB">
        <w:rPr>
          <w:rFonts w:ascii="Times New Roman" w:eastAsia="Times New Roman" w:hAnsi="Times New Roman" w:cs="Times New Roman"/>
          <w:bCs/>
          <w:sz w:val="24"/>
          <w:szCs w:val="24"/>
        </w:rPr>
        <w:fldChar w:fldCharType="begin"/>
      </w:r>
      <w:r w:rsidR="00B062E5" w:rsidRPr="00597FFB">
        <w:rPr>
          <w:rFonts w:ascii="Times New Roman" w:eastAsia="Times New Roman" w:hAnsi="Times New Roman" w:cs="Times New Roman"/>
          <w:bCs/>
          <w:sz w:val="24"/>
          <w:szCs w:val="24"/>
        </w:rPr>
        <w:instrText xml:space="preserve"> ADDIN ZOTERO_ITEM CSL_CITATION {"citationID":"a2demde3qtn","properties":{"formattedCitation":"(Ahirwar &amp; Tripathi, 2021)","plainCitation":"(Ahirwar &amp; Tripathi, 2021)","noteIndex":0},"citationItems":[{"id":4549,"uris":["http://zotero.org/users/local/b6CRLSJH/items/UNXMNXPF"],"itemData":{"id":4549,"type":"article-journal","container-title":"Environmental Nanotechnology, Monitoring &amp; Management","DOI":"10.1016/j.enmm.2020.100409","ISSN":"22151532","journalAbbreviation":"Environmental Nanotechnology, Monitoring &amp; Management","language":"en","page":"100409","source":"DOI.org (Crossref)","title":"E-waste management: A review of recycling process, environmental and occupational health hazards, and potential solutions","title-short":"E-waste management","volume":"15","author":[{"family":"Ahirwar","given":"Rajesh"},{"family":"Tripathi","given":"Amit K."}],"issued":{"date-parts":[["2021",5]]}}}],"schema":"https://github.com/citation-style-language/schema/raw/master/csl-citation.json"} </w:instrText>
      </w:r>
      <w:r w:rsidR="00DB4564" w:rsidRPr="00597FFB">
        <w:rPr>
          <w:rFonts w:ascii="Times New Roman" w:eastAsia="Times New Roman" w:hAnsi="Times New Roman" w:cs="Times New Roman"/>
          <w:bCs/>
          <w:sz w:val="24"/>
          <w:szCs w:val="24"/>
        </w:rPr>
        <w:fldChar w:fldCharType="separate"/>
      </w:r>
      <w:r w:rsidR="00B062E5" w:rsidRPr="00597FFB">
        <w:rPr>
          <w:rFonts w:ascii="Times New Roman" w:hAnsi="Times New Roman" w:cs="Times New Roman"/>
          <w:sz w:val="24"/>
          <w:szCs w:val="24"/>
        </w:rPr>
        <w:t>(Ahirwar &amp; Tripathi, 2021)</w:t>
      </w:r>
      <w:r w:rsidR="00DB4564" w:rsidRPr="00597FFB">
        <w:rPr>
          <w:rFonts w:ascii="Times New Roman" w:eastAsia="Times New Roman" w:hAnsi="Times New Roman" w:cs="Times New Roman"/>
          <w:bCs/>
          <w:sz w:val="24"/>
          <w:szCs w:val="24"/>
        </w:rPr>
        <w:fldChar w:fldCharType="end"/>
      </w:r>
      <w:r w:rsidR="00DB4564" w:rsidRPr="00597FFB">
        <w:rPr>
          <w:rFonts w:ascii="Times New Roman" w:eastAsia="Times New Roman" w:hAnsi="Times New Roman" w:cs="Times New Roman"/>
          <w:bCs/>
          <w:sz w:val="24"/>
          <w:szCs w:val="24"/>
        </w:rPr>
        <w:t xml:space="preserve">. </w:t>
      </w:r>
      <w:r w:rsidRPr="00597FFB">
        <w:rPr>
          <w:rFonts w:ascii="Times New Roman" w:eastAsia="Calibri" w:hAnsi="Times New Roman" w:cs="Times New Roman"/>
          <w:sz w:val="24"/>
          <w:szCs w:val="24"/>
        </w:rPr>
        <w:t xml:space="preserve">Since 2010, every year, the number of mobile phones that reach their end-of-life (EOL) and are thrown away in the US and Europe are over 130 and 105 million, respectively </w:t>
      </w:r>
      <w:bookmarkEnd w:id="41"/>
      <w:r w:rsidR="00DB4564" w:rsidRPr="00597FFB">
        <w:rPr>
          <w:rFonts w:ascii="Times New Roman" w:eastAsia="Calibri" w:hAnsi="Times New Roman" w:cs="Times New Roman"/>
          <w:sz w:val="24"/>
          <w:szCs w:val="24"/>
        </w:rPr>
        <w:fldChar w:fldCharType="begin"/>
      </w:r>
      <w:r w:rsidR="00BD4BEC" w:rsidRPr="00597FFB">
        <w:rPr>
          <w:rFonts w:ascii="Times New Roman" w:eastAsia="Calibri" w:hAnsi="Times New Roman" w:cs="Times New Roman"/>
          <w:sz w:val="24"/>
          <w:szCs w:val="24"/>
        </w:rPr>
        <w:instrText xml:space="preserve"> ADDIN ZOTERO_ITEM CSL_CITATION {"citationID":"a21i6fmo8qk","properties":{"formattedCitation":"(AL-Dabbagh, 2020a)","plainCitation":"(AL-Dabbagh, 2020a)","noteIndex":0},"citationItems":[{"id":2933,"uris":["http://zotero.org/users/local/b6CRLSJH/items/GSAT3N9W"],"itemData":{"id":2933,"type":"chapter","container-title":"Renewable Energy and Sustainable Buildings","event-place":"Cham","ISBN":"978-3-030-18487-2","language":"en","note":"collection-title: Innovative Renewable Energy\nDOI: 10.1007/978-3-030-18488-9_17","page":"221-233","publisher":"Springer International Publishing","publisher-place":"Cham","source":"DOI.org (Crossref)","title":"Toward Green Building and Eco-cities in the UAE","URL":"http://link.springer.com/10.1007/978-3-030-18488-9_17","author":[{"family":"AL-Dabbagh","given":"Riadh H."}],"editor":[{"family":"Sayigh","given":"Ali"}],"accessed":{"date-parts":[["2021",4,16]]},"issued":{"date-parts":[["2020"]]}}}],"schema":"https://github.com/citation-style-language/schema/raw/master/csl-citation.json"} </w:instrText>
      </w:r>
      <w:r w:rsidR="00DB4564" w:rsidRPr="00597FFB">
        <w:rPr>
          <w:rFonts w:ascii="Times New Roman" w:eastAsia="Calibri" w:hAnsi="Times New Roman" w:cs="Times New Roman"/>
          <w:sz w:val="24"/>
          <w:szCs w:val="24"/>
        </w:rPr>
        <w:fldChar w:fldCharType="separate"/>
      </w:r>
      <w:r w:rsidR="00BD4BEC" w:rsidRPr="00597FFB">
        <w:rPr>
          <w:rFonts w:ascii="Times New Roman" w:hAnsi="Times New Roman" w:cs="Times New Roman"/>
          <w:sz w:val="24"/>
        </w:rPr>
        <w:t>(AL-Dabbagh, 2020a)</w:t>
      </w:r>
      <w:r w:rsidR="00DB4564"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w:t>
      </w:r>
      <w:r w:rsidRPr="00597FFB">
        <w:rPr>
          <w:rFonts w:ascii="Times New Roman" w:eastAsia="Times New Roman" w:hAnsi="Times New Roman" w:cs="Times New Roman"/>
          <w:bCs/>
          <w:color w:val="000000"/>
          <w:sz w:val="24"/>
          <w:szCs w:val="24"/>
        </w:rPr>
        <w:t>T</w:t>
      </w:r>
      <w:r w:rsidRPr="00597FFB">
        <w:rPr>
          <w:rFonts w:ascii="Times New Roman" w:eastAsia="Calibri" w:hAnsi="Times New Roman" w:cs="Times New Roman"/>
          <w:color w:val="000000"/>
          <w:sz w:val="24"/>
          <w:szCs w:val="24"/>
        </w:rPr>
        <w:t xml:space="preserve">V sets, shipbreaking yards, and information technology (IT) sectors generate 0.182, 2.5, and 31751.5 Mt of E-waste. </w:t>
      </w:r>
      <w:bookmarkStart w:id="42" w:name="_Hlk53997209"/>
      <w:r w:rsidRPr="00597FFB">
        <w:rPr>
          <w:rFonts w:ascii="Times New Roman" w:eastAsia="Calibri" w:hAnsi="Times New Roman" w:cs="Times New Roman"/>
          <w:color w:val="000000"/>
          <w:sz w:val="24"/>
          <w:szCs w:val="24"/>
        </w:rPr>
        <w:t xml:space="preserve">The </w:t>
      </w:r>
      <w:r w:rsidR="00306FF5" w:rsidRPr="00597FFB">
        <w:rPr>
          <w:rFonts w:ascii="Times New Roman" w:eastAsia="Calibri" w:hAnsi="Times New Roman" w:cs="Times New Roman"/>
          <w:color w:val="000000"/>
          <w:sz w:val="24"/>
          <w:szCs w:val="24"/>
        </w:rPr>
        <w:t xml:space="preserve">quantity </w:t>
      </w:r>
      <w:r w:rsidRPr="00597FFB">
        <w:rPr>
          <w:rFonts w:ascii="Times New Roman" w:eastAsia="Calibri" w:hAnsi="Times New Roman" w:cs="Times New Roman"/>
          <w:color w:val="000000"/>
          <w:sz w:val="24"/>
          <w:szCs w:val="24"/>
        </w:rPr>
        <w:t xml:space="preserve">or </w:t>
      </w:r>
      <w:r w:rsidR="00306FF5" w:rsidRPr="00597FFB">
        <w:rPr>
          <w:rFonts w:ascii="Times New Roman" w:eastAsia="Calibri" w:hAnsi="Times New Roman" w:cs="Times New Roman"/>
          <w:color w:val="000000"/>
          <w:sz w:val="24"/>
          <w:szCs w:val="24"/>
        </w:rPr>
        <w:t xml:space="preserve">weight </w:t>
      </w:r>
      <w:r w:rsidRPr="00597FFB">
        <w:rPr>
          <w:rFonts w:ascii="Times New Roman" w:eastAsia="Calibri" w:hAnsi="Times New Roman" w:cs="Times New Roman"/>
          <w:color w:val="000000"/>
          <w:sz w:val="24"/>
          <w:szCs w:val="24"/>
        </w:rPr>
        <w:t xml:space="preserve">of </w:t>
      </w:r>
      <w:r w:rsidRPr="00597FFB">
        <w:rPr>
          <w:rFonts w:ascii="Times New Roman" w:eastAsia="Calibri" w:hAnsi="Times New Roman" w:cs="Times New Roman"/>
          <w:sz w:val="24"/>
          <w:szCs w:val="24"/>
        </w:rPr>
        <w:t xml:space="preserve">the E-waste </w:t>
      </w:r>
      <w:r w:rsidR="00306FF5" w:rsidRPr="00597FFB">
        <w:rPr>
          <w:rFonts w:ascii="Times New Roman" w:eastAsia="Calibri" w:hAnsi="Times New Roman" w:cs="Times New Roman"/>
          <w:sz w:val="24"/>
          <w:szCs w:val="24"/>
        </w:rPr>
        <w:t xml:space="preserve">produced per year </w:t>
      </w:r>
      <w:r w:rsidRPr="00597FFB">
        <w:rPr>
          <w:rFonts w:ascii="Times New Roman" w:eastAsia="Calibri" w:hAnsi="Times New Roman" w:cs="Times New Roman"/>
          <w:sz w:val="24"/>
          <w:szCs w:val="24"/>
        </w:rPr>
        <w:t xml:space="preserve">does not only put high pressure on the environment, </w:t>
      </w:r>
      <w:r w:rsidRPr="00597FFB">
        <w:rPr>
          <w:rFonts w:ascii="Times New Roman" w:eastAsia="Calibri" w:hAnsi="Times New Roman" w:cs="Times New Roman"/>
          <w:color w:val="000000"/>
          <w:sz w:val="24"/>
          <w:szCs w:val="24"/>
        </w:rPr>
        <w:t xml:space="preserve">but </w:t>
      </w:r>
      <w:r w:rsidR="0068525F" w:rsidRPr="00597FFB">
        <w:rPr>
          <w:rFonts w:ascii="Times New Roman" w:eastAsia="Calibri" w:hAnsi="Times New Roman" w:cs="Times New Roman"/>
          <w:color w:val="000000"/>
          <w:sz w:val="24"/>
          <w:szCs w:val="24"/>
        </w:rPr>
        <w:t>E-waste’s undesirable</w:t>
      </w:r>
      <w:r w:rsidRPr="00597FFB">
        <w:rPr>
          <w:rFonts w:ascii="Times New Roman" w:eastAsia="Calibri" w:hAnsi="Times New Roman" w:cs="Times New Roman"/>
          <w:color w:val="000000"/>
          <w:sz w:val="24"/>
          <w:szCs w:val="24"/>
        </w:rPr>
        <w:t xml:space="preserve"> impact on the atmosphere is also signiﬁcant.</w:t>
      </w:r>
      <w:r w:rsidRPr="00597FFB">
        <w:rPr>
          <w:rFonts w:ascii="Times New Roman" w:eastAsia="Calibri" w:hAnsi="Times New Roman" w:cs="Times New Roman"/>
          <w:color w:val="7030A0"/>
          <w:sz w:val="24"/>
          <w:szCs w:val="24"/>
        </w:rPr>
        <w:t xml:space="preserve"> </w:t>
      </w:r>
      <w:r w:rsidRPr="00597FFB">
        <w:rPr>
          <w:rFonts w:ascii="Times New Roman" w:eastAsia="Times New Roman" w:hAnsi="Times New Roman" w:cs="Times New Roman"/>
          <w:bCs/>
          <w:color w:val="000000"/>
          <w:sz w:val="24"/>
          <w:szCs w:val="24"/>
        </w:rPr>
        <w:t xml:space="preserve">This growing </w:t>
      </w:r>
      <w:r w:rsidR="0068525F" w:rsidRPr="00597FFB">
        <w:rPr>
          <w:rFonts w:ascii="Times New Roman" w:eastAsia="Times New Roman" w:hAnsi="Times New Roman" w:cs="Times New Roman"/>
          <w:bCs/>
          <w:color w:val="000000"/>
          <w:sz w:val="24"/>
          <w:szCs w:val="24"/>
        </w:rPr>
        <w:t xml:space="preserve">E-waste </w:t>
      </w:r>
      <w:r w:rsidRPr="00597FFB">
        <w:rPr>
          <w:rFonts w:ascii="Times New Roman" w:eastAsia="Times New Roman" w:hAnsi="Times New Roman" w:cs="Times New Roman"/>
          <w:bCs/>
          <w:color w:val="000000"/>
          <w:sz w:val="24"/>
          <w:szCs w:val="24"/>
        </w:rPr>
        <w:t xml:space="preserve">volume worldwide </w:t>
      </w:r>
      <w:r w:rsidR="0068525F" w:rsidRPr="00597FFB">
        <w:rPr>
          <w:rFonts w:ascii="Times New Roman" w:eastAsia="Times New Roman" w:hAnsi="Times New Roman" w:cs="Times New Roman"/>
          <w:bCs/>
          <w:color w:val="000000"/>
          <w:sz w:val="24"/>
          <w:szCs w:val="24"/>
        </w:rPr>
        <w:t>demands</w:t>
      </w:r>
      <w:r w:rsidRPr="00597FFB">
        <w:rPr>
          <w:rFonts w:ascii="Times New Roman" w:eastAsia="Times New Roman" w:hAnsi="Times New Roman" w:cs="Times New Roman"/>
          <w:bCs/>
          <w:color w:val="000000"/>
          <w:sz w:val="24"/>
          <w:szCs w:val="24"/>
        </w:rPr>
        <w:t xml:space="preserve"> a critical evaluation of how to </w:t>
      </w:r>
      <w:r w:rsidR="00E82D6F" w:rsidRPr="00597FFB">
        <w:rPr>
          <w:rFonts w:ascii="Times New Roman" w:eastAsia="Times New Roman" w:hAnsi="Times New Roman" w:cs="Times New Roman"/>
          <w:bCs/>
          <w:color w:val="000000"/>
          <w:sz w:val="24"/>
          <w:szCs w:val="24"/>
        </w:rPr>
        <w:t>contain</w:t>
      </w:r>
      <w:r w:rsidRPr="00597FFB">
        <w:rPr>
          <w:rFonts w:ascii="Times New Roman" w:eastAsia="Times New Roman" w:hAnsi="Times New Roman" w:cs="Times New Roman"/>
          <w:bCs/>
          <w:color w:val="000000"/>
          <w:sz w:val="24"/>
          <w:szCs w:val="24"/>
        </w:rPr>
        <w:t xml:space="preserve"> the </w:t>
      </w:r>
      <w:r w:rsidR="00E82D6F" w:rsidRPr="00597FFB">
        <w:rPr>
          <w:rFonts w:ascii="Times New Roman" w:eastAsia="Times New Roman" w:hAnsi="Times New Roman" w:cs="Times New Roman"/>
          <w:bCs/>
          <w:color w:val="000000"/>
          <w:sz w:val="24"/>
          <w:szCs w:val="24"/>
        </w:rPr>
        <w:t>issue</w:t>
      </w:r>
      <w:r w:rsidR="003008CF" w:rsidRPr="00597FFB">
        <w:rPr>
          <w:rFonts w:ascii="Times New Roman" w:eastAsia="Times New Roman" w:hAnsi="Times New Roman" w:cs="Times New Roman"/>
          <w:bCs/>
          <w:color w:val="000000"/>
          <w:sz w:val="24"/>
          <w:szCs w:val="24"/>
        </w:rPr>
        <w:t xml:space="preserve"> </w:t>
      </w:r>
      <w:r w:rsidR="003008CF" w:rsidRPr="00597FFB">
        <w:rPr>
          <w:rFonts w:ascii="Times New Roman" w:eastAsia="Calibri" w:hAnsi="Times New Roman" w:cs="Times New Roman"/>
          <w:color w:val="000000"/>
          <w:sz w:val="24"/>
          <w:szCs w:val="24"/>
        </w:rPr>
        <w:t>(Dhir et al., 2020</w:t>
      </w:r>
      <w:bookmarkEnd w:id="42"/>
      <w:r w:rsidR="003008CF" w:rsidRPr="00597FFB">
        <w:rPr>
          <w:rFonts w:ascii="Times New Roman" w:eastAsia="Calibri" w:hAnsi="Times New Roman" w:cs="Times New Roman"/>
          <w:color w:val="000000"/>
          <w:sz w:val="24"/>
          <w:szCs w:val="24"/>
        </w:rPr>
        <w:t>)</w:t>
      </w:r>
      <w:r w:rsidR="003008CF" w:rsidRPr="00597FFB">
        <w:rPr>
          <w:rFonts w:ascii="Times New Roman" w:eastAsia="Times New Roman" w:hAnsi="Times New Roman" w:cs="Times New Roman"/>
          <w:bCs/>
          <w:color w:val="000000"/>
          <w:sz w:val="24"/>
          <w:szCs w:val="24"/>
        </w:rPr>
        <w:t>.</w:t>
      </w:r>
    </w:p>
    <w:p w14:paraId="1C1D1085" w14:textId="0D470E98" w:rsidR="009D4FB4" w:rsidRPr="00597FFB" w:rsidRDefault="00D100BC" w:rsidP="009D4FB4">
      <w:pPr>
        <w:autoSpaceDE w:val="0"/>
        <w:autoSpaceDN w:val="0"/>
        <w:adjustRightInd w:val="0"/>
        <w:spacing w:after="0" w:line="276" w:lineRule="auto"/>
        <w:jc w:val="both"/>
        <w:rPr>
          <w:rFonts w:ascii="Times New Roman" w:eastAsia="Calibri" w:hAnsi="Times New Roman" w:cs="Times New Roman"/>
        </w:rPr>
      </w:pPr>
      <w:bookmarkStart w:id="43" w:name="_Hlk53663324"/>
      <w:r w:rsidRPr="00597FFB">
        <w:rPr>
          <w:rFonts w:ascii="Times New Roman" w:eastAsia="Calibri" w:hAnsi="Times New Roman" w:cs="Times New Roman"/>
          <w:b/>
          <w:bCs/>
        </w:rPr>
        <w:t>Table 5</w:t>
      </w:r>
      <w:bookmarkStart w:id="44" w:name="_Hlk57288615"/>
      <w:r w:rsidRPr="00597FFB">
        <w:rPr>
          <w:rFonts w:ascii="Times New Roman" w:eastAsia="Calibri" w:hAnsi="Times New Roman" w:cs="Times New Roman"/>
          <w:b/>
          <w:bCs/>
        </w:rPr>
        <w:t xml:space="preserve">:  </w:t>
      </w:r>
      <w:bookmarkStart w:id="45" w:name="_Hlk123389249"/>
      <w:r w:rsidRPr="00597FFB">
        <w:rPr>
          <w:rFonts w:ascii="Times New Roman" w:eastAsia="Calibri" w:hAnsi="Times New Roman" w:cs="Times New Roman"/>
          <w:i/>
          <w:iCs/>
        </w:rPr>
        <w:t xml:space="preserve">E-Waste (WEEE) Is Generated Around </w:t>
      </w:r>
      <w:r w:rsidR="00B062E5" w:rsidRPr="00597FFB">
        <w:rPr>
          <w:rFonts w:ascii="Times New Roman" w:eastAsia="Calibri" w:hAnsi="Times New Roman" w:cs="Times New Roman"/>
          <w:i/>
          <w:iCs/>
        </w:rPr>
        <w:t>t</w:t>
      </w:r>
      <w:r w:rsidRPr="00597FFB">
        <w:rPr>
          <w:rFonts w:ascii="Times New Roman" w:eastAsia="Calibri" w:hAnsi="Times New Roman" w:cs="Times New Roman"/>
          <w:i/>
          <w:iCs/>
        </w:rPr>
        <w:t xml:space="preserve">he World </w:t>
      </w:r>
      <w:r w:rsidR="00B062E5" w:rsidRPr="00597FFB">
        <w:rPr>
          <w:rFonts w:ascii="Times New Roman" w:eastAsia="Calibri" w:hAnsi="Times New Roman" w:cs="Times New Roman"/>
          <w:i/>
          <w:iCs/>
        </w:rPr>
        <w:t>a</w:t>
      </w:r>
      <w:r w:rsidRPr="00597FFB">
        <w:rPr>
          <w:rFonts w:ascii="Times New Roman" w:eastAsia="Calibri" w:hAnsi="Times New Roman" w:cs="Times New Roman"/>
          <w:i/>
          <w:iCs/>
        </w:rPr>
        <w:t>nd Per Continent.</w:t>
      </w:r>
      <w:r w:rsidRPr="00597FFB">
        <w:rPr>
          <w:rFonts w:ascii="Times New Roman" w:eastAsia="Calibri" w:hAnsi="Times New Roman" w:cs="Times New Roman"/>
        </w:rPr>
        <w:t xml:space="preserve"> </w:t>
      </w:r>
      <w:bookmarkEnd w:id="45"/>
    </w:p>
    <w:tbl>
      <w:tblPr>
        <w:tblW w:w="8190" w:type="dxa"/>
        <w:tblBorders>
          <w:top w:val="single" w:sz="4" w:space="0" w:color="auto"/>
          <w:bottom w:val="single" w:sz="4" w:space="0" w:color="auto"/>
        </w:tblBorders>
        <w:tblLayout w:type="fixed"/>
        <w:tblLook w:val="04A0" w:firstRow="1" w:lastRow="0" w:firstColumn="1" w:lastColumn="0" w:noHBand="0" w:noVBand="1"/>
      </w:tblPr>
      <w:tblGrid>
        <w:gridCol w:w="1260"/>
        <w:gridCol w:w="1080"/>
        <w:gridCol w:w="1260"/>
        <w:gridCol w:w="1260"/>
        <w:gridCol w:w="1170"/>
        <w:gridCol w:w="990"/>
        <w:gridCol w:w="1170"/>
      </w:tblGrid>
      <w:tr w:rsidR="009D4FB4" w:rsidRPr="00597FFB" w14:paraId="2CA353C1" w14:textId="77777777" w:rsidTr="005C5949">
        <w:tc>
          <w:tcPr>
            <w:tcW w:w="1260" w:type="dxa"/>
            <w:tcBorders>
              <w:top w:val="single" w:sz="4" w:space="0" w:color="auto"/>
              <w:bottom w:val="single" w:sz="4" w:space="0" w:color="auto"/>
            </w:tcBorders>
          </w:tcPr>
          <w:bookmarkEnd w:id="43"/>
          <w:bookmarkEnd w:id="44"/>
          <w:p w14:paraId="220F78EA"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Indicator </w:t>
            </w:r>
          </w:p>
        </w:tc>
        <w:tc>
          <w:tcPr>
            <w:tcW w:w="1080" w:type="dxa"/>
            <w:tcBorders>
              <w:top w:val="single" w:sz="4" w:space="0" w:color="auto"/>
              <w:bottom w:val="single" w:sz="4" w:space="0" w:color="auto"/>
            </w:tcBorders>
          </w:tcPr>
          <w:p w14:paraId="469E5E22"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Africa </w:t>
            </w:r>
          </w:p>
        </w:tc>
        <w:tc>
          <w:tcPr>
            <w:tcW w:w="1260" w:type="dxa"/>
            <w:tcBorders>
              <w:top w:val="single" w:sz="4" w:space="0" w:color="auto"/>
              <w:bottom w:val="single" w:sz="4" w:space="0" w:color="auto"/>
            </w:tcBorders>
          </w:tcPr>
          <w:p w14:paraId="448E0FE0"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Americas </w:t>
            </w:r>
          </w:p>
        </w:tc>
        <w:tc>
          <w:tcPr>
            <w:tcW w:w="1260" w:type="dxa"/>
            <w:tcBorders>
              <w:top w:val="single" w:sz="4" w:space="0" w:color="auto"/>
              <w:bottom w:val="single" w:sz="4" w:space="0" w:color="auto"/>
            </w:tcBorders>
          </w:tcPr>
          <w:p w14:paraId="1903CFD5"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Asia </w:t>
            </w:r>
          </w:p>
        </w:tc>
        <w:tc>
          <w:tcPr>
            <w:tcW w:w="1170" w:type="dxa"/>
            <w:tcBorders>
              <w:top w:val="single" w:sz="4" w:space="0" w:color="auto"/>
              <w:bottom w:val="single" w:sz="4" w:space="0" w:color="auto"/>
            </w:tcBorders>
          </w:tcPr>
          <w:p w14:paraId="4248CE7C"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Europe </w:t>
            </w:r>
          </w:p>
        </w:tc>
        <w:tc>
          <w:tcPr>
            <w:tcW w:w="990" w:type="dxa"/>
            <w:tcBorders>
              <w:top w:val="single" w:sz="4" w:space="0" w:color="auto"/>
              <w:bottom w:val="single" w:sz="4" w:space="0" w:color="auto"/>
            </w:tcBorders>
          </w:tcPr>
          <w:p w14:paraId="7E26360C"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 xml:space="preserve">Oceania </w:t>
            </w:r>
          </w:p>
        </w:tc>
        <w:tc>
          <w:tcPr>
            <w:tcW w:w="1170" w:type="dxa"/>
            <w:tcBorders>
              <w:top w:val="single" w:sz="4" w:space="0" w:color="auto"/>
              <w:bottom w:val="single" w:sz="4" w:space="0" w:color="auto"/>
            </w:tcBorders>
          </w:tcPr>
          <w:p w14:paraId="1AF463BF"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b/>
                <w:bCs/>
              </w:rPr>
            </w:pPr>
            <w:r w:rsidRPr="00597FFB">
              <w:rPr>
                <w:rFonts w:ascii="Times New Roman" w:eastAsia="Calibri" w:hAnsi="Times New Roman" w:cs="Times New Roman"/>
                <w:b/>
                <w:bCs/>
              </w:rPr>
              <w:t>World</w:t>
            </w:r>
          </w:p>
        </w:tc>
      </w:tr>
      <w:tr w:rsidR="009D4FB4" w:rsidRPr="00597FFB" w14:paraId="47CA2DBA" w14:textId="77777777" w:rsidTr="005C5949">
        <w:tc>
          <w:tcPr>
            <w:tcW w:w="1260" w:type="dxa"/>
            <w:tcBorders>
              <w:top w:val="single" w:sz="4" w:space="0" w:color="auto"/>
            </w:tcBorders>
          </w:tcPr>
          <w:p w14:paraId="10D0E3E4"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Number of countries with sufficient data availability </w:t>
            </w:r>
          </w:p>
        </w:tc>
        <w:tc>
          <w:tcPr>
            <w:tcW w:w="1080" w:type="dxa"/>
            <w:tcBorders>
              <w:top w:val="single" w:sz="4" w:space="0" w:color="auto"/>
            </w:tcBorders>
          </w:tcPr>
          <w:p w14:paraId="38C34DF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47 </w:t>
            </w:r>
          </w:p>
        </w:tc>
        <w:tc>
          <w:tcPr>
            <w:tcW w:w="1260" w:type="dxa"/>
            <w:tcBorders>
              <w:top w:val="single" w:sz="4" w:space="0" w:color="auto"/>
            </w:tcBorders>
          </w:tcPr>
          <w:p w14:paraId="3792AFAF"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32</w:t>
            </w:r>
          </w:p>
        </w:tc>
        <w:tc>
          <w:tcPr>
            <w:tcW w:w="1260" w:type="dxa"/>
            <w:tcBorders>
              <w:top w:val="single" w:sz="4" w:space="0" w:color="auto"/>
            </w:tcBorders>
          </w:tcPr>
          <w:p w14:paraId="116A93D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44 </w:t>
            </w:r>
          </w:p>
        </w:tc>
        <w:tc>
          <w:tcPr>
            <w:tcW w:w="1170" w:type="dxa"/>
            <w:tcBorders>
              <w:top w:val="single" w:sz="4" w:space="0" w:color="auto"/>
            </w:tcBorders>
          </w:tcPr>
          <w:p w14:paraId="40B62241"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39 </w:t>
            </w:r>
          </w:p>
        </w:tc>
        <w:tc>
          <w:tcPr>
            <w:tcW w:w="990" w:type="dxa"/>
            <w:tcBorders>
              <w:top w:val="single" w:sz="4" w:space="0" w:color="auto"/>
            </w:tcBorders>
          </w:tcPr>
          <w:p w14:paraId="264CE338"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12 </w:t>
            </w:r>
          </w:p>
        </w:tc>
        <w:tc>
          <w:tcPr>
            <w:tcW w:w="1170" w:type="dxa"/>
            <w:tcBorders>
              <w:top w:val="single" w:sz="4" w:space="0" w:color="auto"/>
            </w:tcBorders>
          </w:tcPr>
          <w:p w14:paraId="6EB59962"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174</w:t>
            </w:r>
          </w:p>
        </w:tc>
      </w:tr>
      <w:tr w:rsidR="009D4FB4" w:rsidRPr="00597FFB" w14:paraId="057D7711" w14:textId="77777777" w:rsidTr="005C5949">
        <w:tc>
          <w:tcPr>
            <w:tcW w:w="1260" w:type="dxa"/>
          </w:tcPr>
          <w:p w14:paraId="32490C6B"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Population (millions) </w:t>
            </w:r>
          </w:p>
        </w:tc>
        <w:tc>
          <w:tcPr>
            <w:tcW w:w="1080" w:type="dxa"/>
          </w:tcPr>
          <w:p w14:paraId="376E222A"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1064 </w:t>
            </w:r>
          </w:p>
        </w:tc>
        <w:tc>
          <w:tcPr>
            <w:tcW w:w="1260" w:type="dxa"/>
          </w:tcPr>
          <w:p w14:paraId="17216F11"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931.8 </w:t>
            </w:r>
          </w:p>
        </w:tc>
        <w:tc>
          <w:tcPr>
            <w:tcW w:w="1260" w:type="dxa"/>
          </w:tcPr>
          <w:p w14:paraId="78AE8F6D"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4295 </w:t>
            </w:r>
          </w:p>
        </w:tc>
        <w:tc>
          <w:tcPr>
            <w:tcW w:w="1170" w:type="dxa"/>
          </w:tcPr>
          <w:p w14:paraId="5BC147E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737.9</w:t>
            </w:r>
          </w:p>
        </w:tc>
        <w:tc>
          <w:tcPr>
            <w:tcW w:w="990" w:type="dxa"/>
          </w:tcPr>
          <w:p w14:paraId="20F033C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39.29 </w:t>
            </w:r>
          </w:p>
        </w:tc>
        <w:tc>
          <w:tcPr>
            <w:tcW w:w="1170" w:type="dxa"/>
          </w:tcPr>
          <w:p w14:paraId="39FEF804"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7068</w:t>
            </w:r>
          </w:p>
        </w:tc>
      </w:tr>
      <w:tr w:rsidR="009D4FB4" w:rsidRPr="00597FFB" w14:paraId="2CE10362" w14:textId="77777777" w:rsidTr="005C5949">
        <w:tc>
          <w:tcPr>
            <w:tcW w:w="1260" w:type="dxa"/>
          </w:tcPr>
          <w:p w14:paraId="394D70D6"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WEEE total (Mt) </w:t>
            </w:r>
          </w:p>
        </w:tc>
        <w:tc>
          <w:tcPr>
            <w:tcW w:w="1080" w:type="dxa"/>
          </w:tcPr>
          <w:p w14:paraId="6AEE9B47"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2.23 </w:t>
            </w:r>
          </w:p>
        </w:tc>
        <w:tc>
          <w:tcPr>
            <w:tcW w:w="1260" w:type="dxa"/>
          </w:tcPr>
          <w:p w14:paraId="5EC7F551"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11.08 </w:t>
            </w:r>
          </w:p>
        </w:tc>
        <w:tc>
          <w:tcPr>
            <w:tcW w:w="1260" w:type="dxa"/>
          </w:tcPr>
          <w:p w14:paraId="381B0E73"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18.23 </w:t>
            </w:r>
          </w:p>
        </w:tc>
        <w:tc>
          <w:tcPr>
            <w:tcW w:w="1170" w:type="dxa"/>
          </w:tcPr>
          <w:p w14:paraId="01062C72"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12.26 </w:t>
            </w:r>
          </w:p>
        </w:tc>
        <w:tc>
          <w:tcPr>
            <w:tcW w:w="990" w:type="dxa"/>
          </w:tcPr>
          <w:p w14:paraId="64E3BCA5"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0.68 </w:t>
            </w:r>
          </w:p>
        </w:tc>
        <w:tc>
          <w:tcPr>
            <w:tcW w:w="1170" w:type="dxa"/>
          </w:tcPr>
          <w:p w14:paraId="0FC8FEBB"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44.49</w:t>
            </w:r>
          </w:p>
        </w:tc>
      </w:tr>
      <w:tr w:rsidR="009D4FB4" w:rsidRPr="00597FFB" w14:paraId="0CC890BF" w14:textId="77777777" w:rsidTr="005C5949">
        <w:tc>
          <w:tcPr>
            <w:tcW w:w="1260" w:type="dxa"/>
          </w:tcPr>
          <w:p w14:paraId="4F4B89F6"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WEEE per capita, average of continent (kg/inh) </w:t>
            </w:r>
          </w:p>
        </w:tc>
        <w:tc>
          <w:tcPr>
            <w:tcW w:w="1080" w:type="dxa"/>
          </w:tcPr>
          <w:p w14:paraId="1FF8878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2.09 </w:t>
            </w:r>
          </w:p>
        </w:tc>
        <w:tc>
          <w:tcPr>
            <w:tcW w:w="1260" w:type="dxa"/>
          </w:tcPr>
          <w:p w14:paraId="1C73DB66"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11.89 </w:t>
            </w:r>
          </w:p>
        </w:tc>
        <w:tc>
          <w:tcPr>
            <w:tcW w:w="1260" w:type="dxa"/>
          </w:tcPr>
          <w:p w14:paraId="23B4A8FB"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4.24 </w:t>
            </w:r>
          </w:p>
        </w:tc>
        <w:tc>
          <w:tcPr>
            <w:tcW w:w="1170" w:type="dxa"/>
          </w:tcPr>
          <w:p w14:paraId="64C35F40"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16.61 </w:t>
            </w:r>
          </w:p>
        </w:tc>
        <w:tc>
          <w:tcPr>
            <w:tcW w:w="990" w:type="dxa"/>
          </w:tcPr>
          <w:p w14:paraId="362A11B0"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17.36 </w:t>
            </w:r>
          </w:p>
        </w:tc>
        <w:tc>
          <w:tcPr>
            <w:tcW w:w="1170" w:type="dxa"/>
          </w:tcPr>
          <w:p w14:paraId="06F554F3"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6.29</w:t>
            </w:r>
          </w:p>
        </w:tc>
      </w:tr>
      <w:tr w:rsidR="009D4FB4" w:rsidRPr="00597FFB" w14:paraId="416C92B2" w14:textId="77777777" w:rsidTr="005C5949">
        <w:tc>
          <w:tcPr>
            <w:tcW w:w="1260" w:type="dxa"/>
          </w:tcPr>
          <w:p w14:paraId="0565B825"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GDP total (10</w:t>
            </w:r>
            <w:r w:rsidRPr="00597FFB">
              <w:rPr>
                <w:rFonts w:ascii="Times New Roman" w:eastAsia="Calibri" w:hAnsi="Times New Roman" w:cs="Times New Roman"/>
                <w:sz w:val="20"/>
                <w:szCs w:val="20"/>
                <w:vertAlign w:val="superscript"/>
              </w:rPr>
              <w:t>6</w:t>
            </w:r>
            <w:r w:rsidRPr="00597FFB">
              <w:rPr>
                <w:rFonts w:ascii="Times New Roman" w:eastAsia="Calibri" w:hAnsi="Times New Roman" w:cs="Times New Roman"/>
                <w:sz w:val="20"/>
                <w:szCs w:val="20"/>
              </w:rPr>
              <w:t xml:space="preserve"> USD) </w:t>
            </w:r>
          </w:p>
        </w:tc>
        <w:tc>
          <w:tcPr>
            <w:tcW w:w="1080" w:type="dxa"/>
          </w:tcPr>
          <w:p w14:paraId="2A56253B"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2309,676 </w:t>
            </w:r>
          </w:p>
        </w:tc>
        <w:tc>
          <w:tcPr>
            <w:tcW w:w="1260" w:type="dxa"/>
          </w:tcPr>
          <w:p w14:paraId="45DF0E57"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24,061,119 </w:t>
            </w:r>
          </w:p>
        </w:tc>
        <w:tc>
          <w:tcPr>
            <w:tcW w:w="1260" w:type="dxa"/>
          </w:tcPr>
          <w:p w14:paraId="19360B81"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26,870,635 </w:t>
            </w:r>
          </w:p>
        </w:tc>
        <w:tc>
          <w:tcPr>
            <w:tcW w:w="1170" w:type="dxa"/>
          </w:tcPr>
          <w:p w14:paraId="49641CEB"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21,347,978 </w:t>
            </w:r>
          </w:p>
        </w:tc>
        <w:tc>
          <w:tcPr>
            <w:tcW w:w="990" w:type="dxa"/>
          </w:tcPr>
          <w:p w14:paraId="20B64109"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1552,169 </w:t>
            </w:r>
          </w:p>
        </w:tc>
        <w:tc>
          <w:tcPr>
            <w:tcW w:w="1170" w:type="dxa"/>
          </w:tcPr>
          <w:p w14:paraId="0AE9ABB2"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76,141,597</w:t>
            </w:r>
          </w:p>
        </w:tc>
      </w:tr>
      <w:tr w:rsidR="009D4FB4" w:rsidRPr="00597FFB" w14:paraId="1593E930" w14:textId="77777777" w:rsidTr="005C5949">
        <w:tc>
          <w:tcPr>
            <w:tcW w:w="1260" w:type="dxa"/>
          </w:tcPr>
          <w:p w14:paraId="7D4497FE" w14:textId="77777777" w:rsidR="009D4FB4" w:rsidRPr="00597FFB" w:rsidRDefault="009D4FB4" w:rsidP="009D4FB4">
            <w:pPr>
              <w:autoSpaceDE w:val="0"/>
              <w:autoSpaceDN w:val="0"/>
              <w:adjustRightInd w:val="0"/>
              <w:spacing w:after="0" w:line="276" w:lineRule="auto"/>
              <w:rPr>
                <w:rFonts w:ascii="Times New Roman" w:eastAsia="Calibri" w:hAnsi="Times New Roman" w:cs="Times New Roman"/>
                <w:sz w:val="20"/>
                <w:szCs w:val="20"/>
              </w:rPr>
            </w:pPr>
            <w:r w:rsidRPr="00597FFB">
              <w:rPr>
                <w:rFonts w:ascii="Times New Roman" w:eastAsia="Calibri" w:hAnsi="Times New Roman" w:cs="Times New Roman"/>
                <w:sz w:val="20"/>
                <w:szCs w:val="20"/>
              </w:rPr>
              <w:t>GDP per capita, average of continent (USD/inh)</w:t>
            </w:r>
          </w:p>
        </w:tc>
        <w:tc>
          <w:tcPr>
            <w:tcW w:w="1080" w:type="dxa"/>
          </w:tcPr>
          <w:p w14:paraId="4B87E99A"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2170.5 </w:t>
            </w:r>
          </w:p>
        </w:tc>
        <w:tc>
          <w:tcPr>
            <w:tcW w:w="1260" w:type="dxa"/>
          </w:tcPr>
          <w:p w14:paraId="38199C60"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25,819.7 </w:t>
            </w:r>
          </w:p>
        </w:tc>
        <w:tc>
          <w:tcPr>
            <w:tcW w:w="1260" w:type="dxa"/>
          </w:tcPr>
          <w:p w14:paraId="4990EA23"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6256.2 </w:t>
            </w:r>
          </w:p>
        </w:tc>
        <w:tc>
          <w:tcPr>
            <w:tcW w:w="1170" w:type="dxa"/>
          </w:tcPr>
          <w:p w14:paraId="577323B2"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28,929.1 </w:t>
            </w:r>
          </w:p>
        </w:tc>
        <w:tc>
          <w:tcPr>
            <w:tcW w:w="990" w:type="dxa"/>
          </w:tcPr>
          <w:p w14:paraId="772D3B7A"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 xml:space="preserve">39,496.4 </w:t>
            </w:r>
          </w:p>
        </w:tc>
        <w:tc>
          <w:tcPr>
            <w:tcW w:w="1170" w:type="dxa"/>
          </w:tcPr>
          <w:p w14:paraId="1D4FB308" w14:textId="7777777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sz w:val="20"/>
                <w:szCs w:val="20"/>
              </w:rPr>
            </w:pPr>
            <w:r w:rsidRPr="00597FFB">
              <w:rPr>
                <w:rFonts w:ascii="Times New Roman" w:eastAsia="Calibri" w:hAnsi="Times New Roman" w:cs="Times New Roman"/>
                <w:sz w:val="20"/>
                <w:szCs w:val="20"/>
              </w:rPr>
              <w:t>10,772.4</w:t>
            </w:r>
          </w:p>
        </w:tc>
      </w:tr>
    </w:tbl>
    <w:p w14:paraId="6665A183" w14:textId="19E87657" w:rsidR="009D4FB4" w:rsidRPr="00597FFB" w:rsidRDefault="009D4FB4" w:rsidP="009D4FB4">
      <w:pPr>
        <w:autoSpaceDE w:val="0"/>
        <w:autoSpaceDN w:val="0"/>
        <w:adjustRightInd w:val="0"/>
        <w:spacing w:after="0" w:line="276" w:lineRule="auto"/>
        <w:jc w:val="both"/>
        <w:rPr>
          <w:rFonts w:ascii="Times New Roman" w:eastAsia="Calibri" w:hAnsi="Times New Roman" w:cs="Times New Roman"/>
          <w:i/>
          <w:iCs/>
          <w:sz w:val="20"/>
          <w:szCs w:val="20"/>
        </w:rPr>
      </w:pPr>
      <w:r w:rsidRPr="00597FFB">
        <w:rPr>
          <w:rFonts w:ascii="Times New Roman" w:eastAsia="Calibri" w:hAnsi="Times New Roman" w:cs="Times New Roman"/>
          <w:i/>
          <w:iCs/>
          <w:sz w:val="20"/>
          <w:szCs w:val="20"/>
        </w:rPr>
        <w:t xml:space="preserve">Source: </w:t>
      </w:r>
      <w:r w:rsidRPr="00597FFB">
        <w:rPr>
          <w:rFonts w:ascii="Times New Roman" w:eastAsia="Calibri" w:hAnsi="Times New Roman" w:cs="Times New Roman"/>
          <w:i/>
          <w:iCs/>
          <w:color w:val="000000"/>
          <w:sz w:val="20"/>
          <w:szCs w:val="20"/>
        </w:rPr>
        <w:t xml:space="preserve">Adapted from the </w:t>
      </w:r>
      <w:r w:rsidRPr="00597FFB">
        <w:rPr>
          <w:rFonts w:ascii="Times New Roman" w:eastAsia="Calibri" w:hAnsi="Times New Roman" w:cs="Times New Roman"/>
          <w:i/>
          <w:iCs/>
          <w:sz w:val="20"/>
          <w:szCs w:val="20"/>
        </w:rPr>
        <w:t>World Bank (20</w:t>
      </w:r>
      <w:r w:rsidR="00050AF3" w:rsidRPr="00597FFB">
        <w:rPr>
          <w:rFonts w:ascii="Times New Roman" w:eastAsia="Calibri" w:hAnsi="Times New Roman" w:cs="Times New Roman"/>
          <w:i/>
          <w:iCs/>
          <w:sz w:val="20"/>
          <w:szCs w:val="20"/>
        </w:rPr>
        <w:t>22</w:t>
      </w:r>
      <w:r w:rsidRPr="00597FFB">
        <w:rPr>
          <w:rFonts w:ascii="Times New Roman" w:eastAsia="Calibri" w:hAnsi="Times New Roman" w:cs="Times New Roman"/>
          <w:i/>
          <w:iCs/>
          <w:sz w:val="20"/>
          <w:szCs w:val="20"/>
        </w:rPr>
        <w:t>).</w:t>
      </w:r>
    </w:p>
    <w:p w14:paraId="189BFABD" w14:textId="77777777" w:rsidR="00A75D4B" w:rsidRPr="00597FFB" w:rsidRDefault="00A75D4B" w:rsidP="00794844">
      <w:pPr>
        <w:autoSpaceDE w:val="0"/>
        <w:autoSpaceDN w:val="0"/>
        <w:adjustRightInd w:val="0"/>
        <w:spacing w:before="26" w:after="26" w:line="480" w:lineRule="auto"/>
        <w:ind w:firstLine="720"/>
        <w:jc w:val="both"/>
        <w:rPr>
          <w:rFonts w:ascii="Times New Roman" w:eastAsia="Calibri" w:hAnsi="Times New Roman" w:cs="Times New Roman"/>
          <w:bCs/>
          <w:color w:val="000000"/>
          <w:sz w:val="24"/>
          <w:szCs w:val="24"/>
        </w:rPr>
      </w:pPr>
      <w:bookmarkStart w:id="46" w:name="_Hlk53997264"/>
    </w:p>
    <w:p w14:paraId="5A99E328" w14:textId="4BAC13AD" w:rsidR="009D4FB4" w:rsidRPr="00597FFB" w:rsidRDefault="009D4FB4" w:rsidP="00794844">
      <w:pPr>
        <w:autoSpaceDE w:val="0"/>
        <w:autoSpaceDN w:val="0"/>
        <w:adjustRightInd w:val="0"/>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Calibri" w:hAnsi="Times New Roman" w:cs="Times New Roman"/>
          <w:bCs/>
          <w:color w:val="000000"/>
          <w:sz w:val="24"/>
          <w:szCs w:val="24"/>
        </w:rPr>
        <w:t>Determining the global flow and volume of the categories</w:t>
      </w:r>
      <w:r w:rsidRPr="00597FFB" w:rsidDel="004170CD">
        <w:rPr>
          <w:rFonts w:ascii="Times New Roman" w:eastAsia="Calibri" w:hAnsi="Times New Roman" w:cs="Times New Roman"/>
          <w:bCs/>
          <w:color w:val="000000"/>
          <w:sz w:val="24"/>
          <w:szCs w:val="24"/>
        </w:rPr>
        <w:t xml:space="preserve"> </w:t>
      </w:r>
      <w:r w:rsidRPr="00597FFB">
        <w:rPr>
          <w:rFonts w:ascii="Times New Roman" w:eastAsia="Calibri" w:hAnsi="Times New Roman" w:cs="Times New Roman"/>
          <w:bCs/>
          <w:color w:val="000000"/>
          <w:sz w:val="24"/>
          <w:szCs w:val="24"/>
        </w:rPr>
        <w:t>of E-waste generated</w:t>
      </w:r>
      <w:r w:rsidRPr="00597FFB" w:rsidDel="004170CD">
        <w:rPr>
          <w:rFonts w:ascii="Times New Roman" w:eastAsia="Calibri" w:hAnsi="Times New Roman" w:cs="Times New Roman"/>
          <w:bCs/>
          <w:color w:val="000000"/>
          <w:sz w:val="24"/>
          <w:szCs w:val="24"/>
        </w:rPr>
        <w:t xml:space="preserve"> </w:t>
      </w:r>
      <w:r w:rsidRPr="00597FFB">
        <w:rPr>
          <w:rFonts w:ascii="Times New Roman" w:eastAsia="Calibri" w:hAnsi="Times New Roman" w:cs="Times New Roman"/>
          <w:bCs/>
          <w:color w:val="000000"/>
          <w:sz w:val="24"/>
          <w:szCs w:val="24"/>
        </w:rPr>
        <w:t>and their constituents are challeng</w:t>
      </w:r>
      <w:r w:rsidRPr="00597FFB">
        <w:rPr>
          <w:rFonts w:ascii="Times New Roman" w:eastAsia="Times New Roman" w:hAnsi="Times New Roman" w:cs="Times New Roman"/>
          <w:bCs/>
          <w:sz w:val="24"/>
          <w:szCs w:val="24"/>
        </w:rPr>
        <w:t xml:space="preserve">es of EWM </w:t>
      </w:r>
      <w:r w:rsidR="00DF2109" w:rsidRPr="00597FFB">
        <w:rPr>
          <w:rFonts w:ascii="Times New Roman" w:eastAsia="Calibri" w:hAnsi="Times New Roman" w:cs="Times New Roman"/>
          <w:bCs/>
          <w:color w:val="000000"/>
          <w:sz w:val="24"/>
          <w:szCs w:val="24"/>
        </w:rPr>
        <w:fldChar w:fldCharType="begin"/>
      </w:r>
      <w:r w:rsidR="00504905" w:rsidRPr="00597FFB">
        <w:rPr>
          <w:rFonts w:ascii="Times New Roman" w:eastAsia="Calibri" w:hAnsi="Times New Roman" w:cs="Times New Roman"/>
          <w:bCs/>
          <w:color w:val="000000"/>
          <w:sz w:val="24"/>
          <w:szCs w:val="24"/>
        </w:rPr>
        <w:instrText xml:space="preserve"> ADDIN ZOTERO_ITEM CSL_CITATION {"citationID":"aic2o64pn2","properties":{"formattedCitation":"(Afroz et al., 2017)","plainCitation":"(Afroz et al., 2017)","noteIndex":0},"citationItems":[{"id":4228,"uris":["http://zotero.org/users/local/b6CRLSJH/items/7YZ3N33N"],"itemData":{"id":4228,"type":"article-journal","container-title":"Environmental Science and Pollution Research","DOI":"10.1007/s11356-016-7942-0","ISSN":"0944-1344, 1614-7499","issue":"3","journalAbbreviation":"Environ Sci Pollut Res","language":"en","page":"2304-2315","source":"DOI.org (Crossref)","title":"The knowledge, awareness, attitude and motivational analysis of plastic waste and household perspective in Malaysia","volume":"24","author":[{"family":"Afroz","given":"Rafia"},{"family":"Rahman","given":"Ataur"},{"family":"Masud","given":"Muhammad Mehedi"},{"family":"Akhtar","given":"Rulia"}],"issued":{"date-parts":[["2017",1]]}}}],"schema":"https://github.com/citation-style-language/schema/raw/master/csl-citation.json"} </w:instrText>
      </w:r>
      <w:r w:rsidR="00DF2109" w:rsidRPr="00597FFB">
        <w:rPr>
          <w:rFonts w:ascii="Times New Roman" w:eastAsia="Calibri" w:hAnsi="Times New Roman" w:cs="Times New Roman"/>
          <w:bCs/>
          <w:color w:val="000000"/>
          <w:sz w:val="24"/>
          <w:szCs w:val="24"/>
        </w:rPr>
        <w:fldChar w:fldCharType="separate"/>
      </w:r>
      <w:r w:rsidR="00504905" w:rsidRPr="00597FFB">
        <w:rPr>
          <w:rFonts w:ascii="Times New Roman" w:hAnsi="Times New Roman" w:cs="Times New Roman"/>
          <w:sz w:val="24"/>
          <w:szCs w:val="24"/>
        </w:rPr>
        <w:t>(Afroz et al., 2017)</w:t>
      </w:r>
      <w:r w:rsidR="00DF2109" w:rsidRPr="00597FFB">
        <w:rPr>
          <w:rFonts w:ascii="Times New Roman" w:eastAsia="Calibri" w:hAnsi="Times New Roman" w:cs="Times New Roman"/>
          <w:bCs/>
          <w:color w:val="000000"/>
          <w:sz w:val="24"/>
          <w:szCs w:val="24"/>
        </w:rPr>
        <w:fldChar w:fldCharType="end"/>
      </w:r>
      <w:r w:rsidRPr="00597FFB">
        <w:rPr>
          <w:rFonts w:ascii="Times New Roman" w:eastAsia="Calibri" w:hAnsi="Times New Roman" w:cs="Times New Roman"/>
          <w:bCs/>
          <w:color w:val="000000"/>
          <w:sz w:val="24"/>
          <w:szCs w:val="24"/>
        </w:rPr>
        <w:t xml:space="preserve">. </w:t>
      </w:r>
      <w:bookmarkEnd w:id="46"/>
      <w:r w:rsidRPr="00597FFB">
        <w:rPr>
          <w:rFonts w:ascii="Times New Roman" w:eastAsia="Calibri" w:hAnsi="Times New Roman" w:cs="Times New Roman"/>
          <w:bCs/>
          <w:color w:val="000000"/>
          <w:sz w:val="24"/>
          <w:szCs w:val="24"/>
        </w:rPr>
        <w:t xml:space="preserve">Especially in developing countries, where there </w:t>
      </w:r>
      <w:r w:rsidRPr="00597FFB">
        <w:rPr>
          <w:rFonts w:ascii="Times New Roman" w:eastAsia="Times New Roman" w:hAnsi="Times New Roman" w:cs="Times New Roman"/>
          <w:bCs/>
          <w:sz w:val="24"/>
          <w:szCs w:val="24"/>
        </w:rPr>
        <w:t>lack</w:t>
      </w:r>
      <w:r w:rsidR="00E82D6F"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 infrastructure for appropriate EWM, lack of E-waste </w:t>
      </w:r>
      <w:r w:rsidRPr="00597FFB">
        <w:rPr>
          <w:rFonts w:ascii="Times New Roman" w:eastAsia="Times New Roman" w:hAnsi="Times New Roman" w:cs="Times New Roman"/>
          <w:bCs/>
          <w:color w:val="000000"/>
          <w:sz w:val="24"/>
          <w:szCs w:val="24"/>
        </w:rPr>
        <w:t xml:space="preserve">legislation, lack of a framework for EOL product take-back, or implementation of extended producer responsibility (EPR) </w:t>
      </w:r>
      <w:r w:rsidR="00956A3A" w:rsidRPr="00597FFB">
        <w:rPr>
          <w:rFonts w:ascii="Times New Roman" w:eastAsia="Times New Roman" w:hAnsi="Times New Roman" w:cs="Times New Roman"/>
          <w:bCs/>
          <w:color w:val="000000"/>
          <w:sz w:val="24"/>
          <w:szCs w:val="24"/>
        </w:rPr>
        <w:fldChar w:fldCharType="begin"/>
      </w:r>
      <w:r w:rsidR="006E24D1" w:rsidRPr="00597FFB">
        <w:rPr>
          <w:rFonts w:ascii="Times New Roman" w:eastAsia="Times New Roman" w:hAnsi="Times New Roman" w:cs="Times New Roman"/>
          <w:bCs/>
          <w:color w:val="000000"/>
          <w:sz w:val="24"/>
          <w:szCs w:val="24"/>
        </w:rPr>
        <w:instrText xml:space="preserve"> ADDIN ZOTERO_ITEM CSL_CITATION {"citationID":"a2591rpt1ef","properties":{"formattedCitation":"(Borusiak et al., 2021)","plainCitation":"(Borusiak et al., 2021)","noteIndex":0},"citationItems":[{"id":4186,"uris":["http://zotero.org/users/local/b6CRLSJH/items/CDRWGCNE"],"itemData":{"id":4186,"type":"article-journal","abstract":"The plastic bottles that are used for packaging water are harmful to the environment. The objective of this study was to examine the influence of consumers’ environmental concern on both their intention to reduce consumption of water sold in single-use plastic bottles and their actual behaviour. An extended version of the theory of planned behaviour is used as the main theoretical framework. Structural equation modelling is employed based on data gathered in 2020 from 1011 Polish respondents to test the study’s hypotheses. The results support the model, as all tested relations are statistically significant. More specifically, we confirm the indirect impact of environmental concern on both intention and behaviour concerning bottled water consumption (BWC): environmental concern is positively related to attitudes towards reducing BWC, subjective norms regarding reduction in BWC, perceived behavioural control over BWC, and perceived moral obligation to protect natural resources, all of which, in turn, are positively related to intention to reduce BWC. We also prove that intention to reduce BWC is positively related to consumption of non-bottled water. The results may serve to guide decision makers seeking to promote ecologically friendly behaviour.","container-title":"Energies","DOI":"10.3390/en14071985","ISSN":"1996-1073","issue":"7","journalAbbreviation":"Energies","language":"en","page":"1985","source":"DOI.org (Crossref)","title":"The Impact of Environmental Concern on Intention to Reduce Consumption of Single-Use Bottled Water","volume":"14","author":[{"family":"Borusiak","given":"Barbara"},{"family":"Szymkowiak","given":"Andrzej"},{"family":"Pierański","given":"Bartłomiej"},{"family":"Szalonka","given":"Katarzyna"}],"issued":{"date-parts":[["2021",4,2]]}}}],"schema":"https://github.com/citation-style-language/schema/raw/master/csl-citation.json"} </w:instrText>
      </w:r>
      <w:r w:rsidR="00956A3A" w:rsidRPr="00597FFB">
        <w:rPr>
          <w:rFonts w:ascii="Times New Roman" w:eastAsia="Times New Roman" w:hAnsi="Times New Roman" w:cs="Times New Roman"/>
          <w:bCs/>
          <w:color w:val="000000"/>
          <w:sz w:val="24"/>
          <w:szCs w:val="24"/>
        </w:rPr>
        <w:fldChar w:fldCharType="separate"/>
      </w:r>
      <w:r w:rsidR="006E24D1" w:rsidRPr="00597FFB">
        <w:rPr>
          <w:rFonts w:ascii="Times New Roman" w:hAnsi="Times New Roman" w:cs="Times New Roman"/>
          <w:sz w:val="24"/>
          <w:szCs w:val="24"/>
        </w:rPr>
        <w:t>(Borusiak et al., 2021)</w:t>
      </w:r>
      <w:r w:rsidR="00956A3A" w:rsidRPr="00597FFB">
        <w:rPr>
          <w:rFonts w:ascii="Times New Roman" w:eastAsia="Times New Roman" w:hAnsi="Times New Roman" w:cs="Times New Roman"/>
          <w:bCs/>
          <w:color w:val="000000"/>
          <w:sz w:val="24"/>
          <w:szCs w:val="24"/>
        </w:rPr>
        <w:fldChar w:fldCharType="end"/>
      </w:r>
      <w:r w:rsidR="006E24D1"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sz w:val="24"/>
          <w:szCs w:val="24"/>
        </w:rPr>
        <w:t xml:space="preserve">The absence of such critical management tools has curtailed efforts at all levels to manage E-waste. Most importantly, it has affected how consumers in developing nations dispose of their E-waste </w:t>
      </w:r>
      <w:r w:rsidR="00817C5D" w:rsidRPr="00597FFB">
        <w:rPr>
          <w:rFonts w:ascii="Times New Roman" w:eastAsia="Times New Roman" w:hAnsi="Times New Roman" w:cs="Times New Roman"/>
          <w:bCs/>
          <w:sz w:val="24"/>
          <w:szCs w:val="24"/>
        </w:rPr>
        <w:fldChar w:fldCharType="begin"/>
      </w:r>
      <w:r w:rsidR="00E43541" w:rsidRPr="00597FFB">
        <w:rPr>
          <w:rFonts w:ascii="Times New Roman" w:eastAsia="Times New Roman" w:hAnsi="Times New Roman" w:cs="Times New Roman"/>
          <w:bCs/>
          <w:sz w:val="24"/>
          <w:szCs w:val="24"/>
        </w:rPr>
        <w:instrText xml:space="preserve"> ADDIN ZOTERO_ITEM CSL_CITATION {"citationID":"a1v3r4e6opt","properties":{"formattedCitation":"(Arocha, 2021)","plainCitation":"(Arocha, 2021)","noteIndex":0},"citationItems":[{"id":4492,"uris":["http://zotero.org/users/local/b6CRLSJH/items/JYMFHJQY"],"itemData":{"id":4492,"type":"article-journal","abstract":"The purpose of this article is to present a critical analysis of current research practices in the study of behavior from the point of view of scientific realism. Although the so-called “replication crisis” observed in the psychological and health sciences has led to various proposals for improving research quality, most of those proposals take the standard linear input–output approach for granted, where behavioral variability is seen as the result of uncontrolled random variables hiding the true input–output relations. Aggregate data and the computation of sample statistics are used to estimate population parameters, the true reality behind appearances. In this paper, I offer a different interpretation: variability is a fact of behavior necessary for successful performance, not the result of some unknown variables randomly affecting individual outputs. Research models that take individual behavior with all of its complexity as the real thing, can help us overcome the limitations of the standard approach to research. As an illustration, I also describe two approaches to behavioral investigations that do not rely on standard statistical analysis for producing genuine knowledge: perceptual control theory and observation-oriented modeling.","container-title":"Theory &amp; Psychology","DOI":"10.1177/0959354320935972","ISSN":"0959-3543, 1461-7447","issue":"3","journalAbbreviation":"Theory &amp; Psychology","language":"en","page":"375-398","source":"DOI.org (Crossref)","title":"Scientific realism and the issue of variability in behavior","volume":"31","author":[{"family":"Arocha","given":"J. F."}],"issued":{"date-parts":[["2021",6]]}}}],"schema":"https://github.com/citation-style-language/schema/raw/master/csl-citation.json"} </w:instrText>
      </w:r>
      <w:r w:rsidR="00817C5D" w:rsidRPr="00597FFB">
        <w:rPr>
          <w:rFonts w:ascii="Times New Roman" w:eastAsia="Times New Roman" w:hAnsi="Times New Roman" w:cs="Times New Roman"/>
          <w:bCs/>
          <w:sz w:val="24"/>
          <w:szCs w:val="24"/>
        </w:rPr>
        <w:fldChar w:fldCharType="separate"/>
      </w:r>
      <w:r w:rsidR="00E43541" w:rsidRPr="00597FFB">
        <w:rPr>
          <w:rFonts w:ascii="Times New Roman" w:hAnsi="Times New Roman" w:cs="Times New Roman"/>
          <w:sz w:val="24"/>
          <w:szCs w:val="24"/>
        </w:rPr>
        <w:t>(Arocha, 2021)</w:t>
      </w:r>
      <w:r w:rsidR="00817C5D" w:rsidRPr="00597FFB">
        <w:rPr>
          <w:rFonts w:ascii="Times New Roman" w:eastAsia="Times New Roman" w:hAnsi="Times New Roman" w:cs="Times New Roman"/>
          <w:bCs/>
          <w:sz w:val="24"/>
          <w:szCs w:val="24"/>
        </w:rPr>
        <w:fldChar w:fldCharType="end"/>
      </w:r>
      <w:r w:rsidR="007E7DE1" w:rsidRPr="00597FFB">
        <w:rPr>
          <w:rFonts w:ascii="Times New Roman" w:eastAsia="Times New Roman" w:hAnsi="Times New Roman" w:cs="Times New Roman"/>
          <w:bCs/>
          <w:sz w:val="24"/>
          <w:szCs w:val="24"/>
        </w:rPr>
        <w:t xml:space="preserve">. </w:t>
      </w:r>
      <w:r w:rsidRPr="00597FFB">
        <w:rPr>
          <w:rFonts w:ascii="Times New Roman" w:eastAsia="Calibri" w:hAnsi="Times New Roman" w:cs="Times New Roman"/>
          <w:bCs/>
          <w:color w:val="000000"/>
          <w:sz w:val="24"/>
          <w:szCs w:val="24"/>
        </w:rPr>
        <w:t xml:space="preserve">How consumers dispose of their electrical and electronic products (broken or functional, but unwanted since other appliances that are more efficient have been introduced) is a crucial issue. Globally, </w:t>
      </w:r>
      <w:r w:rsidRPr="00597FFB">
        <w:rPr>
          <w:rFonts w:ascii="Times New Roman" w:eastAsia="Times New Roman" w:hAnsi="Times New Roman" w:cs="Times New Roman"/>
          <w:bCs/>
          <w:color w:val="000000"/>
          <w:sz w:val="24"/>
          <w:szCs w:val="24"/>
        </w:rPr>
        <w:t xml:space="preserve">proper waste management strategies and safe disposal of E-waste have become an emerging issue in controlling human health hazards and environmental pollution caused by </w:t>
      </w:r>
      <w:r w:rsidRPr="00597FFB">
        <w:rPr>
          <w:rFonts w:ascii="Times New Roman" w:eastAsia="Times New Roman" w:hAnsi="Times New Roman" w:cs="Times New Roman"/>
          <w:bCs/>
          <w:sz w:val="24"/>
          <w:szCs w:val="24"/>
        </w:rPr>
        <w:t xml:space="preserve">landfilling </w:t>
      </w:r>
      <w:r w:rsidR="00444FB4" w:rsidRPr="00597FFB">
        <w:rPr>
          <w:rFonts w:ascii="Times New Roman" w:eastAsia="Times New Roman" w:hAnsi="Times New Roman" w:cs="Times New Roman"/>
          <w:bCs/>
          <w:sz w:val="24"/>
          <w:szCs w:val="24"/>
        </w:rPr>
        <w:fldChar w:fldCharType="begin"/>
      </w:r>
      <w:r w:rsidR="00794844" w:rsidRPr="00597FFB">
        <w:rPr>
          <w:rFonts w:ascii="Times New Roman" w:eastAsia="Times New Roman" w:hAnsi="Times New Roman" w:cs="Times New Roman"/>
          <w:bCs/>
          <w:sz w:val="24"/>
          <w:szCs w:val="24"/>
        </w:rPr>
        <w:instrText xml:space="preserve"> ADDIN ZOTERO_ITEM CSL_CITATION {"citationID":"a2jrlqfaob5","properties":{"formattedCitation":"(Asadi et al., 2021a)","plainCitation":"(Asadi et al., 2021a)","noteIndex":0},"citationItems":[{"id":4203,"uris":["http://zotero.org/users/local/b6CRLSJH/items/ICLH2GZL"],"itemData":{"id":4203,"type":"article-journal","container-title":"Journal of Cleaner Production","DOI":"10.1016/j.jclepro.2020.124474","ISSN":"09596526","journalAbbreviation":"Journal of Cleaner Production","language":"en","page":"124474","source":"DOI.org (Crossref)","title":"Factors impacting consumers’ intention toward adoption of electric vehicles in Malaysia","volume":"282","author":[{"family":"Asadi","given":"Shahla"},{"family":"Nilashi","given":"Mehrbakhsh"},{"family":"Samad","given":"Sarminah"},{"family":"Abdullah","given":"Rusli"},{"family":"Mahmoud","given":"Marwan"},{"family":"Alkinani","given":"Monagi H."},{"family":"Yadegaridehkordi","given":"Elaheh"}],"issued":{"date-parts":[["2021",2]]}}}],"schema":"https://github.com/citation-style-language/schema/raw/master/csl-citation.json"} </w:instrText>
      </w:r>
      <w:r w:rsidR="00444FB4" w:rsidRPr="00597FFB">
        <w:rPr>
          <w:rFonts w:ascii="Times New Roman" w:eastAsia="Times New Roman" w:hAnsi="Times New Roman" w:cs="Times New Roman"/>
          <w:bCs/>
          <w:sz w:val="24"/>
          <w:szCs w:val="24"/>
        </w:rPr>
        <w:fldChar w:fldCharType="separate"/>
      </w:r>
      <w:r w:rsidR="00794844" w:rsidRPr="00597FFB">
        <w:rPr>
          <w:rFonts w:ascii="Times New Roman" w:hAnsi="Times New Roman" w:cs="Times New Roman"/>
          <w:sz w:val="24"/>
        </w:rPr>
        <w:t>(Asadi et al., 2021a)</w:t>
      </w:r>
      <w:r w:rsidR="00444FB4" w:rsidRPr="00597FFB">
        <w:rPr>
          <w:rFonts w:ascii="Times New Roman" w:eastAsia="Times New Roman" w:hAnsi="Times New Roman" w:cs="Times New Roman"/>
          <w:bCs/>
          <w:sz w:val="24"/>
          <w:szCs w:val="24"/>
        </w:rPr>
        <w:fldChar w:fldCharType="end"/>
      </w:r>
      <w:r w:rsidRPr="00597FFB">
        <w:rPr>
          <w:rFonts w:ascii="Times New Roman" w:eastAsia="Times New Roman" w:hAnsi="Times New Roman" w:cs="Times New Roman"/>
          <w:bCs/>
          <w:sz w:val="24"/>
          <w:szCs w:val="24"/>
        </w:rPr>
        <w:t>.</w:t>
      </w:r>
      <w:r w:rsidRPr="00597FFB">
        <w:rPr>
          <w:rFonts w:ascii="Times New Roman" w:eastAsia="Calibri" w:hAnsi="Times New Roman" w:cs="Times New Roman"/>
          <w:sz w:val="24"/>
          <w:szCs w:val="24"/>
        </w:rPr>
        <w:t xml:space="preserve"> The latest estimates from a study by the International Telecommunication Union (ITU) and United Nations University (UNU) show that the world now discards approximately 50 Mt of E-waste per year, only 20% is recycled. </w:t>
      </w:r>
      <w:r w:rsidRPr="00597FFB">
        <w:rPr>
          <w:rFonts w:ascii="Times New Roman" w:eastAsia="Times New Roman" w:hAnsi="Times New Roman" w:cs="Times New Roman"/>
          <w:bCs/>
          <w:sz w:val="24"/>
          <w:szCs w:val="24"/>
        </w:rPr>
        <w:t xml:space="preserve">There is a growing concern about E-waste disposal and recycling worldwide, and policymakers, practitioners, and academic researchers consider it an emerging challenge </w:t>
      </w:r>
      <w:r w:rsidR="00965DF5" w:rsidRPr="00597FFB">
        <w:rPr>
          <w:rFonts w:ascii="Times New Roman" w:eastAsia="Times New Roman" w:hAnsi="Times New Roman" w:cs="Times New Roman"/>
          <w:bCs/>
          <w:sz w:val="24"/>
          <w:szCs w:val="24"/>
        </w:rPr>
        <w:fldChar w:fldCharType="begin"/>
      </w:r>
      <w:r w:rsidR="00E43541" w:rsidRPr="00597FFB">
        <w:rPr>
          <w:rFonts w:ascii="Times New Roman" w:eastAsia="Times New Roman" w:hAnsi="Times New Roman" w:cs="Times New Roman"/>
          <w:bCs/>
          <w:sz w:val="24"/>
          <w:szCs w:val="24"/>
        </w:rPr>
        <w:instrText xml:space="preserve"> ADDIN ZOTERO_ITEM CSL_CITATION {"citationID":"a6n8jagr7g","properties":{"formattedCitation":"(Baumgartner &amp; Weijters, 2021)","plainCitation":"(Baumgartner &amp; Weijters, 2021)","noteIndex":0},"citationItems":[{"id":4541,"uris":["http://zotero.org/users/local/b6CRLSJH/items/DYWAYQXJ"],"itemData":{"id":4541,"type":"article-journal","abstract":"Common method variance (CMV) is an important concern in international marketing research because presumed substantive relationships may actually be due to shared method variance. Because method effects may vary systematically across cultures and countries, accounting for method effects in international marketing research is particularly critical. A systematic review of Journal of International Marketing articles published during a five-year period (2015–2019, N = 93) shows that (1) authors often report post hoc CMV tests but usually conclude that CMV is not an issue and (2) many post hoc tests are conducted using the Harman one-factor test and the marker variable technique, which have serious deficiencies for detecting and controlling CMV. Drawing on a classification and comparative evaluation of the most common statistical approaches for dealing with CMV, the authors recommend two approaches and propose a procedure for dealing with CMV in international marketing research. The procedure, which is based on multisample structural equation modeling, is illustrated with data from a cross-national pan-European survey (N = 11,970, 14 countries), which shows that even though method variance is present in the data, method effects do not seriously bias the substantive conclusions in this particular study.","container-title":"Journal of International Marketing","DOI":"10.1177/1069031X21995871","ISSN":"1069-031X, 1547-7215","issue":"3","journalAbbreviation":"Journal of International Marketing","language":"en","page":"7-22","source":"DOI.org (Crossref)","title":"Dealing with Common Method Variance in International Marketing Research","volume":"29","author":[{"family":"Baumgartner","given":"Hans"},{"family":"Weijters","given":"Bert"}],"issued":{"date-parts":[["2021",9]]}}}],"schema":"https://github.com/citation-style-language/schema/raw/master/csl-citation.json"} </w:instrText>
      </w:r>
      <w:r w:rsidR="00965DF5" w:rsidRPr="00597FFB">
        <w:rPr>
          <w:rFonts w:ascii="Times New Roman" w:eastAsia="Times New Roman" w:hAnsi="Times New Roman" w:cs="Times New Roman"/>
          <w:bCs/>
          <w:sz w:val="24"/>
          <w:szCs w:val="24"/>
        </w:rPr>
        <w:fldChar w:fldCharType="separate"/>
      </w:r>
      <w:r w:rsidR="00E43541" w:rsidRPr="00597FFB">
        <w:rPr>
          <w:rFonts w:ascii="Times New Roman" w:hAnsi="Times New Roman" w:cs="Times New Roman"/>
          <w:sz w:val="24"/>
          <w:szCs w:val="24"/>
        </w:rPr>
        <w:t>(</w:t>
      </w:r>
      <w:r w:rsidR="00882A5C" w:rsidRPr="00597FFB">
        <w:rPr>
          <w:rFonts w:ascii="Times New Roman" w:hAnsi="Times New Roman" w:cs="Times New Roman"/>
          <w:sz w:val="24"/>
          <w:szCs w:val="24"/>
        </w:rPr>
        <w:t>Young &amp; Aryan</w:t>
      </w:r>
      <w:r w:rsidR="00E43541" w:rsidRPr="00597FFB">
        <w:rPr>
          <w:rFonts w:ascii="Times New Roman" w:hAnsi="Times New Roman" w:cs="Times New Roman"/>
          <w:sz w:val="24"/>
          <w:szCs w:val="24"/>
        </w:rPr>
        <w:t>, 202</w:t>
      </w:r>
      <w:r w:rsidR="00882A5C" w:rsidRPr="00597FFB">
        <w:rPr>
          <w:rFonts w:ascii="Times New Roman" w:hAnsi="Times New Roman" w:cs="Times New Roman"/>
          <w:sz w:val="24"/>
          <w:szCs w:val="24"/>
        </w:rPr>
        <w:t>0</w:t>
      </w:r>
      <w:r w:rsidR="00E43541" w:rsidRPr="00597FFB">
        <w:rPr>
          <w:rFonts w:ascii="Times New Roman" w:hAnsi="Times New Roman" w:cs="Times New Roman"/>
          <w:sz w:val="24"/>
          <w:szCs w:val="24"/>
        </w:rPr>
        <w:t>)</w:t>
      </w:r>
      <w:r w:rsidR="00965DF5" w:rsidRPr="00597FFB">
        <w:rPr>
          <w:rFonts w:ascii="Times New Roman" w:eastAsia="Times New Roman" w:hAnsi="Times New Roman" w:cs="Times New Roman"/>
          <w:bCs/>
          <w:sz w:val="24"/>
          <w:szCs w:val="24"/>
        </w:rPr>
        <w:fldChar w:fldCharType="end"/>
      </w:r>
      <w:r w:rsidR="00965DF5" w:rsidRPr="00597FFB">
        <w:rPr>
          <w:rFonts w:ascii="Times New Roman" w:eastAsia="Times New Roman" w:hAnsi="Times New Roman" w:cs="Times New Roman"/>
          <w:bCs/>
          <w:sz w:val="24"/>
          <w:szCs w:val="24"/>
        </w:rPr>
        <w:t>.</w:t>
      </w:r>
    </w:p>
    <w:p w14:paraId="5CAC6D0A" w14:textId="13799FCA" w:rsidR="009D4FB4" w:rsidRPr="00597FFB" w:rsidRDefault="009D4FB4" w:rsidP="009D4FB4">
      <w:pPr>
        <w:autoSpaceDE w:val="0"/>
        <w:autoSpaceDN w:val="0"/>
        <w:adjustRightInd w:val="0"/>
        <w:spacing w:before="26" w:after="26"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iCs/>
          <w:sz w:val="24"/>
          <w:szCs w:val="24"/>
        </w:rPr>
        <w:t xml:space="preserve">EWM in developed countries revolves around two major strategies: (a) recycling, recovery, and disposal in the country or (b) exporting to </w:t>
      </w:r>
      <w:r w:rsidRPr="00597FFB">
        <w:rPr>
          <w:rFonts w:ascii="Times New Roman" w:eastAsia="Calibri" w:hAnsi="Times New Roman" w:cs="Times New Roman"/>
          <w:iCs/>
          <w:color w:val="000000"/>
          <w:sz w:val="24"/>
          <w:szCs w:val="24"/>
        </w:rPr>
        <w:t xml:space="preserve">developing countries </w:t>
      </w:r>
      <w:r w:rsidR="00FA28CE" w:rsidRPr="00597FFB">
        <w:rPr>
          <w:rFonts w:ascii="Times New Roman" w:eastAsia="Calibri" w:hAnsi="Times New Roman" w:cs="Times New Roman"/>
          <w:iCs/>
          <w:color w:val="000000"/>
          <w:sz w:val="24"/>
          <w:szCs w:val="24"/>
        </w:rPr>
        <w:fldChar w:fldCharType="begin"/>
      </w:r>
      <w:r w:rsidR="00E43541" w:rsidRPr="00597FFB">
        <w:rPr>
          <w:rFonts w:ascii="Times New Roman" w:eastAsia="Calibri" w:hAnsi="Times New Roman" w:cs="Times New Roman"/>
          <w:iCs/>
          <w:color w:val="000000"/>
          <w:sz w:val="24"/>
          <w:szCs w:val="24"/>
        </w:rPr>
        <w:instrText xml:space="preserve"> ADDIN ZOTERO_ITEM CSL_CITATION {"citationID":"a1dmsqqrgh3","properties":{"formattedCitation":"(Bonera et al., 2020)","plainCitation":"(Bonera et al., 2020)","noteIndex":0},"citationItems":[{"id":4160,"uris":["http://zotero.org/users/local/b6CRLSJH/items/24NHEN8P"],"itemData":{"id":4160,"type":"article-journal","abstract":"Abstract\n            The paper purpose is to investigate the green consumption behaviour of the Millennials generation. The paper aims to understand if all Italian Millennials are similar in terms of green consumption and if there are differences in adopting and consuming green products. As Millennials are considered the driving generation of the sustainable movement, thanks to their lifestyle and behaviours, our study tries to comprehend whether these consumers can be considered the leading “Green Generation”. We performed a cluster analysis, using the non-hierarchical method by applying the k-medium algorithm, segmenting Millennials. The segmentation was performed according to the reasons underlying and against green consumption. Then, green values and green consumer behaviour of the segments were analyzed. The results of our research reveal the existence of different clusters of Millennial consumers in terms of green attitude. Some confusion about green issues in the Millennials generation emerges, contrasting with the literature. Our results do not necessarily imply a negative attitude towards green values by Millennials, but different green attitudes among the clusters.","container-title":"Italian Journal of Marketing","DOI":"10.1007/s43039-020-00015-4","ISSN":"2662-3323, 2662-3331","issue":"4","journalAbbreviation":"Ital. J. Mark.","language":"en","page":"289-308","source":"DOI.org (Crossref)","title":"The great Millennials’ trouble: leading or confused green generation? An Italian insight","title-short":"The great Millennials’ trouble","volume":"2020","author":[{"family":"Bonera","given":"Michelle"},{"family":"Codini","given":"Anna Paola"},{"family":"Miniero","given":"Giulia"}],"issued":{"date-parts":[["2020",12]]}}}],"schema":"https://github.com/citation-style-language/schema/raw/master/csl-citation.json"} </w:instrText>
      </w:r>
      <w:r w:rsidR="00FA28CE" w:rsidRPr="00597FFB">
        <w:rPr>
          <w:rFonts w:ascii="Times New Roman" w:eastAsia="Calibri" w:hAnsi="Times New Roman" w:cs="Times New Roman"/>
          <w:iCs/>
          <w:color w:val="000000"/>
          <w:sz w:val="24"/>
          <w:szCs w:val="24"/>
        </w:rPr>
        <w:fldChar w:fldCharType="separate"/>
      </w:r>
      <w:r w:rsidR="00E43541" w:rsidRPr="00597FFB">
        <w:rPr>
          <w:rFonts w:ascii="Times New Roman" w:hAnsi="Times New Roman" w:cs="Times New Roman"/>
          <w:sz w:val="24"/>
          <w:szCs w:val="24"/>
        </w:rPr>
        <w:t>(Bonera et al., 2020)</w:t>
      </w:r>
      <w:r w:rsidR="00FA28CE" w:rsidRPr="00597FFB">
        <w:rPr>
          <w:rFonts w:ascii="Times New Roman" w:eastAsia="Calibri" w:hAnsi="Times New Roman" w:cs="Times New Roman"/>
          <w:iCs/>
          <w:color w:val="000000"/>
          <w:sz w:val="24"/>
          <w:szCs w:val="24"/>
        </w:rPr>
        <w:fldChar w:fldCharType="end"/>
      </w:r>
      <w:r w:rsidR="00FA28CE"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 xml:space="preserve">The </w:t>
      </w:r>
      <w:r w:rsidRPr="00597FFB">
        <w:rPr>
          <w:rFonts w:ascii="Times New Roman" w:eastAsia="Calibri" w:hAnsi="Times New Roman" w:cs="Times New Roman"/>
          <w:iCs/>
          <w:sz w:val="24"/>
          <w:szCs w:val="24"/>
        </w:rPr>
        <w:t xml:space="preserve">illegal importation of waste further complicates EWM in developing countries due to weak environmental regulations and inadequate organizational structures. </w:t>
      </w:r>
      <w:r w:rsidRPr="00597FFB">
        <w:rPr>
          <w:rFonts w:ascii="Times New Roman" w:eastAsia="Calibri" w:hAnsi="Times New Roman" w:cs="Times New Roman"/>
          <w:sz w:val="24"/>
          <w:szCs w:val="24"/>
        </w:rPr>
        <w:t>Several international legislation and initiatives are in place to limit E-waste's adverse effect,</w:t>
      </w:r>
      <w:r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 xml:space="preserve">but substantial historical E-waste quantities remain a challenge in EWM (Arya &amp; Kumar, 2020). For instance, under the guise of second-hand or used EEE (UEEE) or recycling materials, E-waste is exported to developing countries, not consistent with the Basel Convention </w:t>
      </w:r>
      <w:r w:rsidR="009B44BE" w:rsidRPr="00597FFB">
        <w:rPr>
          <w:rFonts w:ascii="Times New Roman" w:eastAsia="Calibri" w:hAnsi="Times New Roman" w:cs="Times New Roman"/>
          <w:sz w:val="24"/>
          <w:szCs w:val="24"/>
        </w:rPr>
        <w:fldChar w:fldCharType="begin"/>
      </w:r>
      <w:r w:rsidR="00E43541" w:rsidRPr="00597FFB">
        <w:rPr>
          <w:rFonts w:ascii="Times New Roman" w:eastAsia="Calibri" w:hAnsi="Times New Roman" w:cs="Times New Roman"/>
          <w:sz w:val="24"/>
          <w:szCs w:val="24"/>
        </w:rPr>
        <w:instrText xml:space="preserve"> ADDIN ZOTERO_ITEM CSL_CITATION {"citationID":"a46hpid3h2","properties":{"formattedCitation":"(Borusiak et al., 2021)","plainCitation":"(Borusiak et al., 2021)","noteIndex":0},"citationItems":[{"id":4186,"uris":["http://zotero.org/users/local/b6CRLSJH/items/CDRWGCNE"],"itemData":{"id":4186,"type":"article-journal","abstract":"The plastic bottles that are used for packaging water are harmful to the environment. The objective of this study was to examine the influence of consumers’ environmental concern on both their intention to reduce consumption of water sold in single-use plastic bottles and their actual behaviour. An extended version of the theory of planned behaviour is used as the main theoretical framework. Structural equation modelling is employed based on data gathered in 2020 from 1011 Polish respondents to test the study’s hypotheses. The results support the model, as all tested relations are statistically significant. More specifically, we confirm the indirect impact of environmental concern on both intention and behaviour concerning bottled water consumption (BWC): environmental concern is positively related to attitudes towards reducing BWC, subjective norms regarding reduction in BWC, perceived behavioural control over BWC, and perceived moral obligation to protect natural resources, all of which, in turn, are positively related to intention to reduce BWC. We also prove that intention to reduce BWC is positively related to consumption of non-bottled water. The results may serve to guide decision makers seeking to promote ecologically friendly behaviour.","container-title":"Energies","DOI":"10.3390/en14071985","ISSN":"1996-1073","issue":"7","journalAbbreviation":"Energies","language":"en","page":"1985","source":"DOI.org (Crossref)","title":"The Impact of Environmental Concern on Intention to Reduce Consumption of Single-Use Bottled Water","volume":"14","author":[{"family":"Borusiak","given":"Barbara"},{"family":"Szymkowiak","given":"Andrzej"},{"family":"Pierański","given":"Bartłomiej"},{"family":"Szalonka","given":"Katarzyna"}],"issued":{"date-parts":[["2021",4,2]]}}}],"schema":"https://github.com/citation-style-language/schema/raw/master/csl-citation.json"} </w:instrText>
      </w:r>
      <w:r w:rsidR="009B44BE" w:rsidRPr="00597FFB">
        <w:rPr>
          <w:rFonts w:ascii="Times New Roman" w:eastAsia="Calibri" w:hAnsi="Times New Roman" w:cs="Times New Roman"/>
          <w:sz w:val="24"/>
          <w:szCs w:val="24"/>
        </w:rPr>
        <w:fldChar w:fldCharType="separate"/>
      </w:r>
      <w:r w:rsidR="00E43541" w:rsidRPr="00597FFB">
        <w:rPr>
          <w:rFonts w:ascii="Times New Roman" w:hAnsi="Times New Roman" w:cs="Times New Roman"/>
          <w:sz w:val="24"/>
          <w:szCs w:val="24"/>
        </w:rPr>
        <w:t>(Borusiak et al., 2021)</w:t>
      </w:r>
      <w:r w:rsidR="009B44BE" w:rsidRPr="00597FFB">
        <w:rPr>
          <w:rFonts w:ascii="Times New Roman" w:eastAsia="Calibri" w:hAnsi="Times New Roman" w:cs="Times New Roman"/>
          <w:sz w:val="24"/>
          <w:szCs w:val="24"/>
        </w:rPr>
        <w:fldChar w:fldCharType="end"/>
      </w:r>
      <w:r w:rsidR="00921DE3"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sz w:val="24"/>
          <w:szCs w:val="24"/>
        </w:rPr>
        <w:t xml:space="preserve">Much of the UEEE destined for developed countries such as the US, </w:t>
      </w:r>
      <w:r w:rsidRPr="00597FFB">
        <w:rPr>
          <w:rFonts w:ascii="Times New Roman" w:eastAsia="Calibri" w:hAnsi="Times New Roman" w:cs="Times New Roman"/>
          <w:color w:val="000000"/>
          <w:sz w:val="24"/>
          <w:szCs w:val="24"/>
        </w:rPr>
        <w:t>South Korea, Taiwan,</w:t>
      </w:r>
      <w:r w:rsidRPr="00597FFB" w:rsidDel="005065E9">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Canada, and Japan is re-exported to international trade hubs, such as Hong Kong, the UAE, Lebanon, and Macau, where the E-waste is transported, using very cheap labor, to highly populated regions </w:t>
      </w:r>
      <w:r w:rsidR="00921DE3" w:rsidRPr="00597FFB">
        <w:rPr>
          <w:rFonts w:ascii="Times New Roman" w:eastAsia="Calibri" w:hAnsi="Times New Roman" w:cs="Times New Roman"/>
          <w:color w:val="000000"/>
          <w:sz w:val="24"/>
          <w:szCs w:val="24"/>
        </w:rPr>
        <w:fldChar w:fldCharType="begin"/>
      </w:r>
      <w:r w:rsidR="00E43541" w:rsidRPr="00597FFB">
        <w:rPr>
          <w:rFonts w:ascii="Times New Roman" w:eastAsia="Calibri" w:hAnsi="Times New Roman" w:cs="Times New Roman"/>
          <w:color w:val="000000"/>
          <w:sz w:val="24"/>
          <w:szCs w:val="24"/>
        </w:rPr>
        <w:instrText xml:space="preserve"> ADDIN ZOTERO_ITEM CSL_CITATION {"citationID":"afdfou4hi4","properties":{"formattedCitation":"(Bowman &amp; Goodboy, 2020)","plainCitation":"(Bowman &amp; Goodboy, 2020)","noteIndex":0},"citationItems":[{"id":4483,"uris":["http://zotero.org/users/local/b6CRLSJH/items/LW692GCP"],"itemData":{"id":4483,"type":"article-journal","container-title":"Annals of the International Communication Association","DOI":"10.1080/23808985.2020.1792791","ISSN":"2380-8985, 2380-8977","issue":"3","journalAbbreviation":"Annals of the International Communication Association","language":"en","page":"219-234","source":"DOI.org (Crossref)","title":"Evolving considerations and empirical approaches to construct validity in communication science","volume":"44","author":[{"family":"Bowman","given":"Nicholas David"},{"family":"Goodboy","given":"Alan K."}],"issued":{"date-parts":[["2020",7,2]]}}}],"schema":"https://github.com/citation-style-language/schema/raw/master/csl-citation.json"} </w:instrText>
      </w:r>
      <w:r w:rsidR="00921DE3" w:rsidRPr="00597FFB">
        <w:rPr>
          <w:rFonts w:ascii="Times New Roman" w:eastAsia="Calibri" w:hAnsi="Times New Roman" w:cs="Times New Roman"/>
          <w:color w:val="000000"/>
          <w:sz w:val="24"/>
          <w:szCs w:val="24"/>
        </w:rPr>
        <w:fldChar w:fldCharType="separate"/>
      </w:r>
      <w:r w:rsidR="00E43541" w:rsidRPr="00597FFB">
        <w:rPr>
          <w:rFonts w:ascii="Times New Roman" w:hAnsi="Times New Roman" w:cs="Times New Roman"/>
          <w:sz w:val="24"/>
          <w:szCs w:val="24"/>
        </w:rPr>
        <w:t>(</w:t>
      </w:r>
      <w:r w:rsidR="00F616A3" w:rsidRPr="00597FFB">
        <w:t xml:space="preserve"> </w:t>
      </w:r>
      <w:r w:rsidR="00F616A3" w:rsidRPr="00597FFB">
        <w:rPr>
          <w:rFonts w:ascii="Times New Roman" w:hAnsi="Times New Roman" w:cs="Times New Roman"/>
          <w:sz w:val="24"/>
          <w:szCs w:val="24"/>
        </w:rPr>
        <w:t>Yarimoglu &amp; Gunay</w:t>
      </w:r>
      <w:r w:rsidR="00E43541" w:rsidRPr="00597FFB">
        <w:rPr>
          <w:rFonts w:ascii="Times New Roman" w:hAnsi="Times New Roman" w:cs="Times New Roman"/>
          <w:sz w:val="24"/>
          <w:szCs w:val="24"/>
        </w:rPr>
        <w:t>, 2020</w:t>
      </w:r>
      <w:r w:rsidR="00F616A3" w:rsidRPr="00597FFB">
        <w:rPr>
          <w:rFonts w:ascii="Times New Roman" w:hAnsi="Times New Roman" w:cs="Times New Roman"/>
          <w:sz w:val="24"/>
          <w:szCs w:val="24"/>
        </w:rPr>
        <w:t>b</w:t>
      </w:r>
      <w:r w:rsidR="00E43541" w:rsidRPr="00597FFB">
        <w:rPr>
          <w:rFonts w:ascii="Times New Roman" w:hAnsi="Times New Roman" w:cs="Times New Roman"/>
          <w:sz w:val="24"/>
          <w:szCs w:val="24"/>
        </w:rPr>
        <w:t>)</w:t>
      </w:r>
      <w:r w:rsidR="00921DE3" w:rsidRPr="00597FFB">
        <w:rPr>
          <w:rFonts w:ascii="Times New Roman" w:eastAsia="Calibri" w:hAnsi="Times New Roman" w:cs="Times New Roman"/>
          <w:color w:val="000000"/>
          <w:sz w:val="24"/>
          <w:szCs w:val="24"/>
        </w:rPr>
        <w:fldChar w:fldCharType="end"/>
      </w:r>
      <w:r w:rsidR="00E43541" w:rsidRPr="00597FFB">
        <w:rPr>
          <w:rFonts w:ascii="Times New Roman" w:eastAsia="Calibri" w:hAnsi="Times New Roman" w:cs="Times New Roman"/>
          <w:color w:val="000000"/>
          <w:sz w:val="24"/>
          <w:szCs w:val="24"/>
        </w:rPr>
        <w:t>.</w:t>
      </w:r>
    </w:p>
    <w:p w14:paraId="5DE00DF8" w14:textId="6CE7F538" w:rsidR="009D4FB4" w:rsidRPr="00597FFB" w:rsidRDefault="009D4FB4" w:rsidP="00FF01DA">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sz w:val="24"/>
          <w:szCs w:val="24"/>
        </w:rPr>
        <w:t xml:space="preserve">Regarding disposal, the waste management strategy for EOL E-waste streams follows two principal routes: disposing of directly to conventional landfills by municipal solid waste (MSW) management or indirectly as residues or discards of recycling or recovery. </w:t>
      </w:r>
      <w:r w:rsidRPr="00597FFB">
        <w:rPr>
          <w:rFonts w:ascii="Times New Roman" w:eastAsia="Calibri" w:hAnsi="Times New Roman" w:cs="Times New Roman"/>
          <w:bCs/>
          <w:color w:val="000000"/>
          <w:sz w:val="24"/>
          <w:szCs w:val="24"/>
        </w:rPr>
        <w:t>Most countries apply improper disposal methods, such as open burning and mixing them with other solid wastes, creating adverse environmental and health effects (</w:t>
      </w:r>
      <w:r w:rsidRPr="00597FFB">
        <w:rPr>
          <w:rFonts w:ascii="Times New Roman" w:eastAsia="Calibri" w:hAnsi="Times New Roman" w:cs="Times New Roman"/>
          <w:color w:val="000000"/>
          <w:sz w:val="24"/>
          <w:szCs w:val="24"/>
        </w:rPr>
        <w:t>Delcea et al., 2020</w:t>
      </w:r>
      <w:r w:rsidRPr="00597FFB">
        <w:rPr>
          <w:rFonts w:ascii="Times New Roman" w:eastAsia="Calibri" w:hAnsi="Times New Roman" w:cs="Times New Roman"/>
          <w:bCs/>
          <w:color w:val="000000"/>
          <w:sz w:val="24"/>
          <w:szCs w:val="24"/>
        </w:rPr>
        <w:t xml:space="preserve">). </w:t>
      </w:r>
      <w:r w:rsidRPr="00597FFB">
        <w:rPr>
          <w:rFonts w:ascii="Times New Roman" w:eastAsia="Calibri" w:hAnsi="Times New Roman" w:cs="Times New Roman"/>
          <w:iCs/>
          <w:sz w:val="24"/>
          <w:szCs w:val="24"/>
        </w:rPr>
        <w:t xml:space="preserve">The landfill method in </w:t>
      </w:r>
      <w:r w:rsidRPr="00597FFB">
        <w:rPr>
          <w:rFonts w:ascii="Times New Roman" w:eastAsia="Calibri" w:hAnsi="Times New Roman" w:cs="Times New Roman"/>
          <w:sz w:val="24"/>
          <w:szCs w:val="24"/>
        </w:rPr>
        <w:t>Gulf nations, such as</w:t>
      </w:r>
      <w:r w:rsidRPr="00597FFB">
        <w:rPr>
          <w:rFonts w:ascii="Times New Roman" w:eastAsia="Calibri" w:hAnsi="Times New Roman" w:cs="Times New Roman"/>
          <w:iCs/>
          <w:sz w:val="24"/>
          <w:szCs w:val="24"/>
        </w:rPr>
        <w:t xml:space="preserve"> the UAE, supports the high volume of E-waste produced without knowing the main factors that cause an increase in E-waste and its relationship</w:t>
      </w:r>
      <w:r w:rsidR="00E43541" w:rsidRPr="00597FFB">
        <w:rPr>
          <w:rFonts w:ascii="Times New Roman" w:eastAsia="Calibri" w:hAnsi="Times New Roman" w:cs="Times New Roman"/>
          <w:iCs/>
          <w:sz w:val="24"/>
          <w:szCs w:val="24"/>
        </w:rPr>
        <w:t xml:space="preserve"> </w:t>
      </w:r>
      <w:r w:rsidR="00E43541" w:rsidRPr="00597FFB">
        <w:rPr>
          <w:rFonts w:ascii="Times New Roman" w:eastAsia="Calibri" w:hAnsi="Times New Roman" w:cs="Times New Roman"/>
          <w:iCs/>
          <w:sz w:val="24"/>
          <w:szCs w:val="24"/>
        </w:rPr>
        <w:fldChar w:fldCharType="begin"/>
      </w:r>
      <w:r w:rsidR="00403AFA" w:rsidRPr="00597FFB">
        <w:rPr>
          <w:rFonts w:ascii="Times New Roman" w:eastAsia="Calibri" w:hAnsi="Times New Roman" w:cs="Times New Roman"/>
          <w:iCs/>
          <w:sz w:val="24"/>
          <w:szCs w:val="24"/>
        </w:rPr>
        <w:instrText xml:space="preserve"> ADDIN ZOTERO_ITEM CSL_CITATION {"citationID":"a17ctde7qr3","properties":{"formattedCitation":"(Bzdok &amp; Ioannidis, 2019)","plainCitation":"(Bzdok &amp; Ioannidis, 2019)","noteIndex":0},"citationItems":[{"id":4429,"uris":["http://zotero.org/users/local/b6CRLSJH/items/YCRWBIM9"],"itemData":{"id":4429,"type":"article-journal","container-title":"Trends in Neurosciences","DOI":"10.1016/j.tins.2019.02.001","ISSN":"01662236","issue":"4","journalAbbreviation":"Trends in Neurosciences","language":"en","page":"251-262","source":"DOI.org (Crossref)","title":"Exploration, Inference, and Prediction in Neuroscience and Biomedicine","volume":"42","author":[{"family":"Bzdok","given":"Danilo"},{"family":"Ioannidis","given":"John P.A."}],"issued":{"date-parts":[["2019",4]]}}}],"schema":"https://github.com/citation-style-language/schema/raw/master/csl-citation.json"} </w:instrText>
      </w:r>
      <w:r w:rsidR="00E43541" w:rsidRPr="00597FFB">
        <w:rPr>
          <w:rFonts w:ascii="Times New Roman" w:eastAsia="Calibri" w:hAnsi="Times New Roman" w:cs="Times New Roman"/>
          <w:iCs/>
          <w:sz w:val="24"/>
          <w:szCs w:val="24"/>
        </w:rPr>
        <w:fldChar w:fldCharType="separate"/>
      </w:r>
      <w:r w:rsidR="00403AFA" w:rsidRPr="00597FFB">
        <w:rPr>
          <w:rFonts w:ascii="Times New Roman" w:hAnsi="Times New Roman" w:cs="Times New Roman"/>
          <w:sz w:val="24"/>
          <w:szCs w:val="24"/>
        </w:rPr>
        <w:t>(</w:t>
      </w:r>
      <w:r w:rsidR="00FF01DA" w:rsidRPr="00597FFB">
        <w:rPr>
          <w:rFonts w:ascii="Times New Roman" w:eastAsia="Times New Roman" w:hAnsi="Times New Roman" w:cs="Times New Roman"/>
          <w:color w:val="000000" w:themeColor="text1"/>
          <w:sz w:val="24"/>
          <w:szCs w:val="24"/>
          <w:lang w:eastAsia="en-GB"/>
        </w:rPr>
        <w:t xml:space="preserve"> </w:t>
      </w:r>
      <w:r w:rsidR="00FF01DA" w:rsidRPr="00597FFB">
        <w:rPr>
          <w:rFonts w:ascii="Times New Roman" w:hAnsi="Times New Roman" w:cs="Times New Roman"/>
          <w:sz w:val="24"/>
          <w:szCs w:val="24"/>
        </w:rPr>
        <w:t>Ylä-Mella &amp; Román</w:t>
      </w:r>
      <w:r w:rsidR="00403AFA" w:rsidRPr="00597FFB">
        <w:rPr>
          <w:rFonts w:ascii="Times New Roman" w:hAnsi="Times New Roman" w:cs="Times New Roman"/>
          <w:sz w:val="24"/>
          <w:szCs w:val="24"/>
        </w:rPr>
        <w:t>, 2019)</w:t>
      </w:r>
      <w:r w:rsidR="00E43541" w:rsidRPr="00597FFB">
        <w:rPr>
          <w:rFonts w:ascii="Times New Roman" w:eastAsia="Calibri" w:hAnsi="Times New Roman" w:cs="Times New Roman"/>
          <w:iCs/>
          <w:sz w:val="24"/>
          <w:szCs w:val="24"/>
        </w:rPr>
        <w:fldChar w:fldCharType="end"/>
      </w:r>
      <w:r w:rsidRPr="00597FFB">
        <w:rPr>
          <w:rFonts w:ascii="Times New Roman" w:eastAsia="Calibri" w:hAnsi="Times New Roman" w:cs="Times New Roman"/>
          <w:iCs/>
          <w:sz w:val="24"/>
          <w:szCs w:val="24"/>
        </w:rPr>
        <w:t xml:space="preserve">. </w:t>
      </w:r>
      <w:r w:rsidRPr="00597FFB">
        <w:rPr>
          <w:rFonts w:ascii="Times New Roman" w:eastAsia="Times New Roman" w:hAnsi="Times New Roman" w:cs="Times New Roman"/>
          <w:bCs/>
          <w:sz w:val="24"/>
          <w:szCs w:val="24"/>
        </w:rPr>
        <w:t>Like Environment Agency-Abu Dhabi (EAD), the UAE's environmental agencies</w:t>
      </w:r>
      <w:r w:rsidRPr="00597FFB">
        <w:rPr>
          <w:rFonts w:ascii="Times New Roman" w:eastAsia="Times New Roman" w:hAnsi="Times New Roman" w:cs="Times New Roman"/>
          <w:bCs/>
          <w:color w:val="FF0000"/>
          <w:sz w:val="24"/>
          <w:szCs w:val="24"/>
        </w:rPr>
        <w:t xml:space="preserve"> </w:t>
      </w:r>
      <w:r w:rsidRPr="00597FFB">
        <w:rPr>
          <w:rFonts w:ascii="Times New Roman" w:eastAsia="Times New Roman" w:hAnsi="Times New Roman" w:cs="Times New Roman"/>
          <w:bCs/>
          <w:color w:val="000000"/>
          <w:sz w:val="24"/>
          <w:szCs w:val="24"/>
        </w:rPr>
        <w:t xml:space="preserve">address the country's EWM problem by collecting and recycling disposed devices to alleviate the impact of high electronic consumption on the environment (Nnorom &amp; Odeyingbo, 2020). </w:t>
      </w:r>
      <w:r w:rsidRPr="00597FFB">
        <w:rPr>
          <w:rFonts w:ascii="Times New Roman" w:eastAsia="Calibri" w:hAnsi="Times New Roman" w:cs="Times New Roman"/>
          <w:color w:val="000000"/>
          <w:sz w:val="24"/>
          <w:szCs w:val="24"/>
        </w:rPr>
        <w:t xml:space="preserve">In developing countries, the recovery process often involves rudimentary open fire burning and acid stripping techniques </w:t>
      </w:r>
      <w:r w:rsidR="00A73179" w:rsidRPr="00597FFB">
        <w:rPr>
          <w:rFonts w:ascii="Times New Roman" w:eastAsia="Calibri" w:hAnsi="Times New Roman" w:cs="Times New Roman"/>
          <w:color w:val="000000"/>
          <w:sz w:val="24"/>
          <w:szCs w:val="24"/>
        </w:rPr>
        <w:fldChar w:fldCharType="begin"/>
      </w:r>
      <w:r w:rsidR="00171546" w:rsidRPr="00597FFB">
        <w:rPr>
          <w:rFonts w:ascii="Times New Roman" w:eastAsia="Calibri" w:hAnsi="Times New Roman" w:cs="Times New Roman"/>
          <w:color w:val="000000"/>
          <w:sz w:val="24"/>
          <w:szCs w:val="24"/>
        </w:rPr>
        <w:instrText xml:space="preserve"> ADDIN ZOTERO_ITEM CSL_CITATION {"citationID":"ag536c8hru","properties":{"formattedCitation":"(Canova et al., 2020)","plainCitation":"(Canova et al., 2020)","noteIndex":0},"citationItems":[{"id":4092,"uris":["http://zotero.org/users/local/b6CRLSJH/items/MNKIP24D"],"itemData":{"id":4092,"type":"article-journal","container-title":"Frontiers in Psychology","DOI":"10.3389/fpsyg.2020.575820","ISSN":"1664-1078","journalAbbreviation":"Front. Psychol.","page":"575820","source":"DOI.org (Crossref)","title":"Buying Organic Food Products: The Role of Trust in the Theory of Planned Behavior","title-short":"Buying Organic Food Products","volume":"11","author":[{"family":"Canova","given":"Luigina"},{"family":"Bobbio","given":"Andrea"},{"family":"Manganelli","given":"Anna Maria"}],"issued":{"date-parts":[["2020",10,23]]}}}],"schema":"https://github.com/citation-style-language/schema/raw/master/csl-citation.json"} </w:instrText>
      </w:r>
      <w:r w:rsidR="00A73179" w:rsidRPr="00597FFB">
        <w:rPr>
          <w:rFonts w:ascii="Times New Roman" w:eastAsia="Calibri" w:hAnsi="Times New Roman" w:cs="Times New Roman"/>
          <w:color w:val="000000"/>
          <w:sz w:val="24"/>
          <w:szCs w:val="24"/>
        </w:rPr>
        <w:fldChar w:fldCharType="separate"/>
      </w:r>
      <w:r w:rsidR="00171546" w:rsidRPr="00597FFB">
        <w:rPr>
          <w:rFonts w:ascii="Times New Roman" w:hAnsi="Times New Roman" w:cs="Times New Roman"/>
          <w:sz w:val="24"/>
          <w:szCs w:val="24"/>
        </w:rPr>
        <w:t>(Canova et al., 2020)</w:t>
      </w:r>
      <w:r w:rsidR="00A73179" w:rsidRPr="00597FFB">
        <w:rPr>
          <w:rFonts w:ascii="Times New Roman" w:eastAsia="Calibri" w:hAnsi="Times New Roman" w:cs="Times New Roman"/>
          <w:color w:val="000000"/>
          <w:sz w:val="24"/>
          <w:szCs w:val="24"/>
        </w:rPr>
        <w:fldChar w:fldCharType="end"/>
      </w:r>
      <w:r w:rsidR="00A731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Rudimentary methods include; burning, chipping, manual dismantling, and melting, along with uncontrolled chemical dissolution, including leaching by strong oxidizing acids, primarily aqua regia (1:3 HNO3-HCl concentrated solutions). They are mostly in the informal sector to recover the valuable materials in -waste, such as silver, gold, and copper</w:t>
      </w:r>
      <w:r w:rsidR="00A73179" w:rsidRPr="00597FFB">
        <w:rPr>
          <w:rFonts w:ascii="Times New Roman" w:eastAsia="Calibri" w:hAnsi="Times New Roman" w:cs="Times New Roman"/>
          <w:sz w:val="24"/>
          <w:szCs w:val="24"/>
        </w:rPr>
        <w:t xml:space="preserve"> </w:t>
      </w:r>
      <w:r w:rsidR="00A73179" w:rsidRPr="00597FFB">
        <w:rPr>
          <w:rFonts w:ascii="Times New Roman" w:eastAsia="Calibri" w:hAnsi="Times New Roman" w:cs="Times New Roman"/>
          <w:sz w:val="24"/>
          <w:szCs w:val="24"/>
        </w:rPr>
        <w:fldChar w:fldCharType="begin"/>
      </w:r>
      <w:r w:rsidR="00AA4D57" w:rsidRPr="00597FFB">
        <w:rPr>
          <w:rFonts w:ascii="Times New Roman" w:eastAsia="Calibri" w:hAnsi="Times New Roman" w:cs="Times New Roman"/>
          <w:sz w:val="24"/>
          <w:szCs w:val="24"/>
        </w:rPr>
        <w:instrText xml:space="preserve"> ADDIN ZOTERO_ITEM CSL_CITATION {"citationID":"akf6mb620o","properties":{"formattedCitation":"(Cantone et al., 2022)","plainCitation":"(Cantone et al., 2022)","noteIndex":0},"citationItems":[{"id":4506,"uris":["http://zotero.org/users/local/b6CRLSJH/items/G3KMFECP"],"itemData":{"id":4506,"type":"article-journal","abstract":"Abstract\n            \n              The paper aims to identify the current positioning of consumer brand engagement (CBE) in marketing literature, thus filling a gap and contributing to a richer overview of the concept. Numerous research topics currently overlap in the marketing literature as brand theory has not been systemised precisely, especially with regard to consumer feeling towards brands and consumers’ active role in creating brand equity. The methodology adopted for this empirical research is qualitative, and the research question is the following:\n              what is the current positioning of CBE in marketing theory?\n              To find the answer, three empirical studies were performed. The first, Study 1, involved eight scholars—the key informants—specialising in the topic. In Study 2, 64 academic articles focusing on CBE were analysed. By comparing the two, it was possible to identify some counterintuitive problems and pitfalls impeding the definitive affirmation of CBE in marketing literature. Lastly, in Study 3, six Italian CBE practitioners (marketing managers and digital marketing consultants) were questioned to gather further information and shed light on some grey areas highlighted by the academic community regarding management issues. The principal expected outcome was to ascertain whether CBE has specific and well-defined conceptual dimensions that may be applied to other similar topics in marketing literature. The study’s originality lies in a rationalisation of the theory underpinning the topic and proposing a possible systematisation.","container-title":"Italian Journal of Marketing","DOI":"10.1007/s43039-022-00054-z","ISSN":"2662-3323, 2662-3331","issue":"2","journalAbbreviation":"Ital. J. Mark.","language":"en","page":"135-172","source":"DOI.org (Crossref)","title":"Issues in defining and placing consumer brand engagement","volume":"2022","author":[{"family":"Cantone","given":"Luigi"},{"family":"Testa","given":"Pierpaolo"},{"family":"Marrone","given":"Teresa"}],"issued":{"date-parts":[["2022",6]]}}}],"schema":"https://github.com/citation-style-language/schema/raw/master/csl-citation.json"} </w:instrText>
      </w:r>
      <w:r w:rsidR="00A73179" w:rsidRPr="00597FFB">
        <w:rPr>
          <w:rFonts w:ascii="Times New Roman" w:eastAsia="Calibri" w:hAnsi="Times New Roman" w:cs="Times New Roman"/>
          <w:sz w:val="24"/>
          <w:szCs w:val="24"/>
        </w:rPr>
        <w:fldChar w:fldCharType="separate"/>
      </w:r>
      <w:r w:rsidR="00AA4D57" w:rsidRPr="00597FFB">
        <w:rPr>
          <w:rFonts w:ascii="Times New Roman" w:hAnsi="Times New Roman" w:cs="Times New Roman"/>
          <w:sz w:val="24"/>
          <w:szCs w:val="24"/>
        </w:rPr>
        <w:t>(Cantone et al., 2022)</w:t>
      </w:r>
      <w:r w:rsidR="00A73179"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w:t>
      </w:r>
    </w:p>
    <w:p w14:paraId="7784CE2A" w14:textId="60F40151" w:rsidR="009D4FB4" w:rsidRPr="00597FFB" w:rsidRDefault="009D4FB4" w:rsidP="009D4FB4">
      <w:pPr>
        <w:autoSpaceDE w:val="0"/>
        <w:autoSpaceDN w:val="0"/>
        <w:adjustRightInd w:val="0"/>
        <w:spacing w:before="26" w:after="26" w:line="480" w:lineRule="auto"/>
        <w:ind w:firstLine="720"/>
        <w:jc w:val="both"/>
        <w:rPr>
          <w:rFonts w:ascii="Times New Roman" w:eastAsia="Calibri" w:hAnsi="Times New Roman" w:cs="Times New Roman"/>
          <w:iCs/>
          <w:color w:val="4472C4"/>
          <w:sz w:val="24"/>
          <w:szCs w:val="24"/>
        </w:rPr>
      </w:pPr>
      <w:r w:rsidRPr="00597FFB">
        <w:rPr>
          <w:rFonts w:ascii="Times New Roman" w:eastAsia="Calibri" w:hAnsi="Times New Roman" w:cs="Times New Roman"/>
          <w:sz w:val="24"/>
          <w:szCs w:val="24"/>
        </w:rPr>
        <w:t xml:space="preserve">The informal sector's recycling practices release toxic fumes, leachate, and persistent organic pollutants into the environment. </w:t>
      </w:r>
      <w:r w:rsidRPr="00597FFB">
        <w:rPr>
          <w:rFonts w:ascii="Times New Roman" w:eastAsia="Calibri" w:hAnsi="Times New Roman" w:cs="Times New Roman"/>
          <w:color w:val="000000"/>
          <w:sz w:val="24"/>
          <w:szCs w:val="24"/>
        </w:rPr>
        <w:t xml:space="preserve">Electronics that are not recycled at appropriate facilities can end up in landfills, where they leach dangerous chemicals into the groundwater, and potentially recoverable materials are lost </w:t>
      </w:r>
      <w:r w:rsidR="00403AFA" w:rsidRPr="00597FFB">
        <w:rPr>
          <w:rFonts w:ascii="Times New Roman" w:eastAsia="Calibri" w:hAnsi="Times New Roman" w:cs="Times New Roman"/>
          <w:color w:val="000000"/>
          <w:sz w:val="24"/>
          <w:szCs w:val="24"/>
        </w:rPr>
        <w:fldChar w:fldCharType="begin"/>
      </w:r>
      <w:r w:rsidR="001A03A1" w:rsidRPr="00597FFB">
        <w:rPr>
          <w:rFonts w:ascii="Times New Roman" w:eastAsia="Calibri" w:hAnsi="Times New Roman" w:cs="Times New Roman"/>
          <w:color w:val="000000"/>
          <w:sz w:val="24"/>
          <w:szCs w:val="24"/>
        </w:rPr>
        <w:instrText xml:space="preserve"> ADDIN ZOTERO_ITEM CSL_CITATION {"citationID":"avt7sklh03","properties":{"formattedCitation":"(Carle et al., 2021)","plainCitation":"(Carle et al., 2021)","noteIndex":0},"citationItems":[{"id":4532,"uris":["http://zotero.org/users/local/b6CRLSJH/items/QW2SYUU8"],"itemData":{"id":4532,"type":"article-journal","container-title":"Quality of Life Research","DOI":"10.1007/s11136-020-02700-5","ISSN":"0962-9343, 1573-2649","issue":"4","journalAbbreviation":"Qual Life Res","language":"en","page":"997-1004","source":"DOI.org (Crossref)","title":"Using nationally representative percentiles to interpret PROMIS pediatric measures","volume":"30","author":[{"family":"Carle","given":"Adam C."},{"family":"Bevans","given":"Katherine B."},{"family":"Tucker","given":"Carole A."},{"family":"Forrest","given":"Christopher B."}],"issued":{"date-parts":[["2021",4]]}}}],"schema":"https://github.com/citation-style-language/schema/raw/master/csl-citation.json"} </w:instrText>
      </w:r>
      <w:r w:rsidR="00403AFA" w:rsidRPr="00597FFB">
        <w:rPr>
          <w:rFonts w:ascii="Times New Roman" w:eastAsia="Calibri" w:hAnsi="Times New Roman" w:cs="Times New Roman"/>
          <w:color w:val="000000"/>
          <w:sz w:val="24"/>
          <w:szCs w:val="24"/>
        </w:rPr>
        <w:fldChar w:fldCharType="separate"/>
      </w:r>
      <w:r w:rsidR="001A03A1" w:rsidRPr="00597FFB">
        <w:rPr>
          <w:rFonts w:ascii="Times New Roman" w:hAnsi="Times New Roman" w:cs="Times New Roman"/>
          <w:sz w:val="24"/>
          <w:szCs w:val="24"/>
        </w:rPr>
        <w:t>( et al., 2021)</w:t>
      </w:r>
      <w:r w:rsidR="00403AFA" w:rsidRPr="00597FFB">
        <w:rPr>
          <w:rFonts w:ascii="Times New Roman" w:eastAsia="Calibri" w:hAnsi="Times New Roman" w:cs="Times New Roman"/>
          <w:color w:val="000000"/>
          <w:sz w:val="24"/>
          <w:szCs w:val="24"/>
        </w:rPr>
        <w:fldChar w:fldCharType="end"/>
      </w:r>
      <w:r w:rsidR="00403AFA"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iCs/>
          <w:color w:val="000000"/>
          <w:sz w:val="24"/>
          <w:szCs w:val="24"/>
        </w:rPr>
        <w:t xml:space="preserve">To </w:t>
      </w:r>
      <w:r w:rsidRPr="00597FFB">
        <w:rPr>
          <w:rFonts w:ascii="Times New Roman" w:eastAsia="Calibri" w:hAnsi="Times New Roman" w:cs="Times New Roman"/>
          <w:iCs/>
          <w:sz w:val="24"/>
          <w:szCs w:val="24"/>
        </w:rPr>
        <w:t xml:space="preserve">plan effective management strategies, policymakers and EOL actors need to </w:t>
      </w:r>
      <w:r w:rsidRPr="00597FFB">
        <w:rPr>
          <w:rFonts w:ascii="Times New Roman" w:eastAsia="Calibri" w:hAnsi="Times New Roman" w:cs="Times New Roman"/>
          <w:iCs/>
          <w:color w:val="000000"/>
          <w:sz w:val="24"/>
          <w:szCs w:val="24"/>
        </w:rPr>
        <w:t xml:space="preserve">understand the system, including information on E-waste generation, material composition, and resource recovery (Zeng et al., 2019). </w:t>
      </w:r>
      <w:bookmarkStart w:id="47" w:name="_Hlk53997382"/>
      <w:r w:rsidRPr="00597FFB">
        <w:rPr>
          <w:rFonts w:ascii="Times New Roman" w:eastAsia="Calibri" w:hAnsi="Times New Roman" w:cs="Times New Roman"/>
          <w:iCs/>
          <w:color w:val="000000"/>
          <w:sz w:val="24"/>
          <w:szCs w:val="24"/>
        </w:rPr>
        <w:t xml:space="preserve">Effective EWM would require safe, scientific, and environmental sound treatment options governed by adequate infrastructure and policies </w:t>
      </w:r>
      <w:bookmarkEnd w:id="47"/>
      <w:r w:rsidR="00403AFA" w:rsidRPr="00597FFB">
        <w:rPr>
          <w:rFonts w:ascii="Times New Roman" w:eastAsia="Calibri" w:hAnsi="Times New Roman" w:cs="Times New Roman"/>
          <w:iCs/>
          <w:color w:val="000000"/>
          <w:sz w:val="24"/>
          <w:szCs w:val="24"/>
        </w:rPr>
        <w:fldChar w:fldCharType="begin"/>
      </w:r>
      <w:r w:rsidR="001A03A1" w:rsidRPr="00597FFB">
        <w:rPr>
          <w:rFonts w:ascii="Times New Roman" w:eastAsia="Calibri" w:hAnsi="Times New Roman" w:cs="Times New Roman"/>
          <w:iCs/>
          <w:color w:val="000000"/>
          <w:sz w:val="24"/>
          <w:szCs w:val="24"/>
        </w:rPr>
        <w:instrText xml:space="preserve"> ADDIN ZOTERO_ITEM CSL_CITATION {"citationID":"asg72cbp19","properties":{"formattedCitation":"(Chao et al., 2021b)","plainCitation":"(Chao et al., 2021b)","noteIndex":0},"citationItems":[{"id":2397,"uris":["http://zotero.org/users/local/b6CRLSJH/items/8DS8LP8N"],"itemData":{"id":2397,"type":"article-journal","abstract":"Purpose – The purpose of this study is to develop and empirically test a model that can predict factors affecting student recycling behavior. The theoretical model was based on motivation, place attachment, environmental concern and interpersonal altruism.","container-title":"International Journal of Sustainability in Higher Education","DOI":"10.1108/IJSHE-07-2020-0232","ISSN":"1467-6370, 1467-6370","issue":"ahead-of-print","journalAbbreviation":"IJSHE","language":"en","source":"DOI.org (Crossref)","title":"Understanding the factors influencing recycling behavior in college students: the role of interpersonal altruism and environmental concern","title-short":"Understanding the factors influencing recycling behavior in college students","URL":"https://www.emerald.com/insight/content/doi/10.1108/IJSHE-07-2020-0232/full/html","volume":"ahead-of-print","author":[{"family":"Chao","given":"Cheng-Min"},{"family":"Yu","given":"Tai-Kuei"},{"family":"Yu","given":"Tai-Yi"}],"accessed":{"date-parts":[["2021",5,25]]},"issued":{"date-parts":[["2021",2,1]]}}}],"schema":"https://github.com/citation-style-language/schema/raw/master/csl-citation.json"} </w:instrText>
      </w:r>
      <w:r w:rsidR="00403AFA" w:rsidRPr="00597FFB">
        <w:rPr>
          <w:rFonts w:ascii="Times New Roman" w:eastAsia="Calibri" w:hAnsi="Times New Roman" w:cs="Times New Roman"/>
          <w:iCs/>
          <w:color w:val="000000"/>
          <w:sz w:val="24"/>
          <w:szCs w:val="24"/>
        </w:rPr>
        <w:fldChar w:fldCharType="separate"/>
      </w:r>
      <w:r w:rsidR="001A03A1" w:rsidRPr="00597FFB">
        <w:rPr>
          <w:rFonts w:ascii="Times New Roman" w:hAnsi="Times New Roman" w:cs="Times New Roman"/>
          <w:sz w:val="24"/>
          <w:szCs w:val="24"/>
        </w:rPr>
        <w:t>(Chao et al., 2021b)</w:t>
      </w:r>
      <w:r w:rsidR="00403AFA" w:rsidRPr="00597FFB">
        <w:rPr>
          <w:rFonts w:ascii="Times New Roman" w:eastAsia="Calibri" w:hAnsi="Times New Roman" w:cs="Times New Roman"/>
          <w:iCs/>
          <w:color w:val="000000"/>
          <w:sz w:val="24"/>
          <w:szCs w:val="24"/>
        </w:rPr>
        <w:fldChar w:fldCharType="end"/>
      </w:r>
      <w:r w:rsidR="001A03A1"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 xml:space="preserve">The guidelines would help create shared responsibility between the affected community of local authorities, industrial consumers of electrical/electronic products, and other environmental boards towards an operative collection and treatment of the waste resource. Also, the integration of treatment options such as using the 3Rs (reuse, recycling, and recovery) would minimize E-waste. In recycling, the yieldable benefits include the recovery of various reusable metals, reducing natural resource consumption, and reducing environmental pollution through avoidance of hazardous waste disposal </w:t>
      </w:r>
      <w:r w:rsidR="00127D08" w:rsidRPr="00597FFB">
        <w:rPr>
          <w:rFonts w:ascii="Times New Roman" w:eastAsia="Calibri" w:hAnsi="Times New Roman" w:cs="Times New Roman"/>
          <w:iCs/>
          <w:color w:val="000000"/>
          <w:sz w:val="24"/>
          <w:szCs w:val="24"/>
        </w:rPr>
        <w:fldChar w:fldCharType="begin"/>
      </w:r>
      <w:r w:rsidR="00D54F30" w:rsidRPr="00597FFB">
        <w:rPr>
          <w:rFonts w:ascii="Times New Roman" w:eastAsia="Calibri" w:hAnsi="Times New Roman" w:cs="Times New Roman"/>
          <w:iCs/>
          <w:color w:val="000000"/>
          <w:sz w:val="24"/>
          <w:szCs w:val="24"/>
        </w:rPr>
        <w:instrText xml:space="preserve"> ADDIN ZOTERO_ITEM CSL_CITATION {"citationID":"a2gphrsfei","properties":{"formattedCitation":"(Christa &amp; Kristinae, 2021)","plainCitation":"(Christa &amp; Kristinae, 2021)","noteIndex":0},"citationItems":[{"id":4477,"uris":["http://zotero.org/users/local/b6CRLSJH/items/ZCCR5LZE"],"itemData":{"id":4477,"type":"article-journal","abstract":"Management research maintains business performance of local products during the pandemic, requiring organizations to act effectively and efficiently in managing resources based on relevant knowledge. Efforts are needed to sustain local product business, maintain the key to organizational success based on knowledge sharing and innovation in improving business performance so that local products remain sustainable. This research was analyzed quantitatively using SEM-AMOS statistical tools, in 300 local product business actors in Central Kalimantan and Bali. The proactive antecedents of market orientation were obtained significantly positive encouraging mediation role of knowledge sharing by 51% and innovation by 63% on business performance. Activities that are managed so that superior products become management activities with significant positive Planning, Organizing, Actuatingand Controlling (POAC) carried out by mediating positive impacts to maintain local product business. The novelty of this research is a conceptual model based on Knowledge Based View (KBV) to increase local product business in two provinces affected by Covid-19. The implication of this research is to encourage business actors to synergize with market orientation into relevant information to identify changes and needs, as well as to encourage knowledge sharing and innovation in improving business performance of local products that are in accordance with consumer needs.","container-title":"Uncertain Supply Chain Management","DOI":"10.5267/j.uscm.2020.10.006","ISSN":"22916822, 22916830","journalAbbreviation":"10.5267/j.uscm","page":"151-158","source":"DOI.org (Crossref)","title":"The effect of product innovation on business performance during COVID 19 pandemic","author":[{"family":"Christa","given":"Usup Riassy"},{"family":"Kristinae","given":"Vivy"}],"issued":{"date-parts":[["2021"]]}}}],"schema":"https://github.com/citation-style-language/schema/raw/master/csl-citation.json"} </w:instrText>
      </w:r>
      <w:r w:rsidR="00127D08" w:rsidRPr="00597FFB">
        <w:rPr>
          <w:rFonts w:ascii="Times New Roman" w:eastAsia="Calibri" w:hAnsi="Times New Roman" w:cs="Times New Roman"/>
          <w:iCs/>
          <w:color w:val="000000"/>
          <w:sz w:val="24"/>
          <w:szCs w:val="24"/>
        </w:rPr>
        <w:fldChar w:fldCharType="separate"/>
      </w:r>
      <w:r w:rsidR="00D54F30" w:rsidRPr="00597FFB">
        <w:rPr>
          <w:rFonts w:ascii="Times New Roman" w:hAnsi="Times New Roman" w:cs="Times New Roman"/>
          <w:sz w:val="24"/>
          <w:szCs w:val="24"/>
        </w:rPr>
        <w:t>(Christa &amp; Kristinae, 2021)</w:t>
      </w:r>
      <w:r w:rsidR="00127D08" w:rsidRPr="00597FFB">
        <w:rPr>
          <w:rFonts w:ascii="Times New Roman" w:eastAsia="Calibri" w:hAnsi="Times New Roman" w:cs="Times New Roman"/>
          <w:iCs/>
          <w:color w:val="000000"/>
          <w:sz w:val="24"/>
          <w:szCs w:val="24"/>
        </w:rPr>
        <w:fldChar w:fldCharType="end"/>
      </w:r>
      <w:r w:rsidR="00127D08" w:rsidRPr="00597FFB">
        <w:rPr>
          <w:rFonts w:ascii="Times New Roman" w:eastAsia="Calibri" w:hAnsi="Times New Roman" w:cs="Times New Roman"/>
          <w:iCs/>
          <w:color w:val="000000"/>
          <w:sz w:val="24"/>
          <w:szCs w:val="24"/>
        </w:rPr>
        <w:t>.</w:t>
      </w:r>
    </w:p>
    <w:p w14:paraId="3CE610C0" w14:textId="51EC5FE5" w:rsidR="009D4FB4" w:rsidRPr="00597FFB" w:rsidRDefault="009D4FB4" w:rsidP="009D4FB4">
      <w:pPr>
        <w:autoSpaceDE w:val="0"/>
        <w:autoSpaceDN w:val="0"/>
        <w:adjustRightInd w:val="0"/>
        <w:spacing w:before="26" w:after="26" w:line="480" w:lineRule="auto"/>
        <w:ind w:firstLine="720"/>
        <w:jc w:val="both"/>
        <w:rPr>
          <w:rFonts w:ascii="Times New Roman" w:eastAsia="Calibri" w:hAnsi="Times New Roman" w:cs="Times New Roman"/>
          <w:iCs/>
          <w:color w:val="000000"/>
          <w:sz w:val="24"/>
          <w:szCs w:val="24"/>
        </w:rPr>
      </w:pPr>
      <w:r w:rsidRPr="00597FFB">
        <w:rPr>
          <w:rFonts w:ascii="Times New Roman" w:eastAsia="Times New Roman" w:hAnsi="Times New Roman" w:cs="Times New Roman"/>
          <w:bCs/>
          <w:sz w:val="24"/>
          <w:szCs w:val="24"/>
        </w:rPr>
        <w:t>EWM and EWR are essential in mitigating or avoiding the negative impacts of inappropriate disposal of E-waste and recycling finite (natural) resources. Limited resources</w:t>
      </w:r>
      <w:r w:rsidRPr="00597FFB" w:rsidDel="007E2E2D">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 xml:space="preserve">are a driving factor for a secondary resource </w:t>
      </w:r>
      <w:r w:rsidRPr="00597FFB">
        <w:rPr>
          <w:rFonts w:ascii="Times New Roman" w:eastAsia="Times New Roman" w:hAnsi="Times New Roman" w:cs="Times New Roman"/>
          <w:bCs/>
          <w:color w:val="000000"/>
          <w:sz w:val="24"/>
          <w:szCs w:val="24"/>
        </w:rPr>
        <w:t xml:space="preserve">economy, consistent with a global need to shift to sustainable resource management practices (Wu et al., 2019). </w:t>
      </w:r>
      <w:r w:rsidRPr="00597FFB">
        <w:rPr>
          <w:rFonts w:ascii="Times New Roman" w:eastAsia="Calibri" w:hAnsi="Times New Roman" w:cs="Times New Roman"/>
          <w:color w:val="000000"/>
          <w:sz w:val="24"/>
          <w:szCs w:val="24"/>
        </w:rPr>
        <w:t xml:space="preserve">The EEE industry is responsible for 10% to 20% of the worldwide environmental impact of depleting non-renewable resources </w:t>
      </w:r>
      <w:r w:rsidR="00127D08" w:rsidRPr="00597FFB">
        <w:rPr>
          <w:rFonts w:ascii="Times New Roman" w:eastAsia="Calibri" w:hAnsi="Times New Roman" w:cs="Times New Roman"/>
          <w:color w:val="000000"/>
          <w:sz w:val="24"/>
          <w:szCs w:val="24"/>
        </w:rPr>
        <w:fldChar w:fldCharType="begin"/>
      </w:r>
      <w:r w:rsidR="00D54F30" w:rsidRPr="00597FFB">
        <w:rPr>
          <w:rFonts w:ascii="Times New Roman" w:eastAsia="Calibri" w:hAnsi="Times New Roman" w:cs="Times New Roman"/>
          <w:color w:val="000000"/>
          <w:sz w:val="24"/>
          <w:szCs w:val="24"/>
        </w:rPr>
        <w:instrText xml:space="preserve"> ADDIN ZOTERO_ITEM CSL_CITATION {"citationID":"a2afvpftrf6","properties":{"formattedCitation":"(Christa &amp; Kristinae, 2021)","plainCitation":"(Christa &amp; Kristinae, 2021)","noteIndex":0},"citationItems":[{"id":4477,"uris":["http://zotero.org/users/local/b6CRLSJH/items/ZCCR5LZE"],"itemData":{"id":4477,"type":"article-journal","abstract":"Management research maintains business performance of local products during the pandemic, requiring organizations to act effectively and efficiently in managing resources based on relevant knowledge. Efforts are needed to sustain local product business, maintain the key to organizational success based on knowledge sharing and innovation in improving business performance so that local products remain sustainable. This research was analyzed quantitatively using SEM-AMOS statistical tools, in 300 local product business actors in Central Kalimantan and Bali. The proactive antecedents of market orientation were obtained significantly positive encouraging mediation role of knowledge sharing by 51% and innovation by 63% on business performance. Activities that are managed so that superior products become management activities with significant positive Planning, Organizing, Actuatingand Controlling (POAC) carried out by mediating positive impacts to maintain local product business. The novelty of this research is a conceptual model based on Knowledge Based View (KBV) to increase local product business in two provinces affected by Covid-19. The implication of this research is to encourage business actors to synergize with market orientation into relevant information to identify changes and needs, as well as to encourage knowledge sharing and innovation in improving business performance of local products that are in accordance with consumer needs.","container-title":"Uncertain Supply Chain Management","DOI":"10.5267/j.uscm.2020.10.006","ISSN":"22916822, 22916830","journalAbbreviation":"10.5267/j.uscm","page":"151-158","source":"DOI.org (Crossref)","title":"The effect of product innovation on business performance during COVID 19 pandemic","author":[{"family":"Christa","given":"Usup Riassy"},{"family":"Kristinae","given":"Vivy"}],"issued":{"date-parts":[["2021"]]}}}],"schema":"https://github.com/citation-style-language/schema/raw/master/csl-citation.json"} </w:instrText>
      </w:r>
      <w:r w:rsidR="00127D08" w:rsidRPr="00597FFB">
        <w:rPr>
          <w:rFonts w:ascii="Times New Roman" w:eastAsia="Calibri" w:hAnsi="Times New Roman" w:cs="Times New Roman"/>
          <w:color w:val="000000"/>
          <w:sz w:val="24"/>
          <w:szCs w:val="24"/>
        </w:rPr>
        <w:fldChar w:fldCharType="separate"/>
      </w:r>
      <w:r w:rsidR="00D54F30" w:rsidRPr="00597FFB">
        <w:rPr>
          <w:rFonts w:ascii="Times New Roman" w:hAnsi="Times New Roman" w:cs="Times New Roman"/>
          <w:sz w:val="24"/>
          <w:szCs w:val="24"/>
        </w:rPr>
        <w:t>(Christa &amp; Kristinae, 2021)</w:t>
      </w:r>
      <w:r w:rsidR="00127D08" w:rsidRPr="00597FFB">
        <w:rPr>
          <w:rFonts w:ascii="Times New Roman" w:eastAsia="Calibri" w:hAnsi="Times New Roman" w:cs="Times New Roman"/>
          <w:color w:val="000000"/>
          <w:sz w:val="24"/>
          <w:szCs w:val="24"/>
        </w:rPr>
        <w:fldChar w:fldCharType="end"/>
      </w:r>
      <w:r w:rsidR="00C002DB" w:rsidRPr="00597FFB">
        <w:rPr>
          <w:rFonts w:ascii="Times New Roman" w:eastAsia="Calibri" w:hAnsi="Times New Roman" w:cs="Times New Roman"/>
          <w:color w:val="000000"/>
          <w:sz w:val="24"/>
          <w:szCs w:val="24"/>
        </w:rPr>
        <w:t xml:space="preserve">. </w:t>
      </w:r>
      <w:r w:rsidRPr="00597FFB">
        <w:rPr>
          <w:rFonts w:ascii="Times New Roman" w:eastAsia="Times New Roman" w:hAnsi="Times New Roman" w:cs="Times New Roman"/>
          <w:bCs/>
          <w:color w:val="000000"/>
          <w:sz w:val="24"/>
          <w:szCs w:val="24"/>
        </w:rPr>
        <w:t xml:space="preserve">Functional recycling is an aspect of EOL recycling, whereby the material is a waste product is sorted out to </w:t>
      </w:r>
      <w:r w:rsidRPr="00597FFB">
        <w:rPr>
          <w:rFonts w:ascii="Times New Roman" w:eastAsia="Times New Roman" w:hAnsi="Times New Roman" w:cs="Times New Roman"/>
          <w:bCs/>
          <w:sz w:val="24"/>
          <w:szCs w:val="24"/>
        </w:rPr>
        <w:t xml:space="preserve">obtain recyclates. The </w:t>
      </w:r>
      <w:r w:rsidRPr="00597FFB">
        <w:rPr>
          <w:rFonts w:ascii="Times New Roman" w:eastAsia="Times New Roman" w:hAnsi="Times New Roman" w:cs="Times New Roman"/>
          <w:bCs/>
          <w:color w:val="000000"/>
          <w:sz w:val="24"/>
          <w:szCs w:val="24"/>
        </w:rPr>
        <w:t xml:space="preserve">recyclates obtained are used for the same functions and applications used in their primary sources </w:t>
      </w:r>
      <w:r w:rsidR="00E27C6D" w:rsidRPr="00597FFB">
        <w:rPr>
          <w:rFonts w:ascii="Times New Roman" w:eastAsia="Calibri" w:hAnsi="Times New Roman" w:cs="Times New Roman"/>
          <w:iCs/>
          <w:color w:val="000000"/>
          <w:sz w:val="24"/>
          <w:szCs w:val="24"/>
        </w:rPr>
        <w:fldChar w:fldCharType="begin"/>
      </w:r>
      <w:r w:rsidR="00D54F30" w:rsidRPr="00597FFB">
        <w:rPr>
          <w:rFonts w:ascii="Times New Roman" w:eastAsia="Calibri" w:hAnsi="Times New Roman" w:cs="Times New Roman"/>
          <w:iCs/>
          <w:color w:val="000000"/>
          <w:sz w:val="24"/>
          <w:szCs w:val="24"/>
        </w:rPr>
        <w:instrText xml:space="preserve"> ADDIN ZOTERO_ITEM CSL_CITATION {"citationID":"af0ofq0ifs","properties":{"formattedCitation":"(Dong et al., 2020)","plainCitation":"(Dong et al., 2020)","noteIndex":0},"citationItems":[{"id":4198,"uris":["http://zotero.org/users/local/b6CRLSJH/items/6CETRPPU"],"itemData":{"id":4198,"type":"article-journal","container-title":"Transportation Research Part A: Policy and Practice","DOI":"10.1016/j.tra.2020.03.012","ISSN":"09658564","journalAbbreviation":"Transportation Research Part A: Policy and Practice","language":"en","page":"183-197","source":"DOI.org (Crossref)","title":"Urban households’ purchase intentions for pure electric vehicles under subsidy contexts in China: Do cost factors matter?","title-short":"Urban households’ purchase intentions for pure electric vehicles under subsidy contexts in China","volume":"135","author":[{"family":"Dong","given":"Xiaoyang"},{"family":"Zhang","given":"Bin"},{"family":"Wang","given":"Bo"},{"family":"Wang","given":"Zhaohua"}],"issued":{"date-parts":[["2020",5]]}}}],"schema":"https://github.com/citation-style-language/schema/raw/master/csl-citation.json"} </w:instrText>
      </w:r>
      <w:r w:rsidR="00E27C6D" w:rsidRPr="00597FFB">
        <w:rPr>
          <w:rFonts w:ascii="Times New Roman" w:eastAsia="Calibri" w:hAnsi="Times New Roman" w:cs="Times New Roman"/>
          <w:iCs/>
          <w:color w:val="000000"/>
          <w:sz w:val="24"/>
          <w:szCs w:val="24"/>
        </w:rPr>
        <w:fldChar w:fldCharType="separate"/>
      </w:r>
      <w:r w:rsidR="00D54F30" w:rsidRPr="00597FFB">
        <w:rPr>
          <w:rFonts w:ascii="Times New Roman" w:hAnsi="Times New Roman" w:cs="Times New Roman"/>
          <w:sz w:val="24"/>
          <w:szCs w:val="24"/>
        </w:rPr>
        <w:t>(Dong et al., 2020)</w:t>
      </w:r>
      <w:r w:rsidR="00E27C6D" w:rsidRPr="00597FFB">
        <w:rPr>
          <w:rFonts w:ascii="Times New Roman" w:eastAsia="Calibri" w:hAnsi="Times New Roman" w:cs="Times New Roman"/>
          <w:iCs/>
          <w:color w:val="000000"/>
          <w:sz w:val="24"/>
          <w:szCs w:val="24"/>
        </w:rPr>
        <w:fldChar w:fldCharType="end"/>
      </w:r>
      <w:r w:rsidR="00176D55" w:rsidRPr="00597FFB">
        <w:rPr>
          <w:rFonts w:ascii="Times New Roman" w:eastAsia="Calibri" w:hAnsi="Times New Roman" w:cs="Times New Roman"/>
          <w:iCs/>
          <w:color w:val="000000"/>
          <w:sz w:val="24"/>
          <w:szCs w:val="24"/>
        </w:rPr>
        <w:t xml:space="preserve">. </w:t>
      </w:r>
      <w:r w:rsidRPr="00597FFB">
        <w:rPr>
          <w:rFonts w:ascii="Times New Roman" w:eastAsia="Times New Roman" w:hAnsi="Times New Roman" w:cs="Times New Roman"/>
          <w:bCs/>
          <w:sz w:val="24"/>
          <w:szCs w:val="24"/>
        </w:rPr>
        <w:t>Recyclates from non-functional recycling</w:t>
      </w:r>
      <w:r w:rsidRPr="00597FFB" w:rsidDel="00DE4C03">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 xml:space="preserve">do not contribute directly to the initial raw material. Therefore, recyclates from functional recycling substitute other raw materials </w:t>
      </w:r>
      <w:r w:rsidR="00176D55" w:rsidRPr="00597FFB">
        <w:rPr>
          <w:rFonts w:ascii="Times New Roman" w:eastAsia="Times New Roman" w:hAnsi="Times New Roman" w:cs="Times New Roman"/>
          <w:bCs/>
          <w:sz w:val="24"/>
          <w:szCs w:val="24"/>
        </w:rPr>
        <w:fldChar w:fldCharType="begin"/>
      </w:r>
      <w:r w:rsidR="00D54F30" w:rsidRPr="00597FFB">
        <w:rPr>
          <w:rFonts w:ascii="Times New Roman" w:eastAsia="Times New Roman" w:hAnsi="Times New Roman" w:cs="Times New Roman"/>
          <w:bCs/>
          <w:sz w:val="24"/>
          <w:szCs w:val="24"/>
        </w:rPr>
        <w:instrText xml:space="preserve"> ADDIN ZOTERO_ITEM CSL_CITATION {"citationID":"a1lj3h807tb","properties":{"formattedCitation":"(ElHaffar et al., 2020)","plainCitation":"(ElHaffar et al., 2020)","noteIndex":0},"citationItems":[{"id":4226,"uris":["http://zotero.org/users/local/b6CRLSJH/items/SWASHIAM"],"itemData":{"id":4226,"type":"article-journal","container-title":"Journal of Cleaner Production","DOI":"10.1016/j.jclepro.2020.122556","ISSN":"09596526","journalAbbreviation":"Journal of Cleaner Production","language":"en","page":"122556","source":"DOI.org (Crossref)","title":"Towards closing the attitude-intention-behavior gap in green consumption: A narrative review of the literature and an overview of future research directions","title-short":"Towards closing the attitude-intention-behavior gap in green consumption","volume":"275","author":[{"family":"ElHaffar","given":"Ghina"},{"family":"Durif","given":"Fabien"},{"family":"Dubé","given":"Laurette"}],"issued":{"date-parts":[["2020",12]]}}}],"schema":"https://github.com/citation-style-language/schema/raw/master/csl-citation.json"} </w:instrText>
      </w:r>
      <w:r w:rsidR="00176D55" w:rsidRPr="00597FFB">
        <w:rPr>
          <w:rFonts w:ascii="Times New Roman" w:eastAsia="Times New Roman" w:hAnsi="Times New Roman" w:cs="Times New Roman"/>
          <w:bCs/>
          <w:sz w:val="24"/>
          <w:szCs w:val="24"/>
        </w:rPr>
        <w:fldChar w:fldCharType="separate"/>
      </w:r>
      <w:r w:rsidR="00D54F30" w:rsidRPr="00597FFB">
        <w:rPr>
          <w:rFonts w:ascii="Times New Roman" w:hAnsi="Times New Roman" w:cs="Times New Roman"/>
          <w:sz w:val="24"/>
          <w:szCs w:val="24"/>
        </w:rPr>
        <w:t>(ElHaffar et al., 2020)</w:t>
      </w:r>
      <w:r w:rsidR="00176D55" w:rsidRPr="00597FFB">
        <w:rPr>
          <w:rFonts w:ascii="Times New Roman" w:eastAsia="Times New Roman" w:hAnsi="Times New Roman" w:cs="Times New Roman"/>
          <w:bCs/>
          <w:sz w:val="24"/>
          <w:szCs w:val="24"/>
        </w:rPr>
        <w:fldChar w:fldCharType="end"/>
      </w:r>
      <w:r w:rsidR="00176D55" w:rsidRPr="00597FFB">
        <w:rPr>
          <w:rFonts w:ascii="Times New Roman" w:eastAsia="Times New Roman" w:hAnsi="Times New Roman" w:cs="Times New Roman"/>
          <w:bCs/>
          <w:sz w:val="24"/>
          <w:szCs w:val="24"/>
        </w:rPr>
        <w:t xml:space="preserve">. </w:t>
      </w:r>
      <w:r w:rsidR="003C3CB6" w:rsidRPr="00597FFB">
        <w:rPr>
          <w:rFonts w:ascii="Times New Roman" w:eastAsia="Calibri" w:hAnsi="Times New Roman" w:cs="Times New Roman"/>
          <w:iCs/>
          <w:color w:val="000000"/>
          <w:sz w:val="24"/>
          <w:szCs w:val="24"/>
        </w:rPr>
        <w:t>T</w:t>
      </w:r>
      <w:r w:rsidRPr="00597FFB">
        <w:rPr>
          <w:rFonts w:ascii="Times New Roman" w:eastAsia="Calibri" w:hAnsi="Times New Roman" w:cs="Times New Roman"/>
          <w:iCs/>
          <w:color w:val="000000"/>
          <w:sz w:val="24"/>
          <w:szCs w:val="24"/>
        </w:rPr>
        <w:t xml:space="preserve">he </w:t>
      </w:r>
      <w:r w:rsidR="003C3CB6" w:rsidRPr="00597FFB">
        <w:rPr>
          <w:rFonts w:ascii="Times New Roman" w:eastAsia="Calibri" w:hAnsi="Times New Roman" w:cs="Times New Roman"/>
          <w:iCs/>
          <w:color w:val="000000"/>
          <w:sz w:val="24"/>
          <w:szCs w:val="24"/>
        </w:rPr>
        <w:t xml:space="preserve">EWR business </w:t>
      </w:r>
      <w:r w:rsidRPr="00597FFB">
        <w:rPr>
          <w:rFonts w:ascii="Times New Roman" w:eastAsia="Calibri" w:hAnsi="Times New Roman" w:cs="Times New Roman"/>
          <w:iCs/>
          <w:color w:val="000000"/>
          <w:sz w:val="24"/>
          <w:szCs w:val="24"/>
        </w:rPr>
        <w:t xml:space="preserve">and </w:t>
      </w:r>
      <w:r w:rsidR="003C3CB6" w:rsidRPr="00597FFB">
        <w:rPr>
          <w:rFonts w:ascii="Times New Roman" w:eastAsia="Calibri" w:hAnsi="Times New Roman" w:cs="Times New Roman"/>
          <w:iCs/>
          <w:color w:val="000000"/>
          <w:sz w:val="24"/>
          <w:szCs w:val="24"/>
        </w:rPr>
        <w:t xml:space="preserve">economic </w:t>
      </w:r>
      <w:r w:rsidRPr="00597FFB">
        <w:rPr>
          <w:rFonts w:ascii="Times New Roman" w:eastAsia="Calibri" w:hAnsi="Times New Roman" w:cs="Times New Roman"/>
          <w:iCs/>
          <w:color w:val="000000"/>
          <w:sz w:val="24"/>
          <w:szCs w:val="24"/>
        </w:rPr>
        <w:t xml:space="preserve">aspects </w:t>
      </w:r>
      <w:r w:rsidR="003C3CB6" w:rsidRPr="00597FFB">
        <w:rPr>
          <w:rFonts w:ascii="Times New Roman" w:eastAsia="Calibri" w:hAnsi="Times New Roman" w:cs="Times New Roman"/>
          <w:iCs/>
          <w:color w:val="000000"/>
          <w:sz w:val="24"/>
          <w:szCs w:val="24"/>
        </w:rPr>
        <w:t xml:space="preserve">have shown that it can be gainful </w:t>
      </w:r>
      <w:r w:rsidRPr="00597FFB">
        <w:rPr>
          <w:rFonts w:ascii="Times New Roman" w:eastAsia="Calibri" w:hAnsi="Times New Roman" w:cs="Times New Roman"/>
          <w:iCs/>
          <w:color w:val="000000"/>
          <w:sz w:val="24"/>
          <w:szCs w:val="24"/>
        </w:rPr>
        <w:t>since, by employing appropriate techniques</w:t>
      </w:r>
      <w:r w:rsidR="003C3CB6"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 xml:space="preserve">precious metals can be </w:t>
      </w:r>
      <w:r w:rsidR="003C3CB6" w:rsidRPr="00597FFB">
        <w:rPr>
          <w:rFonts w:ascii="Times New Roman" w:eastAsia="Calibri" w:hAnsi="Times New Roman" w:cs="Times New Roman"/>
          <w:iCs/>
          <w:color w:val="000000"/>
          <w:sz w:val="24"/>
          <w:szCs w:val="24"/>
        </w:rPr>
        <w:t xml:space="preserve">reused </w:t>
      </w:r>
      <w:r w:rsidRPr="00597FFB">
        <w:rPr>
          <w:rFonts w:ascii="Times New Roman" w:eastAsia="Calibri" w:hAnsi="Times New Roman" w:cs="Times New Roman"/>
          <w:iCs/>
          <w:color w:val="000000"/>
          <w:sz w:val="24"/>
          <w:szCs w:val="24"/>
        </w:rPr>
        <w:t xml:space="preserve">and </w:t>
      </w:r>
      <w:r w:rsidR="003C3CB6" w:rsidRPr="00597FFB">
        <w:rPr>
          <w:rFonts w:ascii="Times New Roman" w:eastAsia="Calibri" w:hAnsi="Times New Roman" w:cs="Times New Roman"/>
          <w:iCs/>
          <w:color w:val="000000"/>
          <w:sz w:val="24"/>
          <w:szCs w:val="24"/>
        </w:rPr>
        <w:t xml:space="preserve">recovered </w:t>
      </w:r>
      <w:r w:rsidR="00176D55" w:rsidRPr="00597FFB">
        <w:rPr>
          <w:rFonts w:ascii="Times New Roman" w:eastAsia="Calibri" w:hAnsi="Times New Roman" w:cs="Times New Roman"/>
          <w:iCs/>
          <w:color w:val="000000"/>
          <w:sz w:val="24"/>
          <w:szCs w:val="24"/>
        </w:rPr>
        <w:fldChar w:fldCharType="begin"/>
      </w:r>
      <w:r w:rsidR="00D54F30" w:rsidRPr="00597FFB">
        <w:rPr>
          <w:rFonts w:ascii="Times New Roman" w:eastAsia="Calibri" w:hAnsi="Times New Roman" w:cs="Times New Roman"/>
          <w:iCs/>
          <w:color w:val="000000"/>
          <w:sz w:val="24"/>
          <w:szCs w:val="24"/>
        </w:rPr>
        <w:instrText xml:space="preserve"> ADDIN ZOTERO_ITEM CSL_CITATION {"citationID":"a1slehsq6i8","properties":{"formattedCitation":"(Dias et al., 2019)","plainCitation":"(Dias et al., 2019)","noteIndex":0},"citationItems":[{"id":4119,"uris":["http://zotero.org/users/local/b6CRLSJH/items/TPMNIDHU"],"itemData":{"id":4119,"type":"article-journal","container-title":"Journal of Cleaner Production","DOI":"10.1016/j.jclepro.2018.10.306","ISSN":"09596526","journalAbbreviation":"Journal of Cleaner Production","language":"en","page":"846-854","source":"DOI.org (Crossref)","title":"Ensuring best E-waste recycling practices in developed countries: An Australian example","title-short":"Ensuring best E-waste recycling practices in developed countries","volume":"209","author":[{"family":"Dias","given":"Pablo"},{"family":"Bernardes","given":"Andréa Moura"},{"family":"Huda","given":"Nazmul"}],"issued":{"date-parts":[["2019",2]]}}}],"schema":"https://github.com/citation-style-language/schema/raw/master/csl-citation.json"} </w:instrText>
      </w:r>
      <w:r w:rsidR="00176D55" w:rsidRPr="00597FFB">
        <w:rPr>
          <w:rFonts w:ascii="Times New Roman" w:eastAsia="Calibri" w:hAnsi="Times New Roman" w:cs="Times New Roman"/>
          <w:iCs/>
          <w:color w:val="000000"/>
          <w:sz w:val="24"/>
          <w:szCs w:val="24"/>
        </w:rPr>
        <w:fldChar w:fldCharType="separate"/>
      </w:r>
      <w:r w:rsidR="00D54F30" w:rsidRPr="00597FFB">
        <w:rPr>
          <w:rFonts w:ascii="Times New Roman" w:hAnsi="Times New Roman" w:cs="Times New Roman"/>
          <w:sz w:val="24"/>
          <w:szCs w:val="24"/>
        </w:rPr>
        <w:t>(Dias et al., 2019)</w:t>
      </w:r>
      <w:r w:rsidR="00176D55" w:rsidRPr="00597FFB">
        <w:rPr>
          <w:rFonts w:ascii="Times New Roman" w:eastAsia="Calibri" w:hAnsi="Times New Roman" w:cs="Times New Roman"/>
          <w:iCs/>
          <w:color w:val="000000"/>
          <w:sz w:val="24"/>
          <w:szCs w:val="24"/>
        </w:rPr>
        <w:fldChar w:fldCharType="end"/>
      </w:r>
      <w:r w:rsidR="00084A07"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 xml:space="preserve">Recycling </w:t>
      </w:r>
      <w:r w:rsidR="00325BE9" w:rsidRPr="00597FFB">
        <w:rPr>
          <w:rFonts w:ascii="Times New Roman" w:eastAsia="Calibri" w:hAnsi="Times New Roman" w:cs="Times New Roman"/>
          <w:iCs/>
          <w:color w:val="000000"/>
          <w:sz w:val="24"/>
          <w:szCs w:val="24"/>
        </w:rPr>
        <w:t>bears</w:t>
      </w:r>
      <w:r w:rsidRPr="00597FFB">
        <w:rPr>
          <w:rFonts w:ascii="Times New Roman" w:eastAsia="Calibri" w:hAnsi="Times New Roman" w:cs="Times New Roman"/>
          <w:iCs/>
          <w:color w:val="000000"/>
          <w:sz w:val="24"/>
          <w:szCs w:val="24"/>
        </w:rPr>
        <w:t xml:space="preserve"> social impact</w:t>
      </w:r>
      <w:r w:rsidR="00325BE9" w:rsidRPr="00597FFB">
        <w:rPr>
          <w:rFonts w:ascii="Times New Roman" w:eastAsia="Calibri" w:hAnsi="Times New Roman" w:cs="Times New Roman"/>
          <w:iCs/>
          <w:color w:val="000000"/>
          <w:sz w:val="24"/>
          <w:szCs w:val="24"/>
        </w:rPr>
        <w:t>s</w:t>
      </w:r>
      <w:r w:rsidRPr="00597FFB">
        <w:rPr>
          <w:rFonts w:ascii="Times New Roman" w:eastAsia="Calibri" w:hAnsi="Times New Roman" w:cs="Times New Roman"/>
          <w:iCs/>
          <w:color w:val="000000"/>
          <w:sz w:val="24"/>
          <w:szCs w:val="24"/>
        </w:rPr>
        <w:t xml:space="preserve"> since it </w:t>
      </w:r>
      <w:r w:rsidR="00325BE9" w:rsidRPr="00597FFB">
        <w:rPr>
          <w:rFonts w:ascii="Times New Roman" w:eastAsia="Calibri" w:hAnsi="Times New Roman" w:cs="Times New Roman"/>
          <w:iCs/>
          <w:color w:val="000000"/>
          <w:sz w:val="24"/>
          <w:szCs w:val="24"/>
        </w:rPr>
        <w:t>creates</w:t>
      </w:r>
      <w:r w:rsidRPr="00597FFB">
        <w:rPr>
          <w:rFonts w:ascii="Times New Roman" w:eastAsia="Calibri" w:hAnsi="Times New Roman" w:cs="Times New Roman"/>
          <w:iCs/>
          <w:color w:val="000000"/>
          <w:sz w:val="24"/>
          <w:szCs w:val="24"/>
        </w:rPr>
        <w:t xml:space="preserve"> </w:t>
      </w:r>
      <w:r w:rsidR="00325BE9" w:rsidRPr="00597FFB">
        <w:rPr>
          <w:rFonts w:ascii="Times New Roman" w:eastAsia="Calibri" w:hAnsi="Times New Roman" w:cs="Times New Roman"/>
          <w:iCs/>
          <w:color w:val="000000"/>
          <w:sz w:val="24"/>
          <w:szCs w:val="24"/>
        </w:rPr>
        <w:t>job</w:t>
      </w:r>
      <w:r w:rsidRPr="00597FFB">
        <w:rPr>
          <w:rFonts w:ascii="Times New Roman" w:eastAsia="Calibri" w:hAnsi="Times New Roman" w:cs="Times New Roman"/>
          <w:iCs/>
          <w:color w:val="000000"/>
          <w:sz w:val="24"/>
          <w:szCs w:val="24"/>
        </w:rPr>
        <w:t xml:space="preserve"> opportunities</w:t>
      </w:r>
      <w:r w:rsidR="00325BE9" w:rsidRPr="00597FFB">
        <w:rPr>
          <w:rFonts w:ascii="Times New Roman" w:eastAsia="Calibri" w:hAnsi="Times New Roman" w:cs="Times New Roman"/>
          <w:iCs/>
          <w:color w:val="000000"/>
          <w:sz w:val="24"/>
          <w:szCs w:val="24"/>
        </w:rPr>
        <w:t xml:space="preserve"> with firms being</w:t>
      </w:r>
      <w:r w:rsidRPr="00597FFB">
        <w:rPr>
          <w:rFonts w:ascii="Times New Roman" w:eastAsia="Calibri" w:hAnsi="Times New Roman" w:cs="Times New Roman"/>
          <w:iCs/>
          <w:color w:val="000000"/>
          <w:sz w:val="24"/>
          <w:szCs w:val="24"/>
        </w:rPr>
        <w:t xml:space="preserve"> encouraged to </w:t>
      </w:r>
      <w:r w:rsidR="00325BE9" w:rsidRPr="00597FFB">
        <w:rPr>
          <w:rFonts w:ascii="Times New Roman" w:eastAsia="Calibri" w:hAnsi="Times New Roman" w:cs="Times New Roman"/>
          <w:iCs/>
          <w:color w:val="000000"/>
          <w:sz w:val="24"/>
          <w:szCs w:val="24"/>
        </w:rPr>
        <w:t>undertake</w:t>
      </w:r>
      <w:r w:rsidRPr="00597FFB">
        <w:rPr>
          <w:rFonts w:ascii="Times New Roman" w:eastAsia="Calibri" w:hAnsi="Times New Roman" w:cs="Times New Roman"/>
          <w:iCs/>
          <w:color w:val="000000"/>
          <w:sz w:val="24"/>
          <w:szCs w:val="24"/>
        </w:rPr>
        <w:t xml:space="preserve"> </w:t>
      </w:r>
      <w:r w:rsidR="00325BE9" w:rsidRPr="00597FFB">
        <w:rPr>
          <w:rFonts w:ascii="Times New Roman" w:eastAsia="Calibri" w:hAnsi="Times New Roman" w:cs="Times New Roman"/>
          <w:iCs/>
          <w:color w:val="000000"/>
          <w:sz w:val="24"/>
          <w:szCs w:val="24"/>
        </w:rPr>
        <w:t xml:space="preserve">EWR business </w:t>
      </w:r>
      <w:r w:rsidR="00084A07" w:rsidRPr="00597FFB">
        <w:rPr>
          <w:rFonts w:ascii="Times New Roman" w:eastAsia="Calibri" w:hAnsi="Times New Roman" w:cs="Times New Roman"/>
          <w:iCs/>
          <w:color w:val="000000"/>
          <w:sz w:val="24"/>
          <w:szCs w:val="24"/>
        </w:rPr>
        <w:fldChar w:fldCharType="begin"/>
      </w:r>
      <w:r w:rsidR="00D54F30" w:rsidRPr="00597FFB">
        <w:rPr>
          <w:rFonts w:ascii="Times New Roman" w:eastAsia="Calibri" w:hAnsi="Times New Roman" w:cs="Times New Roman"/>
          <w:iCs/>
          <w:color w:val="000000"/>
          <w:sz w:val="24"/>
          <w:szCs w:val="24"/>
        </w:rPr>
        <w:instrText xml:space="preserve"> ADDIN ZOTERO_ITEM CSL_CITATION {"citationID":"a23e892bger","properties":{"formattedCitation":"(Hughes et al., 2022)","plainCitation":"(Hughes et al., 2022)","noteIndex":0},"citationItems":[{"id":4589,"uris":["http://zotero.org/users/local/b6CRLSJH/items/38HV29PF"],"itemData":{"id":4589,"type":"article-journal","container-title":"Strategic Entrepreneurship Journal","DOI":"10.1002/sej.1409","ISSN":"1932-4391, 1932-443X","issue":"3","journalAbbreviation":"Strategic Entrepreneurship","language":"en","page":"633-665","source":"DOI.org (Crossref)","title":"Knowledge</w:instrText>
      </w:r>
      <w:r w:rsidR="00D54F30" w:rsidRPr="00597FFB">
        <w:rPr>
          <w:rFonts w:ascii="Cambria Math" w:eastAsia="Calibri" w:hAnsi="Cambria Math" w:cs="Cambria Math"/>
          <w:iCs/>
          <w:color w:val="000000"/>
          <w:sz w:val="24"/>
          <w:szCs w:val="24"/>
        </w:rPr>
        <w:instrText>‐</w:instrText>
      </w:r>
      <w:r w:rsidR="00D54F30" w:rsidRPr="00597FFB">
        <w:rPr>
          <w:rFonts w:ascii="Times New Roman" w:eastAsia="Calibri" w:hAnsi="Times New Roman" w:cs="Times New Roman"/>
          <w:iCs/>
          <w:color w:val="000000"/>
          <w:sz w:val="24"/>
          <w:szCs w:val="24"/>
        </w:rPr>
        <w:instrText>based theory, entrepreneurial orientation, stakeholder engagement, and firm performance","volume":"16","author":[{"family":"Hughes","given":"Mathew"},{"family":"Hughes","given":"Paul"},{"family":"Hodgkinson","given":"Ian"},{"family":"Chang","given":"Yi</w:instrText>
      </w:r>
      <w:r w:rsidR="00D54F30" w:rsidRPr="00597FFB">
        <w:rPr>
          <w:rFonts w:ascii="Cambria Math" w:eastAsia="Calibri" w:hAnsi="Cambria Math" w:cs="Cambria Math"/>
          <w:iCs/>
          <w:color w:val="000000"/>
          <w:sz w:val="24"/>
          <w:szCs w:val="24"/>
        </w:rPr>
        <w:instrText>‐</w:instrText>
      </w:r>
      <w:r w:rsidR="00D54F30" w:rsidRPr="00597FFB">
        <w:rPr>
          <w:rFonts w:ascii="Times New Roman" w:eastAsia="Calibri" w:hAnsi="Times New Roman" w:cs="Times New Roman"/>
          <w:iCs/>
          <w:color w:val="000000"/>
          <w:sz w:val="24"/>
          <w:szCs w:val="24"/>
        </w:rPr>
        <w:instrText>Ying"},{"family":"Chang","given":"Che</w:instrText>
      </w:r>
      <w:r w:rsidR="00D54F30" w:rsidRPr="00597FFB">
        <w:rPr>
          <w:rFonts w:ascii="Cambria Math" w:eastAsia="Calibri" w:hAnsi="Cambria Math" w:cs="Cambria Math"/>
          <w:iCs/>
          <w:color w:val="000000"/>
          <w:sz w:val="24"/>
          <w:szCs w:val="24"/>
        </w:rPr>
        <w:instrText>‐</w:instrText>
      </w:r>
      <w:r w:rsidR="00D54F30" w:rsidRPr="00597FFB">
        <w:rPr>
          <w:rFonts w:ascii="Times New Roman" w:eastAsia="Calibri" w:hAnsi="Times New Roman" w:cs="Times New Roman"/>
          <w:iCs/>
          <w:color w:val="000000"/>
          <w:sz w:val="24"/>
          <w:szCs w:val="24"/>
        </w:rPr>
        <w:instrText xml:space="preserve">Yuan"}],"issued":{"date-parts":[["2022",9]]}}}],"schema":"https://github.com/citation-style-language/schema/raw/master/csl-citation.json"} </w:instrText>
      </w:r>
      <w:r w:rsidR="00084A07" w:rsidRPr="00597FFB">
        <w:rPr>
          <w:rFonts w:ascii="Times New Roman" w:eastAsia="Calibri" w:hAnsi="Times New Roman" w:cs="Times New Roman"/>
          <w:iCs/>
          <w:color w:val="000000"/>
          <w:sz w:val="24"/>
          <w:szCs w:val="24"/>
        </w:rPr>
        <w:fldChar w:fldCharType="separate"/>
      </w:r>
      <w:r w:rsidR="00D54F30" w:rsidRPr="00597FFB">
        <w:rPr>
          <w:rFonts w:ascii="Times New Roman" w:hAnsi="Times New Roman" w:cs="Times New Roman"/>
          <w:sz w:val="24"/>
          <w:szCs w:val="24"/>
        </w:rPr>
        <w:t>(Hughes et al., 2022)</w:t>
      </w:r>
      <w:r w:rsidR="00084A07" w:rsidRPr="00597FFB">
        <w:rPr>
          <w:rFonts w:ascii="Times New Roman" w:eastAsia="Calibri" w:hAnsi="Times New Roman" w:cs="Times New Roman"/>
          <w:iCs/>
          <w:color w:val="000000"/>
          <w:sz w:val="24"/>
          <w:szCs w:val="24"/>
        </w:rPr>
        <w:fldChar w:fldCharType="end"/>
      </w:r>
      <w:r w:rsidR="00084A07" w:rsidRPr="00597FFB">
        <w:rPr>
          <w:rFonts w:ascii="Times New Roman" w:eastAsia="Calibri" w:hAnsi="Times New Roman" w:cs="Times New Roman"/>
          <w:iCs/>
          <w:color w:val="000000"/>
          <w:sz w:val="24"/>
          <w:szCs w:val="24"/>
        </w:rPr>
        <w:t xml:space="preserve">. </w:t>
      </w:r>
      <w:r w:rsidR="00325BE9" w:rsidRPr="00597FFB">
        <w:rPr>
          <w:rFonts w:ascii="Times New Roman" w:eastAsia="Calibri" w:hAnsi="Times New Roman" w:cs="Times New Roman"/>
          <w:iCs/>
          <w:color w:val="000000"/>
          <w:sz w:val="24"/>
          <w:szCs w:val="24"/>
        </w:rPr>
        <w:t xml:space="preserve">EWR’s </w:t>
      </w:r>
      <w:r w:rsidRPr="00597FFB">
        <w:rPr>
          <w:rFonts w:ascii="Times New Roman" w:eastAsia="Calibri" w:hAnsi="Times New Roman" w:cs="Times New Roman"/>
          <w:iCs/>
          <w:color w:val="000000"/>
          <w:sz w:val="24"/>
          <w:szCs w:val="24"/>
        </w:rPr>
        <w:t xml:space="preserve">objective </w:t>
      </w:r>
      <w:r w:rsidR="00325BE9" w:rsidRPr="00597FFB">
        <w:rPr>
          <w:rFonts w:ascii="Times New Roman" w:eastAsia="Calibri" w:hAnsi="Times New Roman" w:cs="Times New Roman"/>
          <w:iCs/>
          <w:color w:val="000000"/>
          <w:sz w:val="24"/>
          <w:szCs w:val="24"/>
        </w:rPr>
        <w:t>involves</w:t>
      </w:r>
      <w:r w:rsidRPr="00597FFB">
        <w:rPr>
          <w:rFonts w:ascii="Times New Roman" w:eastAsia="Calibri" w:hAnsi="Times New Roman" w:cs="Times New Roman"/>
          <w:iCs/>
          <w:color w:val="000000"/>
          <w:sz w:val="24"/>
          <w:szCs w:val="24"/>
        </w:rPr>
        <w:t xml:space="preserve"> </w:t>
      </w:r>
      <w:r w:rsidR="00325BE9" w:rsidRPr="00597FFB">
        <w:rPr>
          <w:rFonts w:ascii="Times New Roman" w:eastAsia="Calibri" w:hAnsi="Times New Roman" w:cs="Times New Roman"/>
          <w:iCs/>
          <w:color w:val="000000"/>
          <w:sz w:val="24"/>
          <w:szCs w:val="24"/>
        </w:rPr>
        <w:t xml:space="preserve">safe disposal of hazardous and toxic substances and </w:t>
      </w:r>
      <w:r w:rsidRPr="00597FFB">
        <w:rPr>
          <w:rFonts w:ascii="Times New Roman" w:eastAsia="Calibri" w:hAnsi="Times New Roman" w:cs="Times New Roman"/>
          <w:iCs/>
          <w:color w:val="000000"/>
          <w:sz w:val="24"/>
          <w:szCs w:val="24"/>
        </w:rPr>
        <w:t>efficient recover</w:t>
      </w:r>
      <w:r w:rsidR="00325BE9" w:rsidRPr="00597FFB">
        <w:rPr>
          <w:rFonts w:ascii="Times New Roman" w:eastAsia="Calibri" w:hAnsi="Times New Roman" w:cs="Times New Roman"/>
          <w:iCs/>
          <w:color w:val="000000"/>
          <w:sz w:val="24"/>
          <w:szCs w:val="24"/>
        </w:rPr>
        <w:t>y of</w:t>
      </w:r>
      <w:r w:rsidRPr="00597FFB">
        <w:rPr>
          <w:rFonts w:ascii="Times New Roman" w:eastAsia="Calibri" w:hAnsi="Times New Roman" w:cs="Times New Roman"/>
          <w:iCs/>
          <w:color w:val="000000"/>
          <w:sz w:val="24"/>
          <w:szCs w:val="24"/>
        </w:rPr>
        <w:t xml:space="preserve"> </w:t>
      </w:r>
      <w:r w:rsidR="00325BE9" w:rsidRPr="00597FFB">
        <w:rPr>
          <w:rFonts w:ascii="Times New Roman" w:eastAsia="Calibri" w:hAnsi="Times New Roman" w:cs="Times New Roman"/>
          <w:iCs/>
          <w:color w:val="000000"/>
          <w:sz w:val="24"/>
          <w:szCs w:val="24"/>
        </w:rPr>
        <w:t>precious</w:t>
      </w:r>
      <w:r w:rsidRPr="00597FFB">
        <w:rPr>
          <w:rFonts w:ascii="Times New Roman" w:eastAsia="Calibri" w:hAnsi="Times New Roman" w:cs="Times New Roman"/>
          <w:iCs/>
          <w:color w:val="000000"/>
          <w:sz w:val="24"/>
          <w:szCs w:val="24"/>
        </w:rPr>
        <w:t xml:space="preserve"> metals </w:t>
      </w:r>
      <w:r w:rsidR="00325BE9" w:rsidRPr="00597FFB">
        <w:rPr>
          <w:rFonts w:ascii="Times New Roman" w:eastAsia="Calibri" w:hAnsi="Times New Roman" w:cs="Times New Roman"/>
          <w:iCs/>
          <w:color w:val="000000"/>
          <w:sz w:val="24"/>
          <w:szCs w:val="24"/>
        </w:rPr>
        <w:t>to avert</w:t>
      </w:r>
      <w:r w:rsidRPr="00597FFB">
        <w:rPr>
          <w:rFonts w:ascii="Times New Roman" w:eastAsia="Calibri" w:hAnsi="Times New Roman" w:cs="Times New Roman"/>
          <w:iCs/>
          <w:color w:val="000000"/>
          <w:sz w:val="24"/>
          <w:szCs w:val="24"/>
        </w:rPr>
        <w:t xml:space="preserve"> any </w:t>
      </w:r>
      <w:r w:rsidR="00325BE9" w:rsidRPr="00597FFB">
        <w:rPr>
          <w:rFonts w:ascii="Times New Roman" w:eastAsia="Calibri" w:hAnsi="Times New Roman" w:cs="Times New Roman"/>
          <w:iCs/>
          <w:color w:val="000000"/>
          <w:sz w:val="24"/>
          <w:szCs w:val="24"/>
        </w:rPr>
        <w:t xml:space="preserve">human health and environmental </w:t>
      </w:r>
      <w:r w:rsidRPr="00597FFB">
        <w:rPr>
          <w:rFonts w:ascii="Times New Roman" w:eastAsia="Calibri" w:hAnsi="Times New Roman" w:cs="Times New Roman"/>
          <w:iCs/>
          <w:color w:val="000000"/>
          <w:sz w:val="24"/>
          <w:szCs w:val="24"/>
        </w:rPr>
        <w:t>risk</w:t>
      </w:r>
      <w:r w:rsidR="00325BE9" w:rsidRPr="00597FFB">
        <w:rPr>
          <w:rFonts w:ascii="Times New Roman" w:eastAsia="Calibri" w:hAnsi="Times New Roman" w:cs="Times New Roman"/>
          <w:iCs/>
          <w:color w:val="000000"/>
          <w:sz w:val="24"/>
          <w:szCs w:val="24"/>
        </w:rPr>
        <w:t>s while</w:t>
      </w:r>
      <w:r w:rsidRPr="00597FFB">
        <w:rPr>
          <w:rFonts w:ascii="Times New Roman" w:eastAsia="Calibri" w:hAnsi="Times New Roman" w:cs="Times New Roman"/>
          <w:iCs/>
          <w:color w:val="000000"/>
          <w:sz w:val="24"/>
          <w:szCs w:val="24"/>
        </w:rPr>
        <w:t xml:space="preserve"> creat</w:t>
      </w:r>
      <w:r w:rsidR="00325BE9" w:rsidRPr="00597FFB">
        <w:rPr>
          <w:rFonts w:ascii="Times New Roman" w:eastAsia="Calibri" w:hAnsi="Times New Roman" w:cs="Times New Roman"/>
          <w:iCs/>
          <w:color w:val="000000"/>
          <w:sz w:val="24"/>
          <w:szCs w:val="24"/>
        </w:rPr>
        <w:t>ing</w:t>
      </w:r>
      <w:r w:rsidRPr="00597FFB">
        <w:rPr>
          <w:rFonts w:ascii="Times New Roman" w:eastAsia="Calibri" w:hAnsi="Times New Roman" w:cs="Times New Roman"/>
          <w:iCs/>
          <w:color w:val="000000"/>
          <w:sz w:val="24"/>
          <w:szCs w:val="24"/>
        </w:rPr>
        <w:t xml:space="preserve"> sustainable businesses</w:t>
      </w:r>
      <w:r w:rsidR="00325BE9" w:rsidRPr="00597FFB">
        <w:rPr>
          <w:rFonts w:ascii="Times New Roman" w:eastAsia="Calibri" w:hAnsi="Times New Roman" w:cs="Times New Roman"/>
          <w:iCs/>
          <w:color w:val="000000"/>
          <w:sz w:val="24"/>
          <w:szCs w:val="24"/>
        </w:rPr>
        <w:t xml:space="preserve"> simultaneously</w:t>
      </w:r>
      <w:r w:rsidRPr="00597FFB">
        <w:rPr>
          <w:rFonts w:ascii="Times New Roman" w:eastAsia="Calibri" w:hAnsi="Times New Roman" w:cs="Times New Roman"/>
          <w:iCs/>
          <w:color w:val="000000"/>
          <w:sz w:val="24"/>
          <w:szCs w:val="24"/>
        </w:rPr>
        <w:t xml:space="preserve"> </w:t>
      </w:r>
      <w:r w:rsidR="00D54F30" w:rsidRPr="00597FFB">
        <w:rPr>
          <w:rFonts w:ascii="Times New Roman" w:eastAsia="Calibri" w:hAnsi="Times New Roman" w:cs="Times New Roman"/>
          <w:iCs/>
          <w:color w:val="000000"/>
          <w:sz w:val="24"/>
          <w:szCs w:val="24"/>
        </w:rPr>
        <w:fldChar w:fldCharType="begin"/>
      </w:r>
      <w:r w:rsidR="009671CA" w:rsidRPr="00597FFB">
        <w:rPr>
          <w:rFonts w:ascii="Times New Roman" w:eastAsia="Calibri" w:hAnsi="Times New Roman" w:cs="Times New Roman"/>
          <w:iCs/>
          <w:color w:val="000000"/>
          <w:sz w:val="24"/>
          <w:szCs w:val="24"/>
        </w:rPr>
        <w:instrText xml:space="preserve"> ADDIN ZOTERO_ITEM CSL_CITATION {"citationID":"a4uple7o1e","properties":{"formattedCitation":"(Furrer et al., 2021)","plainCitation":"(Furrer et al., 2021)","noteIndex":0},"citationItems":[{"id":4524,"uris":["http://zotero.org/users/local/b6CRLSJH/items/QQRY75UT"],"itemData":{"id":4524,"type":"article-journal","abstract":"Purpose\n              When customers feel that they have no choice but to stay with their current provider to obtain a service that they need, they feel captive. This study aims to investigate customer captivity as a type of vulnerability and evaluate its effects on customers’ service evaluation and word-of-mouth (WOM) behavior, as well as to identify solutions that reduce customers’ feelings of captivity and improve their well-being.\n            \n            \n              Design/methodology/approach\n              This sequential, quantitative–qualitative, mixed-methods study draws from a survey of 1,017 customers and a qualitative analysis of 20 in-depth semi-structured interviews. Moderated mediation analysis is used to test the quantitative hypotheses; a thematic analysis explores the qualitative data.\n            \n            \n              Findings\n              The results of the quantitative study show that captivity emotions and price unfairness perceptions are two manifestations of customer captivity, which directly and indirectly affect service evaluations and WOM behavior. The findings of the qualitative study highlight how captive customers use emotional support-seeking negative word-of-mouth (NWOM) as a solution to reduce their captivity emotions and improve their well-being, by reinforcing their social ties and regaining a sense of control.\n            \n            \n              Research limitations/implications\n              This study advances transformative service research by demonstrating how captivity affects customers’ well-being and customer vulnerability literature by investigating captivity as a type of vulnerability. It contributes to service marketing literature by identifying customer captivity as a boundary condition for generic service evaluation models.\n            \n            \n              Practical implications\n              Captive customers seek emotional support and consequently spread NWOM. Therefore, it is critical for service providers to reduce customers’ captivity feelings and implement adequate solutions to prevent NWOM and decrease the risk of negative impacts on their profitability.\n            \n            \n              Originality/value\n              Any customer can become vulnerable, due to contextual circumstances. This study focuses on customer captivity as a type of vulnerability and proposes adapted solutions to improve customers’ well-being.","container-title":"Journal of Services Marketing","DOI":"10.1108/JSM-07-2020-0311","ISSN":"0887-6045, 0887-6045","issue":"6","journalAbbreviation":"JSM","language":"en","page":"755-773","source":"DOI.org (Crossref)","title":"Customer captivity, negative word of mouth and well-being: a mixed-methods study","title-short":"Customer captivity, negative word of mouth and well-being","volume":"35","author":[{"family":"Furrer","given":"Olivier"},{"family":"Yu Kerguignas","given":"Jie"},{"family":"Landry","given":"Mikèle"}],"issued":{"date-parts":[["2021",10,6]]}}}],"schema":"https://github.com/citation-style-language/schema/raw/master/csl-citation.json"} </w:instrText>
      </w:r>
      <w:r w:rsidR="00D54F30" w:rsidRPr="00597FFB">
        <w:rPr>
          <w:rFonts w:ascii="Times New Roman" w:eastAsia="Calibri" w:hAnsi="Times New Roman" w:cs="Times New Roman"/>
          <w:iCs/>
          <w:color w:val="000000"/>
          <w:sz w:val="24"/>
          <w:szCs w:val="24"/>
        </w:rPr>
        <w:fldChar w:fldCharType="separate"/>
      </w:r>
      <w:r w:rsidR="009671CA" w:rsidRPr="00597FFB">
        <w:rPr>
          <w:rFonts w:ascii="Times New Roman" w:hAnsi="Times New Roman" w:cs="Times New Roman"/>
          <w:sz w:val="24"/>
          <w:szCs w:val="24"/>
        </w:rPr>
        <w:t>(Furrer et al., 2021)</w:t>
      </w:r>
      <w:r w:rsidR="00D54F30" w:rsidRPr="00597FFB">
        <w:rPr>
          <w:rFonts w:ascii="Times New Roman" w:eastAsia="Calibri" w:hAnsi="Times New Roman" w:cs="Times New Roman"/>
          <w:iCs/>
          <w:color w:val="000000"/>
          <w:sz w:val="24"/>
          <w:szCs w:val="24"/>
        </w:rPr>
        <w:fldChar w:fldCharType="end"/>
      </w:r>
      <w:r w:rsidR="00752004" w:rsidRPr="00597FFB">
        <w:rPr>
          <w:rFonts w:ascii="Times New Roman" w:eastAsia="Calibri" w:hAnsi="Times New Roman" w:cs="Times New Roman"/>
          <w:iCs/>
          <w:color w:val="000000"/>
          <w:sz w:val="24"/>
          <w:szCs w:val="24"/>
        </w:rPr>
        <w:t>.</w:t>
      </w:r>
    </w:p>
    <w:p w14:paraId="611D7A61" w14:textId="5259AAE6" w:rsidR="009D4FB4" w:rsidRPr="00597FFB" w:rsidRDefault="009D4FB4" w:rsidP="009D4FB4">
      <w:pPr>
        <w:autoSpaceDE w:val="0"/>
        <w:autoSpaceDN w:val="0"/>
        <w:adjustRightInd w:val="0"/>
        <w:spacing w:before="26" w:after="26" w:line="480" w:lineRule="auto"/>
        <w:ind w:firstLine="720"/>
        <w:jc w:val="both"/>
        <w:rPr>
          <w:rFonts w:ascii="Times New Roman" w:eastAsia="Calibri" w:hAnsi="Times New Roman" w:cs="Times New Roman"/>
          <w:color w:val="0070C0"/>
          <w:sz w:val="24"/>
          <w:szCs w:val="24"/>
        </w:rPr>
      </w:pPr>
      <w:r w:rsidRPr="00597FFB">
        <w:rPr>
          <w:rFonts w:ascii="Times New Roman" w:eastAsia="Calibri" w:hAnsi="Times New Roman" w:cs="Times New Roman"/>
          <w:color w:val="000000"/>
          <w:sz w:val="24"/>
          <w:szCs w:val="24"/>
        </w:rPr>
        <w:t xml:space="preserve">Valuable metals, such as printed </w:t>
      </w:r>
      <w:r w:rsidRPr="00597FFB">
        <w:rPr>
          <w:rFonts w:ascii="Times New Roman" w:eastAsia="Calibri" w:hAnsi="Times New Roman" w:cs="Times New Roman"/>
          <w:sz w:val="24"/>
          <w:szCs w:val="24"/>
        </w:rPr>
        <w:t xml:space="preserve">circuit boards (PCBs), </w:t>
      </w:r>
      <w:r w:rsidRPr="00597FFB">
        <w:rPr>
          <w:rFonts w:ascii="Times New Roman" w:eastAsia="Calibri" w:hAnsi="Times New Roman" w:cs="Times New Roman"/>
          <w:color w:val="000000"/>
          <w:sz w:val="24"/>
          <w:szCs w:val="24"/>
        </w:rPr>
        <w:t xml:space="preserve">can be recovered from E-waste through state-of-art metal smelting processes. However, several metals, such as Rare-Earth </w:t>
      </w:r>
      <w:r w:rsidRPr="00597FFB">
        <w:rPr>
          <w:rFonts w:ascii="Times New Roman" w:eastAsia="Calibri" w:hAnsi="Times New Roman" w:cs="Times New Roman"/>
          <w:sz w:val="24"/>
          <w:szCs w:val="24"/>
        </w:rPr>
        <w:t>Elements (REEs), lithium</w:t>
      </w:r>
      <w:r w:rsidRPr="00597FFB">
        <w:rPr>
          <w:rFonts w:ascii="Times New Roman" w:eastAsia="Calibri" w:hAnsi="Times New Roman" w:cs="Times New Roman"/>
          <w:color w:val="000000"/>
          <w:sz w:val="24"/>
          <w:szCs w:val="24"/>
        </w:rPr>
        <w:t xml:space="preserve">, and a substantial amount of cobalt and nickel, are lost into the process slag (Liu et al., 2019). Many ferrous metals contain iron and small amounts of other metals or elements. However, many non-ferrous metals, such as aluminum, do not have iron, are not magnetic, and are usually more resistant to corrosion than ferrous metals; they are mostly recovered and recycled </w:t>
      </w:r>
      <w:r w:rsidR="00752004" w:rsidRPr="00597FFB">
        <w:rPr>
          <w:rFonts w:ascii="Times New Roman" w:eastAsia="Calibri" w:hAnsi="Times New Roman" w:cs="Times New Roman"/>
          <w:color w:val="000000"/>
          <w:sz w:val="24"/>
          <w:szCs w:val="24"/>
        </w:rPr>
        <w:fldChar w:fldCharType="begin"/>
      </w:r>
      <w:r w:rsidR="009671CA" w:rsidRPr="00597FFB">
        <w:rPr>
          <w:rFonts w:ascii="Times New Roman" w:eastAsia="Calibri" w:hAnsi="Times New Roman" w:cs="Times New Roman"/>
          <w:color w:val="000000"/>
          <w:sz w:val="24"/>
          <w:szCs w:val="24"/>
        </w:rPr>
        <w:instrText xml:space="preserve"> ADDIN ZOTERO_ITEM CSL_CITATION {"citationID":"a1urqsoib3n","properties":{"formattedCitation":"(Garg, 2021)","plainCitation":"(Garg, 2021)","noteIndex":0},"citationItems":[{"id":1233,"uris":["http://zotero.org/users/local/b6CRLSJH/items/NWAPRVSV"],"itemData":{"id":1233,"type":"article-journal","abstract":"E-waste problem is putting pressure on environmental agencies, government, original equipment manufacturers of developing nations like India to adopt, develop and innovate environment friendly ewaste mitigation strategies, with the objective to manage and control the ever growing threat of e-waste to the environment, society and human health. Moreover, increasing producer responsibility, informal recycling practices and disposal issues have given attention to adopt mitigation strategies for successful implementation of e-waste management system. This study acknowledges the critical strategies to recover resources along with processing and treatment of toxic and hazardous component of e-waste mitigation and management which is immediate and existing challenge for India. A combined framework based on Grey concept and DEMATEL technique has been proposed in this work to determine the interdependence among the e-waste mitigation strategies (MS) by cause/effect analysis. This study has revealed that ‘top management initiation and commitment towards return management’ is the most imperative and driving strategy in the e-waste management and control. It also inﬂuences the other existing strategies. This work has also highlighted that e-waste mitigation can be effective if it concentrates on effective implementation of e-waste policy, directives and regulations such as extended producer responsibility (EPR), advance recycling fee (ARF) etc., technological and green innovations in recycling network and strategic alliance among supply chain partners and e-waste recyclers (in-house and outsource service provider) in Indian scenario in the management of e-waste issues. The cause eeffect relationships are helpful to the managers, Government agencies and policy makers to learn crucial causal strategies that require imperative emphasis in dealing with e-waste issues in India. Sensitivity analysis was also conducted to test the robustness of the proposed framework.","container-title":"Journal of Cleaner Production","DOI":"10.1016/j.jclepro.2020.124035","ISSN":"09596526","journalAbbreviation":"Journal of Cleaner Production","language":"en","page":"124035","source":"DOI.org (Crossref)","title":"Modeling the e-waste mitigation strategies using grey-theory and DEMATEL framework","volume":"281","author":[{"family":"Garg","given":"Chandra Prakash"}],"issued":{"date-parts":[["2021",1]]}}}],"schema":"https://github.com/citation-style-language/schema/raw/master/csl-citation.json"} </w:instrText>
      </w:r>
      <w:r w:rsidR="00752004" w:rsidRPr="00597FFB">
        <w:rPr>
          <w:rFonts w:ascii="Times New Roman" w:eastAsia="Calibri" w:hAnsi="Times New Roman" w:cs="Times New Roman"/>
          <w:color w:val="000000"/>
          <w:sz w:val="24"/>
          <w:szCs w:val="24"/>
        </w:rPr>
        <w:fldChar w:fldCharType="separate"/>
      </w:r>
      <w:r w:rsidR="009671CA" w:rsidRPr="00597FFB">
        <w:rPr>
          <w:rFonts w:ascii="Times New Roman" w:hAnsi="Times New Roman" w:cs="Times New Roman"/>
          <w:sz w:val="24"/>
          <w:szCs w:val="24"/>
        </w:rPr>
        <w:t>(Garg, 2021)</w:t>
      </w:r>
      <w:r w:rsidR="00752004" w:rsidRPr="00597FFB">
        <w:rPr>
          <w:rFonts w:ascii="Times New Roman" w:eastAsia="Calibri" w:hAnsi="Times New Roman" w:cs="Times New Roman"/>
          <w:color w:val="000000"/>
          <w:sz w:val="24"/>
          <w:szCs w:val="24"/>
        </w:rPr>
        <w:fldChar w:fldCharType="end"/>
      </w:r>
      <w:r w:rsidR="00752004"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Furthermore, gold and other valuable elements in relatively short supply are usually found in E-waste as high purity and quality materials, making these secondary sources highly attractive for recovery </w:t>
      </w:r>
      <w:r w:rsidR="00752004" w:rsidRPr="00597FFB">
        <w:rPr>
          <w:rFonts w:ascii="Times New Roman" w:eastAsia="Calibri" w:hAnsi="Times New Roman" w:cs="Times New Roman"/>
          <w:color w:val="000000"/>
          <w:sz w:val="24"/>
          <w:szCs w:val="24"/>
        </w:rPr>
        <w:fldChar w:fldCharType="begin"/>
      </w:r>
      <w:r w:rsidR="009671CA" w:rsidRPr="00597FFB">
        <w:rPr>
          <w:rFonts w:ascii="Times New Roman" w:eastAsia="Calibri" w:hAnsi="Times New Roman" w:cs="Times New Roman"/>
          <w:color w:val="000000"/>
          <w:sz w:val="24"/>
          <w:szCs w:val="24"/>
        </w:rPr>
        <w:instrText xml:space="preserve"> ADDIN ZOTERO_ITEM CSL_CITATION {"citationID":"a5ij81m183","properties":{"formattedCitation":"(Fagerholm et al., 2021)","plainCitation":"(Fagerholm et al., 2021)","noteIndex":0},"citationItems":[{"id":4509,"uris":["http://zotero.org/users/local/b6CRLSJH/items/N47STBQ4"],"itemData":{"id":4509,"type":"article-journal","container-title":"International Journal of Geographical Information Science","DOI":"10.1080/13658816.2020.1869747","ISSN":"1365-8816, 1362-3087","issue":"9","journalAbbreviation":"International Journal of Geographical Information Science","language":"en","page":"1848-1875","source":"DOI.org (Crossref)","title":"A methodological framework for analysis of participatory mapping data in research, planning, and management","volume":"35","author":[{"family":"Fagerholm","given":"Nora"},{"family":"Raymond","given":"Christopher M."},{"family":"Olafsson","given":"Anton Stahl"},{"family":"Brown","given":"Gregory"},{"family":"Rinne","given":"Tiina"},{"family":"Hasanzadeh","given":"Kamyar"},{"family":"Broberg","given":"Anna"},{"family":"Kyttä","given":"Marketta"}],"issued":{"date-parts":[["2021",9,2]]}}}],"schema":"https://github.com/citation-style-language/schema/raw/master/csl-citation.json"} </w:instrText>
      </w:r>
      <w:r w:rsidR="00752004" w:rsidRPr="00597FFB">
        <w:rPr>
          <w:rFonts w:ascii="Times New Roman" w:eastAsia="Calibri" w:hAnsi="Times New Roman" w:cs="Times New Roman"/>
          <w:color w:val="000000"/>
          <w:sz w:val="24"/>
          <w:szCs w:val="24"/>
        </w:rPr>
        <w:fldChar w:fldCharType="separate"/>
      </w:r>
      <w:r w:rsidR="009671CA" w:rsidRPr="00597FFB">
        <w:rPr>
          <w:rFonts w:ascii="Times New Roman" w:hAnsi="Times New Roman" w:cs="Times New Roman"/>
          <w:sz w:val="24"/>
          <w:szCs w:val="24"/>
        </w:rPr>
        <w:t>(Fagerholm et al., 2021)</w:t>
      </w:r>
      <w:r w:rsidR="00752004" w:rsidRPr="00597FFB">
        <w:rPr>
          <w:rFonts w:ascii="Times New Roman" w:eastAsia="Calibri" w:hAnsi="Times New Roman" w:cs="Times New Roman"/>
          <w:color w:val="000000"/>
          <w:sz w:val="24"/>
          <w:szCs w:val="24"/>
        </w:rPr>
        <w:fldChar w:fldCharType="end"/>
      </w:r>
      <w:r w:rsidR="00F3116D"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It was estimated that from a resource's perspective, secondary raw materials from E-waste is worth 55 billion Euro (Yong et al., 2019), and in 2013, it was projected that the gold content in E-waste was 11% of the global gold production from mines </w:t>
      </w:r>
      <w:r w:rsidR="00F3116D" w:rsidRPr="00597FFB">
        <w:rPr>
          <w:rFonts w:ascii="Times New Roman" w:eastAsia="Calibri" w:hAnsi="Times New Roman" w:cs="Times New Roman"/>
          <w:color w:val="000000"/>
          <w:sz w:val="24"/>
          <w:szCs w:val="24"/>
        </w:rPr>
        <w:fldChar w:fldCharType="begin"/>
      </w:r>
      <w:r w:rsidR="009671CA" w:rsidRPr="00597FFB">
        <w:rPr>
          <w:rFonts w:ascii="Times New Roman" w:eastAsia="Calibri" w:hAnsi="Times New Roman" w:cs="Times New Roman"/>
          <w:color w:val="000000"/>
          <w:sz w:val="24"/>
          <w:szCs w:val="24"/>
        </w:rPr>
        <w:instrText xml:space="preserve"> ADDIN ZOTERO_ITEM CSL_CITATION {"citationID":"a11ri58m67l","properties":{"formattedCitation":"(Grand, 2020)","plainCitation":"(Grand, 2020)","noteIndex":0},"citationItems":[{"id":4544,"uris":["http://zotero.org/users/local/b6CRLSJH/items/2Q8Q6BJA"],"itemData":{"id":4544,"type":"article-journal","container-title":"Journal of Applied Psychology","DOI":"10.1037/apl0000468","ISSN":"1939-1854, 0021-9010","issue":"8","journalAbbreviation":"Journal of Applied Psychology","language":"en","page":"819-862","source":"DOI.org (Crossref)","title":"A general response process theory for situational judgment tests.","volume":"105","author":[{"family":"Grand","given":"James A."}],"issued":{"date-parts":[["2020",8]]}}}],"schema":"https://github.com/citation-style-language/schema/raw/master/csl-citation.json"} </w:instrText>
      </w:r>
      <w:r w:rsidR="00F3116D" w:rsidRPr="00597FFB">
        <w:rPr>
          <w:rFonts w:ascii="Times New Roman" w:eastAsia="Calibri" w:hAnsi="Times New Roman" w:cs="Times New Roman"/>
          <w:color w:val="000000"/>
          <w:sz w:val="24"/>
          <w:szCs w:val="24"/>
        </w:rPr>
        <w:fldChar w:fldCharType="separate"/>
      </w:r>
      <w:r w:rsidR="009671CA" w:rsidRPr="00597FFB">
        <w:rPr>
          <w:rFonts w:ascii="Times New Roman" w:hAnsi="Times New Roman" w:cs="Times New Roman"/>
          <w:sz w:val="24"/>
          <w:szCs w:val="24"/>
        </w:rPr>
        <w:t>(Grand, 2020)</w:t>
      </w:r>
      <w:r w:rsidR="00F3116D" w:rsidRPr="00597FFB">
        <w:rPr>
          <w:rFonts w:ascii="Times New Roman" w:eastAsia="Calibri" w:hAnsi="Times New Roman" w:cs="Times New Roman"/>
          <w:color w:val="000000"/>
          <w:sz w:val="24"/>
          <w:szCs w:val="24"/>
        </w:rPr>
        <w:fldChar w:fldCharType="end"/>
      </w:r>
      <w:r w:rsidR="002F7E96"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For instance, the output of a standard cellular phone with 0.08 kilograms (kg) net mass has an ecological rucksack of 75.3 Kg (0.1 kg disposal, 8.2 Kg production, 31.7 Kg utilization of the phone from direct and indirect energy consumption, and 35.3 Kg of extracted raw material) </w:t>
      </w:r>
      <w:r w:rsidR="002F7E96" w:rsidRPr="00597FFB">
        <w:rPr>
          <w:rFonts w:ascii="Times New Roman" w:eastAsia="Calibri" w:hAnsi="Times New Roman" w:cs="Times New Roman"/>
          <w:color w:val="000000"/>
          <w:sz w:val="24"/>
          <w:szCs w:val="24"/>
        </w:rPr>
        <w:fldChar w:fldCharType="begin"/>
      </w:r>
      <w:r w:rsidR="006C00B3" w:rsidRPr="00597FFB">
        <w:rPr>
          <w:rFonts w:ascii="Times New Roman" w:eastAsia="Calibri" w:hAnsi="Times New Roman" w:cs="Times New Roman"/>
          <w:color w:val="000000"/>
          <w:sz w:val="24"/>
          <w:szCs w:val="24"/>
        </w:rPr>
        <w:instrText xml:space="preserve"> ADDIN ZOTERO_ITEM CSL_CITATION {"citationID":"ajf90mq842","properties":{"formattedCitation":"(Gummer et al., 2021)","plainCitation":"(Gummer et al., 2021)","noteIndex":0},"citationItems":[{"id":4461,"uris":["http://zotero.org/users/local/b6CRLSJH/items/VU8ZQBPK"],"itemData":{"id":4461,"type":"article-journal","abstract":"Identifying inattentive respondents in self-administered surveys is a challenging goal for survey researchers. Instructed response items (IRIs) provide a measure for inattentiveness in grid questions that is easy to implement. The present article adds to the sparse research on the use and implementation of attention checks by addressing three research objectives. In a first study, we provide evidence that IRIs identify respondents who show an elevated use of straightlining, speeding, item nonresponse, inconsistent answers, and implausible statements throughout a survey. Excluding inattentive respondents, however, did not alter the results of substantive analyses. Our second study suggests that respondents’ inattentiveness partially changes as the context in which they complete the survey changes. In a third study, we present experimental evidence that a mere exposure to an IRI does not negatively or positively affect response behavior within a survey. A critical discussion on using IRI attention checks concludes this article.","container-title":"Sociological Methods &amp; Research","DOI":"10.1177/0049124118769083","ISSN":"0049-1241, 1552-8294","issue":"1","journalAbbreviation":"Sociological Methods &amp; Research","language":"en","page":"238-264","source":"DOI.org (Crossref)","title":"Using Instructed Response Items as Attention Checks in Web Surveys: Properties and Implementation","title-short":"Using Instructed Response Items as Attention Checks in Web Surveys","volume":"50","author":[{"family":"Gummer","given":"Tobias"},{"family":"Roßmann","given":"Joss"},{"family":"Silber","given":"Henning"}],"issued":{"date-parts":[["2021",2]]}}}],"schema":"https://github.com/citation-style-language/schema/raw/master/csl-citation.json"} </w:instrText>
      </w:r>
      <w:r w:rsidR="002F7E96" w:rsidRPr="00597FFB">
        <w:rPr>
          <w:rFonts w:ascii="Times New Roman" w:eastAsia="Calibri" w:hAnsi="Times New Roman" w:cs="Times New Roman"/>
          <w:color w:val="000000"/>
          <w:sz w:val="24"/>
          <w:szCs w:val="24"/>
        </w:rPr>
        <w:fldChar w:fldCharType="separate"/>
      </w:r>
      <w:r w:rsidR="006C00B3" w:rsidRPr="00597FFB">
        <w:rPr>
          <w:rFonts w:ascii="Times New Roman" w:hAnsi="Times New Roman" w:cs="Times New Roman"/>
          <w:sz w:val="24"/>
          <w:szCs w:val="24"/>
        </w:rPr>
        <w:t>(Gummer et al., 2021)</w:t>
      </w:r>
      <w:r w:rsidR="002F7E96" w:rsidRPr="00597FFB">
        <w:rPr>
          <w:rFonts w:ascii="Times New Roman" w:eastAsia="Calibri" w:hAnsi="Times New Roman" w:cs="Times New Roman"/>
          <w:color w:val="000000"/>
          <w:sz w:val="24"/>
          <w:szCs w:val="24"/>
        </w:rPr>
        <w:fldChar w:fldCharType="end"/>
      </w:r>
      <w:r w:rsidR="00505050" w:rsidRPr="00597FFB">
        <w:rPr>
          <w:rFonts w:ascii="Times New Roman" w:eastAsia="Calibri" w:hAnsi="Times New Roman" w:cs="Times New Roman"/>
          <w:color w:val="000000"/>
          <w:sz w:val="24"/>
          <w:szCs w:val="24"/>
        </w:rPr>
        <w:t>.</w:t>
      </w:r>
    </w:p>
    <w:p w14:paraId="42ECB2E8" w14:textId="2F296B69" w:rsidR="009D4FB4" w:rsidRPr="00597FFB" w:rsidRDefault="009D4FB4" w:rsidP="009D4FB4">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Plastic is an essential </w:t>
      </w:r>
      <w:r w:rsidR="00325BE9" w:rsidRPr="00597FFB">
        <w:rPr>
          <w:rFonts w:ascii="Times New Roman" w:eastAsia="Calibri" w:hAnsi="Times New Roman" w:cs="Times New Roman"/>
          <w:color w:val="000000"/>
          <w:sz w:val="24"/>
          <w:szCs w:val="24"/>
        </w:rPr>
        <w:t xml:space="preserve">E-waste </w:t>
      </w:r>
      <w:r w:rsidRPr="00597FFB">
        <w:rPr>
          <w:rFonts w:ascii="Times New Roman" w:eastAsia="Calibri" w:hAnsi="Times New Roman" w:cs="Times New Roman"/>
          <w:color w:val="000000"/>
          <w:sz w:val="24"/>
          <w:szCs w:val="24"/>
        </w:rPr>
        <w:t xml:space="preserve">component and comprises thermoplastics that </w:t>
      </w:r>
      <w:r w:rsidR="00325BE9" w:rsidRPr="00597FFB">
        <w:rPr>
          <w:rFonts w:ascii="Times New Roman" w:eastAsia="Calibri" w:hAnsi="Times New Roman" w:cs="Times New Roman"/>
          <w:color w:val="000000"/>
          <w:sz w:val="24"/>
          <w:szCs w:val="24"/>
        </w:rPr>
        <w:t>are</w:t>
      </w:r>
      <w:r w:rsidRPr="00597FFB">
        <w:rPr>
          <w:rFonts w:ascii="Times New Roman" w:eastAsia="Calibri" w:hAnsi="Times New Roman" w:cs="Times New Roman"/>
          <w:color w:val="000000"/>
          <w:sz w:val="24"/>
          <w:szCs w:val="24"/>
        </w:rPr>
        <w:t xml:space="preserve"> recycl</w:t>
      </w:r>
      <w:r w:rsidR="00325BE9" w:rsidRPr="00597FFB">
        <w:rPr>
          <w:rFonts w:ascii="Times New Roman" w:eastAsia="Calibri" w:hAnsi="Times New Roman" w:cs="Times New Roman"/>
          <w:color w:val="000000"/>
          <w:sz w:val="24"/>
          <w:szCs w:val="24"/>
        </w:rPr>
        <w:t>able</w:t>
      </w:r>
      <w:r w:rsidRPr="00597FFB">
        <w:rPr>
          <w:rFonts w:ascii="Times New Roman" w:eastAsia="Calibri" w:hAnsi="Times New Roman" w:cs="Times New Roman"/>
          <w:color w:val="000000"/>
          <w:sz w:val="24"/>
          <w:szCs w:val="24"/>
        </w:rPr>
        <w:t xml:space="preserve"> by reprocessing </w:t>
      </w:r>
      <w:r w:rsidR="00A62B74" w:rsidRPr="00597FFB">
        <w:rPr>
          <w:rFonts w:ascii="Times New Roman" w:eastAsia="Calibri" w:hAnsi="Times New Roman" w:cs="Times New Roman"/>
          <w:color w:val="000000"/>
          <w:sz w:val="24"/>
          <w:szCs w:val="24"/>
        </w:rPr>
        <w:fldChar w:fldCharType="begin"/>
      </w:r>
      <w:r w:rsidR="00B15186" w:rsidRPr="00597FFB">
        <w:rPr>
          <w:rFonts w:ascii="Times New Roman" w:eastAsia="Calibri" w:hAnsi="Times New Roman" w:cs="Times New Roman"/>
          <w:color w:val="000000"/>
          <w:sz w:val="24"/>
          <w:szCs w:val="24"/>
        </w:rPr>
        <w:instrText xml:space="preserve"> ADDIN ZOTERO_ITEM CSL_CITATION {"citationID":"a2csd06jong","properties":{"formattedCitation":"(Guest et al., 2020)","plainCitation":"(Guest et al., 2020)","noteIndex":0},"citationItems":[{"id":4438,"uris":["http://zotero.org/users/local/b6CRLSJH/items/QJVW78JW"],"itemData":{"id":4438,"type":"article-journal","container-title":"PLOS ONE","DOI":"10.1371/journal.pone.0232076","ISSN":"1932-6203","issue":"5","journalAbbreviation":"PLoS ONE","language":"en","page":"e0232076","source":"DOI.org (Crossref)","title":"A simple method to assess and report thematic saturation in qualitative research","volume":"15","author":[{"family":"Guest","given":"Greg"},{"family":"Namey","given":"Emily"},{"family":"Chen","given":"Mario"}],"editor":[{"family":"Soundy","given":"Andrew"}],"issued":{"date-parts":[["2020",5,5]]}}}],"schema":"https://github.com/citation-style-language/schema/raw/master/csl-citation.json"} </w:instrText>
      </w:r>
      <w:r w:rsidR="00A62B74" w:rsidRPr="00597FFB">
        <w:rPr>
          <w:rFonts w:ascii="Times New Roman" w:eastAsia="Calibri" w:hAnsi="Times New Roman" w:cs="Times New Roman"/>
          <w:color w:val="000000"/>
          <w:sz w:val="24"/>
          <w:szCs w:val="24"/>
        </w:rPr>
        <w:fldChar w:fldCharType="separate"/>
      </w:r>
      <w:r w:rsidR="00B15186" w:rsidRPr="00597FFB">
        <w:rPr>
          <w:rFonts w:ascii="Times New Roman" w:hAnsi="Times New Roman" w:cs="Times New Roman"/>
          <w:sz w:val="24"/>
          <w:szCs w:val="24"/>
        </w:rPr>
        <w:t>(Guest et al., 2020)</w:t>
      </w:r>
      <w:r w:rsidR="00A62B74" w:rsidRPr="00597FFB">
        <w:rPr>
          <w:rFonts w:ascii="Times New Roman" w:eastAsia="Calibri" w:hAnsi="Times New Roman" w:cs="Times New Roman"/>
          <w:color w:val="000000"/>
          <w:sz w:val="24"/>
          <w:szCs w:val="24"/>
        </w:rPr>
        <w:fldChar w:fldCharType="end"/>
      </w:r>
      <w:r w:rsidR="006D64B5"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More than 15 different engineering plastics are used, producing EEE, including acrylonitrile butadiene styrene (ABS)</w:t>
      </w:r>
      <w:r w:rsidR="006D64B5" w:rsidRPr="00597FFB">
        <w:rPr>
          <w:rFonts w:ascii="Times New Roman" w:eastAsia="Calibri" w:hAnsi="Times New Roman" w:cs="Times New Roman"/>
          <w:color w:val="000000"/>
          <w:sz w:val="24"/>
          <w:szCs w:val="24"/>
        </w:rPr>
        <w:t xml:space="preserve"> </w:t>
      </w:r>
      <w:r w:rsidR="006D64B5" w:rsidRPr="00597FFB">
        <w:rPr>
          <w:rFonts w:ascii="Times New Roman" w:eastAsia="Calibri" w:hAnsi="Times New Roman" w:cs="Times New Roman"/>
          <w:color w:val="000000"/>
          <w:sz w:val="24"/>
          <w:szCs w:val="24"/>
        </w:rPr>
        <w:fldChar w:fldCharType="begin"/>
      </w:r>
      <w:r w:rsidR="00B15186" w:rsidRPr="00597FFB">
        <w:rPr>
          <w:rFonts w:ascii="Times New Roman" w:eastAsia="Calibri" w:hAnsi="Times New Roman" w:cs="Times New Roman"/>
          <w:color w:val="000000"/>
          <w:sz w:val="24"/>
          <w:szCs w:val="24"/>
        </w:rPr>
        <w:instrText xml:space="preserve"> ADDIN ZOTERO_ITEM CSL_CITATION {"citationID":"a1gvr98eae7","properties":{"formattedCitation":"(Hamada et al., 2021)","plainCitation":"(Hamada et al., 2021)","noteIndex":0},"citationItems":[{"id":4511,"uris":["http://zotero.org/users/local/b6CRLSJH/items/3QASYFB7"],"itemData":{"id":4511,"type":"article-journal","abstract":"Abstract\n            Recent studies have indicated a positive association between patriotism and environmentalism; however, the correlation between them has not yet been quantitatively verified. Additionally, differences in “good” versus “blind” patriotism have been ignored in environmental behavior studies; thus, theoretical concepts related to their effects on environmentalism have not been empirically tested. The present study aims to reveal the effects of good patriotism and social consideration on pro-environmental attitudes and behaviors, and the mediating effect of social consideration on the relationship between patriotism and pro-environmental attitudes and behaviors, while removing national or political prejudice or ideology from the measurement of patriotism. Data collected using a self-report questionnaire were analyzed for Chinese university students and workers. Results of multiple hierarchical linear regression analysis of five pro-environmental attitudes/behaviors estimation models showed that patriotism was correlated with pro-environmental attitudes and behaviors, and this correlation was completely mediated by individual social consideration, which was strongly and positively correlated with both patriotism and pro-environmental attitudes and behaviors. Our findings show that patriotism encourages people to focus on societal structures and environmental problems. The effect of good patriotism on individual pro-environmental attitudes and behaviors is clearly different from that of blind nationalism, as shown in previous literature. The present study highlights implications for future policy-making and education on patriotism and environmentalism in China.","container-title":"SN Applied Sciences","DOI":"10.1007/s42452-021-04358-1","ISSN":"2523-3963, 2523-3971","issue":"3","journalAbbreviation":"SN Appl. Sci.","language":"en","page":"361","source":"DOI.org (Crossref)","title":"Good patriotism, social consideration, environmental problem cognition, and pro-environmental attitudes and behaviors: a cross-sectional study of Chinese attitudes","title-short":"Good patriotism, social consideration, environmental problem cognition, and pro-environmental attitudes and behaviors","volume":"3","author":[{"family":"Hamada","given":"Tomomi"},{"family":"Shimizu","given":"Makoto"},{"family":"Ebihara","given":"Tsuyoshi"}],"issued":{"date-parts":[["2021",3]]}}}],"schema":"https://github.com/citation-style-language/schema/raw/master/csl-citation.json"} </w:instrText>
      </w:r>
      <w:r w:rsidR="006D64B5" w:rsidRPr="00597FFB">
        <w:rPr>
          <w:rFonts w:ascii="Times New Roman" w:eastAsia="Calibri" w:hAnsi="Times New Roman" w:cs="Times New Roman"/>
          <w:color w:val="000000"/>
          <w:sz w:val="24"/>
          <w:szCs w:val="24"/>
        </w:rPr>
        <w:fldChar w:fldCharType="separate"/>
      </w:r>
      <w:r w:rsidR="00B15186" w:rsidRPr="00597FFB">
        <w:rPr>
          <w:rFonts w:ascii="Times New Roman" w:hAnsi="Times New Roman" w:cs="Times New Roman"/>
          <w:sz w:val="24"/>
          <w:szCs w:val="24"/>
        </w:rPr>
        <w:t>(Hamada et al., 2021)</w:t>
      </w:r>
      <w:r w:rsidR="006D64B5"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ABS is the most common plastic in a computer, computer monitor, and printer </w:t>
      </w:r>
      <w:r w:rsidR="006D64B5" w:rsidRPr="00597FFB">
        <w:rPr>
          <w:rFonts w:ascii="Times New Roman" w:eastAsia="Calibri" w:hAnsi="Times New Roman" w:cs="Times New Roman"/>
          <w:color w:val="000000"/>
          <w:sz w:val="24"/>
          <w:szCs w:val="24"/>
        </w:rPr>
        <w:fldChar w:fldCharType="begin"/>
      </w:r>
      <w:r w:rsidR="00B15186" w:rsidRPr="00597FFB">
        <w:rPr>
          <w:rFonts w:ascii="Times New Roman" w:eastAsia="Calibri" w:hAnsi="Times New Roman" w:cs="Times New Roman"/>
          <w:color w:val="000000"/>
          <w:sz w:val="24"/>
          <w:szCs w:val="24"/>
        </w:rPr>
        <w:instrText xml:space="preserve"> ADDIN ZOTERO_ITEM CSL_CITATION {"citationID":"a4snfngbvp","properties":{"formattedCitation":"(Kousaiti et al., 2020)","plainCitation":"(Kousaiti et al., 2020)","noteIndex":0},"citationItems":[{"id":2391,"uris":["http://zotero.org/users/local/b6CRLSJH/items/KKCQ7DJK"],"itemData":{"id":2391,"type":"article-journal","container-title":"Journal of Hazardous Materials","DOI":"10.1016/j.jhazmat.2019.121641","ISSN":"03043894","journalAbbreviation":"Journal of Hazardous Materials","language":"en","page":"121641","source":"DOI.org (Crossref)","title":"Assessment of tetrabromobisphenol-A (TBBPA) content in plastic waste recovered from WEEE","volume":"390","author":[{"family":"Kousaiti","given":"Athanasia"},{"family":"Hahladakis","given":"John N."},{"family":"Savvilotidou","given":"Vasiliki"},{"family":"Pivnenko","given":"Kostyantyn"},{"family":"Tyrovola","given":"Konstantina"},{"family":"Xekoukoulotakis","given":"Nikolaos"},{"family":"Astrup","given":"Thomas F."},{"family":"Gidarakos","given":"Evangelos"}],"issued":{"date-parts":[["2020",5]]}}}],"schema":"https://github.com/citation-style-language/schema/raw/master/csl-citation.json"} </w:instrText>
      </w:r>
      <w:r w:rsidR="006D64B5" w:rsidRPr="00597FFB">
        <w:rPr>
          <w:rFonts w:ascii="Times New Roman" w:eastAsia="Calibri" w:hAnsi="Times New Roman" w:cs="Times New Roman"/>
          <w:color w:val="000000"/>
          <w:sz w:val="24"/>
          <w:szCs w:val="24"/>
        </w:rPr>
        <w:fldChar w:fldCharType="separate"/>
      </w:r>
      <w:r w:rsidR="00B15186" w:rsidRPr="00597FFB">
        <w:rPr>
          <w:rFonts w:ascii="Times New Roman" w:hAnsi="Times New Roman" w:cs="Times New Roman"/>
          <w:sz w:val="24"/>
          <w:szCs w:val="24"/>
        </w:rPr>
        <w:t>(Kousaiti et al., 2020)</w:t>
      </w:r>
      <w:r w:rsidR="006D64B5"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Polypropylene (PP) is used as an alternative to polyvinyl chloride (PVC) in the insulation of electrical cables, and high-impact polystyrene (HIPS); is the predominant plastic in the housing of TV </w:t>
      </w:r>
      <w:r w:rsidR="002A038C" w:rsidRPr="00597FFB">
        <w:rPr>
          <w:rFonts w:ascii="Times New Roman" w:eastAsia="Calibri" w:hAnsi="Times New Roman" w:cs="Times New Roman"/>
          <w:color w:val="000000"/>
          <w:sz w:val="24"/>
          <w:szCs w:val="24"/>
        </w:rPr>
        <w:fldChar w:fldCharType="begin"/>
      </w:r>
      <w:r w:rsidR="00B15186" w:rsidRPr="00597FFB">
        <w:rPr>
          <w:rFonts w:ascii="Times New Roman" w:eastAsia="Calibri" w:hAnsi="Times New Roman" w:cs="Times New Roman"/>
          <w:color w:val="000000"/>
          <w:sz w:val="24"/>
          <w:szCs w:val="24"/>
        </w:rPr>
        <w:instrText xml:space="preserve"> ADDIN ZOTERO_ITEM CSL_CITATION {"citationID":"a6onov2mi5","properties":{"formattedCitation":"(Aidonis et al., 2019b)","plainCitation":"(Aidonis et al., 2019b)","noteIndex":0},"citationItems":[{"id":3966,"uris":["http://zotero.org/users/local/b6CRLSJH/items/3R5BQIDH"],"itemData":{"id":3966,"type":"article-journal","abstract":"Waste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B15186" w:rsidRPr="00597FFB">
        <w:rPr>
          <w:rFonts w:ascii="Cambria Math" w:eastAsia="Calibri" w:hAnsi="Cambria Math" w:cs="Cambria Math"/>
          <w:color w:val="000000"/>
          <w:sz w:val="24"/>
          <w:szCs w:val="24"/>
        </w:rPr>
        <w:instrText>↵</w:instrText>
      </w:r>
      <w:r w:rsidR="00B15186" w:rsidRPr="00597FFB">
        <w:rPr>
          <w:rFonts w:ascii="Times New Roman" w:eastAsia="Calibri" w:hAnsi="Times New Roman" w:cs="Times New Roman"/>
          <w:color w:val="000000"/>
          <w:sz w:val="24"/>
          <w:szCs w:val="24"/>
        </w:rPr>
        <w:instrText xml:space="preserve">ectiveness, is required for the integrated WEEE management at a national level.","container-title":"Sustainability","DOI":"10.3390/su11123364","ISSN":"2071-1050","issue":"12","journalAbbreviation":"Sustainability","language":"en","note":"number: 12","page":"3364","source":"DOI.org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2A038C" w:rsidRPr="00597FFB">
        <w:rPr>
          <w:rFonts w:ascii="Times New Roman" w:eastAsia="Calibri" w:hAnsi="Times New Roman" w:cs="Times New Roman"/>
          <w:color w:val="000000"/>
          <w:sz w:val="24"/>
          <w:szCs w:val="24"/>
        </w:rPr>
        <w:fldChar w:fldCharType="separate"/>
      </w:r>
      <w:r w:rsidR="00B15186" w:rsidRPr="00597FFB">
        <w:rPr>
          <w:rFonts w:ascii="Times New Roman" w:hAnsi="Times New Roman" w:cs="Times New Roman"/>
          <w:sz w:val="24"/>
          <w:szCs w:val="24"/>
        </w:rPr>
        <w:t>(Aidonis et al., 2019b)</w:t>
      </w:r>
      <w:r w:rsidR="002A038C" w:rsidRPr="00597FFB">
        <w:rPr>
          <w:rFonts w:ascii="Times New Roman" w:eastAsia="Calibri" w:hAnsi="Times New Roman" w:cs="Times New Roman"/>
          <w:color w:val="000000"/>
          <w:sz w:val="24"/>
          <w:szCs w:val="24"/>
        </w:rPr>
        <w:fldChar w:fldCharType="end"/>
      </w:r>
      <w:r w:rsidR="002A038C"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PVC is mostly used as cable insulation in various EEE due to its ease of handling installation, flexibility, and inherent flame retardation. Although</w:t>
      </w:r>
      <w:r w:rsidRPr="00597FFB">
        <w:rPr>
          <w:rFonts w:ascii="Times New Roman" w:eastAsia="Times New Roman" w:hAnsi="Times New Roman" w:cs="Times New Roman"/>
          <w:bCs/>
          <w:iCs/>
          <w:sz w:val="24"/>
          <w:szCs w:val="24"/>
        </w:rPr>
        <w:t xml:space="preserve"> researchers have discussed the growing E-waste problem, it was limited to the general understanding and future estimations, which does not resolve the issue of EWR (Parajuly et al., 2019). </w:t>
      </w:r>
      <w:r w:rsidRPr="00597FFB">
        <w:rPr>
          <w:rFonts w:ascii="Times New Roman" w:eastAsia="Times New Roman" w:hAnsi="Times New Roman" w:cs="Times New Roman"/>
          <w:bCs/>
          <w:sz w:val="24"/>
          <w:szCs w:val="24"/>
        </w:rPr>
        <w:t xml:space="preserve">One of the biggest threats to the success of EWM is that consumers are reluctant to participate in the recycling process </w:t>
      </w:r>
      <w:r w:rsidR="002A038C" w:rsidRPr="00597FFB">
        <w:rPr>
          <w:rFonts w:ascii="Times New Roman" w:eastAsia="Times New Roman" w:hAnsi="Times New Roman" w:cs="Times New Roman"/>
          <w:bCs/>
          <w:iCs/>
          <w:sz w:val="24"/>
          <w:szCs w:val="24"/>
        </w:rPr>
        <w:fldChar w:fldCharType="begin"/>
      </w:r>
      <w:r w:rsidR="00B15186" w:rsidRPr="00597FFB">
        <w:rPr>
          <w:rFonts w:ascii="Times New Roman" w:eastAsia="Times New Roman" w:hAnsi="Times New Roman" w:cs="Times New Roman"/>
          <w:bCs/>
          <w:iCs/>
          <w:sz w:val="24"/>
          <w:szCs w:val="24"/>
        </w:rPr>
        <w:instrText xml:space="preserve"> ADDIN ZOTERO_ITEM CSL_CITATION {"citationID":"aotm1caamn","properties":{"formattedCitation":"(Alao et al., 2020a)","plainCitation":"(Alao et al., 2020a)","noteIndex":0},"citationItems":[{"id":2898,"uris":["http://zotero.org/users/local/b6CRLSJH/items/VZDVDK4L"],"itemData":{"id":2898,"type":"article-journal","abstract":"Selection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002A038C" w:rsidRPr="00597FFB">
        <w:rPr>
          <w:rFonts w:ascii="Times New Roman" w:eastAsia="Times New Roman" w:hAnsi="Times New Roman" w:cs="Times New Roman"/>
          <w:bCs/>
          <w:iCs/>
          <w:sz w:val="24"/>
          <w:szCs w:val="24"/>
        </w:rPr>
        <w:fldChar w:fldCharType="separate"/>
      </w:r>
      <w:r w:rsidR="00B15186" w:rsidRPr="00597FFB">
        <w:rPr>
          <w:rFonts w:ascii="Times New Roman" w:hAnsi="Times New Roman" w:cs="Times New Roman"/>
          <w:sz w:val="24"/>
          <w:szCs w:val="24"/>
        </w:rPr>
        <w:t>(Alao et al., 2020a)</w:t>
      </w:r>
      <w:r w:rsidR="002A038C" w:rsidRPr="00597FFB">
        <w:rPr>
          <w:rFonts w:ascii="Times New Roman" w:eastAsia="Times New Roman" w:hAnsi="Times New Roman" w:cs="Times New Roman"/>
          <w:bCs/>
          <w:iCs/>
          <w:sz w:val="24"/>
          <w:szCs w:val="24"/>
        </w:rPr>
        <w:fldChar w:fldCharType="end"/>
      </w:r>
      <w:r w:rsidRPr="00597FFB">
        <w:rPr>
          <w:rFonts w:ascii="Times New Roman" w:eastAsia="Times New Roman" w:hAnsi="Times New Roman" w:cs="Times New Roman"/>
          <w:bCs/>
          <w:iCs/>
          <w:sz w:val="24"/>
          <w:szCs w:val="24"/>
        </w:rPr>
        <w:t>.</w:t>
      </w:r>
      <w:r w:rsidRPr="00597FFB">
        <w:rPr>
          <w:rFonts w:ascii="Times New Roman" w:eastAsia="Times New Roman" w:hAnsi="Times New Roman" w:cs="Times New Roman"/>
          <w:bCs/>
          <w:sz w:val="24"/>
          <w:szCs w:val="24"/>
        </w:rPr>
        <w:t xml:space="preserve"> </w:t>
      </w:r>
      <w:r w:rsidRPr="00597FFB">
        <w:rPr>
          <w:rFonts w:ascii="Times New Roman" w:eastAsia="Calibri" w:hAnsi="Times New Roman" w:cs="Times New Roman"/>
          <w:sz w:val="24"/>
          <w:szCs w:val="24"/>
        </w:rPr>
        <w:t xml:space="preserve">However, EWR not only reduces the </w:t>
      </w:r>
      <w:r w:rsidR="00796B4D" w:rsidRPr="00597FFB">
        <w:rPr>
          <w:rFonts w:ascii="Times New Roman" w:eastAsia="Calibri" w:hAnsi="Times New Roman" w:cs="Times New Roman"/>
          <w:sz w:val="24"/>
          <w:szCs w:val="24"/>
        </w:rPr>
        <w:t>quantity</w:t>
      </w:r>
      <w:r w:rsidRPr="00597FFB">
        <w:rPr>
          <w:rFonts w:ascii="Times New Roman" w:eastAsia="Calibri" w:hAnsi="Times New Roman" w:cs="Times New Roman"/>
          <w:sz w:val="24"/>
          <w:szCs w:val="24"/>
        </w:rPr>
        <w:t xml:space="preserve"> of hazardous waste that </w:t>
      </w:r>
      <w:r w:rsidRPr="00597FFB">
        <w:rPr>
          <w:rFonts w:ascii="Times New Roman" w:eastAsia="Calibri" w:hAnsi="Times New Roman" w:cs="Times New Roman"/>
          <w:color w:val="000000"/>
          <w:sz w:val="24"/>
          <w:szCs w:val="24"/>
        </w:rPr>
        <w:t xml:space="preserve">ends up in landfills, but precious metals that can be mined to produce new electronics can be recovered </w:t>
      </w:r>
      <w:r w:rsidR="002A038C" w:rsidRPr="00597FFB">
        <w:rPr>
          <w:rFonts w:ascii="Times New Roman" w:eastAsia="Calibri" w:hAnsi="Times New Roman" w:cs="Times New Roman"/>
          <w:color w:val="000000"/>
          <w:sz w:val="24"/>
          <w:szCs w:val="24"/>
        </w:rPr>
        <w:fldChar w:fldCharType="begin"/>
      </w:r>
      <w:r w:rsidR="00B15186" w:rsidRPr="00597FFB">
        <w:rPr>
          <w:rFonts w:ascii="Times New Roman" w:eastAsia="Calibri" w:hAnsi="Times New Roman" w:cs="Times New Roman"/>
          <w:color w:val="000000"/>
          <w:sz w:val="24"/>
          <w:szCs w:val="24"/>
        </w:rPr>
        <w:instrText xml:space="preserve"> ADDIN ZOTERO_ITEM CSL_CITATION {"citationID":"a2q4b1opmha","properties":{"formattedCitation":"(Cowling et al., 2020)","plainCitation":"(Cowling et al., 2020)","noteIndex":0},"citationItems":[{"id":4459,"uris":["http://zotero.org/users/local/b6CRLSJH/items/4MG3SQVR"],"itemData":{"id":4459,"type":"article-journal","container-title":"The Lancet Public Health","DOI":"10.1016/S2468-2667(20)30090-6","ISSN":"24682667","issue":"5","journalAbbreviation":"The Lancet Public Health","language":"en","page":"e279-e288","source":"DOI.org (Crossref)","title":"Impact assessment of non-pharmaceutical interventions against coronavirus disease 2019 and influenza in Hong Kong: an observational study","title-short":"Impact assessment of non-pharmaceutical interventions against coronavirus disease 2019 and influenza in Hong Kong","volume":"5","author":[{"family":"Cowling","given":"Benjamin J"},{"family":"Ali","given":"Sheikh Taslim"},{"family":"Ng","given":"Tiffany W Y"},{"family":"Tsang","given":"Tim K"},{"family":"Li","given":"Julian C M"},{"family":"Fong","given":"Min Whui"},{"family":"Liao","given":"Qiuyan"},{"family":"Kwan","given":"Mike YW"},{"family":"Lee","given":"So Lun"},{"family":"Chiu","given":"Susan S"},{"family":"Wu","given":"Joseph T"},{"family":"Wu","given":"Peng"},{"family":"Leung","given":"Gabriel M"}],"issued":{"date-parts":[["2020",5]]}}}],"schema":"https://github.com/citation-style-language/schema/raw/master/csl-citation.json"} </w:instrText>
      </w:r>
      <w:r w:rsidR="002A038C" w:rsidRPr="00597FFB">
        <w:rPr>
          <w:rFonts w:ascii="Times New Roman" w:eastAsia="Calibri" w:hAnsi="Times New Roman" w:cs="Times New Roman"/>
          <w:color w:val="000000"/>
          <w:sz w:val="24"/>
          <w:szCs w:val="24"/>
        </w:rPr>
        <w:fldChar w:fldCharType="separate"/>
      </w:r>
      <w:r w:rsidR="00B15186" w:rsidRPr="00597FFB">
        <w:rPr>
          <w:rFonts w:ascii="Times New Roman" w:hAnsi="Times New Roman" w:cs="Times New Roman"/>
          <w:sz w:val="24"/>
          <w:szCs w:val="24"/>
        </w:rPr>
        <w:t>(Cowling et al., 2020)</w:t>
      </w:r>
      <w:r w:rsidR="002A038C" w:rsidRPr="00597FFB">
        <w:rPr>
          <w:rFonts w:ascii="Times New Roman" w:eastAsia="Calibri" w:hAnsi="Times New Roman" w:cs="Times New Roman"/>
          <w:color w:val="000000"/>
          <w:sz w:val="24"/>
          <w:szCs w:val="24"/>
        </w:rPr>
        <w:fldChar w:fldCharType="end"/>
      </w:r>
      <w:r w:rsidR="002A038C" w:rsidRPr="00597FFB">
        <w:rPr>
          <w:rFonts w:ascii="Times New Roman" w:eastAsia="Calibri" w:hAnsi="Times New Roman" w:cs="Times New Roman"/>
          <w:color w:val="000000"/>
          <w:sz w:val="24"/>
          <w:szCs w:val="24"/>
        </w:rPr>
        <w:t>.</w:t>
      </w:r>
    </w:p>
    <w:p w14:paraId="0D9835B1" w14:textId="6A08033F" w:rsidR="009D4FB4" w:rsidRPr="00597FFB" w:rsidRDefault="009D4FB4" w:rsidP="00A558FE">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sz w:val="24"/>
          <w:szCs w:val="24"/>
        </w:rPr>
        <w:t xml:space="preserve">Effective disposal of E-waste by a consumer of EEE depends on the E-waste availability, the user's willingness to dispose of it properly, availability of disposal mechanisms, infrastructure for E-waste treatment, and enforcement of the legal tools. </w:t>
      </w:r>
      <w:r w:rsidRPr="00597FFB">
        <w:rPr>
          <w:rFonts w:ascii="Times New Roman" w:eastAsia="Calibri" w:hAnsi="Times New Roman" w:cs="Times New Roman"/>
          <w:iCs/>
          <w:color w:val="000000"/>
          <w:sz w:val="24"/>
          <w:szCs w:val="24"/>
        </w:rPr>
        <w:t xml:space="preserve">Although the increased amount is a challenge to its management system, E-waste offers a secondary source of valuable resources readily available for recycling. This not only reduces the demand for finite primary resources but also brings economic and environmental benefits by mitigating the adverse impacts of primary production </w:t>
      </w:r>
      <w:r w:rsidR="008D7C90" w:rsidRPr="00597FFB">
        <w:rPr>
          <w:rFonts w:ascii="Times New Roman" w:eastAsia="Calibri" w:hAnsi="Times New Roman" w:cs="Times New Roman"/>
          <w:iCs/>
          <w:color w:val="000000"/>
          <w:sz w:val="24"/>
          <w:szCs w:val="24"/>
        </w:rPr>
        <w:fldChar w:fldCharType="begin"/>
      </w:r>
      <w:r w:rsidR="00AC45DD" w:rsidRPr="00597FFB">
        <w:rPr>
          <w:rFonts w:ascii="Times New Roman" w:eastAsia="Calibri" w:hAnsi="Times New Roman" w:cs="Times New Roman"/>
          <w:iCs/>
          <w:color w:val="000000"/>
          <w:sz w:val="24"/>
          <w:szCs w:val="24"/>
        </w:rPr>
        <w:instrText xml:space="preserve"> ADDIN ZOTERO_ITEM CSL_CITATION {"citationID":"a1haoejr9mi","properties":{"formattedCitation":"(Holtom et al., 2022)","plainCitation":"(Holtom et al., 2022)","noteIndex":0},"citationItems":[{"id":4440,"uris":["http://zotero.org/users/local/b6CRLSJH/items/4YA73BYD"],"itemData":{"id":4440,"type":"article-journal","abstract":"Survey methodology has been and continues to be a pervasively used data-collection method in social science research. To better understand the state of the science, we first analyze response-rate information reported in 1014 surveys described in 703 articles from 17 journals from 2010 to 2020. Results showed a steady increase in average response rate from 48% in 2005 to 53% in 2010 to 56% in 2015 and 68% in 2020; a marked increase in the number of surveys per published article from 1.27 in 2015 to 1.79 in 2020; and that variables that predict response-rate fluctuations over time are related to research design (e.g. data-collection medium), participant motivation (e.g. incentives), and researcher motivation (i.e. number of surveys per article). Second, we propose complementary information on contemporary response-rate norms and benchmarks with a response-rate validity assessment framework to gather evidence on accuracy of inferences based on a particular response-rate level. Implementing this validation process involves gathering information on the researcher–participant relationship, participant qualifications and motivation, survey length and complexity, and cultural and national context. Future survey research should implement the validity assessment framework in addition to reporting the response-rate value to better indicate a sample’s quality, appropriateness, and representativeness.","container-title":"Human Relations","DOI":"10.1177/00187267211070769","ISSN":"0018-7267, 1741-282X","journalAbbreviation":"Human Relations","language":"en","page":"001872672110707","source":"DOI.org (Crossref)","title":"Survey response rates: Trends and a validity assessment framework","title-short":"Survey response rates","author":[{"family":"Holtom","given":"Brooks"},{"family":"Baruch","given":"Yehuda"},{"family":"Aguinis","given":"Herman"},{"family":"A Ballinger","given":"Gary"}],"issued":{"date-parts":[["2022",2,1]]}}}],"schema":"https://github.com/citation-style-language/schema/raw/master/csl-citation.json"} </w:instrText>
      </w:r>
      <w:r w:rsidR="008D7C90" w:rsidRPr="00597FFB">
        <w:rPr>
          <w:rFonts w:ascii="Times New Roman" w:eastAsia="Calibri" w:hAnsi="Times New Roman" w:cs="Times New Roman"/>
          <w:iCs/>
          <w:color w:val="000000"/>
          <w:sz w:val="24"/>
          <w:szCs w:val="24"/>
        </w:rPr>
        <w:fldChar w:fldCharType="separate"/>
      </w:r>
      <w:r w:rsidR="00AC45DD" w:rsidRPr="00597FFB">
        <w:rPr>
          <w:rFonts w:ascii="Times New Roman" w:hAnsi="Times New Roman" w:cs="Times New Roman"/>
          <w:sz w:val="24"/>
          <w:szCs w:val="24"/>
        </w:rPr>
        <w:t>(Holtom et al., 2022)</w:t>
      </w:r>
      <w:r w:rsidR="008D7C90" w:rsidRPr="00597FFB">
        <w:rPr>
          <w:rFonts w:ascii="Times New Roman" w:eastAsia="Calibri" w:hAnsi="Times New Roman" w:cs="Times New Roman"/>
          <w:iCs/>
          <w:color w:val="000000"/>
          <w:sz w:val="24"/>
          <w:szCs w:val="24"/>
        </w:rPr>
        <w:fldChar w:fldCharType="end"/>
      </w:r>
      <w:r w:rsidR="00AC45DD"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color w:val="000000"/>
          <w:sz w:val="24"/>
          <w:szCs w:val="24"/>
        </w:rPr>
        <w:t xml:space="preserve">Although EWR has </w:t>
      </w:r>
      <w:r w:rsidR="00796B4D" w:rsidRPr="00597FFB">
        <w:rPr>
          <w:rFonts w:ascii="Times New Roman" w:eastAsia="Calibri" w:hAnsi="Times New Roman" w:cs="Times New Roman"/>
          <w:color w:val="000000"/>
          <w:sz w:val="24"/>
          <w:szCs w:val="24"/>
        </w:rPr>
        <w:t>several</w:t>
      </w:r>
      <w:r w:rsidRPr="00597FFB">
        <w:rPr>
          <w:rFonts w:ascii="Times New Roman" w:eastAsia="Calibri" w:hAnsi="Times New Roman" w:cs="Times New Roman"/>
          <w:color w:val="000000"/>
          <w:sz w:val="24"/>
          <w:szCs w:val="24"/>
        </w:rPr>
        <w:t xml:space="preserve"> </w:t>
      </w:r>
      <w:r w:rsidR="00796B4D" w:rsidRPr="00597FFB">
        <w:rPr>
          <w:rFonts w:ascii="Times New Roman" w:eastAsia="Calibri" w:hAnsi="Times New Roman" w:cs="Times New Roman"/>
          <w:color w:val="000000"/>
          <w:sz w:val="24"/>
          <w:szCs w:val="24"/>
        </w:rPr>
        <w:t xml:space="preserve">societal </w:t>
      </w:r>
      <w:r w:rsidRPr="00597FFB">
        <w:rPr>
          <w:rFonts w:ascii="Times New Roman" w:eastAsia="Calibri" w:hAnsi="Times New Roman" w:cs="Times New Roman"/>
          <w:color w:val="000000"/>
          <w:sz w:val="24"/>
          <w:szCs w:val="24"/>
        </w:rPr>
        <w:t xml:space="preserve">and </w:t>
      </w:r>
      <w:r w:rsidR="00796B4D" w:rsidRPr="00597FFB">
        <w:rPr>
          <w:rFonts w:ascii="Times New Roman" w:eastAsia="Calibri" w:hAnsi="Times New Roman" w:cs="Times New Roman"/>
          <w:color w:val="000000"/>
          <w:sz w:val="24"/>
          <w:szCs w:val="24"/>
        </w:rPr>
        <w:t xml:space="preserve">environmental </w:t>
      </w:r>
      <w:r w:rsidRPr="00597FFB">
        <w:rPr>
          <w:rFonts w:ascii="Times New Roman" w:eastAsia="Calibri" w:hAnsi="Times New Roman" w:cs="Times New Roman"/>
          <w:color w:val="000000"/>
          <w:sz w:val="24"/>
          <w:szCs w:val="24"/>
        </w:rPr>
        <w:t xml:space="preserve">benefits, consumers often </w:t>
      </w:r>
      <w:r w:rsidR="00796B4D" w:rsidRPr="00597FFB">
        <w:rPr>
          <w:rFonts w:ascii="Times New Roman" w:eastAsia="Calibri" w:hAnsi="Times New Roman" w:cs="Times New Roman"/>
          <w:color w:val="000000"/>
          <w:sz w:val="24"/>
          <w:szCs w:val="24"/>
        </w:rPr>
        <w:t>dump E-waste residues and the non-functional parts of electronic equipment and  openly and illegally</w:t>
      </w:r>
      <w:r w:rsidRPr="00597FFB">
        <w:rPr>
          <w:rFonts w:ascii="Times New Roman" w:eastAsia="Calibri" w:hAnsi="Times New Roman" w:cs="Times New Roman"/>
          <w:color w:val="000000"/>
          <w:sz w:val="24"/>
          <w:szCs w:val="24"/>
        </w:rPr>
        <w:t xml:space="preserve"> </w:t>
      </w:r>
      <w:r w:rsidR="008D7C90" w:rsidRPr="00597FFB">
        <w:rPr>
          <w:rFonts w:ascii="Times New Roman" w:eastAsia="Calibri" w:hAnsi="Times New Roman" w:cs="Times New Roman"/>
          <w:color w:val="000000"/>
          <w:sz w:val="24"/>
          <w:szCs w:val="24"/>
        </w:rPr>
        <w:fldChar w:fldCharType="begin"/>
      </w:r>
      <w:r w:rsidR="00AC45DD" w:rsidRPr="00597FFB">
        <w:rPr>
          <w:rFonts w:ascii="Times New Roman" w:eastAsia="Calibri" w:hAnsi="Times New Roman" w:cs="Times New Roman"/>
          <w:color w:val="000000"/>
          <w:sz w:val="24"/>
          <w:szCs w:val="24"/>
        </w:rPr>
        <w:instrText xml:space="preserve"> ADDIN ZOTERO_ITEM CSL_CITATION {"citationID":"a2jmqso90ig","properties":{"formattedCitation":"(Westercamp et al., 2021)","plainCitation":"(Westercamp et al., 2021)","noteIndex":0},"citationItems":[{"id":4519,"uris":["http://zotero.org/users/local/b6CRLSJH/items/RFKN5VR8"],"itemData":{"id":4519,"type":"article-journal","abstract":"Abstract\n            \n              Background\n              Surveillance data are essential for malaria control, but quality is often poor. The aim of the study was to evaluate the effectiveness of the novel combination of training plus an innovative quality improvement method—collaborative improvement (CI)—on the quality of malaria surveillance data in Uganda.\n            \n            \n              Methods\n              The intervention (training plus CI, or TCI), including brief in-service training and CI, was delivered in 5 health facilities (HFs) in Kayunga District from November 2015 to August 2016. HF teams monitored data quality, conducted plan-do-study-act cycles to test changes, attended periodic learning sessions, and received CI coaching. An independent evaluation was conducted to assess data completeness, accuracy, and timeliness. Using an interrupted time series design without a separate control group, data were abstracted from 156,707 outpatient department (OPD) records, laboratory registers, and aggregated monthly reports (MR) for 4 time periods: baseline—12 months, TCI scale-up—5 months; CI implementation—9 months; post-intervention—4 months. Monthly OPD register completeness was measured as the proportion of patient records with a malaria diagnosis with: (1) all data fields completed, and (2) all clinically-relevant fields completed. Accuracy was the relative difference between: (1) number of monthly malaria patients reported in OPD register versus MR, and (2) proportion of positive malaria tests reported in the laboratory register versus MR. Data were analysed with segmented linear regression modelling.\n            \n            \n              Results\n              Data completeness increased substantially following TCI. Compared to baseline, all-field completeness increased by 60.1%-points (95% confidence interval [CI]: 46.9–73.2%) at mid-point, and clinically-relevant completeness increased by 61.6%-points (95% CI: 56.6–66.7%). A relative − 57.4%-point (95% confidence interval: − 105.5, − 9.3%) change, indicating an improvement in accuracy of malaria test positivity reporting, but no effect on data accuracy for monthly malaria patients, were observed. Cost per additional malaria patient, for whom complete clinically-relevant data were recorded in the OPD register, was $3.53 (95% confidence interval: $3.03, $4.15).\n            \n            \n              Conclusions\n              TCI improved malaria surveillance completeness considerably, with limited impact on accuracy. Although these results are promising, the intervention’s effectiveness should be evaluated in more HFs, with longer follow-up, ideally in a randomized trial, before recommending CI for wide-scale use.","container-title":"Malaria Journal","DOI":"10.1186/s12936-021-03822-y","ISSN":"1475-2875","issue":"1","journalAbbreviation":"Malar J","language":"en","page":"290","source":"DOI.org (Crossref)","title":"Effectiveness of in-service training plus the collaborative improvement strategy on the quality of routine malaria surveillance data: results of a pilot study in Kayunga District, Uganda","title-short":"Effectiveness of in-service training plus the collaborative improvement strategy on the quality of routine malaria surveillance data","volume":"20","author":[{"family":"Westercamp","given":"Nelli"},{"family":"Staedke","given":"Sarah G."},{"family":"Maiteki-Sebuguzi","given":"Catherine"},{"family":"Ndyabakira","given":"Alex"},{"family":"Okiring","given":"John Michael"},{"family":"Kigozi","given":"Simon P."},{"family":"Dorsey","given":"Grant"},{"family":"Broughton","given":"Edward"},{"family":"Hutchinson","given":"Eleanor"},{"family":"Massoud","given":"M. Rashad"},{"family":"Rowe","given":"Alexander K."}],"issued":{"date-parts":[["2021",12]]}}}],"schema":"https://github.com/citation-style-language/schema/raw/master/csl-citation.json"} </w:instrText>
      </w:r>
      <w:r w:rsidR="008D7C90" w:rsidRPr="00597FFB">
        <w:rPr>
          <w:rFonts w:ascii="Times New Roman" w:eastAsia="Calibri" w:hAnsi="Times New Roman" w:cs="Times New Roman"/>
          <w:color w:val="000000"/>
          <w:sz w:val="24"/>
          <w:szCs w:val="24"/>
        </w:rPr>
        <w:fldChar w:fldCharType="separate"/>
      </w:r>
      <w:r w:rsidR="00AC45DD" w:rsidRPr="00597FFB">
        <w:rPr>
          <w:rFonts w:ascii="Times New Roman" w:hAnsi="Times New Roman" w:cs="Times New Roman"/>
          <w:sz w:val="24"/>
          <w:szCs w:val="24"/>
        </w:rPr>
        <w:t>(Westercamp et al., 2021)</w:t>
      </w:r>
      <w:r w:rsidR="008D7C90" w:rsidRPr="00597FFB">
        <w:rPr>
          <w:rFonts w:ascii="Times New Roman" w:eastAsia="Calibri" w:hAnsi="Times New Roman" w:cs="Times New Roman"/>
          <w:color w:val="000000"/>
          <w:sz w:val="24"/>
          <w:szCs w:val="24"/>
        </w:rPr>
        <w:fldChar w:fldCharType="end"/>
      </w:r>
      <w:r w:rsidR="008D7C90" w:rsidRPr="00597FFB">
        <w:rPr>
          <w:rFonts w:ascii="Times New Roman" w:eastAsia="Calibri" w:hAnsi="Times New Roman" w:cs="Times New Roman"/>
          <w:color w:val="000000"/>
          <w:sz w:val="24"/>
          <w:szCs w:val="24"/>
        </w:rPr>
        <w:t xml:space="preserve">. </w:t>
      </w:r>
      <w:r w:rsidR="005803C1" w:rsidRPr="00597FFB">
        <w:rPr>
          <w:rFonts w:ascii="Times New Roman" w:eastAsia="Calibri" w:hAnsi="Times New Roman" w:cs="Times New Roman"/>
          <w:color w:val="000000"/>
          <w:sz w:val="24"/>
          <w:szCs w:val="24"/>
        </w:rPr>
        <w:t>Potentially,</w:t>
      </w:r>
      <w:r w:rsidRPr="00597FFB">
        <w:rPr>
          <w:rFonts w:ascii="Times New Roman" w:eastAsia="Calibri" w:hAnsi="Times New Roman" w:cs="Times New Roman"/>
          <w:color w:val="000000"/>
          <w:sz w:val="24"/>
          <w:szCs w:val="24"/>
        </w:rPr>
        <w:t xml:space="preserve"> the unlawful or open </w:t>
      </w:r>
      <w:r w:rsidR="005803C1" w:rsidRPr="00597FFB">
        <w:rPr>
          <w:rFonts w:ascii="Times New Roman" w:eastAsia="Calibri" w:hAnsi="Times New Roman" w:cs="Times New Roman"/>
          <w:color w:val="000000"/>
          <w:sz w:val="24"/>
          <w:szCs w:val="24"/>
        </w:rPr>
        <w:t xml:space="preserve">E-waste </w:t>
      </w:r>
      <w:r w:rsidRPr="00597FFB">
        <w:rPr>
          <w:rFonts w:ascii="Times New Roman" w:eastAsia="Calibri" w:hAnsi="Times New Roman" w:cs="Times New Roman"/>
          <w:color w:val="000000"/>
          <w:sz w:val="24"/>
          <w:szCs w:val="24"/>
        </w:rPr>
        <w:t xml:space="preserve">dumping </w:t>
      </w:r>
      <w:r w:rsidR="005803C1" w:rsidRPr="00597FFB">
        <w:rPr>
          <w:rFonts w:ascii="Times New Roman" w:eastAsia="Calibri" w:hAnsi="Times New Roman" w:cs="Times New Roman"/>
          <w:color w:val="000000"/>
          <w:sz w:val="24"/>
          <w:szCs w:val="24"/>
        </w:rPr>
        <w:t xml:space="preserve">is attributable to weak regulations and laws, </w:t>
      </w:r>
      <w:r w:rsidRPr="00597FFB">
        <w:rPr>
          <w:rFonts w:ascii="Times New Roman" w:eastAsia="Calibri" w:hAnsi="Times New Roman" w:cs="Times New Roman"/>
          <w:color w:val="000000"/>
          <w:sz w:val="24"/>
          <w:szCs w:val="24"/>
        </w:rPr>
        <w:t xml:space="preserve">lack of awareness, the </w:t>
      </w:r>
      <w:r w:rsidR="005803C1" w:rsidRPr="00597FFB">
        <w:rPr>
          <w:rFonts w:ascii="Times New Roman" w:eastAsia="Calibri" w:hAnsi="Times New Roman" w:cs="Times New Roman"/>
          <w:color w:val="000000"/>
          <w:sz w:val="24"/>
          <w:szCs w:val="24"/>
        </w:rPr>
        <w:t xml:space="preserve">action’s </w:t>
      </w:r>
      <w:r w:rsidRPr="00597FFB">
        <w:rPr>
          <w:rFonts w:ascii="Times New Roman" w:eastAsia="Calibri" w:hAnsi="Times New Roman" w:cs="Times New Roman"/>
          <w:color w:val="000000"/>
          <w:sz w:val="24"/>
          <w:szCs w:val="24"/>
        </w:rPr>
        <w:t xml:space="preserve">convenience, the lack of incentives, and </w:t>
      </w:r>
      <w:r w:rsidR="002A041C" w:rsidRPr="00597FFB">
        <w:rPr>
          <w:rFonts w:ascii="Times New Roman" w:eastAsia="Calibri" w:hAnsi="Times New Roman" w:cs="Times New Roman"/>
          <w:color w:val="000000"/>
          <w:sz w:val="24"/>
          <w:szCs w:val="24"/>
        </w:rPr>
        <w:t>the absence</w:t>
      </w:r>
      <w:r w:rsidRPr="00597FFB">
        <w:rPr>
          <w:rFonts w:ascii="Times New Roman" w:eastAsia="Calibri" w:hAnsi="Times New Roman" w:cs="Times New Roman"/>
          <w:color w:val="000000"/>
          <w:sz w:val="24"/>
          <w:szCs w:val="24"/>
        </w:rPr>
        <w:t xml:space="preserve"> </w:t>
      </w:r>
      <w:r w:rsidR="002A041C" w:rsidRPr="00597FFB">
        <w:rPr>
          <w:rFonts w:ascii="Times New Roman" w:eastAsia="Calibri" w:hAnsi="Times New Roman" w:cs="Times New Roman"/>
          <w:color w:val="000000"/>
          <w:sz w:val="24"/>
          <w:szCs w:val="24"/>
        </w:rPr>
        <w:t xml:space="preserve">of locations for </w:t>
      </w:r>
      <w:r w:rsidRPr="00597FFB">
        <w:rPr>
          <w:rFonts w:ascii="Times New Roman" w:eastAsia="Calibri" w:hAnsi="Times New Roman" w:cs="Times New Roman"/>
          <w:color w:val="000000"/>
          <w:sz w:val="24"/>
          <w:szCs w:val="24"/>
        </w:rPr>
        <w:t xml:space="preserve">recycling (Dhir et al., 2020). </w:t>
      </w:r>
      <w:r w:rsidRPr="00597FFB">
        <w:rPr>
          <w:rFonts w:ascii="Times New Roman" w:eastAsia="Times New Roman" w:hAnsi="Times New Roman" w:cs="Times New Roman"/>
          <w:bCs/>
          <w:sz w:val="24"/>
          <w:szCs w:val="24"/>
        </w:rPr>
        <w:t xml:space="preserve">It is widely recognized that consumers' disposal behavior and awareness are central to successful EWM. However, many consumers are uninformed about the importance of EWR or the safe disposal options available </w:t>
      </w:r>
      <w:r w:rsidR="00B97AC1" w:rsidRPr="00597FFB">
        <w:rPr>
          <w:rFonts w:ascii="Times New Roman" w:eastAsia="Times New Roman" w:hAnsi="Times New Roman" w:cs="Times New Roman"/>
          <w:bCs/>
          <w:sz w:val="24"/>
          <w:szCs w:val="24"/>
        </w:rPr>
        <w:fldChar w:fldCharType="begin"/>
      </w:r>
      <w:r w:rsidR="00AC45DD" w:rsidRPr="00597FFB">
        <w:rPr>
          <w:rFonts w:ascii="Times New Roman" w:eastAsia="Times New Roman" w:hAnsi="Times New Roman" w:cs="Times New Roman"/>
          <w:bCs/>
          <w:sz w:val="24"/>
          <w:szCs w:val="24"/>
        </w:rPr>
        <w:instrText xml:space="preserve"> ADDIN ZOTERO_ITEM CSL_CITATION {"citationID":"a2e8e2tsuuo","properties":{"formattedCitation":"(Arain et al., 2020)","plainCitation":"(Arain et al., 2020)","noteIndex":0},"citationItems":[{"id":3842,"uris":["http://zotero.org/users/local/b6CRLSJH/items/65N9KR6V"],"itemData":{"id":3842,"type":"article-journal","abstract":"The United States lacks a set of uniﬁed electronic waste recycling laws, contributing in part to the observed low rate of e-waste recycling behaviors among consumers. Individual factors of consumers contributing to the low recycling rates are not well understood. The objective of this study was to evaluate consumer behaviors, including barriers, surrounding e-waste recycling at a large Midwestern university in the United States. A survey was administered to faculty, graduate students, undergraduate students, and staff to determine their personal recycling habits, knowledge, and beliefs. The results indicate that free access to disposal, lack of consumer knowledge about products and disposal sites, and access to a recycling facility within a reasonable distance are all important factors in consumer decisions. Policymakers and waste management professionals should focus on promotion of e-waste recycling behaviors through increased access to free or low-cost recycling as well as through the creation of recycling incentives.","container-title":"Waste Management","DOI":"10.1016/j.wasman.2020.02.002","ISSN":"0956053X","journalAbbreviation":"Waste Management","language":"en","page":"119-127","source":"DOI.org (Crossref)","title":"Analysis of e-waste recycling behavior based on survey at a Midwestern US University","volume":"105","author":[{"family":"Arain","given":"A.L."},{"family":"Pummill","given":"R."},{"family":"Adu-Brimpong","given":"J."},{"family":"Becker","given":"S."},{"family":"Green","given":"M."},{"family":"Ilardi","given":"M."},{"family":"Van Dam","given":"E."},{"family":"Neitzel","given":"R.L."}],"issued":{"date-parts":[["2020",3]]}}}],"schema":"https://github.com/citation-style-language/schema/raw/master/csl-citation.json"} </w:instrText>
      </w:r>
      <w:r w:rsidR="00B97AC1" w:rsidRPr="00597FFB">
        <w:rPr>
          <w:rFonts w:ascii="Times New Roman" w:eastAsia="Times New Roman" w:hAnsi="Times New Roman" w:cs="Times New Roman"/>
          <w:bCs/>
          <w:sz w:val="24"/>
          <w:szCs w:val="24"/>
        </w:rPr>
        <w:fldChar w:fldCharType="separate"/>
      </w:r>
      <w:r w:rsidR="00AC45DD" w:rsidRPr="00597FFB">
        <w:rPr>
          <w:rFonts w:ascii="Times New Roman" w:hAnsi="Times New Roman" w:cs="Times New Roman"/>
          <w:sz w:val="24"/>
          <w:szCs w:val="24"/>
        </w:rPr>
        <w:t>(Arain et al., 2020)</w:t>
      </w:r>
      <w:r w:rsidR="00B97AC1" w:rsidRPr="00597FFB">
        <w:rPr>
          <w:rFonts w:ascii="Times New Roman" w:eastAsia="Times New Roman" w:hAnsi="Times New Roman" w:cs="Times New Roman"/>
          <w:bCs/>
          <w:sz w:val="24"/>
          <w:szCs w:val="24"/>
        </w:rPr>
        <w:fldChar w:fldCharType="end"/>
      </w:r>
      <w:r w:rsidR="008D7C90" w:rsidRPr="00597FFB">
        <w:rPr>
          <w:rFonts w:ascii="Times New Roman" w:eastAsia="Times New Roman" w:hAnsi="Times New Roman" w:cs="Times New Roman"/>
          <w:bCs/>
          <w:sz w:val="24"/>
          <w:szCs w:val="24"/>
        </w:rPr>
        <w:t>.</w:t>
      </w:r>
    </w:p>
    <w:p w14:paraId="19A397EE" w14:textId="30C0CAA8" w:rsidR="00907D13" w:rsidRPr="00597FFB" w:rsidRDefault="009D4FB4" w:rsidP="00A558FE">
      <w:pPr>
        <w:autoSpaceDE w:val="0"/>
        <w:autoSpaceDN w:val="0"/>
        <w:adjustRightInd w:val="0"/>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Calibri" w:hAnsi="Times New Roman" w:cs="Times New Roman"/>
          <w:iCs/>
          <w:color w:val="000000"/>
          <w:sz w:val="24"/>
          <w:szCs w:val="24"/>
        </w:rPr>
        <w:t xml:space="preserve">Understanding the determinants of consumers' recycling behaviors can contribute to the young generation permanently adopt recycling behaviors (Zhang </w:t>
      </w:r>
      <w:r w:rsidR="00A23FA0" w:rsidRPr="00597FFB">
        <w:rPr>
          <w:rFonts w:ascii="Times New Roman" w:eastAsia="Calibri" w:hAnsi="Times New Roman" w:cs="Times New Roman"/>
          <w:iCs/>
          <w:color w:val="000000"/>
          <w:sz w:val="24"/>
          <w:szCs w:val="24"/>
        </w:rPr>
        <w:t>et al.</w:t>
      </w:r>
      <w:r w:rsidRPr="00597FFB">
        <w:rPr>
          <w:rFonts w:ascii="Times New Roman" w:eastAsia="Calibri" w:hAnsi="Times New Roman" w:cs="Times New Roman"/>
          <w:iCs/>
          <w:color w:val="000000"/>
          <w:sz w:val="24"/>
          <w:szCs w:val="24"/>
        </w:rPr>
        <w:t xml:space="preserve">, 2020). </w:t>
      </w:r>
      <w:r w:rsidRPr="00597FFB">
        <w:rPr>
          <w:rFonts w:ascii="Times New Roman" w:eastAsia="Calibri" w:hAnsi="Times New Roman" w:cs="Times New Roman"/>
          <w:iCs/>
          <w:sz w:val="24"/>
          <w:szCs w:val="24"/>
        </w:rPr>
        <w:t xml:space="preserve">A wide range of psychological factors and their relationship with recycling behavior have been examined, including attitudes, beliefs, values, social influences, social and personal norms, identity, perceived control, and self-efficacy </w:t>
      </w:r>
      <w:r w:rsidRPr="00597FFB">
        <w:rPr>
          <w:rFonts w:ascii="Times New Roman" w:eastAsia="Times New Roman" w:hAnsi="Times New Roman" w:cs="Times New Roman"/>
          <w:bCs/>
          <w:sz w:val="24"/>
          <w:szCs w:val="24"/>
        </w:rPr>
        <w:t>(</w:t>
      </w:r>
      <w:r w:rsidRPr="00597FFB">
        <w:rPr>
          <w:rFonts w:ascii="Times New Roman" w:eastAsia="Calibri" w:hAnsi="Times New Roman" w:cs="Times New Roman"/>
          <w:sz w:val="24"/>
          <w:szCs w:val="24"/>
        </w:rPr>
        <w:t>Arain</w:t>
      </w:r>
      <w:r w:rsidRPr="00597FFB">
        <w:rPr>
          <w:rFonts w:ascii="Times New Roman" w:eastAsia="Times New Roman" w:hAnsi="Times New Roman" w:cs="Times New Roman"/>
          <w:bCs/>
          <w:sz w:val="24"/>
          <w:szCs w:val="24"/>
        </w:rPr>
        <w:t>, 2020).</w:t>
      </w:r>
      <w:r w:rsidRPr="00597FFB">
        <w:rPr>
          <w:rFonts w:ascii="Times New Roman" w:eastAsia="Calibri" w:hAnsi="Times New Roman" w:cs="Times New Roman"/>
          <w:iCs/>
          <w:sz w:val="24"/>
          <w:szCs w:val="24"/>
        </w:rPr>
        <w:t xml:space="preserve"> </w:t>
      </w:r>
      <w:r w:rsidRPr="00597FFB">
        <w:rPr>
          <w:rFonts w:ascii="Times New Roman" w:eastAsia="Calibri" w:hAnsi="Times New Roman" w:cs="Times New Roman"/>
          <w:iCs/>
          <w:color w:val="000000"/>
          <w:sz w:val="24"/>
          <w:szCs w:val="24"/>
        </w:rPr>
        <w:t xml:space="preserve">The role of these potential behavioral determinants has been reviewed in a wide range of </w:t>
      </w:r>
      <w:r w:rsidR="007B6271" w:rsidRPr="00597FFB">
        <w:rPr>
          <w:rFonts w:ascii="Times New Roman" w:eastAsia="Calibri" w:hAnsi="Times New Roman" w:cs="Times New Roman"/>
          <w:iCs/>
          <w:color w:val="000000"/>
          <w:sz w:val="24"/>
          <w:szCs w:val="24"/>
        </w:rPr>
        <w:fldChar w:fldCharType="begin"/>
      </w:r>
      <w:r w:rsidR="00836980" w:rsidRPr="00597FFB">
        <w:rPr>
          <w:rFonts w:ascii="Times New Roman" w:eastAsia="Calibri" w:hAnsi="Times New Roman" w:cs="Times New Roman"/>
          <w:iCs/>
          <w:color w:val="000000"/>
          <w:sz w:val="24"/>
          <w:szCs w:val="24"/>
        </w:rPr>
        <w:instrText xml:space="preserve"> ADDIN ZOTERO_ITEM CSL_CITATION {"citationID":"a10454essml","properties":{"formattedCitation":"(Asibey et al., 2021a)","plainCitation":"(Asibey et al., 2021a)","noteIndex":0},"citationItems":[{"id":2401,"uris":["http://zotero.org/users/local/b6CRLSJH/items/ETJCUSD7"],"itemData":{"id":2401,"type":"article-journal","abstract":"This paper examines urban planners' perspectives on the e-waste conundrum and corresponding urban planning response towards promoting e-waste inclusivity and managing associated impacts. The paper is based on an extensive review of nine urban planning documents and interviews with five environment and/or e-waste related institutions and informal e-waste recyclers at the Agbogbloshie Processing Site in Accra, Ghana. Findings of the paper showed that urban planning has been ineffective in positively shaping Ghana's e-waste sector. Urban planning initiatives on e-waste management have remained reactionary, instead of becoming future-oriented. There is insufficient e-waste related policies and a general lack of focus on e-waste management. Officials reported of logistical and financial constraints, weak agency framework and coordination; a situation which have hampered efforts in employing urban planning as a tool to managing Ghana's e-waste sector. An important entry point is the need to consciously understand, localise and integrate e-waste issues into urban planning efforts. This should be done by recognising the importance of improving awareness on e-waste issues; finding a place for informal e-waste recycling through re-examination of existing planning regimes; and developing a clear and efficient institutional framework for an improved sector and a more sustainable urban environment.","container-title":"Cities","DOI":"10.1016/j.cities.2020.102943","ISSN":"02642751","journalAbbreviation":"Cities","language":"en","page":"102943","source":"DOI.org (Crossref)","title":"Urban planning trends on e-waste management in Ghanaian cities","volume":"108","author":[{"family":"Asibey","given":"Michael Osei"},{"family":"King","given":"Rudith Sylvana"},{"family":"Lykke","given":"Anne Mette"},{"family":"Inkoom","given":"Daniel Kweku Baah"}],"issued":{"date-parts":[["2021",1]]}}}],"schema":"https://github.com/citation-style-language/schema/raw/master/csl-citation.json"} </w:instrText>
      </w:r>
      <w:r w:rsidR="007B6271" w:rsidRPr="00597FFB">
        <w:rPr>
          <w:rFonts w:ascii="Times New Roman" w:eastAsia="Calibri" w:hAnsi="Times New Roman" w:cs="Times New Roman"/>
          <w:iCs/>
          <w:color w:val="000000"/>
          <w:sz w:val="24"/>
          <w:szCs w:val="24"/>
        </w:rPr>
        <w:fldChar w:fldCharType="separate"/>
      </w:r>
      <w:r w:rsidR="00836980" w:rsidRPr="00597FFB">
        <w:rPr>
          <w:rFonts w:ascii="Times New Roman" w:hAnsi="Times New Roman" w:cs="Times New Roman"/>
          <w:sz w:val="24"/>
          <w:szCs w:val="24"/>
        </w:rPr>
        <w:t>(Asibey et al., 2021a)</w:t>
      </w:r>
      <w:r w:rsidR="007B6271" w:rsidRPr="00597FFB">
        <w:rPr>
          <w:rFonts w:ascii="Times New Roman" w:eastAsia="Calibri" w:hAnsi="Times New Roman" w:cs="Times New Roman"/>
          <w:iCs/>
          <w:color w:val="000000"/>
          <w:sz w:val="24"/>
          <w:szCs w:val="24"/>
        </w:rPr>
        <w:fldChar w:fldCharType="end"/>
      </w:r>
      <w:r w:rsidRPr="00597FFB">
        <w:rPr>
          <w:rFonts w:ascii="Times New Roman" w:eastAsia="Calibri" w:hAnsi="Times New Roman" w:cs="Times New Roman"/>
          <w:iCs/>
          <w:color w:val="000000"/>
          <w:sz w:val="24"/>
          <w:szCs w:val="24"/>
        </w:rPr>
        <w:t xml:space="preserve">. </w:t>
      </w:r>
      <w:r w:rsidR="00866DF7" w:rsidRPr="00597FFB">
        <w:rPr>
          <w:rFonts w:ascii="Times New Roman" w:eastAsia="Times New Roman" w:hAnsi="Times New Roman" w:cs="Times New Roman"/>
          <w:bCs/>
          <w:sz w:val="24"/>
          <w:szCs w:val="24"/>
        </w:rPr>
        <w:fldChar w:fldCharType="begin"/>
      </w:r>
      <w:r w:rsidR="00836980" w:rsidRPr="00597FFB">
        <w:rPr>
          <w:rFonts w:ascii="Times New Roman" w:eastAsia="Times New Roman" w:hAnsi="Times New Roman" w:cs="Times New Roman"/>
          <w:bCs/>
          <w:sz w:val="24"/>
          <w:szCs w:val="24"/>
        </w:rPr>
        <w:instrText xml:space="preserve"> ADDIN ZOTERO_ITEM CSL_CITATION {"citationID":"a25l8k88i6l","properties":{"formattedCitation":"\\uldash{(Fang et al., 2021)}","plainCitation":"(Fang et al., 2021)","dontUpdate":true,"noteIndex":0},"citationItems":[{"id":2867,"uris":["http://zotero.org/users/local/b6CRLSJH/items/TLWAM672"],"itemData":{"id":2867,"type":"article-journal","abstract":"With the occurrence of rapid global economic growth concerns about waste and its related effects on the environment are on the rise. There has been an increasing focus towards sustainable development and waste recycling as part of environmental sustainability strategies, and the encouraging of recycling behavior has received considerable attention from various environmental stakeholders. While numerous studies have used grounded theories such as the theory of planned behaviors and the norm activation model to examine environmental behaviors, a lack of consideration of other important variables in these studies has been revealed. This study aimed to address this gap by adopting the comprehensive action determination model, which comprises a wider group of inﬂuencing variables related to norms, intentions, situations, and habits. This model was tested using structural equation modelling with a sample of 386 valid questionnaires collected from Taipei City residents in the domain of recycling behaviors. Results indicated that awareness had a positive inﬂuence on personal norms towards recycling behaviors; social norms had a positive inﬂuence on personal norms towards recycling behaviors; attitudes had a positive inﬂuence on recycling intentions; social norms had a positive inﬂuence on recycling intentions; personal norms had a positive inﬂuence on recycling intentions; perceived behavior control had a positive inﬂuence on recycling intentions; recycling intentions had a positive inﬂuence on recycling behavior; and recycling habits had a positive inﬂuence on recycling behavior. However, ﬁndings did not support the positive impact of perceived behavioral control on recycling behavior.","container-title":"Sustainability","DOI":"10.3390/su13020490","ISSN":"2071-1050","issue":"2","journalAbbreviation":"Sustainability","language":"en","note":"number: 2","page":"490","source":"DOI.org (Crossref)","title":"Applying a Comprehensive Action Determination Model to Examine the Recycling Behavior of Taipei City Residents","volume":"13","author":[{"family":"Fang","given":"Wei-Ta"},{"family":"Huang","given":"Mei-Hsuan"},{"family":"Cheng","given":"Bai-You"},{"family":"Chiu","given":"Rong-Jeo"},{"family":"Chiang","given":"Yi-Te"},{"family":"Hsu","given":"Chun-Wei"},{"family":"Ng","given":"Eric"}],"issued":{"date-parts":[["2021",1,6]]}}}],"schema":"https://github.com/citation-style-language/schema/raw/master/csl-citation.json"} </w:instrText>
      </w:r>
      <w:r w:rsidR="00866DF7" w:rsidRPr="00597FFB">
        <w:rPr>
          <w:rFonts w:ascii="Times New Roman" w:eastAsia="Times New Roman" w:hAnsi="Times New Roman" w:cs="Times New Roman"/>
          <w:bCs/>
          <w:sz w:val="24"/>
          <w:szCs w:val="24"/>
        </w:rPr>
        <w:fldChar w:fldCharType="separate"/>
      </w:r>
      <w:r w:rsidR="007B6271" w:rsidRPr="00597FFB">
        <w:rPr>
          <w:rFonts w:ascii="Times New Roman" w:hAnsi="Times New Roman" w:cs="Times New Roman"/>
          <w:sz w:val="24"/>
          <w:szCs w:val="24"/>
        </w:rPr>
        <w:t>Fang et al. (2021)</w:t>
      </w:r>
      <w:r w:rsidR="00866DF7" w:rsidRPr="00597FFB">
        <w:rPr>
          <w:rFonts w:ascii="Times New Roman" w:eastAsia="Times New Roman" w:hAnsi="Times New Roman" w:cs="Times New Roman"/>
          <w:bCs/>
          <w:sz w:val="24"/>
          <w:szCs w:val="24"/>
        </w:rPr>
        <w:fldChar w:fldCharType="end"/>
      </w:r>
      <w:r w:rsidRPr="00597FFB">
        <w:rPr>
          <w:rFonts w:ascii="Times New Roman" w:eastAsia="Times New Roman" w:hAnsi="Times New Roman" w:cs="Times New Roman"/>
          <w:bCs/>
          <w:sz w:val="24"/>
          <w:szCs w:val="24"/>
        </w:rPr>
        <w:t xml:space="preserve"> discussed three attributes: environmental values, situational factors, and psychological factors, of recycling or disposing of behavior patterns of an individual and related them to the altruistic, intrinsic, and extrinsic motives of recycling behavior. Consumers with environmental values and motivations are likely to behave environmentally or sustainably </w:t>
      </w:r>
      <w:r w:rsidR="00500592"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{"citationID":"a22b0pp527g","properties":{"formattedCitation":"(M. H. Ali et al., 2019a)","plainCitation":"(M. H. Ali et al., 2019a)","noteIndex":0},"citationItems":[{"id":3976,"uris":["http://zotero.org/users/local/b6CRLSJH/items/22P4XJQM"],"itemData":{"id":3976,"type":"article-journal","abstract":"The management of waste, energy, and resources has received special attention from academics and practitioners due to the growing evidence for its e</w:instrText>
      </w:r>
      <w:r w:rsidR="00173BF9" w:rsidRPr="00597FFB">
        <w:rPr>
          <w:rFonts w:ascii="Cambria Math" w:eastAsia="Times New Roman" w:hAnsi="Cambria Math" w:cs="Cambria Math"/>
          <w:bCs/>
          <w:sz w:val="24"/>
          <w:szCs w:val="24"/>
        </w:rPr>
        <w:instrText>↵</w:instrText>
      </w:r>
      <w:r w:rsidR="00173BF9" w:rsidRPr="00597FFB">
        <w:rPr>
          <w:rFonts w:ascii="Times New Roman" w:eastAsia="Times New Roman" w:hAnsi="Times New Roman" w:cs="Times New Roman"/>
          <w:bCs/>
          <w:sz w:val="24"/>
          <w:szCs w:val="24"/>
        </w:rPr>
        <w:instrText>ects on the environment. The aim of this study is to investigate the environmental drivers of waste, energy, and resource management and, in turn, its e</w:instrText>
      </w:r>
      <w:r w:rsidR="00173BF9" w:rsidRPr="00597FFB">
        <w:rPr>
          <w:rFonts w:ascii="Cambria Math" w:eastAsia="Times New Roman" w:hAnsi="Cambria Math" w:cs="Cambria Math"/>
          <w:bCs/>
          <w:sz w:val="24"/>
          <w:szCs w:val="24"/>
        </w:rPr>
        <w:instrText>↵</w:instrText>
      </w:r>
      <w:r w:rsidR="00173BF9" w:rsidRPr="00597FFB">
        <w:rPr>
          <w:rFonts w:ascii="Times New Roman" w:eastAsia="Times New Roman" w:hAnsi="Times New Roman" w:cs="Times New Roman"/>
          <w:bCs/>
          <w:sz w:val="24"/>
          <w:szCs w:val="24"/>
        </w:rPr>
        <w:instrText>ect on the sustainable performance of manufacturing ﬁrms. The data were collected from a survey of 173 large manufacturing ﬁrms in Malaysia and analysed using partial least squares. The results indicate that although environmental regulatory pressure, customer pressure, environmental uncertainty, and expected business beneﬁts have positive e</w:instrText>
      </w:r>
      <w:r w:rsidR="00173BF9" w:rsidRPr="00597FFB">
        <w:rPr>
          <w:rFonts w:ascii="Cambria Math" w:eastAsia="Times New Roman" w:hAnsi="Cambria Math" w:cs="Cambria Math"/>
          <w:bCs/>
          <w:sz w:val="24"/>
          <w:szCs w:val="24"/>
        </w:rPr>
        <w:instrText>↵</w:instrText>
      </w:r>
      <w:r w:rsidR="00173BF9" w:rsidRPr="00597FFB">
        <w:rPr>
          <w:rFonts w:ascii="Times New Roman" w:eastAsia="Times New Roman" w:hAnsi="Times New Roman" w:cs="Times New Roman"/>
          <w:bCs/>
          <w:sz w:val="24"/>
          <w:szCs w:val="24"/>
        </w:rPr>
        <w:instrText>ects on the extent of waste, energy, and resource management, social responsibility has no e</w:instrText>
      </w:r>
      <w:r w:rsidR="00173BF9" w:rsidRPr="00597FFB">
        <w:rPr>
          <w:rFonts w:ascii="Cambria Math" w:eastAsia="Times New Roman" w:hAnsi="Cambria Math" w:cs="Cambria Math"/>
          <w:bCs/>
          <w:sz w:val="24"/>
          <w:szCs w:val="24"/>
        </w:rPr>
        <w:instrText>↵</w:instrText>
      </w:r>
      <w:r w:rsidR="00173BF9" w:rsidRPr="00597FFB">
        <w:rPr>
          <w:rFonts w:ascii="Times New Roman" w:eastAsia="Times New Roman" w:hAnsi="Times New Roman" w:cs="Times New Roman"/>
          <w:bCs/>
          <w:sz w:val="24"/>
          <w:szCs w:val="24"/>
        </w:rPr>
        <w:instrText>ect. Furthermore, waste, energy, and resource management has a positive e</w:instrText>
      </w:r>
      <w:r w:rsidR="00173BF9" w:rsidRPr="00597FFB">
        <w:rPr>
          <w:rFonts w:ascii="Cambria Math" w:eastAsia="Times New Roman" w:hAnsi="Cambria Math" w:cs="Cambria Math"/>
          <w:bCs/>
          <w:sz w:val="24"/>
          <w:szCs w:val="24"/>
        </w:rPr>
        <w:instrText>↵</w:instrText>
      </w:r>
      <w:r w:rsidR="00173BF9" w:rsidRPr="00597FFB">
        <w:rPr>
          <w:rFonts w:ascii="Times New Roman" w:eastAsia="Times New Roman" w:hAnsi="Times New Roman" w:cs="Times New Roman"/>
          <w:bCs/>
          <w:sz w:val="24"/>
          <w:szCs w:val="24"/>
        </w:rPr>
        <w:instrText xml:space="preserve">ect on the sustainable performance of large manufacturing ﬁrms. The ﬁndings of this study extend the knowledge of the drivers and outcomes of waste, energy, and resource management. The results can help policymakers to adjust policies and strategies in a way to inspire managers to implement waste, energy, and resource management.","container-title":"Sustainability","DOI":"10.3390/su11082443","ISSN":"2071-1050","issue":"8","journalAbbreviation":"Sustainability","language":"en","note":"number: 8","page":"2443","source":"DOI.org (Crossref)","title":"Impacts of Environmental Factors on Waste, Energy, and Resource Management and Sustainable Performance","volume":"11","author":[{"family":"Ali","given":"Mohd Helmi"},{"family":"Zailani","given":"Suhaiza"},{"family":"Iranmanesh","given":"Mohammad"},{"family":"Foroughi","given":"Behzad"}],"issued":{"date-parts":[["2019",4,25]]}}}],"schema":"https://github.com/citation-style-language/schema/raw/master/csl-citation.json"} </w:instrText>
      </w:r>
      <w:r w:rsidR="00500592"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rPr>
        <w:t>(M. H. Ali et al., 2019a)</w:t>
      </w:r>
      <w:r w:rsidR="00500592" w:rsidRPr="00597FFB">
        <w:rPr>
          <w:rFonts w:ascii="Times New Roman" w:eastAsia="Times New Roman" w:hAnsi="Times New Roman" w:cs="Times New Roman"/>
          <w:bCs/>
          <w:sz w:val="24"/>
          <w:szCs w:val="24"/>
        </w:rPr>
        <w:fldChar w:fldCharType="end"/>
      </w:r>
      <w:r w:rsidR="00500592"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Their concern for the environment makes them engage in recycling or dispose of waste sustainably (K</w:t>
      </w:r>
      <w:r w:rsidR="00614B48" w:rsidRPr="00597FFB">
        <w:rPr>
          <w:rFonts w:ascii="Times New Roman" w:eastAsia="Times New Roman" w:hAnsi="Times New Roman" w:cs="Times New Roman"/>
          <w:bCs/>
          <w:sz w:val="24"/>
          <w:szCs w:val="24"/>
        </w:rPr>
        <w:t>umar et al.</w:t>
      </w:r>
      <w:r w:rsidRPr="00597FFB">
        <w:rPr>
          <w:rFonts w:ascii="Times New Roman" w:eastAsia="Times New Roman" w:hAnsi="Times New Roman" w:cs="Times New Roman"/>
          <w:bCs/>
          <w:sz w:val="24"/>
          <w:szCs w:val="24"/>
        </w:rPr>
        <w:t>, 201</w:t>
      </w:r>
      <w:r w:rsidR="00614B48" w:rsidRPr="00597FFB">
        <w:rPr>
          <w:rFonts w:ascii="Times New Roman" w:eastAsia="Times New Roman" w:hAnsi="Times New Roman" w:cs="Times New Roman"/>
          <w:bCs/>
          <w:sz w:val="24"/>
          <w:szCs w:val="24"/>
        </w:rPr>
        <w:t>8</w:t>
      </w:r>
      <w:r w:rsidRPr="00597FFB">
        <w:rPr>
          <w:rFonts w:ascii="Times New Roman" w:eastAsia="Times New Roman" w:hAnsi="Times New Roman" w:cs="Times New Roman"/>
          <w:bCs/>
          <w:sz w:val="24"/>
          <w:szCs w:val="24"/>
        </w:rPr>
        <w:t>).</w:t>
      </w:r>
      <w:r w:rsidRPr="00597FFB">
        <w:rPr>
          <w:rFonts w:ascii="Times New Roman" w:eastAsia="Calibri" w:hAnsi="Times New Roman" w:cs="Times New Roman"/>
          <w:sz w:val="24"/>
          <w:szCs w:val="24"/>
        </w:rPr>
        <w:t xml:space="preserve"> </w:t>
      </w:r>
      <w:r w:rsidRPr="00597FFB">
        <w:rPr>
          <w:rFonts w:ascii="Times New Roman" w:eastAsia="Times New Roman" w:hAnsi="Times New Roman" w:cs="Times New Roman"/>
          <w:bCs/>
          <w:sz w:val="24"/>
          <w:szCs w:val="24"/>
        </w:rPr>
        <w:t xml:space="preserve">In the absence of such determinants, there may be little or no results. </w:t>
      </w:r>
    </w:p>
    <w:p w14:paraId="26EFE9F3" w14:textId="77255463" w:rsidR="00703A7E" w:rsidRPr="00597FFB" w:rsidRDefault="00097599" w:rsidP="00A558FE">
      <w:pPr>
        <w:pStyle w:val="Heading2"/>
        <w:spacing w:line="480" w:lineRule="auto"/>
        <w:rPr>
          <w:rFonts w:asciiTheme="majorBidi" w:hAnsiTheme="majorBidi"/>
          <w:b/>
          <w:bCs/>
          <w:color w:val="000000" w:themeColor="text1"/>
          <w:sz w:val="24"/>
          <w:szCs w:val="24"/>
        </w:rPr>
      </w:pPr>
      <w:bookmarkStart w:id="48" w:name="_Toc74912542"/>
      <w:bookmarkStart w:id="49" w:name="_Toc127170253"/>
      <w:r w:rsidRPr="00597FFB">
        <w:rPr>
          <w:rFonts w:asciiTheme="majorBidi" w:hAnsiTheme="majorBidi"/>
          <w:b/>
          <w:bCs/>
          <w:color w:val="000000" w:themeColor="text1"/>
          <w:sz w:val="24"/>
          <w:szCs w:val="24"/>
        </w:rPr>
        <w:t xml:space="preserve">1.2. </w:t>
      </w:r>
      <w:bookmarkEnd w:id="48"/>
      <w:r w:rsidRPr="00597FFB">
        <w:rPr>
          <w:rFonts w:ascii="Times New Roman" w:eastAsia="Times New Roman" w:hAnsi="Times New Roman" w:cs="Times New Roman"/>
          <w:b/>
          <w:color w:val="000000"/>
          <w:sz w:val="24"/>
          <w:szCs w:val="24"/>
        </w:rPr>
        <w:t>Problem Statement</w:t>
      </w:r>
      <w:r w:rsidR="00717132" w:rsidRPr="00597FFB">
        <w:rPr>
          <w:rFonts w:ascii="Times New Roman" w:eastAsia="Times New Roman" w:hAnsi="Times New Roman" w:cs="Times New Roman"/>
          <w:b/>
          <w:color w:val="000000"/>
          <w:sz w:val="24"/>
          <w:szCs w:val="24"/>
        </w:rPr>
        <w:t>.</w:t>
      </w:r>
      <w:bookmarkEnd w:id="49"/>
    </w:p>
    <w:p w14:paraId="0336B103" w14:textId="22F4D667" w:rsidR="008B6AB0" w:rsidRPr="00597FFB" w:rsidRDefault="008B6AB0" w:rsidP="00A558FE">
      <w:pPr>
        <w:autoSpaceDE w:val="0"/>
        <w:autoSpaceDN w:val="0"/>
        <w:adjustRightInd w:val="0"/>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More affluent lifestyles in the UAE, such as higher-value products where «touch and feel» in electronic items are more important, have increased EEE and devices' acquisitions and purchases (</w:t>
      </w:r>
      <w:r w:rsidR="00224617" w:rsidRPr="00597FFB">
        <w:rPr>
          <w:rFonts w:ascii="Times New Roman" w:eastAsia="Times New Roman" w:hAnsi="Times New Roman" w:cs="Times New Roman"/>
          <w:bCs/>
          <w:color w:val="000000"/>
          <w:sz w:val="24"/>
          <w:szCs w:val="24"/>
        </w:rPr>
        <w:t>Harrison et al.</w:t>
      </w:r>
      <w:r w:rsidRPr="00597FFB">
        <w:rPr>
          <w:rFonts w:ascii="Times New Roman" w:eastAsia="Times New Roman" w:hAnsi="Times New Roman" w:cs="Times New Roman"/>
          <w:bCs/>
          <w:color w:val="000000"/>
          <w:sz w:val="24"/>
          <w:szCs w:val="24"/>
        </w:rPr>
        <w:t>, 20</w:t>
      </w:r>
      <w:r w:rsidR="00224617" w:rsidRPr="00597FFB">
        <w:rPr>
          <w:rFonts w:ascii="Times New Roman" w:eastAsia="Times New Roman" w:hAnsi="Times New Roman" w:cs="Times New Roman"/>
          <w:bCs/>
          <w:color w:val="000000"/>
          <w:sz w:val="24"/>
          <w:szCs w:val="24"/>
        </w:rPr>
        <w:t>20</w:t>
      </w:r>
      <w:r w:rsidRPr="00597FFB">
        <w:rPr>
          <w:rFonts w:ascii="Times New Roman" w:eastAsia="Times New Roman" w:hAnsi="Times New Roman" w:cs="Times New Roman"/>
          <w:bCs/>
          <w:color w:val="000000"/>
          <w:sz w:val="24"/>
          <w:szCs w:val="24"/>
        </w:rPr>
        <w:t xml:space="preserve">). The </w:t>
      </w:r>
      <w:r w:rsidR="00F131D9" w:rsidRPr="00597FFB">
        <w:rPr>
          <w:rFonts w:ascii="Times New Roman" w:eastAsia="Times New Roman" w:hAnsi="Times New Roman" w:cs="Times New Roman"/>
          <w:bCs/>
          <w:color w:val="000000"/>
          <w:sz w:val="24"/>
          <w:szCs w:val="24"/>
        </w:rPr>
        <w:t>rapid</w:t>
      </w:r>
      <w:r w:rsidRPr="00597FFB">
        <w:rPr>
          <w:rFonts w:ascii="Times New Roman" w:eastAsia="Times New Roman" w:hAnsi="Times New Roman" w:cs="Times New Roman"/>
          <w:bCs/>
          <w:color w:val="000000"/>
          <w:sz w:val="24"/>
          <w:szCs w:val="24"/>
        </w:rPr>
        <w:t xml:space="preserve"> </w:t>
      </w:r>
      <w:r w:rsidR="00F131D9" w:rsidRPr="00597FFB">
        <w:rPr>
          <w:rFonts w:ascii="Times New Roman" w:eastAsia="Times New Roman" w:hAnsi="Times New Roman" w:cs="Times New Roman"/>
          <w:bCs/>
          <w:color w:val="000000"/>
          <w:sz w:val="24"/>
          <w:szCs w:val="24"/>
        </w:rPr>
        <w:t xml:space="preserve">ICT </w:t>
      </w:r>
      <w:r w:rsidRPr="00597FFB">
        <w:rPr>
          <w:rFonts w:ascii="Times New Roman" w:eastAsia="Times New Roman" w:hAnsi="Times New Roman" w:cs="Times New Roman"/>
          <w:bCs/>
          <w:color w:val="000000"/>
          <w:sz w:val="24"/>
          <w:szCs w:val="24"/>
        </w:rPr>
        <w:t xml:space="preserve">growth </w:t>
      </w:r>
      <w:r w:rsidR="00F131D9" w:rsidRPr="00597FFB">
        <w:rPr>
          <w:rFonts w:ascii="Times New Roman" w:eastAsia="Times New Roman" w:hAnsi="Times New Roman" w:cs="Times New Roman"/>
          <w:bCs/>
          <w:color w:val="000000"/>
          <w:sz w:val="24"/>
          <w:szCs w:val="24"/>
        </w:rPr>
        <w:t>from the context of</w:t>
      </w:r>
      <w:r w:rsidRPr="00597FFB">
        <w:rPr>
          <w:rFonts w:ascii="Times New Roman" w:eastAsia="Times New Roman" w:hAnsi="Times New Roman" w:cs="Times New Roman"/>
          <w:bCs/>
          <w:color w:val="000000"/>
          <w:sz w:val="24"/>
          <w:szCs w:val="24"/>
        </w:rPr>
        <w:t xml:space="preserve"> the global econom</w:t>
      </w:r>
      <w:r w:rsidR="00F131D9" w:rsidRPr="00597FFB">
        <w:rPr>
          <w:rFonts w:ascii="Times New Roman" w:eastAsia="Times New Roman" w:hAnsi="Times New Roman" w:cs="Times New Roman"/>
          <w:bCs/>
          <w:color w:val="000000"/>
          <w:sz w:val="24"/>
          <w:szCs w:val="24"/>
        </w:rPr>
        <w:t>y</w:t>
      </w:r>
      <w:r w:rsidRPr="00597FFB">
        <w:rPr>
          <w:rFonts w:ascii="Times New Roman" w:eastAsia="Times New Roman" w:hAnsi="Times New Roman" w:cs="Times New Roman"/>
          <w:bCs/>
          <w:color w:val="000000"/>
          <w:sz w:val="24"/>
          <w:szCs w:val="24"/>
        </w:rPr>
        <w:t xml:space="preserve">, </w:t>
      </w:r>
      <w:r w:rsidR="000E4DF8" w:rsidRPr="00597FFB">
        <w:rPr>
          <w:rFonts w:ascii="Times New Roman" w:eastAsia="Times New Roman" w:hAnsi="Times New Roman" w:cs="Times New Roman"/>
          <w:bCs/>
          <w:color w:val="000000"/>
          <w:sz w:val="24"/>
          <w:szCs w:val="24"/>
        </w:rPr>
        <w:t>together</w:t>
      </w:r>
      <w:r w:rsidRPr="00597FFB">
        <w:rPr>
          <w:rFonts w:ascii="Times New Roman" w:eastAsia="Times New Roman" w:hAnsi="Times New Roman" w:cs="Times New Roman"/>
          <w:bCs/>
          <w:color w:val="000000"/>
          <w:sz w:val="24"/>
          <w:szCs w:val="24"/>
        </w:rPr>
        <w:t xml:space="preserve"> with the </w:t>
      </w:r>
      <w:r w:rsidR="000E4DF8" w:rsidRPr="00597FFB">
        <w:rPr>
          <w:rFonts w:ascii="Times New Roman" w:eastAsia="Times New Roman" w:hAnsi="Times New Roman" w:cs="Times New Roman"/>
          <w:bCs/>
          <w:color w:val="000000"/>
          <w:sz w:val="24"/>
          <w:szCs w:val="24"/>
        </w:rPr>
        <w:t>dropping</w:t>
      </w:r>
      <w:r w:rsidRPr="00597FFB">
        <w:rPr>
          <w:rFonts w:ascii="Times New Roman" w:eastAsia="Times New Roman" w:hAnsi="Times New Roman" w:cs="Times New Roman"/>
          <w:bCs/>
          <w:color w:val="000000"/>
          <w:sz w:val="24"/>
          <w:szCs w:val="24"/>
        </w:rPr>
        <w:t xml:space="preserve"> </w:t>
      </w:r>
      <w:r w:rsidR="000E4DF8" w:rsidRPr="00597FFB">
        <w:rPr>
          <w:rFonts w:ascii="Times New Roman" w:eastAsia="Times New Roman" w:hAnsi="Times New Roman" w:cs="Times New Roman"/>
          <w:bCs/>
          <w:color w:val="000000"/>
          <w:sz w:val="24"/>
          <w:szCs w:val="24"/>
        </w:rPr>
        <w:t xml:space="preserve">electronic equipment </w:t>
      </w:r>
      <w:r w:rsidRPr="00597FFB">
        <w:rPr>
          <w:rFonts w:ascii="Times New Roman" w:eastAsia="Times New Roman" w:hAnsi="Times New Roman" w:cs="Times New Roman"/>
          <w:bCs/>
          <w:color w:val="000000"/>
          <w:sz w:val="24"/>
          <w:szCs w:val="24"/>
        </w:rPr>
        <w:t xml:space="preserve">prices, has </w:t>
      </w:r>
      <w:r w:rsidR="000E4DF8" w:rsidRPr="00597FFB">
        <w:rPr>
          <w:rFonts w:ascii="Times New Roman" w:eastAsia="Times New Roman" w:hAnsi="Times New Roman" w:cs="Times New Roman"/>
          <w:bCs/>
          <w:color w:val="000000"/>
          <w:sz w:val="24"/>
          <w:szCs w:val="24"/>
        </w:rPr>
        <w:t>caused multiple</w:t>
      </w:r>
      <w:r w:rsidRPr="00597FFB">
        <w:rPr>
          <w:rFonts w:ascii="Times New Roman" w:eastAsia="Times New Roman" w:hAnsi="Times New Roman" w:cs="Times New Roman"/>
          <w:bCs/>
          <w:color w:val="000000"/>
          <w:sz w:val="24"/>
          <w:szCs w:val="24"/>
        </w:rPr>
        <w:t xml:space="preserve"> challenges in </w:t>
      </w:r>
      <w:r w:rsidR="000E4DF8" w:rsidRPr="00597FFB">
        <w:rPr>
          <w:rFonts w:ascii="Times New Roman" w:eastAsia="Times New Roman" w:hAnsi="Times New Roman" w:cs="Times New Roman"/>
          <w:bCs/>
          <w:color w:val="000000"/>
          <w:sz w:val="24"/>
          <w:szCs w:val="24"/>
        </w:rPr>
        <w:t xml:space="preserve">electronic equipment recycling </w:t>
      </w:r>
      <w:r w:rsidRPr="00597FFB">
        <w:rPr>
          <w:rFonts w:ascii="Times New Roman" w:eastAsia="Times New Roman" w:hAnsi="Times New Roman" w:cs="Times New Roman"/>
          <w:bCs/>
          <w:color w:val="000000"/>
          <w:sz w:val="24"/>
          <w:szCs w:val="24"/>
        </w:rPr>
        <w:t>and</w:t>
      </w:r>
      <w:r w:rsidR="000E4DF8" w:rsidRPr="00597FFB">
        <w:rPr>
          <w:rFonts w:ascii="Times New Roman" w:eastAsia="Times New Roman" w:hAnsi="Times New Roman" w:cs="Times New Roman"/>
          <w:bCs/>
          <w:color w:val="000000"/>
          <w:sz w:val="24"/>
          <w:szCs w:val="24"/>
        </w:rPr>
        <w:t xml:space="preserve"> reusing</w:t>
      </w:r>
      <w:r w:rsidRPr="00597FFB">
        <w:rPr>
          <w:rFonts w:ascii="Times New Roman" w:eastAsia="Times New Roman" w:hAnsi="Times New Roman" w:cs="Times New Roman"/>
          <w:bCs/>
          <w:color w:val="000000"/>
          <w:sz w:val="24"/>
          <w:szCs w:val="24"/>
        </w:rPr>
        <w:t xml:space="preserve">. </w:t>
      </w:r>
      <w:r w:rsidR="000E4DF8" w:rsidRPr="00597FFB">
        <w:rPr>
          <w:rFonts w:ascii="Times New Roman" w:eastAsia="Times New Roman" w:hAnsi="Times New Roman" w:cs="Times New Roman"/>
          <w:bCs/>
          <w:color w:val="000000"/>
          <w:sz w:val="24"/>
          <w:szCs w:val="24"/>
        </w:rPr>
        <w:t>Despite</w:t>
      </w:r>
      <w:r w:rsidRPr="00597FFB">
        <w:rPr>
          <w:rFonts w:ascii="Times New Roman" w:eastAsia="Times New Roman" w:hAnsi="Times New Roman" w:cs="Times New Roman"/>
          <w:bCs/>
          <w:color w:val="000000"/>
          <w:sz w:val="24"/>
          <w:szCs w:val="24"/>
        </w:rPr>
        <w:t xml:space="preserve"> these </w:t>
      </w:r>
      <w:r w:rsidR="000E4DF8" w:rsidRPr="00597FFB">
        <w:rPr>
          <w:rFonts w:ascii="Times New Roman" w:eastAsia="Times New Roman" w:hAnsi="Times New Roman" w:cs="Times New Roman"/>
          <w:bCs/>
          <w:color w:val="000000"/>
          <w:sz w:val="24"/>
          <w:szCs w:val="24"/>
        </w:rPr>
        <w:t xml:space="preserve">devices </w:t>
      </w:r>
      <w:r w:rsidRPr="00597FFB">
        <w:rPr>
          <w:rFonts w:ascii="Times New Roman" w:eastAsia="Times New Roman" w:hAnsi="Times New Roman" w:cs="Times New Roman"/>
          <w:bCs/>
          <w:color w:val="000000"/>
          <w:sz w:val="24"/>
          <w:szCs w:val="24"/>
        </w:rPr>
        <w:t xml:space="preserve">and </w:t>
      </w:r>
      <w:r w:rsidR="000E4DF8" w:rsidRPr="00597FFB">
        <w:rPr>
          <w:rFonts w:ascii="Times New Roman" w:eastAsia="Times New Roman" w:hAnsi="Times New Roman" w:cs="Times New Roman"/>
          <w:bCs/>
          <w:color w:val="000000"/>
          <w:sz w:val="24"/>
          <w:szCs w:val="24"/>
        </w:rPr>
        <w:t xml:space="preserve">equipment </w:t>
      </w:r>
      <w:r w:rsidRPr="00597FFB">
        <w:rPr>
          <w:rFonts w:ascii="Times New Roman" w:eastAsia="Times New Roman" w:hAnsi="Times New Roman" w:cs="Times New Roman"/>
          <w:bCs/>
          <w:color w:val="000000"/>
          <w:sz w:val="24"/>
          <w:szCs w:val="24"/>
        </w:rPr>
        <w:t>not pos</w:t>
      </w:r>
      <w:r w:rsidR="000E4DF8" w:rsidRPr="00597FFB">
        <w:rPr>
          <w:rFonts w:ascii="Times New Roman" w:eastAsia="Times New Roman" w:hAnsi="Times New Roman" w:cs="Times New Roman"/>
          <w:bCs/>
          <w:color w:val="000000"/>
          <w:sz w:val="24"/>
          <w:szCs w:val="24"/>
        </w:rPr>
        <w:t>ing</w:t>
      </w:r>
      <w:r w:rsidRPr="00597FFB">
        <w:rPr>
          <w:rFonts w:ascii="Times New Roman" w:eastAsia="Times New Roman" w:hAnsi="Times New Roman" w:cs="Times New Roman"/>
          <w:bCs/>
          <w:color w:val="000000"/>
          <w:sz w:val="24"/>
          <w:szCs w:val="24"/>
        </w:rPr>
        <w:t xml:space="preserve"> a</w:t>
      </w:r>
      <w:r w:rsidR="000E4DF8" w:rsidRPr="00597FFB">
        <w:rPr>
          <w:rFonts w:ascii="Times New Roman" w:eastAsia="Times New Roman" w:hAnsi="Times New Roman" w:cs="Times New Roman"/>
          <w:bCs/>
          <w:color w:val="000000"/>
          <w:sz w:val="24"/>
          <w:szCs w:val="24"/>
        </w:rPr>
        <w:t>ny</w:t>
      </w:r>
      <w:r w:rsidRPr="00597FFB">
        <w:rPr>
          <w:rFonts w:ascii="Times New Roman" w:eastAsia="Times New Roman" w:hAnsi="Times New Roman" w:cs="Times New Roman"/>
          <w:bCs/>
          <w:color w:val="000000"/>
          <w:sz w:val="24"/>
          <w:szCs w:val="24"/>
        </w:rPr>
        <w:t xml:space="preserve"> problem, their </w:t>
      </w:r>
      <w:r w:rsidR="000E4DF8" w:rsidRPr="00597FFB">
        <w:rPr>
          <w:rFonts w:ascii="Times New Roman" w:eastAsia="Times New Roman" w:hAnsi="Times New Roman" w:cs="Times New Roman"/>
          <w:bCs/>
          <w:color w:val="000000"/>
          <w:sz w:val="24"/>
          <w:szCs w:val="24"/>
        </w:rPr>
        <w:t>speedy</w:t>
      </w:r>
      <w:r w:rsidRPr="00597FFB">
        <w:rPr>
          <w:rFonts w:ascii="Times New Roman" w:eastAsia="Times New Roman" w:hAnsi="Times New Roman" w:cs="Times New Roman"/>
          <w:bCs/>
          <w:color w:val="000000"/>
          <w:sz w:val="24"/>
          <w:szCs w:val="24"/>
        </w:rPr>
        <w:t xml:space="preserve"> </w:t>
      </w:r>
      <w:r w:rsidR="000E4DF8" w:rsidRPr="00597FFB">
        <w:rPr>
          <w:rFonts w:ascii="Times New Roman" w:eastAsia="Times New Roman" w:hAnsi="Times New Roman" w:cs="Times New Roman"/>
          <w:bCs/>
          <w:color w:val="000000"/>
          <w:sz w:val="24"/>
          <w:szCs w:val="24"/>
        </w:rPr>
        <w:t xml:space="preserve">end-of-life treatment </w:t>
      </w:r>
      <w:r w:rsidRPr="00597FFB">
        <w:rPr>
          <w:rFonts w:ascii="Times New Roman" w:eastAsia="Times New Roman" w:hAnsi="Times New Roman" w:cs="Times New Roman"/>
          <w:bCs/>
          <w:color w:val="000000"/>
          <w:sz w:val="24"/>
          <w:szCs w:val="24"/>
        </w:rPr>
        <w:t xml:space="preserve">and </w:t>
      </w:r>
      <w:r w:rsidR="000E4DF8" w:rsidRPr="00597FFB">
        <w:rPr>
          <w:rFonts w:ascii="Times New Roman" w:eastAsia="Times New Roman" w:hAnsi="Times New Roman" w:cs="Times New Roman"/>
          <w:bCs/>
          <w:color w:val="000000"/>
          <w:sz w:val="24"/>
          <w:szCs w:val="24"/>
        </w:rPr>
        <w:t xml:space="preserve">reuse </w:t>
      </w:r>
      <w:r w:rsidRPr="00597FFB">
        <w:rPr>
          <w:rFonts w:ascii="Times New Roman" w:eastAsia="Times New Roman" w:hAnsi="Times New Roman" w:cs="Times New Roman"/>
          <w:bCs/>
          <w:color w:val="000000"/>
          <w:sz w:val="24"/>
          <w:szCs w:val="24"/>
        </w:rPr>
        <w:t xml:space="preserve">pose </w:t>
      </w:r>
      <w:r w:rsidR="00C73D74" w:rsidRPr="00597FFB">
        <w:rPr>
          <w:rFonts w:ascii="Times New Roman" w:eastAsia="Times New Roman" w:hAnsi="Times New Roman" w:cs="Times New Roman"/>
          <w:bCs/>
          <w:color w:val="000000"/>
          <w:sz w:val="24"/>
          <w:szCs w:val="24"/>
        </w:rPr>
        <w:t>certain</w:t>
      </w:r>
      <w:r w:rsidRPr="00597FFB">
        <w:rPr>
          <w:rFonts w:ascii="Times New Roman" w:eastAsia="Times New Roman" w:hAnsi="Times New Roman" w:cs="Times New Roman"/>
          <w:bCs/>
          <w:color w:val="000000"/>
          <w:sz w:val="24"/>
          <w:szCs w:val="24"/>
        </w:rPr>
        <w:t xml:space="preserve"> </w:t>
      </w:r>
      <w:r w:rsidR="00C73D74" w:rsidRPr="00597FFB">
        <w:rPr>
          <w:rFonts w:ascii="Times New Roman" w:eastAsia="Times New Roman" w:hAnsi="Times New Roman" w:cs="Times New Roman"/>
          <w:bCs/>
          <w:color w:val="000000"/>
          <w:sz w:val="24"/>
          <w:szCs w:val="24"/>
        </w:rPr>
        <w:t>problems</w:t>
      </w:r>
      <w:r w:rsidRPr="00597FFB">
        <w:rPr>
          <w:rFonts w:ascii="Times New Roman" w:eastAsia="Times New Roman" w:hAnsi="Times New Roman" w:cs="Times New Roman"/>
          <w:bCs/>
          <w:color w:val="000000"/>
          <w:sz w:val="24"/>
          <w:szCs w:val="24"/>
        </w:rPr>
        <w:t xml:space="preserve"> (</w:t>
      </w:r>
      <w:r w:rsidR="009A6393" w:rsidRPr="00597FFB">
        <w:rPr>
          <w:rFonts w:ascii="Times New Roman" w:eastAsia="Times New Roman" w:hAnsi="Times New Roman" w:cs="Times New Roman"/>
          <w:bCs/>
          <w:color w:val="000000"/>
          <w:sz w:val="24"/>
          <w:szCs w:val="24"/>
        </w:rPr>
        <w:t>Hou et al.</w:t>
      </w:r>
      <w:r w:rsidRPr="00597FFB">
        <w:rPr>
          <w:rFonts w:ascii="Times New Roman" w:eastAsia="Times New Roman" w:hAnsi="Times New Roman" w:cs="Times New Roman"/>
          <w:bCs/>
          <w:color w:val="000000"/>
          <w:sz w:val="24"/>
          <w:szCs w:val="24"/>
        </w:rPr>
        <w:t xml:space="preserve">, 2020). The </w:t>
      </w:r>
      <w:r w:rsidR="00C73D74" w:rsidRPr="00597FFB">
        <w:rPr>
          <w:rFonts w:ascii="Times New Roman" w:eastAsia="Times New Roman" w:hAnsi="Times New Roman" w:cs="Times New Roman"/>
          <w:bCs/>
          <w:color w:val="000000"/>
          <w:sz w:val="24"/>
          <w:szCs w:val="24"/>
        </w:rPr>
        <w:t>continuing</w:t>
      </w:r>
      <w:r w:rsidRPr="00597FFB">
        <w:rPr>
          <w:rFonts w:ascii="Times New Roman" w:eastAsia="Times New Roman" w:hAnsi="Times New Roman" w:cs="Times New Roman"/>
          <w:bCs/>
          <w:color w:val="000000"/>
          <w:sz w:val="24"/>
          <w:szCs w:val="24"/>
        </w:rPr>
        <w:t xml:space="preserve"> </w:t>
      </w:r>
      <w:r w:rsidR="00C73D74" w:rsidRPr="00597FFB">
        <w:rPr>
          <w:rFonts w:ascii="Times New Roman" w:eastAsia="Times New Roman" w:hAnsi="Times New Roman" w:cs="Times New Roman"/>
          <w:bCs/>
          <w:color w:val="000000"/>
          <w:sz w:val="24"/>
          <w:szCs w:val="24"/>
        </w:rPr>
        <w:t xml:space="preserve">changes </w:t>
      </w:r>
      <w:r w:rsidRPr="00597FFB">
        <w:rPr>
          <w:rFonts w:ascii="Times New Roman" w:eastAsia="Times New Roman" w:hAnsi="Times New Roman" w:cs="Times New Roman"/>
          <w:bCs/>
          <w:color w:val="000000"/>
          <w:sz w:val="24"/>
          <w:szCs w:val="24"/>
        </w:rPr>
        <w:t xml:space="preserve">and </w:t>
      </w:r>
      <w:r w:rsidR="00C73D74" w:rsidRPr="00597FFB">
        <w:rPr>
          <w:rFonts w:ascii="Times New Roman" w:eastAsia="Times New Roman" w:hAnsi="Times New Roman" w:cs="Times New Roman"/>
          <w:bCs/>
          <w:color w:val="000000"/>
          <w:sz w:val="24"/>
          <w:szCs w:val="24"/>
        </w:rPr>
        <w:t xml:space="preserve">advancements </w:t>
      </w:r>
      <w:r w:rsidRPr="00597FFB">
        <w:rPr>
          <w:rFonts w:ascii="Times New Roman" w:eastAsia="Times New Roman" w:hAnsi="Times New Roman" w:cs="Times New Roman"/>
          <w:bCs/>
          <w:color w:val="000000"/>
          <w:sz w:val="24"/>
          <w:szCs w:val="24"/>
        </w:rPr>
        <w:t xml:space="preserve">in </w:t>
      </w:r>
      <w:r w:rsidR="00C73D74" w:rsidRPr="00597FFB">
        <w:rPr>
          <w:rFonts w:ascii="Times New Roman" w:eastAsia="Times New Roman" w:hAnsi="Times New Roman" w:cs="Times New Roman"/>
          <w:bCs/>
          <w:color w:val="000000"/>
          <w:sz w:val="24"/>
          <w:szCs w:val="24"/>
        </w:rPr>
        <w:t>the</w:t>
      </w:r>
      <w:r w:rsidRPr="00597FFB">
        <w:rPr>
          <w:rFonts w:ascii="Times New Roman" w:eastAsia="Times New Roman" w:hAnsi="Times New Roman" w:cs="Times New Roman"/>
          <w:bCs/>
          <w:color w:val="000000"/>
          <w:sz w:val="24"/>
          <w:szCs w:val="24"/>
        </w:rPr>
        <w:t xml:space="preserve"> </w:t>
      </w:r>
      <w:r w:rsidR="00C73D74" w:rsidRPr="00597FFB">
        <w:rPr>
          <w:rFonts w:ascii="Times New Roman" w:eastAsia="Times New Roman" w:hAnsi="Times New Roman" w:cs="Times New Roman"/>
          <w:bCs/>
          <w:color w:val="000000"/>
          <w:sz w:val="24"/>
          <w:szCs w:val="24"/>
        </w:rPr>
        <w:t xml:space="preserve">features </w:t>
      </w:r>
      <w:r w:rsidRPr="00597FFB">
        <w:rPr>
          <w:rFonts w:ascii="Times New Roman" w:eastAsia="Times New Roman" w:hAnsi="Times New Roman" w:cs="Times New Roman"/>
          <w:bCs/>
          <w:color w:val="000000"/>
          <w:sz w:val="24"/>
          <w:szCs w:val="24"/>
        </w:rPr>
        <w:t xml:space="preserve">and </w:t>
      </w:r>
      <w:r w:rsidR="00C73D74" w:rsidRPr="00597FFB">
        <w:rPr>
          <w:rFonts w:ascii="Times New Roman" w:eastAsia="Times New Roman" w:hAnsi="Times New Roman" w:cs="Times New Roman"/>
          <w:bCs/>
          <w:color w:val="000000"/>
          <w:sz w:val="24"/>
          <w:szCs w:val="24"/>
        </w:rPr>
        <w:t xml:space="preserve">functional capabilities of electronic equipment </w:t>
      </w:r>
      <w:r w:rsidRPr="00597FFB">
        <w:rPr>
          <w:rFonts w:ascii="Times New Roman" w:eastAsia="Times New Roman" w:hAnsi="Times New Roman" w:cs="Times New Roman"/>
          <w:bCs/>
          <w:color w:val="000000"/>
          <w:sz w:val="24"/>
          <w:szCs w:val="24"/>
        </w:rPr>
        <w:t xml:space="preserve">have </w:t>
      </w:r>
      <w:r w:rsidR="00C73D74" w:rsidRPr="00597FFB">
        <w:rPr>
          <w:rFonts w:ascii="Times New Roman" w:eastAsia="Times New Roman" w:hAnsi="Times New Roman" w:cs="Times New Roman"/>
          <w:bCs/>
          <w:color w:val="000000"/>
          <w:sz w:val="24"/>
          <w:szCs w:val="24"/>
        </w:rPr>
        <w:t>contributed to increased dumping of the</w:t>
      </w:r>
      <w:r w:rsidRPr="00597FFB">
        <w:rPr>
          <w:rFonts w:ascii="Times New Roman" w:eastAsia="Times New Roman" w:hAnsi="Times New Roman" w:cs="Times New Roman"/>
          <w:bCs/>
          <w:color w:val="000000"/>
          <w:sz w:val="24"/>
          <w:szCs w:val="24"/>
        </w:rPr>
        <w:t xml:space="preserve"> </w:t>
      </w:r>
      <w:r w:rsidR="00C73D74" w:rsidRPr="00597FFB">
        <w:rPr>
          <w:rFonts w:ascii="Times New Roman" w:eastAsia="Times New Roman" w:hAnsi="Times New Roman" w:cs="Times New Roman"/>
          <w:bCs/>
          <w:color w:val="000000"/>
          <w:sz w:val="24"/>
          <w:szCs w:val="24"/>
        </w:rPr>
        <w:t>equipment</w:t>
      </w:r>
      <w:r w:rsidRPr="00597FFB">
        <w:rPr>
          <w:rFonts w:ascii="Times New Roman" w:eastAsia="Times New Roman" w:hAnsi="Times New Roman" w:cs="Times New Roman"/>
          <w:bCs/>
          <w:color w:val="000000"/>
          <w:sz w:val="24"/>
          <w:szCs w:val="24"/>
        </w:rPr>
        <w:t xml:space="preserve"> (</w:t>
      </w:r>
      <w:r w:rsidR="005D2BB6" w:rsidRPr="00597FFB">
        <w:rPr>
          <w:rFonts w:ascii="Times New Roman" w:eastAsia="Times New Roman" w:hAnsi="Times New Roman" w:cs="Times New Roman"/>
          <w:bCs/>
          <w:color w:val="000000"/>
          <w:sz w:val="24"/>
          <w:szCs w:val="24"/>
        </w:rPr>
        <w:t>Zhang</w:t>
      </w:r>
      <w:r w:rsidR="00866DF7" w:rsidRPr="00597FFB">
        <w:rPr>
          <w:rFonts w:ascii="Times New Roman" w:eastAsia="Times New Roman" w:hAnsi="Times New Roman" w:cs="Times New Roman"/>
          <w:bCs/>
          <w:color w:val="000000"/>
          <w:sz w:val="24"/>
          <w:szCs w:val="24"/>
        </w:rPr>
        <w:t xml:space="preserve"> et al.</w:t>
      </w:r>
      <w:r w:rsidRPr="00597FFB">
        <w:rPr>
          <w:rFonts w:ascii="Times New Roman" w:eastAsia="Times New Roman" w:hAnsi="Times New Roman" w:cs="Times New Roman"/>
          <w:bCs/>
          <w:color w:val="000000"/>
          <w:sz w:val="24"/>
          <w:szCs w:val="24"/>
        </w:rPr>
        <w:t xml:space="preserve">, 2020). </w:t>
      </w:r>
      <w:r w:rsidR="00C73D74" w:rsidRPr="00597FFB">
        <w:rPr>
          <w:rFonts w:ascii="Times New Roman" w:eastAsia="Times New Roman" w:hAnsi="Times New Roman" w:cs="Times New Roman"/>
          <w:bCs/>
          <w:color w:val="000000"/>
          <w:sz w:val="24"/>
          <w:szCs w:val="24"/>
        </w:rPr>
        <w:t xml:space="preserve">E-waste collection, recycling, and reusing processes have also been advancing to </w:t>
      </w:r>
      <w:r w:rsidRPr="00597FFB">
        <w:rPr>
          <w:rFonts w:ascii="Times New Roman" w:eastAsia="Times New Roman" w:hAnsi="Times New Roman" w:cs="Times New Roman"/>
          <w:bCs/>
          <w:color w:val="000000"/>
          <w:sz w:val="24"/>
          <w:szCs w:val="24"/>
        </w:rPr>
        <w:t xml:space="preserve">match the </w:t>
      </w:r>
      <w:r w:rsidR="00C73D74" w:rsidRPr="00597FFB">
        <w:rPr>
          <w:rFonts w:ascii="Times New Roman" w:eastAsia="Times New Roman" w:hAnsi="Times New Roman" w:cs="Times New Roman"/>
          <w:bCs/>
          <w:color w:val="000000"/>
          <w:sz w:val="24"/>
          <w:szCs w:val="24"/>
        </w:rPr>
        <w:t>magnitude</w:t>
      </w:r>
      <w:r w:rsidRPr="00597FFB">
        <w:rPr>
          <w:rFonts w:ascii="Times New Roman" w:eastAsia="Times New Roman" w:hAnsi="Times New Roman" w:cs="Times New Roman"/>
          <w:bCs/>
          <w:color w:val="000000"/>
          <w:sz w:val="24"/>
          <w:szCs w:val="24"/>
        </w:rPr>
        <w:t xml:space="preserve"> of the </w:t>
      </w:r>
      <w:r w:rsidR="00C73D74" w:rsidRPr="00597FFB">
        <w:rPr>
          <w:rFonts w:ascii="Times New Roman" w:eastAsia="Times New Roman" w:hAnsi="Times New Roman" w:cs="Times New Roman"/>
          <w:bCs/>
          <w:color w:val="000000"/>
          <w:sz w:val="24"/>
          <w:szCs w:val="24"/>
        </w:rPr>
        <w:t>considerable</w:t>
      </w:r>
      <w:r w:rsidRPr="00597FFB">
        <w:rPr>
          <w:rFonts w:ascii="Times New Roman" w:eastAsia="Times New Roman" w:hAnsi="Times New Roman" w:cs="Times New Roman"/>
          <w:bCs/>
          <w:color w:val="000000"/>
          <w:sz w:val="24"/>
          <w:szCs w:val="24"/>
        </w:rPr>
        <w:t xml:space="preserve"> E-waste </w:t>
      </w:r>
      <w:r w:rsidR="00C73D74" w:rsidRPr="00597FFB">
        <w:rPr>
          <w:rFonts w:ascii="Times New Roman" w:eastAsia="Times New Roman" w:hAnsi="Times New Roman" w:cs="Times New Roman"/>
          <w:bCs/>
          <w:color w:val="000000"/>
          <w:sz w:val="24"/>
          <w:szCs w:val="24"/>
        </w:rPr>
        <w:t>generation</w:t>
      </w:r>
      <w:r w:rsidRPr="00597FFB">
        <w:rPr>
          <w:rFonts w:ascii="Times New Roman" w:eastAsia="Times New Roman" w:hAnsi="Times New Roman" w:cs="Times New Roman"/>
          <w:bCs/>
          <w:color w:val="000000"/>
          <w:sz w:val="24"/>
          <w:szCs w:val="24"/>
        </w:rPr>
        <w:t xml:space="preserve"> </w:t>
      </w:r>
      <w:r w:rsidR="00C73D74" w:rsidRPr="00597FFB">
        <w:rPr>
          <w:rFonts w:ascii="Times New Roman" w:eastAsia="Times New Roman" w:hAnsi="Times New Roman" w:cs="Times New Roman"/>
          <w:bCs/>
          <w:color w:val="000000"/>
          <w:sz w:val="24"/>
          <w:szCs w:val="24"/>
        </w:rPr>
        <w:t xml:space="preserve">increase </w:t>
      </w:r>
      <w:r w:rsidRPr="00597FFB">
        <w:rPr>
          <w:rFonts w:ascii="Times New Roman" w:eastAsia="Times New Roman" w:hAnsi="Times New Roman" w:cs="Times New Roman"/>
          <w:bCs/>
          <w:color w:val="000000"/>
          <w:sz w:val="24"/>
          <w:szCs w:val="24"/>
        </w:rPr>
        <w:t>(Islam et al., 2020).</w:t>
      </w:r>
    </w:p>
    <w:p w14:paraId="64316314" w14:textId="35A30AB2" w:rsidR="008B6AB0" w:rsidRPr="00597FFB" w:rsidRDefault="008B6AB0" w:rsidP="00A558FE">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iCs/>
          <w:color w:val="000000"/>
          <w:sz w:val="24"/>
          <w:szCs w:val="24"/>
        </w:rPr>
        <w:t xml:space="preserve">There is a tremendous increase in E-waste in developing countries than in their developed counterparts (Sharma et al., 2020). </w:t>
      </w:r>
      <w:r w:rsidRPr="00597FFB">
        <w:rPr>
          <w:rFonts w:ascii="Times New Roman" w:eastAsia="Times New Roman" w:hAnsi="Times New Roman" w:cs="Times New Roman"/>
          <w:bCs/>
          <w:color w:val="000000"/>
          <w:sz w:val="24"/>
          <w:szCs w:val="24"/>
        </w:rPr>
        <w:t xml:space="preserve">As one of the developing countries, UAE uses a large EEE volume </w:t>
      </w:r>
      <w:r w:rsidR="00EB4355" w:rsidRPr="00597FFB">
        <w:rPr>
          <w:rFonts w:ascii="Times New Roman" w:eastAsia="Times New Roman" w:hAnsi="Times New Roman" w:cs="Times New Roman"/>
          <w:bCs/>
          <w:color w:val="000000"/>
          <w:sz w:val="24"/>
          <w:szCs w:val="24"/>
        </w:rPr>
        <w:fldChar w:fldCharType="begin"/>
      </w:r>
      <w:r w:rsidR="00BD4BEC" w:rsidRPr="00597FFB">
        <w:rPr>
          <w:rFonts w:ascii="Times New Roman" w:eastAsia="Times New Roman" w:hAnsi="Times New Roman" w:cs="Times New Roman"/>
          <w:bCs/>
          <w:color w:val="000000"/>
          <w:sz w:val="24"/>
          <w:szCs w:val="24"/>
        </w:rPr>
        <w:instrText xml:space="preserve"> ADDIN ZOTERO_ITEM CSL_CITATION {"citationID":"a2542tms2l1","properties":{"formattedCitation":"(Kock et al., 2021)","plainCitation":"(Kock et al., 2021)","noteIndex":0},"citationItems":[{"id":4542,"uris":["http://zotero.org/users/local/b6CRLSJH/items/IMU5YRXL"],"itemData":{"id":4542,"type":"article-journal","container-title":"Tourism Management","DOI":"10.1016/j.tourman.2021.104330","ISSN":"02615177","journalAbbreviation":"Tourism Management","language":"en","page":"104330","source":"DOI.org (Crossref)","title":"Understanding and managing the threat of common method bias: Detection, prevention and control","title-short":"Understanding and managing the threat of common method bias","volume":"86","author":[{"family":"Kock","given":"Florian"},{"family":"Berbekova","given":"Adiyukh"},{"family":"Assaf","given":"A. George"}],"issued":{"date-parts":[["2021",10]]}}}],"schema":"https://github.com/citation-style-language/schema/raw/master/csl-citation.json"} </w:instrText>
      </w:r>
      <w:r w:rsidR="00EB4355" w:rsidRPr="00597FFB">
        <w:rPr>
          <w:rFonts w:ascii="Times New Roman" w:eastAsia="Times New Roman" w:hAnsi="Times New Roman" w:cs="Times New Roman"/>
          <w:bCs/>
          <w:color w:val="000000"/>
          <w:sz w:val="24"/>
          <w:szCs w:val="24"/>
        </w:rPr>
        <w:fldChar w:fldCharType="separate"/>
      </w:r>
      <w:r w:rsidR="00BD4BEC" w:rsidRPr="00597FFB">
        <w:rPr>
          <w:rFonts w:ascii="Times New Roman" w:hAnsi="Times New Roman" w:cs="Times New Roman"/>
          <w:sz w:val="24"/>
          <w:szCs w:val="24"/>
        </w:rPr>
        <w:t>(Kock et al., 2021)</w:t>
      </w:r>
      <w:r w:rsidR="00EB4355" w:rsidRPr="00597FFB">
        <w:rPr>
          <w:rFonts w:ascii="Times New Roman" w:eastAsia="Times New Roman" w:hAnsi="Times New Roman" w:cs="Times New Roman"/>
          <w:bCs/>
          <w:color w:val="000000"/>
          <w:sz w:val="24"/>
          <w:szCs w:val="24"/>
        </w:rPr>
        <w:fldChar w:fldCharType="end"/>
      </w:r>
      <w:r w:rsidR="00BD4BEC"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The UAE residents' have a high per capita income, and the revived consumer electronic durables market in the UAE is valued at USD 2.80 billion. It is </w:t>
      </w:r>
      <w:r w:rsidRPr="00597FFB">
        <w:rPr>
          <w:rFonts w:ascii="Times New Roman" w:eastAsia="Calibri" w:hAnsi="Times New Roman" w:cs="Times New Roman"/>
          <w:color w:val="000000"/>
          <w:sz w:val="24"/>
          <w:szCs w:val="24"/>
        </w:rPr>
        <w:t xml:space="preserve">due to rapid urbanization and industrialization </w:t>
      </w:r>
      <w:r w:rsidR="00EB4355" w:rsidRPr="00597FFB">
        <w:rPr>
          <w:rFonts w:ascii="Times New Roman" w:eastAsia="Times New Roman" w:hAnsi="Times New Roman" w:cs="Times New Roman"/>
          <w:bCs/>
          <w:color w:val="000000"/>
          <w:sz w:val="24"/>
          <w:szCs w:val="24"/>
        </w:rPr>
        <w:fldChar w:fldCharType="begin"/>
      </w:r>
      <w:r w:rsidR="00BD4BEC" w:rsidRPr="00597FFB">
        <w:rPr>
          <w:rFonts w:ascii="Times New Roman" w:eastAsia="Times New Roman" w:hAnsi="Times New Roman" w:cs="Times New Roman"/>
          <w:bCs/>
          <w:color w:val="000000"/>
          <w:sz w:val="24"/>
          <w:szCs w:val="24"/>
        </w:rPr>
        <w:instrText xml:space="preserve"> ADDIN ZOTERO_ITEM CSL_CITATION {"citationID":"a15vk1ikhm9","properties":{"formattedCitation":"(AL-Dabbagh, 2020b)","plainCitation":"(AL-Dabbagh, 2020b)","noteIndex":0},"citationItems":[{"id":1338,"uris":["http://zotero.org/users/local/b6CRLSJH/items/7EASP398"],"itemData":{"id":1338,"type":"chapter","container-title":"Renewable Energy and Sustainable Buildings","event-place":"Cham","ISBN":"978-3-030-18487-2","language":"en","note":"collection-title: Innovative Renewable Energy\nDOI: 10.1007/978-3-030-18488-9_17","page":"221-233","publisher":"Springer International Publishing","publisher-place":"Cham","source":"DOI.org (Crossref)","title":"Toward Green Building and Eco-cities in the UAE","URL":"http://link.springer.com/10.1007/978-3-030-18488-9_17","editor":[{"family":"Sayigh","given":"Ali"}],"author":[{"family":"AL-Dabbagh","given":"Riadh H."}],"accessed":{"date-parts":[["2021",4,16]]},"issued":{"date-parts":[["2020"]]}}}],"schema":"https://github.com/citation-style-language/schema/raw/master/csl-citation.json"} </w:instrText>
      </w:r>
      <w:r w:rsidR="00EB4355" w:rsidRPr="00597FFB">
        <w:rPr>
          <w:rFonts w:ascii="Times New Roman" w:eastAsia="Times New Roman" w:hAnsi="Times New Roman" w:cs="Times New Roman"/>
          <w:bCs/>
          <w:color w:val="000000"/>
          <w:sz w:val="24"/>
          <w:szCs w:val="24"/>
        </w:rPr>
        <w:fldChar w:fldCharType="separate"/>
      </w:r>
      <w:r w:rsidR="00BD4BEC" w:rsidRPr="00597FFB">
        <w:rPr>
          <w:rFonts w:ascii="Times New Roman" w:hAnsi="Times New Roman" w:cs="Times New Roman"/>
          <w:sz w:val="24"/>
          <w:szCs w:val="24"/>
        </w:rPr>
        <w:t>(AL-Dabbagh, 2020b)</w:t>
      </w:r>
      <w:r w:rsidR="00EB4355" w:rsidRPr="00597FFB">
        <w:rPr>
          <w:rFonts w:ascii="Times New Roman" w:eastAsia="Times New Roman" w:hAnsi="Times New Roman" w:cs="Times New Roman"/>
          <w:bCs/>
          <w:color w:val="000000"/>
          <w:sz w:val="24"/>
          <w:szCs w:val="24"/>
        </w:rPr>
        <w:fldChar w:fldCharType="end"/>
      </w:r>
      <w:r w:rsidR="00EB4355" w:rsidRPr="00597FFB">
        <w:rPr>
          <w:rFonts w:ascii="Times New Roman" w:eastAsia="Times New Roman" w:hAnsi="Times New Roman" w:cs="Times New Roman"/>
          <w:bCs/>
          <w:color w:val="000000"/>
          <w:sz w:val="24"/>
          <w:szCs w:val="24"/>
        </w:rPr>
        <w:t xml:space="preserve">. </w:t>
      </w:r>
      <w:r w:rsidRPr="00597FFB">
        <w:rPr>
          <w:rFonts w:ascii="Times New Roman" w:eastAsia="Calibri" w:hAnsi="Times New Roman" w:cs="Times New Roman"/>
          <w:iCs/>
          <w:color w:val="000000"/>
          <w:sz w:val="24"/>
          <w:szCs w:val="24"/>
        </w:rPr>
        <w:t xml:space="preserve">This growth is triggered by economic development that encourages consumptive behavior, technology updating due to industrial escalation, and people's dependency on electronic products due to their busy lives </w:t>
      </w:r>
      <w:r w:rsidR="00835868" w:rsidRPr="00597FFB">
        <w:rPr>
          <w:rFonts w:ascii="Times New Roman" w:eastAsia="Calibri" w:hAnsi="Times New Roman" w:cs="Times New Roman"/>
          <w:bCs/>
          <w:iCs/>
          <w:color w:val="000000"/>
          <w:sz w:val="24"/>
          <w:szCs w:val="24"/>
        </w:rPr>
        <w:fldChar w:fldCharType="begin"/>
      </w:r>
      <w:r w:rsidR="00BD4BEC" w:rsidRPr="00597FFB">
        <w:rPr>
          <w:rFonts w:ascii="Times New Roman" w:eastAsia="Calibri" w:hAnsi="Times New Roman" w:cs="Times New Roman"/>
          <w:bCs/>
          <w:iCs/>
          <w:color w:val="000000"/>
          <w:sz w:val="24"/>
          <w:szCs w:val="24"/>
        </w:rPr>
        <w:instrText xml:space="preserve"> ADDIN ZOTERO_ITEM CSL_CITATION {"citationID":"a10i6smbc2o","properties":{"formattedCitation":"(Esfandiar et al., 2020b)","plainCitation":"(Esfandiar et al., 2020b)","noteIndex":0},"citationItems":[{"id":3335,"uris":["http://zotero.org/users/local/b6CRLSJH/items/4PD8FM5W"],"itemData":{"id":3335,"type":"article-journal","abstract":"A pro-environmental behaviour to solve the problem of litter management in the national parks is binning. This study is the first to explore the factors affecting an individual’s binning behaviour in the context of a national park. Drawing on theories with self-interest (i.e. theory of planned behaviour) and other-interest/pro-social (i.e. norm-activation model) motives, an integrated structural model of binning behaviour (IMB) was developed. Our study analysed data from visitors (n ¼ 240) to Sorkh-ehesar National Park in Iran. Based on our proposed integrated theory of planned behaviour and norm activation model, the partial least squares structural equation modelling (PLS-SEM) provided satisfactory empirical anticipatory efficacy for binning behaviours. The PLS-SEM results revealed the association between awareness of consequences and personal norms was the strongest, and personal norm was the most influential determinant of pro-environmental binning behaviour. The results also showed that attitude had no significant effect on binning behaviour but was influenced by awareness of consequences. Moreover, a salient role of personal norms in predicting binning behaviour emerged – personal norms illuminated a significant mediator between social norms, awareness of consequences and binning behaviour. Results of this study endorse the proposed theoretical framework, including the associations among study variables. National park agencies should strengthen the saliency of visitors’ personal norms and raise awareness of littering problems and social norms to increase visitors’ bin use while visiting the park.","container-title":"Journal of Sustainable Tourism","DOI":"10.1080/09669582.2019.1663203","ISSN":"0966-9582, 1747-7646","issue":"1","journalAbbreviation":"Journal of Sustainable Tourism","language":"en","note":"number: 1","page":"10-32","source":"DOI.org (Crossref)","title":"Personal norms and the adoption of pro-environmental binning behaviour in national parks: an integrated structural model approach","title-short":"Personal norms and the adoption of pro-environmental binning behaviour in national parks","volume":"28","author":[{"family":"Esfandiar","given":"Kourosh"},{"family":"Dowling","given":"Ross"},{"family":"Pearce","given":"Joanna"},{"family":"Goh","given":"Edmund"}],"issued":{"date-parts":[["2020",1,2]]}}}],"schema":"https://github.com/citation-style-language/schema/raw/master/csl-citation.json"} </w:instrText>
      </w:r>
      <w:r w:rsidR="00835868" w:rsidRPr="00597FFB">
        <w:rPr>
          <w:rFonts w:ascii="Times New Roman" w:eastAsia="Calibri" w:hAnsi="Times New Roman" w:cs="Times New Roman"/>
          <w:bCs/>
          <w:iCs/>
          <w:color w:val="000000"/>
          <w:sz w:val="24"/>
          <w:szCs w:val="24"/>
        </w:rPr>
        <w:fldChar w:fldCharType="separate"/>
      </w:r>
      <w:r w:rsidR="00BD4BEC" w:rsidRPr="00597FFB">
        <w:rPr>
          <w:rFonts w:ascii="Times New Roman" w:hAnsi="Times New Roman" w:cs="Times New Roman"/>
          <w:sz w:val="24"/>
          <w:szCs w:val="24"/>
        </w:rPr>
        <w:t>(Esfandiar et al., 2020b)</w:t>
      </w:r>
      <w:r w:rsidR="00835868" w:rsidRPr="00597FFB">
        <w:rPr>
          <w:rFonts w:ascii="Times New Roman" w:eastAsia="Calibri" w:hAnsi="Times New Roman" w:cs="Times New Roman"/>
          <w:bCs/>
          <w:iCs/>
          <w:color w:val="000000"/>
          <w:sz w:val="24"/>
          <w:szCs w:val="24"/>
        </w:rPr>
        <w:fldChar w:fldCharType="end"/>
      </w:r>
      <w:r w:rsidR="00EB4355" w:rsidRPr="00597FFB">
        <w:rPr>
          <w:rFonts w:ascii="Times New Roman" w:eastAsia="Calibri" w:hAnsi="Times New Roman" w:cs="Times New Roman"/>
          <w:bCs/>
          <w:iCs/>
          <w:color w:val="000000"/>
          <w:sz w:val="24"/>
          <w:szCs w:val="24"/>
        </w:rPr>
        <w:t xml:space="preserve">. </w:t>
      </w:r>
      <w:r w:rsidR="00A3507A" w:rsidRPr="00597FFB">
        <w:rPr>
          <w:rFonts w:ascii="Times New Roman" w:eastAsia="Calibri" w:hAnsi="Times New Roman" w:cs="Times New Roman"/>
          <w:color w:val="000000"/>
          <w:sz w:val="24"/>
          <w:szCs w:val="24"/>
        </w:rPr>
        <w:t>Introducing</w:t>
      </w:r>
      <w:r w:rsidRPr="00597FFB">
        <w:rPr>
          <w:rFonts w:ascii="Times New Roman" w:eastAsia="Calibri" w:hAnsi="Times New Roman" w:cs="Times New Roman"/>
          <w:color w:val="000000"/>
          <w:sz w:val="24"/>
          <w:szCs w:val="24"/>
        </w:rPr>
        <w:t xml:space="preserve"> innovative EEE with </w:t>
      </w:r>
      <w:r w:rsidR="00A3507A" w:rsidRPr="00597FFB">
        <w:rPr>
          <w:rFonts w:ascii="Times New Roman" w:eastAsia="Calibri" w:hAnsi="Times New Roman" w:cs="Times New Roman"/>
          <w:color w:val="000000"/>
          <w:sz w:val="24"/>
          <w:szCs w:val="24"/>
        </w:rPr>
        <w:t>novel</w:t>
      </w:r>
      <w:r w:rsidRPr="00597FFB">
        <w:rPr>
          <w:rFonts w:ascii="Times New Roman" w:eastAsia="Calibri" w:hAnsi="Times New Roman" w:cs="Times New Roman"/>
          <w:color w:val="000000"/>
          <w:sz w:val="24"/>
          <w:szCs w:val="24"/>
        </w:rPr>
        <w:t xml:space="preserve"> </w:t>
      </w:r>
      <w:r w:rsidR="00A3507A" w:rsidRPr="00597FFB">
        <w:rPr>
          <w:rFonts w:ascii="Times New Roman" w:eastAsia="Calibri" w:hAnsi="Times New Roman" w:cs="Times New Roman"/>
          <w:color w:val="000000"/>
          <w:sz w:val="24"/>
          <w:szCs w:val="24"/>
        </w:rPr>
        <w:t xml:space="preserve">features </w:t>
      </w:r>
      <w:r w:rsidRPr="00597FFB">
        <w:rPr>
          <w:rFonts w:ascii="Times New Roman" w:eastAsia="Calibri" w:hAnsi="Times New Roman" w:cs="Times New Roman"/>
          <w:color w:val="000000"/>
          <w:sz w:val="24"/>
          <w:szCs w:val="24"/>
        </w:rPr>
        <w:t xml:space="preserve">and </w:t>
      </w:r>
      <w:r w:rsidR="00A3507A" w:rsidRPr="00597FFB">
        <w:rPr>
          <w:rFonts w:ascii="Times New Roman" w:eastAsia="Calibri" w:hAnsi="Times New Roman" w:cs="Times New Roman"/>
          <w:color w:val="000000"/>
          <w:sz w:val="24"/>
          <w:szCs w:val="24"/>
        </w:rPr>
        <w:t xml:space="preserve">functions </w:t>
      </w:r>
      <w:r w:rsidRPr="00597FFB">
        <w:rPr>
          <w:rFonts w:ascii="Times New Roman" w:eastAsia="Calibri" w:hAnsi="Times New Roman" w:cs="Times New Roman"/>
          <w:color w:val="000000"/>
          <w:sz w:val="24"/>
          <w:szCs w:val="24"/>
        </w:rPr>
        <w:t xml:space="preserve">stimulates young consumers' desire to </w:t>
      </w:r>
      <w:r w:rsidR="00A3507A" w:rsidRPr="00597FFB">
        <w:rPr>
          <w:rFonts w:ascii="Times New Roman" w:eastAsia="Calibri" w:hAnsi="Times New Roman" w:cs="Times New Roman"/>
          <w:color w:val="000000"/>
          <w:sz w:val="24"/>
          <w:szCs w:val="24"/>
        </w:rPr>
        <w:t>buy</w:t>
      </w:r>
      <w:r w:rsidRPr="00597FFB">
        <w:rPr>
          <w:rFonts w:ascii="Times New Roman" w:eastAsia="Calibri" w:hAnsi="Times New Roman" w:cs="Times New Roman"/>
          <w:color w:val="000000"/>
          <w:sz w:val="24"/>
          <w:szCs w:val="24"/>
        </w:rPr>
        <w:t xml:space="preserve"> the </w:t>
      </w:r>
      <w:r w:rsidR="00A3507A" w:rsidRPr="00597FFB">
        <w:rPr>
          <w:rFonts w:ascii="Times New Roman" w:eastAsia="Calibri" w:hAnsi="Times New Roman" w:cs="Times New Roman"/>
          <w:color w:val="000000"/>
          <w:sz w:val="24"/>
          <w:szCs w:val="24"/>
        </w:rPr>
        <w:t>most recent</w:t>
      </w:r>
      <w:r w:rsidRPr="00597FFB">
        <w:rPr>
          <w:rFonts w:ascii="Times New Roman" w:eastAsia="Calibri" w:hAnsi="Times New Roman" w:cs="Times New Roman"/>
          <w:color w:val="000000"/>
          <w:sz w:val="24"/>
          <w:szCs w:val="24"/>
        </w:rPr>
        <w:t xml:space="preserve"> equipment (Wang et al., 2020). </w:t>
      </w:r>
      <w:r w:rsidRPr="00597FFB">
        <w:rPr>
          <w:rFonts w:ascii="Times New Roman" w:eastAsia="Calibri" w:hAnsi="Times New Roman" w:cs="Times New Roman"/>
          <w:iCs/>
          <w:color w:val="000000"/>
          <w:sz w:val="24"/>
          <w:szCs w:val="24"/>
        </w:rPr>
        <w:t xml:space="preserve">Therefore, due to the above-listed factors, the UAE's E-waste amount increases </w:t>
      </w:r>
      <w:r w:rsidRPr="00597FFB">
        <w:rPr>
          <w:rFonts w:ascii="Times New Roman" w:eastAsia="Calibri" w:hAnsi="Times New Roman" w:cs="Times New Roman"/>
          <w:color w:val="000000"/>
          <w:sz w:val="24"/>
          <w:szCs w:val="24"/>
        </w:rPr>
        <w:t xml:space="preserve">(Aboelmaged, 2020). </w:t>
      </w:r>
    </w:p>
    <w:p w14:paraId="4CA66DC7" w14:textId="62A25E7B" w:rsidR="008B6AB0" w:rsidRPr="00597FFB" w:rsidRDefault="008B6AB0" w:rsidP="00A558FE">
      <w:pPr>
        <w:spacing w:before="26" w:after="26" w:line="480" w:lineRule="auto"/>
        <w:ind w:firstLine="720"/>
        <w:jc w:val="both"/>
        <w:rPr>
          <w:rFonts w:ascii="Times New Roman" w:eastAsia="Calibri" w:hAnsi="Times New Roman" w:cs="Times New Roman"/>
          <w:iCs/>
          <w:color w:val="000000"/>
          <w:sz w:val="24"/>
          <w:szCs w:val="24"/>
        </w:rPr>
      </w:pPr>
      <w:r w:rsidRPr="00597FFB">
        <w:rPr>
          <w:rFonts w:ascii="Times New Roman" w:eastAsia="Calibri" w:hAnsi="Times New Roman" w:cs="Times New Roman"/>
          <w:color w:val="000000"/>
          <w:sz w:val="24"/>
          <w:szCs w:val="24"/>
        </w:rPr>
        <w:t>Large quantities of these items are available in the UAE. The</w:t>
      </w:r>
      <w:r w:rsidR="00A3507A" w:rsidRPr="00597FFB">
        <w:rPr>
          <w:rFonts w:ascii="Times New Roman" w:eastAsia="Calibri" w:hAnsi="Times New Roman" w:cs="Times New Roman"/>
          <w:color w:val="000000"/>
          <w:sz w:val="24"/>
          <w:szCs w:val="24"/>
        </w:rPr>
        <w:t xml:space="preserve"> UAE faces the same</w:t>
      </w:r>
      <w:r w:rsidRPr="00597FFB">
        <w:rPr>
          <w:rFonts w:ascii="Times New Roman" w:eastAsia="Calibri" w:hAnsi="Times New Roman" w:cs="Times New Roman"/>
          <w:color w:val="000000"/>
          <w:sz w:val="24"/>
          <w:szCs w:val="24"/>
        </w:rPr>
        <w:t xml:space="preserve"> global </w:t>
      </w:r>
      <w:r w:rsidR="00A3507A" w:rsidRPr="00597FFB">
        <w:rPr>
          <w:rFonts w:ascii="Times New Roman" w:eastAsia="Calibri" w:hAnsi="Times New Roman" w:cs="Times New Roman"/>
          <w:color w:val="000000"/>
          <w:sz w:val="24"/>
          <w:szCs w:val="24"/>
        </w:rPr>
        <w:t>problem</w:t>
      </w:r>
      <w:r w:rsidRPr="00597FFB">
        <w:rPr>
          <w:rFonts w:ascii="Times New Roman" w:eastAsia="Calibri" w:hAnsi="Times New Roman" w:cs="Times New Roman"/>
          <w:color w:val="000000"/>
          <w:sz w:val="24"/>
          <w:szCs w:val="24"/>
        </w:rPr>
        <w:t xml:space="preserve"> of </w:t>
      </w:r>
      <w:r w:rsidR="00A3507A" w:rsidRPr="00597FFB">
        <w:rPr>
          <w:rFonts w:ascii="Times New Roman" w:eastAsia="Calibri" w:hAnsi="Times New Roman" w:cs="Times New Roman"/>
          <w:color w:val="000000"/>
          <w:sz w:val="24"/>
          <w:szCs w:val="24"/>
        </w:rPr>
        <w:t>growing</w:t>
      </w:r>
      <w:r w:rsidRPr="00597FFB">
        <w:rPr>
          <w:rFonts w:ascii="Times New Roman" w:eastAsia="Calibri" w:hAnsi="Times New Roman" w:cs="Times New Roman"/>
          <w:color w:val="000000"/>
          <w:sz w:val="24"/>
          <w:szCs w:val="24"/>
        </w:rPr>
        <w:t xml:space="preserve"> E-waste </w:t>
      </w:r>
      <w:r w:rsidR="00A3507A" w:rsidRPr="00597FFB">
        <w:rPr>
          <w:rFonts w:ascii="Times New Roman" w:eastAsia="Calibri" w:hAnsi="Times New Roman" w:cs="Times New Roman"/>
          <w:color w:val="000000"/>
          <w:sz w:val="24"/>
          <w:szCs w:val="24"/>
        </w:rPr>
        <w:t>volumes</w:t>
      </w:r>
      <w:r w:rsidRPr="00597FFB">
        <w:rPr>
          <w:rFonts w:ascii="Times New Roman" w:eastAsia="Calibri" w:hAnsi="Times New Roman" w:cs="Times New Roman"/>
          <w:color w:val="000000"/>
          <w:sz w:val="24"/>
          <w:szCs w:val="24"/>
        </w:rPr>
        <w:t xml:space="preserve"> and </w:t>
      </w:r>
      <w:r w:rsidR="00A3507A" w:rsidRPr="00597FFB">
        <w:rPr>
          <w:rFonts w:ascii="Times New Roman" w:eastAsia="Calibri" w:hAnsi="Times New Roman" w:cs="Times New Roman"/>
          <w:color w:val="000000"/>
          <w:sz w:val="24"/>
          <w:szCs w:val="24"/>
        </w:rPr>
        <w:t>inappropriate</w:t>
      </w:r>
      <w:r w:rsidRPr="00597FFB">
        <w:rPr>
          <w:rFonts w:ascii="Times New Roman" w:eastAsia="Calibri" w:hAnsi="Times New Roman" w:cs="Times New Roman"/>
          <w:color w:val="000000"/>
          <w:sz w:val="24"/>
          <w:szCs w:val="24"/>
        </w:rPr>
        <w:t xml:space="preserve"> dumping </w:t>
      </w:r>
      <w:r w:rsidR="00A74F93" w:rsidRPr="00597FFB">
        <w:rPr>
          <w:rFonts w:ascii="Times New Roman" w:eastAsia="Calibri" w:hAnsi="Times New Roman" w:cs="Times New Roman"/>
          <w:color w:val="000000"/>
          <w:sz w:val="24"/>
          <w:szCs w:val="24"/>
        </w:rPr>
        <w:fldChar w:fldCharType="begin"/>
      </w:r>
      <w:r w:rsidR="007936C8" w:rsidRPr="00597FFB">
        <w:rPr>
          <w:rFonts w:ascii="Times New Roman" w:eastAsia="Calibri" w:hAnsi="Times New Roman" w:cs="Times New Roman"/>
          <w:color w:val="000000"/>
          <w:sz w:val="24"/>
          <w:szCs w:val="24"/>
        </w:rPr>
        <w:instrText xml:space="preserve"> ADDIN ZOTERO_ITEM CSL_CITATION {"citationID":"a1cku6c0qeu","properties":{"formattedCitation":"(Alnaser &amp; Alnaser, 2019)","plainCitation":"(Alnaser &amp; Alnaser, 2019)","noteIndex":0},"citationItems":[{"id":2931,"uris":["http://zotero.org/users/local/b6CRLSJH/items/2VAYMQUQ"],"itemData":{"id":2931,"type":"article-journal","abstract":"The research and the prototype projects in the GCC countries were in place since 1970's which first was started in Kuwait, followed by Saudi Arabia in the 1980's, United Arab Emirates in the 1990's, Bahrain, Oman and Qatar in 21 centuries. Now all GCC countries had conducted, relatively, large project in solar and wind energy, especially Kuwait (currently about 70 MW among a plan of 2000 MW by 2030), UAE (currently about 300 MW among a plan of 2500 MW by 2030) and Saudi Arabia (with an ambitious renewable energy target of 3450 MW by 2020 with a further 6000 GW envisioned by 2023 and to 200 000 MW by 2030). Such an acceleration in the use of solar and wind energy would have an impact. Major impacts are: (1) Major reduction in the solar electricity prices in the region; (2) More investors in renewable energy business; (3) Rise of innovative design of houses to utilize its structure in installation and integration of renewable energy devices; (4) Rise of many service and maintenance of solar technology companies; (5) Establishment of new academic programs and courses in solar and other renewable energy technologies in the higher education institute and technical organizations; (6) More concern and studies on disturbances to the main grid due to solar connection; (7) Major reduction in carbon footprint per capita in GCC countries; (8) Use of more efficient and low consumption household and industrial devices; (9) Boost in battery industry for solar electricity storage.","container-title":"Renewable Energy and Environmental Sustainability","DOI":"10.1051/rees/2019004","ISSN":"2493-9439","journalAbbreviation":"Renew. Energy Environ. Sustain.","page":"7","source":"DOI.org (Crossref)","title":"The impact of the rise of using solar energy in GCC countries","volume":"4","author":[{"family":"Alnaser","given":"N.W."},{"family":"Alnaser","given":"W.E."}],"issued":{"date-parts":[["2019"]]}}}],"schema":"https://github.com/citation-style-language/schema/raw/master/csl-citation.json"} </w:instrText>
      </w:r>
      <w:r w:rsidR="00A74F93" w:rsidRPr="00597FFB">
        <w:rPr>
          <w:rFonts w:ascii="Times New Roman" w:eastAsia="Calibri" w:hAnsi="Times New Roman" w:cs="Times New Roman"/>
          <w:color w:val="000000"/>
          <w:sz w:val="24"/>
          <w:szCs w:val="24"/>
        </w:rPr>
        <w:fldChar w:fldCharType="separate"/>
      </w:r>
      <w:r w:rsidR="007936C8" w:rsidRPr="00597FFB">
        <w:rPr>
          <w:rFonts w:ascii="Times New Roman" w:hAnsi="Times New Roman" w:cs="Times New Roman"/>
          <w:sz w:val="24"/>
          <w:szCs w:val="24"/>
        </w:rPr>
        <w:t>(Alnaser &amp; Alnaser, 2019)</w:t>
      </w:r>
      <w:r w:rsidR="00A74F93" w:rsidRPr="00597FFB">
        <w:rPr>
          <w:rFonts w:ascii="Times New Roman" w:eastAsia="Calibri" w:hAnsi="Times New Roman" w:cs="Times New Roman"/>
          <w:color w:val="000000"/>
          <w:sz w:val="24"/>
          <w:szCs w:val="24"/>
        </w:rPr>
        <w:fldChar w:fldCharType="end"/>
      </w:r>
      <w:r w:rsidR="00A74F93" w:rsidRPr="00597FFB">
        <w:rPr>
          <w:rFonts w:ascii="Times New Roman" w:eastAsia="Calibri" w:hAnsi="Times New Roman" w:cs="Times New Roman"/>
          <w:color w:val="000000"/>
          <w:sz w:val="24"/>
          <w:szCs w:val="24"/>
        </w:rPr>
        <w:t xml:space="preserve">. </w:t>
      </w:r>
      <w:r w:rsidR="00A3507A" w:rsidRPr="00597FFB">
        <w:rPr>
          <w:rFonts w:ascii="Times New Roman" w:eastAsia="Times New Roman" w:hAnsi="Times New Roman" w:cs="Times New Roman"/>
          <w:bCs/>
          <w:color w:val="000000"/>
          <w:sz w:val="24"/>
          <w:szCs w:val="24"/>
        </w:rPr>
        <w:t>Inappropriate</w:t>
      </w:r>
      <w:r w:rsidRPr="00597FFB">
        <w:rPr>
          <w:rFonts w:ascii="Times New Roman" w:eastAsia="Times New Roman" w:hAnsi="Times New Roman" w:cs="Times New Roman"/>
          <w:bCs/>
          <w:color w:val="000000"/>
          <w:sz w:val="24"/>
          <w:szCs w:val="24"/>
        </w:rPr>
        <w:t xml:space="preserve"> end-of-life treatment, </w:t>
      </w:r>
      <w:r w:rsidR="00A3507A" w:rsidRPr="00597FFB">
        <w:rPr>
          <w:rFonts w:ascii="Times New Roman" w:eastAsia="Times New Roman" w:hAnsi="Times New Roman" w:cs="Times New Roman"/>
          <w:bCs/>
          <w:color w:val="000000"/>
          <w:sz w:val="24"/>
          <w:szCs w:val="24"/>
        </w:rPr>
        <w:t xml:space="preserve">toxic </w:t>
      </w:r>
      <w:r w:rsidRPr="00597FFB">
        <w:rPr>
          <w:rFonts w:ascii="Times New Roman" w:eastAsia="Times New Roman" w:hAnsi="Times New Roman" w:cs="Times New Roman"/>
          <w:bCs/>
          <w:color w:val="000000"/>
          <w:sz w:val="24"/>
          <w:szCs w:val="24"/>
        </w:rPr>
        <w:t xml:space="preserve">substances such as </w:t>
      </w:r>
      <w:r w:rsidR="00A3507A" w:rsidRPr="00597FFB">
        <w:rPr>
          <w:rFonts w:ascii="Times New Roman" w:eastAsia="Times New Roman" w:hAnsi="Times New Roman" w:cs="Times New Roman"/>
          <w:bCs/>
          <w:color w:val="000000"/>
          <w:sz w:val="24"/>
          <w:szCs w:val="24"/>
        </w:rPr>
        <w:t>brominated fire retardants</w:t>
      </w:r>
      <w:r w:rsidRPr="00597FFB">
        <w:rPr>
          <w:rFonts w:ascii="Times New Roman" w:eastAsia="Times New Roman" w:hAnsi="Times New Roman" w:cs="Times New Roman"/>
          <w:bCs/>
          <w:color w:val="000000"/>
          <w:sz w:val="24"/>
          <w:szCs w:val="24"/>
        </w:rPr>
        <w:t xml:space="preserve">, polyvinyl chloride, and </w:t>
      </w:r>
      <w:r w:rsidR="00A3507A" w:rsidRPr="00597FFB">
        <w:rPr>
          <w:rFonts w:ascii="Times New Roman" w:eastAsia="Times New Roman" w:hAnsi="Times New Roman" w:cs="Times New Roman"/>
          <w:bCs/>
          <w:color w:val="000000"/>
          <w:sz w:val="24"/>
          <w:szCs w:val="24"/>
        </w:rPr>
        <w:t>lead potentially</w:t>
      </w:r>
      <w:r w:rsidRPr="00597FFB">
        <w:rPr>
          <w:rFonts w:ascii="Times New Roman" w:eastAsia="Times New Roman" w:hAnsi="Times New Roman" w:cs="Times New Roman"/>
          <w:bCs/>
          <w:color w:val="000000"/>
          <w:sz w:val="24"/>
          <w:szCs w:val="24"/>
        </w:rPr>
        <w:t xml:space="preserve"> </w:t>
      </w:r>
      <w:r w:rsidR="00A3507A" w:rsidRPr="00597FFB">
        <w:rPr>
          <w:rFonts w:ascii="Times New Roman" w:eastAsia="Times New Roman" w:hAnsi="Times New Roman" w:cs="Times New Roman"/>
          <w:bCs/>
          <w:color w:val="000000"/>
          <w:sz w:val="24"/>
          <w:szCs w:val="24"/>
        </w:rPr>
        <w:t>dispel</w:t>
      </w:r>
      <w:r w:rsidRPr="00597FFB">
        <w:rPr>
          <w:rFonts w:ascii="Times New Roman" w:eastAsia="Times New Roman" w:hAnsi="Times New Roman" w:cs="Times New Roman"/>
          <w:bCs/>
          <w:color w:val="000000"/>
          <w:sz w:val="24"/>
          <w:szCs w:val="24"/>
        </w:rPr>
        <w:t xml:space="preserve"> into the environment </w:t>
      </w:r>
      <w:r w:rsidR="00A3507A" w:rsidRPr="00597FFB">
        <w:rPr>
          <w:rFonts w:ascii="Times New Roman" w:eastAsia="Times New Roman" w:hAnsi="Times New Roman" w:cs="Times New Roman"/>
          <w:bCs/>
          <w:color w:val="000000"/>
          <w:sz w:val="24"/>
          <w:szCs w:val="24"/>
        </w:rPr>
        <w:t>thereby</w:t>
      </w:r>
      <w:r w:rsidRPr="00597FFB">
        <w:rPr>
          <w:rFonts w:ascii="Times New Roman" w:eastAsia="Times New Roman" w:hAnsi="Times New Roman" w:cs="Times New Roman"/>
          <w:bCs/>
          <w:color w:val="000000"/>
          <w:sz w:val="24"/>
          <w:szCs w:val="24"/>
        </w:rPr>
        <w:t xml:space="preserve"> harm</w:t>
      </w:r>
      <w:r w:rsidR="00A3507A" w:rsidRPr="00597FFB">
        <w:rPr>
          <w:rFonts w:ascii="Times New Roman" w:eastAsia="Times New Roman" w:hAnsi="Times New Roman" w:cs="Times New Roman"/>
          <w:bCs/>
          <w:color w:val="000000"/>
          <w:sz w:val="24"/>
          <w:szCs w:val="24"/>
        </w:rPr>
        <w:t>ing</w:t>
      </w:r>
      <w:r w:rsidRPr="00597FFB">
        <w:rPr>
          <w:rFonts w:ascii="Times New Roman" w:eastAsia="Times New Roman" w:hAnsi="Times New Roman" w:cs="Times New Roman"/>
          <w:bCs/>
          <w:color w:val="000000"/>
          <w:sz w:val="24"/>
          <w:szCs w:val="24"/>
        </w:rPr>
        <w:t xml:space="preserve"> </w:t>
      </w:r>
      <w:r w:rsidR="00A3507A" w:rsidRPr="00597FFB">
        <w:rPr>
          <w:rFonts w:ascii="Times New Roman" w:eastAsia="Times New Roman" w:hAnsi="Times New Roman" w:cs="Times New Roman"/>
          <w:bCs/>
          <w:color w:val="000000"/>
          <w:sz w:val="24"/>
          <w:szCs w:val="24"/>
        </w:rPr>
        <w:t>people</w:t>
      </w:r>
      <w:r w:rsidRPr="00597FFB">
        <w:rPr>
          <w:rFonts w:ascii="Times New Roman" w:eastAsia="Times New Roman" w:hAnsi="Times New Roman" w:cs="Times New Roman"/>
          <w:bCs/>
          <w:color w:val="000000"/>
          <w:sz w:val="24"/>
          <w:szCs w:val="24"/>
        </w:rPr>
        <w:t xml:space="preserve"> (Alghazo et al., 201</w:t>
      </w:r>
      <w:r w:rsidR="004C04A8" w:rsidRPr="00597FFB">
        <w:rPr>
          <w:rFonts w:ascii="Times New Roman" w:eastAsia="Times New Roman" w:hAnsi="Times New Roman" w:cs="Times New Roman"/>
          <w:bCs/>
          <w:color w:val="000000"/>
          <w:sz w:val="24"/>
          <w:szCs w:val="24"/>
        </w:rPr>
        <w:t>9</w:t>
      </w:r>
      <w:r w:rsidRPr="00597FFB">
        <w:rPr>
          <w:rFonts w:ascii="Times New Roman" w:eastAsia="Times New Roman" w:hAnsi="Times New Roman" w:cs="Times New Roman"/>
          <w:bCs/>
          <w:color w:val="000000"/>
          <w:sz w:val="24"/>
          <w:szCs w:val="24"/>
        </w:rPr>
        <w:t xml:space="preserve">). </w:t>
      </w:r>
      <w:r w:rsidR="00A3507A" w:rsidRPr="00597FFB">
        <w:rPr>
          <w:rFonts w:ascii="Times New Roman" w:eastAsia="Times New Roman" w:hAnsi="Times New Roman" w:cs="Times New Roman"/>
          <w:bCs/>
          <w:color w:val="000000"/>
          <w:sz w:val="24"/>
          <w:szCs w:val="24"/>
        </w:rPr>
        <w:t>Inappropriate</w:t>
      </w:r>
      <w:r w:rsidRPr="00597FFB">
        <w:rPr>
          <w:rFonts w:ascii="Times New Roman" w:eastAsia="Times New Roman" w:hAnsi="Times New Roman" w:cs="Times New Roman"/>
          <w:bCs/>
          <w:color w:val="000000"/>
          <w:sz w:val="24"/>
          <w:szCs w:val="24"/>
        </w:rPr>
        <w:t xml:space="preserve"> E-waste </w:t>
      </w:r>
      <w:r w:rsidR="00A3507A" w:rsidRPr="00597FFB">
        <w:rPr>
          <w:rFonts w:ascii="Times New Roman" w:eastAsia="Times New Roman" w:hAnsi="Times New Roman" w:cs="Times New Roman"/>
          <w:bCs/>
          <w:color w:val="000000"/>
          <w:sz w:val="24"/>
          <w:szCs w:val="24"/>
        </w:rPr>
        <w:t xml:space="preserve">disposal </w:t>
      </w:r>
      <w:r w:rsidRPr="00597FFB">
        <w:rPr>
          <w:rFonts w:ascii="Times New Roman" w:eastAsia="Times New Roman" w:hAnsi="Times New Roman" w:cs="Times New Roman"/>
          <w:bCs/>
          <w:color w:val="000000"/>
          <w:sz w:val="24"/>
          <w:szCs w:val="24"/>
        </w:rPr>
        <w:t xml:space="preserve">is a </w:t>
      </w:r>
      <w:r w:rsidR="00A3507A" w:rsidRPr="00597FFB">
        <w:rPr>
          <w:rFonts w:ascii="Times New Roman" w:eastAsia="Times New Roman" w:hAnsi="Times New Roman" w:cs="Times New Roman"/>
          <w:bCs/>
          <w:color w:val="000000"/>
          <w:sz w:val="24"/>
          <w:szCs w:val="24"/>
        </w:rPr>
        <w:t>prevalent</w:t>
      </w:r>
      <w:r w:rsidRPr="00597FFB">
        <w:rPr>
          <w:rFonts w:ascii="Times New Roman" w:eastAsia="Times New Roman" w:hAnsi="Times New Roman" w:cs="Times New Roman"/>
          <w:bCs/>
          <w:color w:val="000000"/>
          <w:sz w:val="24"/>
          <w:szCs w:val="24"/>
        </w:rPr>
        <w:t xml:space="preserve"> threat, </w:t>
      </w:r>
      <w:r w:rsidR="00A3507A" w:rsidRPr="00597FFB">
        <w:rPr>
          <w:rFonts w:ascii="Times New Roman" w:eastAsia="Times New Roman" w:hAnsi="Times New Roman" w:cs="Times New Roman"/>
          <w:bCs/>
          <w:color w:val="000000"/>
          <w:sz w:val="24"/>
          <w:szCs w:val="24"/>
        </w:rPr>
        <w:t xml:space="preserve">especially with </w:t>
      </w:r>
      <w:r w:rsidRPr="00597FFB">
        <w:rPr>
          <w:rFonts w:ascii="Times New Roman" w:eastAsia="Times New Roman" w:hAnsi="Times New Roman" w:cs="Times New Roman"/>
          <w:bCs/>
          <w:color w:val="000000"/>
          <w:sz w:val="24"/>
          <w:szCs w:val="24"/>
        </w:rPr>
        <w:t xml:space="preserve">informal recycling </w:t>
      </w:r>
      <w:r w:rsidR="00A3507A" w:rsidRPr="00597FFB">
        <w:rPr>
          <w:rFonts w:ascii="Times New Roman" w:eastAsia="Times New Roman" w:hAnsi="Times New Roman" w:cs="Times New Roman"/>
          <w:bCs/>
          <w:color w:val="000000"/>
          <w:sz w:val="24"/>
          <w:szCs w:val="24"/>
        </w:rPr>
        <w:t>being on a rapid rise</w:t>
      </w:r>
      <w:r w:rsidRPr="00597FFB">
        <w:rPr>
          <w:rFonts w:ascii="Times New Roman" w:eastAsia="Times New Roman" w:hAnsi="Times New Roman" w:cs="Times New Roman"/>
          <w:bCs/>
          <w:color w:val="000000"/>
          <w:sz w:val="24"/>
          <w:szCs w:val="24"/>
        </w:rPr>
        <w:t xml:space="preserve"> </w:t>
      </w:r>
      <w:r w:rsidR="005A51D7" w:rsidRPr="00597FFB">
        <w:rPr>
          <w:rFonts w:ascii="Times New Roman" w:eastAsia="Times New Roman" w:hAnsi="Times New Roman" w:cs="Times New Roman"/>
          <w:bCs/>
          <w:color w:val="000000"/>
          <w:sz w:val="24"/>
          <w:szCs w:val="24"/>
        </w:rPr>
        <w:fldChar w:fldCharType="begin"/>
      </w:r>
      <w:r w:rsidR="007936C8" w:rsidRPr="00597FFB">
        <w:rPr>
          <w:rFonts w:ascii="Times New Roman" w:eastAsia="Times New Roman" w:hAnsi="Times New Roman" w:cs="Times New Roman"/>
          <w:bCs/>
          <w:color w:val="000000"/>
          <w:sz w:val="24"/>
          <w:szCs w:val="24"/>
        </w:rPr>
        <w:instrText xml:space="preserve"> ADDIN ZOTERO_ITEM CSL_CITATION {"citationID":"a2cvrq0jc72","properties":{"formattedCitation":"(Yarimoglu &amp; Gunay, 2020a)","plainCitation":"(Yarimoglu &amp; Gunay, 2020a)","noteIndex":0},"citationItems":[{"id":3182,"uris":["http://zotero.org/users/local/b6CRLSJH/items/6BKV6TYL"],"itemData":{"id":3182,"type":"article-journal","container-title":"Business Strategy and the Environment","DOI":"10.1002/bse.2419","ISSN":"0964-4733, 1099-0836","issue":"3","journalAbbreviation":"Bus Strat Env","language":"en","note":"number: 3","page":"1097-1108","source":"DOI.org (Crossref)","title":"The extended theory of planned behavior in Turkish customers' intentions to visit green hotels","volume":"29","author":[{"family":"Yarimoglu","given":"Emel"},{"family":"Gunay","given":"Tugrul"}],"issued":{"date-parts":[["2020",3]]}}}],"schema":"https://github.com/citation-style-language/schema/raw/master/csl-citation.json"} </w:instrText>
      </w:r>
      <w:r w:rsidR="005A51D7" w:rsidRPr="00597FFB">
        <w:rPr>
          <w:rFonts w:ascii="Times New Roman" w:eastAsia="Times New Roman" w:hAnsi="Times New Roman" w:cs="Times New Roman"/>
          <w:bCs/>
          <w:color w:val="000000"/>
          <w:sz w:val="24"/>
          <w:szCs w:val="24"/>
        </w:rPr>
        <w:fldChar w:fldCharType="separate"/>
      </w:r>
      <w:r w:rsidR="007936C8" w:rsidRPr="00597FFB">
        <w:rPr>
          <w:rFonts w:ascii="Times New Roman" w:hAnsi="Times New Roman" w:cs="Times New Roman"/>
          <w:sz w:val="24"/>
          <w:szCs w:val="24"/>
        </w:rPr>
        <w:t>(Yarimoglu &amp; Gunay, 2020a)</w:t>
      </w:r>
      <w:r w:rsidR="005A51D7" w:rsidRPr="00597FFB">
        <w:rPr>
          <w:rFonts w:ascii="Times New Roman" w:eastAsia="Times New Roman" w:hAnsi="Times New Roman" w:cs="Times New Roman"/>
          <w:bCs/>
          <w:color w:val="000000"/>
          <w:sz w:val="24"/>
          <w:szCs w:val="24"/>
        </w:rPr>
        <w:fldChar w:fldCharType="end"/>
      </w:r>
      <w:r w:rsidR="00A74F93" w:rsidRPr="00597FFB">
        <w:rPr>
          <w:rFonts w:ascii="Times New Roman" w:eastAsia="Times New Roman" w:hAnsi="Times New Roman" w:cs="Times New Roman"/>
          <w:bCs/>
          <w:color w:val="000000"/>
          <w:sz w:val="24"/>
          <w:szCs w:val="24"/>
        </w:rPr>
        <w:t xml:space="preserve">. </w:t>
      </w:r>
      <w:r w:rsidR="00A3507A" w:rsidRPr="00597FFB">
        <w:rPr>
          <w:rFonts w:ascii="Times New Roman" w:eastAsia="Times New Roman" w:hAnsi="Times New Roman" w:cs="Times New Roman"/>
          <w:bCs/>
          <w:color w:val="000000"/>
          <w:sz w:val="24"/>
          <w:szCs w:val="24"/>
        </w:rPr>
        <w:t>I</w:t>
      </w:r>
      <w:r w:rsidRPr="00597FFB">
        <w:rPr>
          <w:rFonts w:ascii="Times New Roman" w:eastAsia="Times New Roman" w:hAnsi="Times New Roman" w:cs="Times New Roman"/>
          <w:bCs/>
          <w:color w:val="000000"/>
          <w:sz w:val="24"/>
          <w:szCs w:val="24"/>
        </w:rPr>
        <w:t>nformal recycling activities</w:t>
      </w:r>
      <w:r w:rsidR="00353EAC" w:rsidRPr="00597FFB">
        <w:rPr>
          <w:rFonts w:ascii="Times New Roman" w:eastAsia="Times New Roman" w:hAnsi="Times New Roman" w:cs="Times New Roman"/>
          <w:bCs/>
          <w:color w:val="000000"/>
          <w:sz w:val="24"/>
          <w:szCs w:val="24"/>
        </w:rPr>
        <w:t xml:space="preserve"> such as</w:t>
      </w:r>
      <w:r w:rsidRPr="00597FFB">
        <w:rPr>
          <w:rFonts w:ascii="Times New Roman" w:eastAsia="Times New Roman" w:hAnsi="Times New Roman" w:cs="Times New Roman"/>
          <w:bCs/>
          <w:color w:val="000000"/>
          <w:sz w:val="24"/>
          <w:szCs w:val="24"/>
        </w:rPr>
        <w:t xml:space="preserve"> backyard recyclers' actions, cannot be ruled out (Subramanian, 2019).</w:t>
      </w:r>
      <w:r w:rsidRPr="00597FFB">
        <w:rPr>
          <w:rFonts w:ascii="Times New Roman" w:eastAsia="Calibri" w:hAnsi="Times New Roman" w:cs="Times New Roman"/>
          <w:color w:val="000000"/>
          <w:sz w:val="24"/>
          <w:szCs w:val="24"/>
        </w:rPr>
        <w:t xml:space="preserve"> </w:t>
      </w:r>
      <w:r w:rsidRPr="00597FFB">
        <w:rPr>
          <w:rFonts w:ascii="Times New Roman" w:eastAsia="Times New Roman" w:hAnsi="Times New Roman" w:cs="Times New Roman"/>
          <w:bCs/>
          <w:color w:val="000000"/>
          <w:sz w:val="24"/>
          <w:szCs w:val="24"/>
        </w:rPr>
        <w:t xml:space="preserve">Indeed, </w:t>
      </w:r>
      <w:r w:rsidR="00353EAC" w:rsidRPr="00597FFB">
        <w:rPr>
          <w:rFonts w:ascii="Times New Roman" w:eastAsia="Times New Roman" w:hAnsi="Times New Roman" w:cs="Times New Roman"/>
          <w:bCs/>
          <w:color w:val="000000"/>
          <w:sz w:val="24"/>
          <w:szCs w:val="24"/>
        </w:rPr>
        <w:t>most</w:t>
      </w:r>
      <w:r w:rsidRPr="00597FFB">
        <w:rPr>
          <w:rFonts w:ascii="Times New Roman" w:eastAsia="Times New Roman" w:hAnsi="Times New Roman" w:cs="Times New Roman"/>
          <w:bCs/>
          <w:color w:val="000000"/>
          <w:sz w:val="24"/>
          <w:szCs w:val="24"/>
        </w:rPr>
        <w:t xml:space="preserve"> E-waste </w:t>
      </w:r>
      <w:r w:rsidR="00353EAC" w:rsidRPr="00597FFB">
        <w:rPr>
          <w:rFonts w:ascii="Times New Roman" w:eastAsia="Times New Roman" w:hAnsi="Times New Roman" w:cs="Times New Roman"/>
          <w:bCs/>
          <w:color w:val="000000"/>
          <w:sz w:val="24"/>
          <w:szCs w:val="24"/>
        </w:rPr>
        <w:t>goes to</w:t>
      </w:r>
      <w:r w:rsidRPr="00597FFB">
        <w:rPr>
          <w:rFonts w:ascii="Times New Roman" w:eastAsia="Times New Roman" w:hAnsi="Times New Roman" w:cs="Times New Roman"/>
          <w:bCs/>
          <w:color w:val="000000"/>
          <w:sz w:val="24"/>
          <w:szCs w:val="24"/>
        </w:rPr>
        <w:t xml:space="preserve"> landfill</w:t>
      </w:r>
      <w:r w:rsidR="00353EAC" w:rsidRPr="00597FFB">
        <w:rPr>
          <w:rFonts w:ascii="Times New Roman" w:eastAsia="Times New Roman" w:hAnsi="Times New Roman" w:cs="Times New Roman"/>
          <w:bCs/>
          <w:color w:val="000000"/>
          <w:sz w:val="24"/>
          <w:szCs w:val="24"/>
        </w:rPr>
        <w:t>s</w:t>
      </w:r>
      <w:r w:rsidRPr="00597FFB">
        <w:rPr>
          <w:rFonts w:ascii="Times New Roman" w:eastAsia="Times New Roman" w:hAnsi="Times New Roman" w:cs="Times New Roman"/>
          <w:bCs/>
          <w:color w:val="000000"/>
          <w:sz w:val="24"/>
          <w:szCs w:val="24"/>
        </w:rPr>
        <w:t xml:space="preserve"> </w:t>
      </w:r>
      <w:r w:rsidR="005A51D7" w:rsidRPr="00597FFB">
        <w:rPr>
          <w:rFonts w:ascii="Times New Roman" w:eastAsia="Times New Roman" w:hAnsi="Times New Roman" w:cs="Times New Roman"/>
          <w:bCs/>
          <w:color w:val="000000"/>
          <w:sz w:val="24"/>
          <w:szCs w:val="24"/>
        </w:rPr>
        <w:fldChar w:fldCharType="begin"/>
      </w:r>
      <w:r w:rsidR="007936C8" w:rsidRPr="00597FFB">
        <w:rPr>
          <w:rFonts w:ascii="Times New Roman" w:eastAsia="Times New Roman" w:hAnsi="Times New Roman" w:cs="Times New Roman"/>
          <w:bCs/>
          <w:color w:val="000000"/>
          <w:sz w:val="24"/>
          <w:szCs w:val="24"/>
        </w:rPr>
        <w:instrText xml:space="preserve"> ADDIN ZOTERO_ITEM CSL_CITATION {"citationID":"a1ott0tog4u","properties":{"formattedCitation":"(Chaturvedi et al., 2020)","plainCitation":"(Chaturvedi et al., 2020)","noteIndex":0},"citationItems":[{"id":4185,"uris":["http://zotero.org/users/local/b6CRLSJH/items/LTKL67Y9"],"itemData":{"id":4185,"type":"article-journal","abstract":"Purpose\n              The purpose of this study is to investigate the influence of environmental concern, perceived value, personal norms and willingness to pay on generation Z’s purchase intention for recycled clothing.\n            \n            \n              Design/methodology/approach\n              The data were collected from five Indian universities. A total of 497 usable responses were analyzed. Confirmatory factor analysis was used for examining the validity and reliability of the scales. Further, the structural equation modeling was used to assess the relationship among the constructs.\n            \n            \n              Findings\n              Findings suggested that willingness to pay, environmental concern, perceived value and personal norms influence generation Z’s purchase intention for recycled clothing. Willingness to pay, environmental concern and perceived value were major predictors of purchase intention for recycled clothing.\n            \n            \n              Practical implications\n              This study holds much importance to the marketers of recycled clothing as it provides useful insights for formulating the appropriate promotional strategies. The study also contributes to the consumer behavior literature by addressing the existing research gap.\n            \n            \n              Originality/value\n              Most of the studies existing in this area have focused on the manufacturing side only except few which explored the consumption side of recycled clothing. Hence, the current study is an attempt to fill this research gap.","container-title":"Young Consumers","DOI":"10.1108/YC-03-2020-1110","ISSN":"1747-3616, 1747-3616","issue":"4","journalAbbreviation":"YC","language":"en","page":"403-417","source":"DOI.org (Crossref)","title":"Investigating the determinants of behavioral intentions of generation Z for recycled clothing: an evidence from a developing economy","title-short":"Investigating the determinants of behavioral intentions of generation Z for recycled clothing","volume":"21","author":[{"family":"Chaturvedi","given":"Pallavi"},{"family":"Kulshreshtha","given":"Kushagra"},{"family":"Tripathi","given":"Vikas"}],"issued":{"date-parts":[["2020",9,28]]}}}],"schema":"https://github.com/citation-style-language/schema/raw/master/csl-citation.json"} </w:instrText>
      </w:r>
      <w:r w:rsidR="005A51D7" w:rsidRPr="00597FFB">
        <w:rPr>
          <w:rFonts w:ascii="Times New Roman" w:eastAsia="Times New Roman" w:hAnsi="Times New Roman" w:cs="Times New Roman"/>
          <w:bCs/>
          <w:color w:val="000000"/>
          <w:sz w:val="24"/>
          <w:szCs w:val="24"/>
        </w:rPr>
        <w:fldChar w:fldCharType="separate"/>
      </w:r>
      <w:r w:rsidR="007936C8" w:rsidRPr="00597FFB">
        <w:rPr>
          <w:rFonts w:ascii="Times New Roman" w:hAnsi="Times New Roman" w:cs="Times New Roman"/>
          <w:sz w:val="24"/>
          <w:szCs w:val="24"/>
        </w:rPr>
        <w:t>(Chaturvedi et al., 2020)</w:t>
      </w:r>
      <w:r w:rsidR="005A51D7" w:rsidRPr="00597FFB">
        <w:rPr>
          <w:rFonts w:ascii="Times New Roman" w:eastAsia="Times New Roman" w:hAnsi="Times New Roman" w:cs="Times New Roman"/>
          <w:bCs/>
          <w:color w:val="000000"/>
          <w:sz w:val="24"/>
          <w:szCs w:val="24"/>
        </w:rPr>
        <w:fldChar w:fldCharType="end"/>
      </w:r>
      <w:r w:rsidR="005A51D7"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This makes the study of UAE's citizens' </w:t>
      </w:r>
      <w:r w:rsidR="00353EAC" w:rsidRPr="00597FFB">
        <w:rPr>
          <w:rFonts w:ascii="Times New Roman" w:eastAsia="Times New Roman" w:hAnsi="Times New Roman" w:cs="Times New Roman"/>
          <w:bCs/>
          <w:color w:val="000000"/>
          <w:sz w:val="24"/>
          <w:szCs w:val="24"/>
        </w:rPr>
        <w:t xml:space="preserve">perspectives </w:t>
      </w:r>
      <w:r w:rsidRPr="00597FFB">
        <w:rPr>
          <w:rFonts w:ascii="Times New Roman" w:eastAsia="Times New Roman" w:hAnsi="Times New Roman" w:cs="Times New Roman"/>
          <w:bCs/>
          <w:color w:val="000000"/>
          <w:sz w:val="24"/>
          <w:szCs w:val="24"/>
        </w:rPr>
        <w:t xml:space="preserve">and </w:t>
      </w:r>
      <w:r w:rsidR="00353EAC" w:rsidRPr="00597FFB">
        <w:rPr>
          <w:rFonts w:ascii="Times New Roman" w:eastAsia="Times New Roman" w:hAnsi="Times New Roman" w:cs="Times New Roman"/>
          <w:bCs/>
          <w:color w:val="000000"/>
          <w:sz w:val="24"/>
          <w:szCs w:val="24"/>
        </w:rPr>
        <w:t xml:space="preserve">attitudes </w:t>
      </w:r>
      <w:r w:rsidRPr="00597FFB">
        <w:rPr>
          <w:rFonts w:ascii="Times New Roman" w:eastAsia="Times New Roman" w:hAnsi="Times New Roman" w:cs="Times New Roman"/>
          <w:bCs/>
          <w:color w:val="000000"/>
          <w:sz w:val="24"/>
          <w:szCs w:val="24"/>
        </w:rPr>
        <w:t xml:space="preserve">on EWM essential for developing an effective EWM process. Sustainable development calls by all the stakeholders to the evolution of a unique collection system and a management option to handle E-waste appropriately </w:t>
      </w:r>
      <w:r w:rsidRPr="00597FFB">
        <w:rPr>
          <w:rFonts w:ascii="Times New Roman" w:eastAsia="Calibri" w:hAnsi="Times New Roman" w:cs="Times New Roman"/>
          <w:iCs/>
          <w:color w:val="000000"/>
          <w:sz w:val="24"/>
          <w:szCs w:val="24"/>
        </w:rPr>
        <w:t xml:space="preserve">(Hamzah &amp; Tanwir, 2020). </w:t>
      </w:r>
    </w:p>
    <w:p w14:paraId="27CE511F" w14:textId="71B5C03B" w:rsidR="008B6AB0" w:rsidRPr="00597FFB" w:rsidRDefault="008B6AB0" w:rsidP="00A558FE">
      <w:pPr>
        <w:autoSpaceDE w:val="0"/>
        <w:autoSpaceDN w:val="0"/>
        <w:adjustRightInd w:val="0"/>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iCs/>
          <w:sz w:val="24"/>
          <w:szCs w:val="24"/>
        </w:rPr>
        <w:t xml:space="preserve">E-waste Recycling (EWR) is an innovative and alternative solution in improving environmental sustainability by encouraging formal recycling channels in the UAE to divert consumers from informal recycling </w:t>
      </w:r>
      <w:r w:rsidR="005A51D7" w:rsidRPr="00597FFB">
        <w:rPr>
          <w:rFonts w:ascii="Times New Roman" w:eastAsia="Calibri" w:hAnsi="Times New Roman" w:cs="Times New Roman"/>
          <w:iCs/>
          <w:sz w:val="24"/>
          <w:szCs w:val="24"/>
        </w:rPr>
        <w:fldChar w:fldCharType="begin"/>
      </w:r>
      <w:r w:rsidR="007936C8" w:rsidRPr="00597FFB">
        <w:rPr>
          <w:rFonts w:ascii="Times New Roman" w:eastAsia="Calibri" w:hAnsi="Times New Roman" w:cs="Times New Roman"/>
          <w:iCs/>
          <w:sz w:val="24"/>
          <w:szCs w:val="24"/>
        </w:rPr>
        <w:instrText xml:space="preserve"> ADDIN ZOTERO_ITEM CSL_CITATION {"citationID":"a2ce2gohcal","properties":{"formattedCitation":"(Blose et al., 2020)","plainCitation":"(Blose et al., 2020)","noteIndex":0},"citationItems":[{"id":4157,"uris":["http://zotero.org/users/local/b6CRLSJH/items/ZVKJLWPF"],"itemData":{"id":4157,"type":"article-journal","container-title":"Journal of International Consumer Marketing","DOI":"10.1080/08961530.2019.1618776","ISSN":"0896-1530, 1528-7068","issue":"1","journalAbbreviation":"Journal of International Consumer Marketing","language":"en","page":"33-46","source":"DOI.org (Crossref)","title":"Exploring Young U.S. and Chinese Consumers’ Motivations to Recycle","volume":"32","author":[{"family":"Blose","given":"Julia E."},{"family":"Mack","given":"Rhonda W."},{"family":"Pitts","given":"Robert E."},{"family":"Xie","given":"Henry Y."}],"issued":{"date-parts":[["2020",1,1]]}}}],"schema":"https://github.com/citation-style-language/schema/raw/master/csl-citation.json"} </w:instrText>
      </w:r>
      <w:r w:rsidR="005A51D7" w:rsidRPr="00597FFB">
        <w:rPr>
          <w:rFonts w:ascii="Times New Roman" w:eastAsia="Calibri" w:hAnsi="Times New Roman" w:cs="Times New Roman"/>
          <w:iCs/>
          <w:sz w:val="24"/>
          <w:szCs w:val="24"/>
        </w:rPr>
        <w:fldChar w:fldCharType="separate"/>
      </w:r>
      <w:r w:rsidR="007936C8" w:rsidRPr="00597FFB">
        <w:rPr>
          <w:rFonts w:ascii="Times New Roman" w:hAnsi="Times New Roman" w:cs="Times New Roman"/>
          <w:sz w:val="24"/>
          <w:szCs w:val="24"/>
        </w:rPr>
        <w:t>(Blose et al., 2020)</w:t>
      </w:r>
      <w:r w:rsidR="005A51D7" w:rsidRPr="00597FFB">
        <w:rPr>
          <w:rFonts w:ascii="Times New Roman" w:eastAsia="Calibri" w:hAnsi="Times New Roman" w:cs="Times New Roman"/>
          <w:iCs/>
          <w:sz w:val="24"/>
          <w:szCs w:val="24"/>
        </w:rPr>
        <w:fldChar w:fldCharType="end"/>
      </w:r>
      <w:r w:rsidRPr="00597FFB">
        <w:rPr>
          <w:rFonts w:ascii="Times New Roman" w:eastAsia="Calibri" w:hAnsi="Times New Roman" w:cs="Times New Roman"/>
          <w:iCs/>
          <w:sz w:val="24"/>
          <w:szCs w:val="24"/>
        </w:rPr>
        <w:t xml:space="preserve">. It is crucial to have a more comprehensive picture that draws on related factors that inﬂuence EWR; this can provide both agencies and policymakers with an in-depth understanding to improve the </w:t>
      </w:r>
      <w:r w:rsidRPr="00597FFB">
        <w:rPr>
          <w:rFonts w:ascii="Times New Roman" w:eastAsia="Calibri" w:hAnsi="Times New Roman" w:cs="Times New Roman"/>
          <w:iCs/>
          <w:color w:val="000000"/>
          <w:sz w:val="24"/>
          <w:szCs w:val="24"/>
        </w:rPr>
        <w:t xml:space="preserve">recycling rate (Thi et al., 2019). The consumer's unwillingness towards EWR is a significant challenge that requires urgent scientific attention </w:t>
      </w:r>
      <w:r w:rsidR="00334989" w:rsidRPr="00597FFB">
        <w:rPr>
          <w:rFonts w:ascii="Times New Roman" w:eastAsia="Calibri" w:hAnsi="Times New Roman" w:cs="Times New Roman"/>
          <w:iCs/>
          <w:color w:val="000000"/>
          <w:sz w:val="24"/>
          <w:szCs w:val="24"/>
        </w:rPr>
        <w:fldChar w:fldCharType="begin"/>
      </w:r>
      <w:r w:rsidR="007936C8" w:rsidRPr="00597FFB">
        <w:rPr>
          <w:rFonts w:ascii="Times New Roman" w:eastAsia="Calibri" w:hAnsi="Times New Roman" w:cs="Times New Roman"/>
          <w:iCs/>
          <w:color w:val="000000"/>
          <w:sz w:val="24"/>
          <w:szCs w:val="24"/>
        </w:rPr>
        <w:instrText xml:space="preserve"> ADDIN ZOTERO_ITEM CSL_CITATION {"citationID":"a2a1ti9u61i","properties":{"formattedCitation":"(Zamani, 2022)","plainCitation":"(Zamani, 2022)","noteIndex":0},"citationItems":[{"id":4514,"uris":["http://zotero.org/users/local/b6CRLSJH/items/DNU2Y6J9"],"itemData":{"id":4514,"type":"article-journal","abstract":"Purpose\n              This paper aims to map the influential concepts on technology adoption in Small and Medium Enterprises (SMEs) through conducting a systematic literature review and finding a better understanding of the current body of knowledge.\n            \n            \n              Design/methodology/approach\n              A systematic literature review approach is taken here, which includes the following steps: Determination of keywords and strings, selection of databases, setting inclusion and exclusion criteria, conducting the search in chosen databases over a specific period of time. This process has led to the final count of 349 peer-reviewed articles being studied, and the results are analyzed quantitatively and qualitatively.\n            \n            \n              Findings\n              As a result of the study, 11 categories of influential concepts on technology adoption are identified by reviewing literature from the past decade. This article indicates how fragmented the literature is and how it concentrates on studying the impact of only a limited number of categories of concepts. The scatted frameworks (theoretical and conceptual) and weak application of the used theories found in this research also highlight the need for the development of a framework that looks into technology adoption as a dynamic process due to the dynamic nature of new technologies today.\n            \n            \n              Research limitations/implications\n              Based on the above findings, future research avenues are to look into technology adoption from a process perspective, to dig into less researched influencing concepts such as infrastructure, regulations, strategy and resources and their role in adoption of technology in SMEs as well as development of a framework for technology adoption that is aligned with these elements.\n            \n            \n              Practical implications\n              Practitioners and policymakers will benefit from finding a helicopter view of the barriers and supporting factors throughout their technology adoption journey. The knowledge they gain from this study will better prepare them in building tools they need for adopting technology in their organizations and provide an in-depth insight to what elements can affect their journey.\n            \n            \n              Originality/value\n              This review provides an insight into the current body of knowledge on the topic, which researchers can benefit from constructing an in-depth understanding of the state of research as well as influencing concepts of technology adoption in SMEs. Moreover, it adds value in building up the knowledge of technology adoption in today's dynamic world of digitalization.","container-title":"European Journal of Innovation Management","DOI":"10.1108/EJIM-07-2021-0360","ISSN":"1460-1060","issue":"6","journalAbbreviation":"EJIM","language":"en","page":"735-757","source":"DOI.org (Crossref)","title":"Small and Medium Enterprises (SMEs) facing an evolving technological era: a systematic literature review on the adoption of technologies in SMEs","title-short":"Small and Medium Enterprises (SMEs) facing an evolving technological era","volume":"25","author":[{"family":"Zamani","given":"Seyedeh Zahra"}],"issued":{"date-parts":[["2022",4,15]]}}}],"schema":"https://github.com/citation-style-language/schema/raw/master/csl-citation.json"} </w:instrText>
      </w:r>
      <w:r w:rsidR="00334989" w:rsidRPr="00597FFB">
        <w:rPr>
          <w:rFonts w:ascii="Times New Roman" w:eastAsia="Calibri" w:hAnsi="Times New Roman" w:cs="Times New Roman"/>
          <w:iCs/>
          <w:color w:val="000000"/>
          <w:sz w:val="24"/>
          <w:szCs w:val="24"/>
        </w:rPr>
        <w:fldChar w:fldCharType="separate"/>
      </w:r>
      <w:r w:rsidR="007936C8" w:rsidRPr="00597FFB">
        <w:rPr>
          <w:rFonts w:ascii="Times New Roman" w:hAnsi="Times New Roman" w:cs="Times New Roman"/>
          <w:sz w:val="24"/>
          <w:szCs w:val="24"/>
        </w:rPr>
        <w:t>(Zamani, 2022)</w:t>
      </w:r>
      <w:r w:rsidR="00334989" w:rsidRPr="00597FFB">
        <w:rPr>
          <w:rFonts w:ascii="Times New Roman" w:eastAsia="Calibri" w:hAnsi="Times New Roman" w:cs="Times New Roman"/>
          <w:iCs/>
          <w:color w:val="000000"/>
          <w:sz w:val="24"/>
          <w:szCs w:val="24"/>
        </w:rPr>
        <w:fldChar w:fldCharType="end"/>
      </w:r>
      <w:r w:rsidR="005A51D7" w:rsidRPr="00597FFB">
        <w:rPr>
          <w:rFonts w:ascii="Times New Roman" w:eastAsia="Calibri" w:hAnsi="Times New Roman" w:cs="Times New Roman"/>
          <w:iCs/>
          <w:color w:val="000000"/>
          <w:sz w:val="24"/>
          <w:szCs w:val="24"/>
        </w:rPr>
        <w:t xml:space="preserve">. </w:t>
      </w:r>
      <w:r w:rsidRPr="00597FFB">
        <w:rPr>
          <w:rFonts w:ascii="Times New Roman" w:eastAsia="Times New Roman" w:hAnsi="Times New Roman" w:cs="Times New Roman"/>
          <w:bCs/>
          <w:color w:val="000000"/>
          <w:sz w:val="24"/>
          <w:szCs w:val="24"/>
        </w:rPr>
        <w:t>This makes a study of the</w:t>
      </w:r>
      <w:r w:rsidRPr="00597FFB">
        <w:rPr>
          <w:rFonts w:ascii="Times New Roman" w:eastAsia="Calibri" w:hAnsi="Times New Roman" w:cs="Times New Roman"/>
          <w:iCs/>
          <w:color w:val="000000"/>
          <w:sz w:val="24"/>
          <w:szCs w:val="24"/>
        </w:rPr>
        <w:t xml:space="preserve"> factors that affect consumers'</w:t>
      </w:r>
      <w:r w:rsidRPr="00597FFB">
        <w:rPr>
          <w:rFonts w:ascii="Times New Roman" w:eastAsia="Times New Roman" w:hAnsi="Times New Roman" w:cs="Times New Roman"/>
          <w:bCs/>
          <w:color w:val="000000"/>
          <w:sz w:val="24"/>
          <w:szCs w:val="24"/>
        </w:rPr>
        <w:t xml:space="preserve"> attitudes and perspectives of the consumers of UAE on EWM important for developing an effective EWM process in the country. </w:t>
      </w:r>
    </w:p>
    <w:p w14:paraId="310AE655" w14:textId="2E63D195" w:rsidR="008B6AB0" w:rsidRPr="00597FFB" w:rsidRDefault="00353EAC" w:rsidP="00A558FE">
      <w:pPr>
        <w:autoSpaceDE w:val="0"/>
        <w:autoSpaceDN w:val="0"/>
        <w:adjustRightInd w:val="0"/>
        <w:spacing w:before="26" w:after="26" w:line="480" w:lineRule="auto"/>
        <w:ind w:firstLine="720"/>
        <w:jc w:val="both"/>
        <w:rPr>
          <w:rFonts w:ascii="Times New Roman" w:eastAsia="Calibri" w:hAnsi="Times New Roman" w:cs="Times New Roman"/>
          <w:iCs/>
          <w:sz w:val="24"/>
          <w:szCs w:val="24"/>
        </w:rPr>
      </w:pPr>
      <w:bookmarkStart w:id="50" w:name="_Hlk53998741"/>
      <w:r w:rsidRPr="00597FFB">
        <w:rPr>
          <w:rFonts w:ascii="Times New Roman" w:eastAsia="Calibri" w:hAnsi="Times New Roman" w:cs="Times New Roman"/>
          <w:iCs/>
          <w:sz w:val="24"/>
          <w:szCs w:val="24"/>
        </w:rPr>
        <w:t xml:space="preserve">Being a global issue, </w:t>
      </w:r>
      <w:r w:rsidR="008B6AB0" w:rsidRPr="00597FFB">
        <w:rPr>
          <w:rFonts w:ascii="Times New Roman" w:eastAsia="Calibri" w:hAnsi="Times New Roman" w:cs="Times New Roman"/>
          <w:iCs/>
          <w:sz w:val="24"/>
          <w:szCs w:val="24"/>
        </w:rPr>
        <w:t xml:space="preserve">E-waste </w:t>
      </w:r>
      <w:r w:rsidRPr="00597FFB">
        <w:rPr>
          <w:rFonts w:ascii="Times New Roman" w:eastAsia="Calibri" w:hAnsi="Times New Roman" w:cs="Times New Roman"/>
          <w:iCs/>
          <w:sz w:val="24"/>
          <w:szCs w:val="24"/>
        </w:rPr>
        <w:t>continues to spur the</w:t>
      </w:r>
      <w:r w:rsidR="008B6AB0" w:rsidRPr="00597FFB">
        <w:rPr>
          <w:rFonts w:ascii="Times New Roman" w:eastAsia="Calibri" w:hAnsi="Times New Roman" w:cs="Times New Roman"/>
          <w:iCs/>
          <w:sz w:val="24"/>
          <w:szCs w:val="24"/>
        </w:rPr>
        <w:t xml:space="preserve"> need for </w:t>
      </w:r>
      <w:r w:rsidRPr="00597FFB">
        <w:rPr>
          <w:rFonts w:ascii="Times New Roman" w:eastAsia="Calibri" w:hAnsi="Times New Roman" w:cs="Times New Roman"/>
          <w:iCs/>
          <w:sz w:val="24"/>
          <w:szCs w:val="24"/>
        </w:rPr>
        <w:t>better</w:t>
      </w:r>
      <w:r w:rsidR="008B6AB0" w:rsidRPr="00597FFB">
        <w:rPr>
          <w:rFonts w:ascii="Times New Roman" w:eastAsia="Calibri" w:hAnsi="Times New Roman" w:cs="Times New Roman"/>
          <w:iCs/>
          <w:sz w:val="24"/>
          <w:szCs w:val="24"/>
        </w:rPr>
        <w:t xml:space="preserve"> understanding of consumer </w:t>
      </w:r>
      <w:r w:rsidRPr="00597FFB">
        <w:rPr>
          <w:rFonts w:ascii="Times New Roman" w:eastAsia="Calibri" w:hAnsi="Times New Roman" w:cs="Times New Roman"/>
          <w:iCs/>
          <w:sz w:val="24"/>
          <w:szCs w:val="24"/>
        </w:rPr>
        <w:t xml:space="preserve">recycling and </w:t>
      </w:r>
      <w:r w:rsidR="008B6AB0" w:rsidRPr="00597FFB">
        <w:rPr>
          <w:rFonts w:ascii="Times New Roman" w:eastAsia="Calibri" w:hAnsi="Times New Roman" w:cs="Times New Roman"/>
          <w:iCs/>
          <w:sz w:val="24"/>
          <w:szCs w:val="24"/>
        </w:rPr>
        <w:t>dispos</w:t>
      </w:r>
      <w:r w:rsidRPr="00597FFB">
        <w:rPr>
          <w:rFonts w:ascii="Times New Roman" w:eastAsia="Calibri" w:hAnsi="Times New Roman" w:cs="Times New Roman"/>
          <w:iCs/>
          <w:sz w:val="24"/>
          <w:szCs w:val="24"/>
        </w:rPr>
        <w:t>al tendencies</w:t>
      </w:r>
      <w:r w:rsidR="008B6AB0" w:rsidRPr="00597FFB">
        <w:rPr>
          <w:rFonts w:ascii="Times New Roman" w:eastAsia="Calibri" w:hAnsi="Times New Roman" w:cs="Times New Roman"/>
          <w:iCs/>
          <w:sz w:val="24"/>
          <w:szCs w:val="24"/>
        </w:rPr>
        <w:t xml:space="preserve"> of electronic waste. More than that, </w:t>
      </w:r>
      <w:r w:rsidRPr="00597FFB">
        <w:rPr>
          <w:rFonts w:ascii="Times New Roman" w:eastAsia="Calibri" w:hAnsi="Times New Roman" w:cs="Times New Roman"/>
          <w:iCs/>
          <w:sz w:val="24"/>
          <w:szCs w:val="24"/>
        </w:rPr>
        <w:t xml:space="preserve">understanding how to influence </w:t>
      </w:r>
      <w:r w:rsidR="008B6AB0" w:rsidRPr="00597FFB">
        <w:rPr>
          <w:rFonts w:ascii="Times New Roman" w:eastAsia="Calibri" w:hAnsi="Times New Roman" w:cs="Times New Roman"/>
          <w:iCs/>
          <w:sz w:val="24"/>
          <w:szCs w:val="24"/>
        </w:rPr>
        <w:t xml:space="preserve">sustainable behavior among consumers </w:t>
      </w:r>
      <w:r w:rsidRPr="00597FFB">
        <w:rPr>
          <w:rFonts w:ascii="Times New Roman" w:eastAsia="Calibri" w:hAnsi="Times New Roman" w:cs="Times New Roman"/>
          <w:iCs/>
          <w:sz w:val="24"/>
          <w:szCs w:val="24"/>
        </w:rPr>
        <w:t>is vital given that</w:t>
      </w:r>
      <w:r w:rsidR="008B6AB0" w:rsidRPr="00597FFB">
        <w:rPr>
          <w:rFonts w:ascii="Times New Roman" w:eastAsia="Calibri" w:hAnsi="Times New Roman" w:cs="Times New Roman"/>
          <w:iCs/>
          <w:sz w:val="24"/>
          <w:szCs w:val="24"/>
        </w:rPr>
        <w:t xml:space="preserve"> </w:t>
      </w:r>
      <w:r w:rsidRPr="00597FFB">
        <w:rPr>
          <w:rFonts w:ascii="Times New Roman" w:eastAsia="Calibri" w:hAnsi="Times New Roman" w:cs="Times New Roman"/>
          <w:iCs/>
          <w:sz w:val="24"/>
          <w:szCs w:val="24"/>
        </w:rPr>
        <w:t xml:space="preserve">18-25-year-olds or the millennials constitute </w:t>
      </w:r>
      <w:r w:rsidR="008B6AB0" w:rsidRPr="00597FFB">
        <w:rPr>
          <w:rFonts w:ascii="Times New Roman" w:eastAsia="Calibri" w:hAnsi="Times New Roman" w:cs="Times New Roman"/>
          <w:iCs/>
          <w:sz w:val="24"/>
          <w:szCs w:val="24"/>
        </w:rPr>
        <w:t>the earliest adopters of electronic devices</w:t>
      </w:r>
      <w:r w:rsidR="008B6AB0" w:rsidRPr="00597FFB">
        <w:rPr>
          <w:rFonts w:ascii="Times New Roman" w:eastAsia="Calibri" w:hAnsi="Times New Roman" w:cs="Times New Roman"/>
          <w:iCs/>
          <w:color w:val="000000"/>
          <w:sz w:val="24"/>
          <w:szCs w:val="24"/>
        </w:rPr>
        <w:t xml:space="preserve"> </w:t>
      </w:r>
      <w:r w:rsidR="009F77E8" w:rsidRPr="00597FFB">
        <w:rPr>
          <w:rFonts w:ascii="Times New Roman" w:eastAsia="Calibri" w:hAnsi="Times New Roman" w:cs="Times New Roman"/>
          <w:bCs/>
          <w:color w:val="000000"/>
          <w:sz w:val="24"/>
          <w:szCs w:val="24"/>
        </w:rPr>
        <w:fldChar w:fldCharType="begin"/>
      </w:r>
      <w:r w:rsidR="004D18C0" w:rsidRPr="00597FFB">
        <w:rPr>
          <w:rFonts w:ascii="Times New Roman" w:eastAsia="Calibri" w:hAnsi="Times New Roman" w:cs="Times New Roman"/>
          <w:bCs/>
          <w:color w:val="000000"/>
          <w:sz w:val="24"/>
          <w:szCs w:val="24"/>
        </w:rPr>
        <w:instrText xml:space="preserve"> ADDIN ZOTERO_ITEM CSL_CITATION {"citationID":"a1047lt43gl","properties":{"formattedCitation":"(Adanu et al., 2020a)","plainCitation":"(Adanu et al., 2020a)","noteIndex":0},"citationItems":[{"id":3726,"uris":["http://zotero.org/users/local/b6CRLSJH/items/F8K4ZZVG"],"itemData":{"id":3726,"type":"article-journal","abstract":"The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9F77E8" w:rsidRPr="00597FFB">
        <w:rPr>
          <w:rFonts w:ascii="Times New Roman" w:eastAsia="Calibri" w:hAnsi="Times New Roman" w:cs="Times New Roman"/>
          <w:bCs/>
          <w:color w:val="000000"/>
          <w:sz w:val="24"/>
          <w:szCs w:val="24"/>
        </w:rPr>
        <w:fldChar w:fldCharType="separate"/>
      </w:r>
      <w:r w:rsidR="004D18C0" w:rsidRPr="00597FFB">
        <w:rPr>
          <w:rFonts w:ascii="Times New Roman" w:hAnsi="Times New Roman" w:cs="Times New Roman"/>
          <w:sz w:val="24"/>
        </w:rPr>
        <w:t>(Adanu et al., 2020a)</w:t>
      </w:r>
      <w:r w:rsidR="009F77E8" w:rsidRPr="00597FFB">
        <w:rPr>
          <w:rFonts w:ascii="Times New Roman" w:eastAsia="Calibri" w:hAnsi="Times New Roman" w:cs="Times New Roman"/>
          <w:bCs/>
          <w:color w:val="000000"/>
          <w:sz w:val="24"/>
          <w:szCs w:val="24"/>
        </w:rPr>
        <w:fldChar w:fldCharType="end"/>
      </w:r>
      <w:r w:rsidR="009F77E8" w:rsidRPr="00597FFB">
        <w:rPr>
          <w:rFonts w:ascii="Times New Roman" w:eastAsia="Calibri" w:hAnsi="Times New Roman" w:cs="Times New Roman"/>
          <w:bCs/>
          <w:color w:val="000000"/>
          <w:sz w:val="24"/>
          <w:szCs w:val="24"/>
        </w:rPr>
        <w:t xml:space="preserve">. </w:t>
      </w:r>
      <w:r w:rsidR="008B6AB0" w:rsidRPr="00597FFB">
        <w:rPr>
          <w:rFonts w:ascii="Times New Roman" w:eastAsia="Calibri" w:hAnsi="Times New Roman" w:cs="Times New Roman"/>
          <w:iCs/>
          <w:color w:val="000000"/>
          <w:sz w:val="24"/>
          <w:szCs w:val="24"/>
        </w:rPr>
        <w:t xml:space="preserve">Unfortunately, little research modeling millennials' environmental consumerism </w:t>
      </w:r>
      <w:r w:rsidRPr="00597FFB">
        <w:rPr>
          <w:rFonts w:ascii="Times New Roman" w:eastAsia="Calibri" w:hAnsi="Times New Roman" w:cs="Times New Roman"/>
          <w:iCs/>
          <w:color w:val="000000"/>
          <w:sz w:val="24"/>
          <w:szCs w:val="24"/>
        </w:rPr>
        <w:t>and</w:t>
      </w:r>
      <w:r w:rsidR="008B6AB0"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requisite</w:t>
      </w:r>
      <w:r w:rsidR="008B6AB0"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iCs/>
          <w:color w:val="000000"/>
          <w:sz w:val="24"/>
          <w:szCs w:val="24"/>
        </w:rPr>
        <w:t xml:space="preserve">E-waste </w:t>
      </w:r>
      <w:r w:rsidR="008B6AB0" w:rsidRPr="00597FFB">
        <w:rPr>
          <w:rFonts w:ascii="Times New Roman" w:eastAsia="Calibri" w:hAnsi="Times New Roman" w:cs="Times New Roman"/>
          <w:iCs/>
          <w:color w:val="000000"/>
          <w:sz w:val="24"/>
          <w:szCs w:val="24"/>
        </w:rPr>
        <w:t>recycl</w:t>
      </w:r>
      <w:r w:rsidRPr="00597FFB">
        <w:rPr>
          <w:rFonts w:ascii="Times New Roman" w:eastAsia="Calibri" w:hAnsi="Times New Roman" w:cs="Times New Roman"/>
          <w:iCs/>
          <w:color w:val="000000"/>
          <w:sz w:val="24"/>
          <w:szCs w:val="24"/>
        </w:rPr>
        <w:t>ing efforts</w:t>
      </w:r>
      <w:r w:rsidR="008B6AB0" w:rsidRPr="00597FFB">
        <w:rPr>
          <w:rFonts w:ascii="Times New Roman" w:eastAsia="Calibri" w:hAnsi="Times New Roman" w:cs="Times New Roman"/>
          <w:iCs/>
          <w:color w:val="000000"/>
          <w:sz w:val="24"/>
          <w:szCs w:val="24"/>
        </w:rPr>
        <w:t xml:space="preserve"> </w:t>
      </w:r>
      <w:r w:rsidR="00E0364C" w:rsidRPr="00597FFB">
        <w:rPr>
          <w:rFonts w:ascii="Times New Roman" w:eastAsia="Calibri" w:hAnsi="Times New Roman" w:cs="Times New Roman"/>
          <w:iCs/>
          <w:color w:val="000000"/>
          <w:sz w:val="24"/>
          <w:szCs w:val="24"/>
        </w:rPr>
        <w:t xml:space="preserve">is available currently </w:t>
      </w:r>
      <w:r w:rsidR="00E95A3D" w:rsidRPr="00597FFB">
        <w:rPr>
          <w:rFonts w:ascii="Times New Roman" w:eastAsia="Calibri" w:hAnsi="Times New Roman" w:cs="Times New Roman"/>
          <w:bCs/>
          <w:iCs/>
          <w:color w:val="000000"/>
          <w:sz w:val="24"/>
          <w:szCs w:val="24"/>
        </w:rPr>
        <w:fldChar w:fldCharType="begin"/>
      </w:r>
      <w:r w:rsidR="009F77E8" w:rsidRPr="00597FFB">
        <w:rPr>
          <w:rFonts w:ascii="Times New Roman" w:eastAsia="Calibri" w:hAnsi="Times New Roman" w:cs="Times New Roman"/>
          <w:bCs/>
          <w:iCs/>
          <w:color w:val="000000"/>
          <w:sz w:val="24"/>
          <w:szCs w:val="24"/>
        </w:rPr>
        <w:instrText xml:space="preserve"> ADDIN ZOTERO_ITEM CSL_CITATION {"citationID":"a3h2jq443f","properties":{"formattedCitation":"(Abdullah et al., 2020)","plainCitation":"(Abdullah et al., 2020)","noteIndex":0},"citationItems":[{"id":4434,"uris":["http://zotero.org/users/local/b6CRLSJH/items/JDLWEJCJ"],"itemData":{"id":4434,"type":"article-journal","container-title":"Transportation Research Interdisciplinary Perspectives","DOI":"10.1016/j.trip.2020.100255","ISSN":"25901982","journalAbbreviation":"Transportation Research Interdisciplinary Perspectives","language":"en","page":"100255","source":"DOI.org (Crossref)","title":"Exploring the impacts of COVID-19 on travel behavior and mode preferences","volume":"8","author":[{"family":"Abdullah","given":"Muhammad"},{"family":"Dias","given":"Charitha"},{"family":"Muley","given":"Deepti"},{"family":"Shahin","given":"Md."}],"issued":{"date-parts":[["2020",11]]}}}],"schema":"https://github.com/citation-style-language/schema/raw/master/csl-citation.json"} </w:instrText>
      </w:r>
      <w:r w:rsidR="00E95A3D" w:rsidRPr="00597FFB">
        <w:rPr>
          <w:rFonts w:ascii="Times New Roman" w:eastAsia="Calibri" w:hAnsi="Times New Roman" w:cs="Times New Roman"/>
          <w:bCs/>
          <w:iCs/>
          <w:color w:val="000000"/>
          <w:sz w:val="24"/>
          <w:szCs w:val="24"/>
        </w:rPr>
        <w:fldChar w:fldCharType="separate"/>
      </w:r>
      <w:r w:rsidR="009F77E8" w:rsidRPr="00597FFB">
        <w:rPr>
          <w:rFonts w:ascii="Times New Roman" w:hAnsi="Times New Roman" w:cs="Times New Roman"/>
          <w:sz w:val="24"/>
          <w:szCs w:val="24"/>
        </w:rPr>
        <w:t>(Abdullah et al., 2020)</w:t>
      </w:r>
      <w:r w:rsidR="00E95A3D" w:rsidRPr="00597FFB">
        <w:rPr>
          <w:rFonts w:ascii="Times New Roman" w:eastAsia="Calibri" w:hAnsi="Times New Roman" w:cs="Times New Roman"/>
          <w:bCs/>
          <w:iCs/>
          <w:color w:val="000000"/>
          <w:sz w:val="24"/>
          <w:szCs w:val="24"/>
        </w:rPr>
        <w:fldChar w:fldCharType="end"/>
      </w:r>
      <w:r w:rsidR="00E95A3D" w:rsidRPr="00597FFB">
        <w:rPr>
          <w:rFonts w:ascii="Times New Roman" w:eastAsia="Calibri" w:hAnsi="Times New Roman" w:cs="Times New Roman"/>
          <w:bCs/>
          <w:iCs/>
          <w:color w:val="000000"/>
          <w:sz w:val="24"/>
          <w:szCs w:val="24"/>
        </w:rPr>
        <w:t>.</w:t>
      </w:r>
      <w:r w:rsidR="008B6AB0" w:rsidRPr="00597FFB">
        <w:rPr>
          <w:rFonts w:ascii="Times New Roman" w:eastAsia="Calibri" w:hAnsi="Times New Roman" w:cs="Times New Roman"/>
          <w:bCs/>
          <w:iCs/>
          <w:color w:val="000000"/>
          <w:sz w:val="24"/>
          <w:szCs w:val="24"/>
        </w:rPr>
        <w:t xml:space="preserve"> </w:t>
      </w:r>
      <w:r w:rsidR="008B6AB0" w:rsidRPr="00597FFB">
        <w:rPr>
          <w:rFonts w:ascii="Times New Roman" w:eastAsia="Calibri" w:hAnsi="Times New Roman" w:cs="Times New Roman"/>
          <w:iCs/>
          <w:sz w:val="24"/>
          <w:szCs w:val="24"/>
        </w:rPr>
        <w:t xml:space="preserve">López-Bonilla et al. (2020) indicated the importance of understanding demographics in environmental behaviors and how various group characteristics, including ethnicity, gender, and age, might influence environmental attitudes and behaviors. Some studies describe the millennials generation from multiple aspects, agreeing on some issues while suggesting different and even opposing characteristics on others. These people are self-confident, optimistic, and capable of attending to several topics simultaneously, thanks to their swiftness and vitality (Green &amp; Leonard, 2019). They are also the first generation born in a digital era; they are always online (Skiba et al., </w:t>
      </w:r>
      <w:r w:rsidR="008B6AB0" w:rsidRPr="00597FFB">
        <w:rPr>
          <w:rFonts w:ascii="Times New Roman" w:eastAsia="Calibri" w:hAnsi="Times New Roman" w:cs="Times New Roman"/>
          <w:iCs/>
          <w:color w:val="000000"/>
          <w:sz w:val="24"/>
          <w:szCs w:val="24"/>
        </w:rPr>
        <w:t>2020). Petriglieri &amp; Petriglieri (2020) describe millennials as egoistic yet ecologically friendly consumers fascinated by technologies.</w:t>
      </w:r>
      <w:r w:rsidR="008B6AB0" w:rsidRPr="00597FFB">
        <w:rPr>
          <w:rFonts w:ascii="Calibri" w:eastAsia="Calibri" w:hAnsi="Calibri" w:cs="Arial"/>
          <w:color w:val="000000"/>
        </w:rPr>
        <w:t xml:space="preserve"> </w:t>
      </w:r>
      <w:r w:rsidR="008B6AB0" w:rsidRPr="00597FFB">
        <w:rPr>
          <w:rFonts w:ascii="Times New Roman" w:eastAsia="Calibri" w:hAnsi="Times New Roman" w:cs="Times New Roman"/>
          <w:iCs/>
          <w:color w:val="000000"/>
          <w:sz w:val="24"/>
          <w:szCs w:val="24"/>
        </w:rPr>
        <w:t xml:space="preserve">Though millennials now are the largest generation in the UAE, their approach to recycling will have a decisive impact on how societies deal with waste management in the future </w:t>
      </w:r>
      <w:r w:rsidR="00AB0CE7" w:rsidRPr="00597FFB">
        <w:rPr>
          <w:rFonts w:ascii="Times New Roman" w:eastAsia="Calibri" w:hAnsi="Times New Roman" w:cs="Times New Roman"/>
          <w:iCs/>
          <w:color w:val="000000"/>
          <w:sz w:val="24"/>
          <w:szCs w:val="24"/>
        </w:rPr>
        <w:fldChar w:fldCharType="begin"/>
      </w:r>
      <w:r w:rsidR="00E95A3D" w:rsidRPr="00597FFB">
        <w:rPr>
          <w:rFonts w:ascii="Times New Roman" w:eastAsia="Calibri" w:hAnsi="Times New Roman" w:cs="Times New Roman"/>
          <w:iCs/>
          <w:color w:val="000000"/>
          <w:sz w:val="24"/>
          <w:szCs w:val="24"/>
        </w:rPr>
        <w:instrText xml:space="preserve"> ADDIN ZOTERO_ITEM CSL_CITATION {"citationID":"ajevb9vutc","properties":{"formattedCitation":"(Pongpimol et al., 2020)","plainCitation":"(Pongpimol et al., 2020)","noteIndex":0},"citationItems":[{"id":2906,"uris":["http://zotero.org/users/local/b6CRLSJH/items/HGE782Q3"],"itemData":{"id":2906,"type":"article-journal","abstract":"Purpose – The purpose of this paper is to examine the issues affecting end of life (EOL) management of flexible packaging. It focuses on Sustainable Solid Waste Management by using multi-criteria decision making, analytic network process (ANP), and Strengths, Weaknesses, Opportunities, and Threats (SWOT). Design/methodology/approach – Data were collected from 33 expert stakeholders, though a series of interviews and questionnaires. The subject seven aspects were applied from integrated sustainable waste management with 19 sub-criteria identified. Criteria were prioritized by using ANP and SWOT to the internal and external environments of organizations directly responsible for waste management.","container-title":"Management of Environmental Quality: An International Journal","DOI":"10.1108/MEQ-11-2018-0197","ISSN":"1477-7835","issue":"1","journalAbbreviation":"MEQ","language":"en","note":"number: 1","page":"201-222","source":"DOI.org (Crossref)","title":"A multi-criteria assessment of alternative sustainable solid waste management of flexible packaging","volume":"31","author":[{"family":"Pongpimol","given":"Somying"},{"family":"Badir","given":"Yuosre F."},{"family":"Erik","given":"Bohez L.J."},{"family":"Sukhotu","given":"Vatcharapol"}],"issued":{"date-parts":[["2020",1,13]]}}}],"schema":"https://github.com/citation-style-language/schema/raw/master/csl-citation.json"} </w:instrText>
      </w:r>
      <w:r w:rsidR="00AB0CE7" w:rsidRPr="00597FFB">
        <w:rPr>
          <w:rFonts w:ascii="Times New Roman" w:eastAsia="Calibri" w:hAnsi="Times New Roman" w:cs="Times New Roman"/>
          <w:iCs/>
          <w:color w:val="000000"/>
          <w:sz w:val="24"/>
          <w:szCs w:val="24"/>
        </w:rPr>
        <w:fldChar w:fldCharType="separate"/>
      </w:r>
      <w:r w:rsidR="00E95A3D" w:rsidRPr="00597FFB">
        <w:rPr>
          <w:rFonts w:ascii="Times New Roman" w:hAnsi="Times New Roman" w:cs="Times New Roman"/>
          <w:sz w:val="24"/>
          <w:szCs w:val="24"/>
        </w:rPr>
        <w:t>(Pongpimol et al., 2020)</w:t>
      </w:r>
      <w:r w:rsidR="00AB0CE7" w:rsidRPr="00597FFB">
        <w:rPr>
          <w:rFonts w:ascii="Times New Roman" w:eastAsia="Calibri" w:hAnsi="Times New Roman" w:cs="Times New Roman"/>
          <w:iCs/>
          <w:color w:val="000000"/>
          <w:sz w:val="24"/>
          <w:szCs w:val="24"/>
        </w:rPr>
        <w:fldChar w:fldCharType="end"/>
      </w:r>
      <w:r w:rsidR="00E95A3D" w:rsidRPr="00597FFB">
        <w:rPr>
          <w:rFonts w:ascii="Times New Roman" w:eastAsia="Calibri" w:hAnsi="Times New Roman" w:cs="Times New Roman"/>
          <w:iCs/>
          <w:color w:val="000000"/>
          <w:sz w:val="24"/>
          <w:szCs w:val="24"/>
        </w:rPr>
        <w:t>.</w:t>
      </w:r>
    </w:p>
    <w:bookmarkEnd w:id="50"/>
    <w:p w14:paraId="2DC8E52A" w14:textId="7D25D822" w:rsidR="00703A7E" w:rsidRPr="00597FFB" w:rsidRDefault="008B6AB0" w:rsidP="00A558FE">
      <w:pPr>
        <w:autoSpaceDE w:val="0"/>
        <w:autoSpaceDN w:val="0"/>
        <w:adjustRightInd w:val="0"/>
        <w:spacing w:before="26" w:after="26" w:line="480" w:lineRule="auto"/>
        <w:ind w:firstLine="720"/>
        <w:jc w:val="both"/>
        <w:rPr>
          <w:rFonts w:ascii="Times New Roman" w:eastAsia="Calibri" w:hAnsi="Times New Roman" w:cs="Times New Roman"/>
          <w:iCs/>
          <w:color w:val="000000"/>
          <w:sz w:val="24"/>
          <w:szCs w:val="24"/>
        </w:rPr>
      </w:pPr>
      <w:r w:rsidRPr="00597FFB">
        <w:rPr>
          <w:rFonts w:ascii="Times New Roman" w:eastAsia="Calibri" w:hAnsi="Times New Roman" w:cs="Times New Roman"/>
          <w:iCs/>
          <w:color w:val="000000"/>
          <w:sz w:val="24"/>
          <w:szCs w:val="24"/>
        </w:rPr>
        <w:t>As a result, this research aims to contribute to global efforts by reducing E-waste. It explores the millennial's attitudes and their underlying factors and develops a model that explains their interaction. If research can better understand how these factors and perspectives work together, it may be possible to put systems and processes that will ensure a more sustainable outcome. For a while, sustainability should be balanced against societal progression by ignoring the issues of high-volume electronic waste, the risk run of irrevocably changing or destroying vital ecosystems.</w:t>
      </w:r>
    </w:p>
    <w:p w14:paraId="65336711" w14:textId="2136CB4D" w:rsidR="00703A7E" w:rsidRPr="00597FFB" w:rsidRDefault="00097599" w:rsidP="00F14236">
      <w:pPr>
        <w:pStyle w:val="Heading2"/>
        <w:spacing w:line="480" w:lineRule="auto"/>
        <w:rPr>
          <w:rFonts w:asciiTheme="majorBidi" w:hAnsiTheme="majorBidi"/>
          <w:b/>
          <w:bCs/>
          <w:color w:val="auto"/>
          <w:sz w:val="26"/>
          <w:szCs w:val="26"/>
        </w:rPr>
      </w:pPr>
      <w:bookmarkStart w:id="51" w:name="_Toc127170254"/>
      <w:r w:rsidRPr="00597FFB">
        <w:rPr>
          <w:rFonts w:ascii="Times New Roman" w:hAnsi="Times New Roman" w:cs="Times New Roman"/>
          <w:b/>
          <w:bCs/>
          <w:iCs/>
          <w:color w:val="auto"/>
          <w:sz w:val="24"/>
          <w:szCs w:val="24"/>
        </w:rPr>
        <w:t xml:space="preserve">1.3. </w:t>
      </w:r>
      <w:r w:rsidR="00B02021" w:rsidRPr="00597FFB">
        <w:rPr>
          <w:rFonts w:ascii="Times New Roman" w:hAnsi="Times New Roman" w:cs="Times New Roman"/>
          <w:b/>
          <w:bCs/>
          <w:iCs/>
          <w:color w:val="auto"/>
          <w:sz w:val="24"/>
          <w:szCs w:val="24"/>
        </w:rPr>
        <w:t xml:space="preserve">Purpose </w:t>
      </w:r>
      <w:r w:rsidR="00270883">
        <w:rPr>
          <w:rFonts w:ascii="Times New Roman" w:hAnsi="Times New Roman" w:cs="Times New Roman"/>
          <w:b/>
          <w:bCs/>
          <w:iCs/>
          <w:color w:val="auto"/>
          <w:sz w:val="24"/>
          <w:szCs w:val="24"/>
        </w:rPr>
        <w:t>o</w:t>
      </w:r>
      <w:r w:rsidRPr="00597FFB">
        <w:rPr>
          <w:rFonts w:ascii="Times New Roman" w:hAnsi="Times New Roman" w:cs="Times New Roman"/>
          <w:b/>
          <w:bCs/>
          <w:iCs/>
          <w:color w:val="auto"/>
          <w:sz w:val="24"/>
          <w:szCs w:val="24"/>
        </w:rPr>
        <w:t xml:space="preserve">f </w:t>
      </w:r>
      <w:r w:rsidR="00270883">
        <w:rPr>
          <w:rFonts w:ascii="Times New Roman" w:hAnsi="Times New Roman" w:cs="Times New Roman"/>
          <w:b/>
          <w:bCs/>
          <w:iCs/>
          <w:color w:val="auto"/>
          <w:sz w:val="24"/>
          <w:szCs w:val="24"/>
        </w:rPr>
        <w:t>t</w:t>
      </w:r>
      <w:r w:rsidRPr="00597FFB">
        <w:rPr>
          <w:rFonts w:ascii="Times New Roman" w:hAnsi="Times New Roman" w:cs="Times New Roman"/>
          <w:b/>
          <w:bCs/>
          <w:iCs/>
          <w:color w:val="auto"/>
          <w:sz w:val="24"/>
          <w:szCs w:val="24"/>
        </w:rPr>
        <w:t xml:space="preserve">he </w:t>
      </w:r>
      <w:r w:rsidR="00270883">
        <w:rPr>
          <w:rFonts w:ascii="Times New Roman" w:hAnsi="Times New Roman" w:cs="Times New Roman"/>
          <w:b/>
          <w:bCs/>
          <w:iCs/>
          <w:color w:val="auto"/>
          <w:sz w:val="24"/>
          <w:szCs w:val="24"/>
        </w:rPr>
        <w:t>Research</w:t>
      </w:r>
      <w:r w:rsidR="00717132" w:rsidRPr="00597FFB">
        <w:rPr>
          <w:rFonts w:ascii="Times New Roman" w:hAnsi="Times New Roman" w:cs="Times New Roman"/>
          <w:b/>
          <w:bCs/>
          <w:iCs/>
          <w:color w:val="auto"/>
          <w:sz w:val="24"/>
          <w:szCs w:val="24"/>
        </w:rPr>
        <w:t>.</w:t>
      </w:r>
      <w:bookmarkEnd w:id="51"/>
    </w:p>
    <w:p w14:paraId="0E29E7B2" w14:textId="3B468BD4" w:rsidR="008D6479" w:rsidRPr="00597FFB" w:rsidRDefault="008D6479" w:rsidP="00A558FE">
      <w:pPr>
        <w:autoSpaceDE w:val="0"/>
        <w:autoSpaceDN w:val="0"/>
        <w:adjustRightInd w:val="0"/>
        <w:spacing w:before="26" w:after="26" w:line="480" w:lineRule="auto"/>
        <w:ind w:left="90" w:firstLine="63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During the last half-century, the increase in industrial production, resource extraction, and private consumption has amplified the environment's deleterious impact </w:t>
      </w:r>
      <w:r w:rsidR="00824E98" w:rsidRPr="00597FFB">
        <w:rPr>
          <w:rFonts w:ascii="Times New Roman" w:eastAsia="Times New Roman" w:hAnsi="Times New Roman" w:cs="Times New Roman"/>
          <w:bCs/>
          <w:color w:val="000000"/>
          <w:sz w:val="24"/>
          <w:szCs w:val="24"/>
        </w:rPr>
        <w:fldChar w:fldCharType="begin"/>
      </w:r>
      <w:r w:rsidR="00F62AA4" w:rsidRPr="00597FFB">
        <w:rPr>
          <w:rFonts w:ascii="Times New Roman" w:eastAsia="Times New Roman" w:hAnsi="Times New Roman" w:cs="Times New Roman"/>
          <w:bCs/>
          <w:color w:val="000000"/>
          <w:sz w:val="24"/>
          <w:szCs w:val="24"/>
        </w:rPr>
        <w:instrText xml:space="preserve"> ADDIN ZOTERO_ITEM CSL_CITATION {"citationID":"aba4rojfbc","properties":{"formattedCitation":"(Bure\\uc0\\u353{} et al., 2020)","plainCitation":"(Bureš et al., 2020)","noteIndex":0},"citationItems":[{"id":4383,"uris":["http://zotero.org/users/local/b6CRLSJH/items/ENUNAD8R"],"itemData":{"id":4383,"type":"article-journal","abstract":"The more criteria a human decision involves, the more inconsistent the decision. This study experimentally examines the effect on the degree of pairwise comparison inconsistency by using the (im)possibility of selecting the criteria for the evaluation and the size of the decision-making problem. A total of 358 participants completed objective and subjective tasks. While the former was associated with one possible correct solution, there was no single correct solution for the latter. The design of the experiment enabled the acquisition of eight groups in which the degree of inconsistency was quantified using three inconsistency indices (the Consistency Index, the Consistency Ratio and the Euclidean distance) and these were analysed by the repeated measures ANOVA. The results show a significant dependence of the degree of inconsistency on the method of determining the criteria for pairwise evaluation. If participants are randomly given the criteria, then with more criteria, the overall inconsistency of the comparison decreases. If the participants can themselves choose the criteria for the comparison, then with more criteria, the overall inconsistency of the comparison increases. This statistical dependence exists only for males. For females, the dependence is the opposite, but it is not statistically significant.","container-title":"Mathematics","DOI":"10.3390/math8122200","ISSN":"2227-7390","issue":"12","journalAbbreviation":"Mathematics","language":"en","page":"2200","source":"DOI.org (Crossref)","title":"The Influence of Criteria Selection Method on Consistency of Pairwise Comparison","volume":"8","author":[{"family":"Bureš","given":"Vladimír"},{"family":"Cabal","given":"Jiří"},{"family":"Čech","given":"Pavel"},{"family":"Mls","given":"Karel"},{"family":"Ponce","given":"Daniela"}],"issued":{"date-parts":[["2020",12,10]]}}}],"schema":"https://github.com/citation-style-language/schema/raw/master/csl-citation.json"} </w:instrText>
      </w:r>
      <w:r w:rsidR="00824E98" w:rsidRPr="00597FFB">
        <w:rPr>
          <w:rFonts w:ascii="Times New Roman" w:eastAsia="Times New Roman" w:hAnsi="Times New Roman" w:cs="Times New Roman"/>
          <w:bCs/>
          <w:color w:val="000000"/>
          <w:sz w:val="24"/>
          <w:szCs w:val="24"/>
        </w:rPr>
        <w:fldChar w:fldCharType="separate"/>
      </w:r>
      <w:r w:rsidR="00F62AA4" w:rsidRPr="00597FFB">
        <w:rPr>
          <w:rFonts w:ascii="Times New Roman" w:hAnsi="Times New Roman" w:cs="Times New Roman"/>
          <w:sz w:val="24"/>
          <w:szCs w:val="24"/>
        </w:rPr>
        <w:t>(Bureš et al., 2020)</w:t>
      </w:r>
      <w:r w:rsidR="00824E98" w:rsidRPr="00597FFB">
        <w:rPr>
          <w:rFonts w:ascii="Times New Roman" w:eastAsia="Times New Roman" w:hAnsi="Times New Roman" w:cs="Times New Roman"/>
          <w:bCs/>
          <w:color w:val="000000"/>
          <w:sz w:val="24"/>
          <w:szCs w:val="24"/>
        </w:rPr>
        <w:fldChar w:fldCharType="end"/>
      </w:r>
      <w:r w:rsidR="00CC1B3A"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It is reflected in increased public attention to and awareness of the natural environment's sustainability (Li et al., 2019). This has become one of the major concerns of the 21st century; understanding the need to adopt pro-environmental behavior for a sustainable future is now widespread, particularly concerning individuals' contribution and household behaviors (W</w:t>
      </w:r>
      <w:r w:rsidR="000F7B2E" w:rsidRPr="00597FFB">
        <w:rPr>
          <w:rFonts w:ascii="Times New Roman" w:eastAsia="Times New Roman" w:hAnsi="Times New Roman" w:cs="Times New Roman"/>
          <w:bCs/>
          <w:color w:val="000000"/>
          <w:sz w:val="24"/>
          <w:szCs w:val="24"/>
        </w:rPr>
        <w:t>oun</w:t>
      </w:r>
      <w:r w:rsidRPr="00597FFB">
        <w:rPr>
          <w:rFonts w:ascii="Times New Roman" w:eastAsia="Times New Roman" w:hAnsi="Times New Roman" w:cs="Times New Roman"/>
          <w:bCs/>
          <w:color w:val="000000"/>
          <w:sz w:val="24"/>
          <w:szCs w:val="24"/>
        </w:rPr>
        <w:t xml:space="preserve">g et al., 2020). </w:t>
      </w:r>
      <w:r w:rsidRPr="00597FFB">
        <w:rPr>
          <w:rFonts w:ascii="Times New Roman" w:eastAsia="Times New Roman" w:hAnsi="Times New Roman" w:cs="Times New Roman"/>
          <w:bCs/>
          <w:iCs/>
          <w:color w:val="000000"/>
          <w:sz w:val="24"/>
          <w:szCs w:val="24"/>
        </w:rPr>
        <w:t>Zh</w:t>
      </w:r>
      <w:r w:rsidR="007B51A8" w:rsidRPr="00597FFB">
        <w:rPr>
          <w:rFonts w:ascii="Times New Roman" w:eastAsia="Times New Roman" w:hAnsi="Times New Roman" w:cs="Times New Roman"/>
          <w:bCs/>
          <w:iCs/>
          <w:color w:val="000000"/>
          <w:sz w:val="24"/>
          <w:szCs w:val="24"/>
        </w:rPr>
        <w:t xml:space="preserve">ang et al. </w:t>
      </w:r>
      <w:r w:rsidRPr="00597FFB">
        <w:rPr>
          <w:rFonts w:ascii="Times New Roman" w:eastAsia="Times New Roman" w:hAnsi="Times New Roman" w:cs="Times New Roman"/>
          <w:bCs/>
          <w:iCs/>
          <w:color w:val="000000"/>
          <w:sz w:val="24"/>
          <w:szCs w:val="24"/>
        </w:rPr>
        <w:t>(2020</w:t>
      </w:r>
      <w:r w:rsidRPr="00597FFB">
        <w:rPr>
          <w:rFonts w:ascii="Times New Roman" w:eastAsia="Times New Roman" w:hAnsi="Times New Roman" w:cs="Times New Roman"/>
          <w:bCs/>
          <w:color w:val="000000"/>
          <w:sz w:val="24"/>
          <w:szCs w:val="24"/>
        </w:rPr>
        <w:t xml:space="preserve">) research has indicated that individual citizens can help environmental change through socially responsible behaviors, such as recycling. </w:t>
      </w:r>
    </w:p>
    <w:p w14:paraId="78AA5E78" w14:textId="46C66A31" w:rsidR="008D6479" w:rsidRPr="00597FFB" w:rsidRDefault="008D6479" w:rsidP="00A558FE">
      <w:pPr>
        <w:autoSpaceDE w:val="0"/>
        <w:autoSpaceDN w:val="0"/>
        <w:adjustRightInd w:val="0"/>
        <w:spacing w:before="26" w:after="26" w:line="480" w:lineRule="auto"/>
        <w:ind w:firstLine="720"/>
        <w:jc w:val="both"/>
        <w:rPr>
          <w:rFonts w:ascii="Times New Roman" w:eastAsia="Calibri" w:hAnsi="Times New Roman" w:cs="Times New Roman"/>
          <w:bCs/>
          <w:iCs/>
          <w:color w:val="FF0000"/>
          <w:sz w:val="24"/>
          <w:szCs w:val="24"/>
        </w:rPr>
      </w:pPr>
      <w:r w:rsidRPr="00597FFB">
        <w:rPr>
          <w:rFonts w:ascii="Times New Roman" w:eastAsia="Times New Roman" w:hAnsi="Times New Roman" w:cs="Times New Roman"/>
          <w:bCs/>
          <w:color w:val="000000"/>
          <w:sz w:val="24"/>
          <w:szCs w:val="24"/>
        </w:rPr>
        <w:t>Borthakur and Govind (201</w:t>
      </w:r>
      <w:r w:rsidR="00945C57" w:rsidRPr="00597FFB">
        <w:rPr>
          <w:rFonts w:ascii="Times New Roman" w:eastAsia="Times New Roman" w:hAnsi="Times New Roman" w:cs="Times New Roman"/>
          <w:bCs/>
          <w:color w:val="000000"/>
          <w:sz w:val="24"/>
          <w:szCs w:val="24"/>
        </w:rPr>
        <w:t>8</w:t>
      </w:r>
      <w:r w:rsidRPr="00597FFB">
        <w:rPr>
          <w:rFonts w:ascii="Times New Roman" w:eastAsia="Times New Roman" w:hAnsi="Times New Roman" w:cs="Times New Roman"/>
          <w:bCs/>
          <w:color w:val="000000"/>
          <w:sz w:val="24"/>
          <w:szCs w:val="24"/>
        </w:rPr>
        <w:t>) studied emerging trends in consumers' EWR and awareness behavior</w:t>
      </w:r>
      <w:r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color w:val="000000"/>
          <w:sz w:val="24"/>
          <w:szCs w:val="24"/>
        </w:rPr>
        <w:t xml:space="preserve">They suggested that this behavior is dynamic across countries and is influenced by consumers' ideology, familiarity, the convenience of recycling activities, and demographical factors (Kumar, 2019). </w:t>
      </w:r>
      <w:r w:rsidRPr="00597FFB">
        <w:rPr>
          <w:rFonts w:ascii="Times New Roman" w:eastAsia="Calibri" w:hAnsi="Times New Roman" w:cs="Times New Roman"/>
          <w:color w:val="000000"/>
          <w:sz w:val="24"/>
          <w:szCs w:val="24"/>
        </w:rPr>
        <w:t xml:space="preserve">Scholars have suggested that consumers must engage in EWR for proper EWM </w:t>
      </w:r>
      <w:r w:rsidR="006D1064" w:rsidRPr="00597FFB">
        <w:rPr>
          <w:rFonts w:ascii="Times New Roman" w:eastAsia="Calibri" w:hAnsi="Times New Roman" w:cs="Times New Roman"/>
          <w:color w:val="000000"/>
          <w:sz w:val="24"/>
          <w:szCs w:val="24"/>
        </w:rPr>
        <w:fldChar w:fldCharType="begin"/>
      </w:r>
      <w:r w:rsidR="00824E98" w:rsidRPr="00597FFB">
        <w:rPr>
          <w:rFonts w:ascii="Times New Roman" w:eastAsia="Calibri" w:hAnsi="Times New Roman" w:cs="Times New Roman"/>
          <w:color w:val="000000"/>
          <w:sz w:val="24"/>
          <w:szCs w:val="24"/>
        </w:rPr>
        <w:instrText xml:space="preserve"> ADDIN ZOTERO_ITEM CSL_CITATION {"citationID":"a2o5gracolk","properties":{"formattedCitation":"(Elhoushy &amp; Lanzini, 2021)","plainCitation":"(Elhoushy &amp; Lanzini, 2021)","noteIndex":0},"citationItems":[{"id":4148,"uris":["http://zotero.org/users/local/b6CRLSJH/items/HL6M8RTF"],"itemData":{"id":4148,"type":"article-journal","container-title":"Journal of International Consumer Marketing","DOI":"10.1080/08961530.2020.1781735","ISSN":"0896-1530, 1528-7068","issue":"3","journalAbbreviation":"Journal of International Consumer Marketing","language":"en","page":"256-279","source":"DOI.org (Crossref)","title":"Factors Affecting Sustainable Consumer Behavior in the MENA Region: A Systematic Review","title-short":"Factors Affecting Sustainable Consumer Behavior in the MENA Region","volume":"33","author":[{"family":"Elhoushy","given":"Sayed"},{"family":"Lanzini","given":"Pietro"}],"issued":{"date-parts":[["2021",5,27]]}}}],"schema":"https://github.com/citation-style-language/schema/raw/master/csl-citation.json"} </w:instrText>
      </w:r>
      <w:r w:rsidR="006D1064" w:rsidRPr="00597FFB">
        <w:rPr>
          <w:rFonts w:ascii="Times New Roman" w:eastAsia="Calibri" w:hAnsi="Times New Roman" w:cs="Times New Roman"/>
          <w:color w:val="000000"/>
          <w:sz w:val="24"/>
          <w:szCs w:val="24"/>
        </w:rPr>
        <w:fldChar w:fldCharType="separate"/>
      </w:r>
      <w:r w:rsidR="00824E98" w:rsidRPr="00597FFB">
        <w:rPr>
          <w:rFonts w:ascii="Times New Roman" w:hAnsi="Times New Roman" w:cs="Times New Roman"/>
          <w:sz w:val="24"/>
          <w:szCs w:val="24"/>
        </w:rPr>
        <w:t>(Elhoushy &amp; Lanzini, 2021)</w:t>
      </w:r>
      <w:r w:rsidR="006D1064" w:rsidRPr="00597FFB">
        <w:rPr>
          <w:rFonts w:ascii="Times New Roman" w:eastAsia="Calibri" w:hAnsi="Times New Roman" w:cs="Times New Roman"/>
          <w:color w:val="000000"/>
          <w:sz w:val="24"/>
          <w:szCs w:val="24"/>
        </w:rPr>
        <w:fldChar w:fldCharType="end"/>
      </w:r>
      <w:r w:rsidR="00B059FA"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Lack of consumer knowledge about EWR and disposal </w:t>
      </w:r>
      <w:r w:rsidR="00353EAC" w:rsidRPr="00597FFB">
        <w:rPr>
          <w:rFonts w:ascii="Times New Roman" w:eastAsia="Calibri" w:hAnsi="Times New Roman" w:cs="Times New Roman"/>
          <w:color w:val="000000"/>
          <w:sz w:val="24"/>
          <w:szCs w:val="24"/>
        </w:rPr>
        <w:t>is crucial</w:t>
      </w:r>
      <w:r w:rsidRPr="00597FFB">
        <w:rPr>
          <w:rFonts w:ascii="Times New Roman" w:eastAsia="Calibri" w:hAnsi="Times New Roman" w:cs="Times New Roman"/>
          <w:color w:val="000000"/>
          <w:sz w:val="24"/>
          <w:szCs w:val="24"/>
        </w:rPr>
        <w:t xml:space="preserve"> in consumer decision</w:t>
      </w:r>
      <w:r w:rsidR="00353EAC" w:rsidRPr="00597FFB">
        <w:rPr>
          <w:rFonts w:ascii="Times New Roman" w:eastAsia="Calibri" w:hAnsi="Times New Roman" w:cs="Times New Roman"/>
          <w:color w:val="000000"/>
          <w:sz w:val="24"/>
          <w:szCs w:val="24"/>
        </w:rPr>
        <w:t>-making</w:t>
      </w:r>
      <w:r w:rsidRPr="00597FFB">
        <w:rPr>
          <w:rFonts w:ascii="Times New Roman" w:eastAsia="Calibri" w:hAnsi="Times New Roman" w:cs="Times New Roman"/>
          <w:color w:val="000000"/>
          <w:sz w:val="24"/>
          <w:szCs w:val="24"/>
        </w:rPr>
        <w:t xml:space="preserve"> (Arain et al., 2020). </w:t>
      </w:r>
      <w:r w:rsidR="00353EAC" w:rsidRPr="00597FFB">
        <w:rPr>
          <w:rFonts w:ascii="Times New Roman" w:eastAsia="Calibri" w:hAnsi="Times New Roman" w:cs="Times New Roman"/>
          <w:color w:val="000000"/>
          <w:sz w:val="24"/>
          <w:szCs w:val="24"/>
        </w:rPr>
        <w:t>Additionally</w:t>
      </w:r>
      <w:r w:rsidRPr="00597FFB">
        <w:rPr>
          <w:rFonts w:ascii="Times New Roman" w:eastAsia="Calibri" w:hAnsi="Times New Roman" w:cs="Times New Roman"/>
          <w:color w:val="000000"/>
          <w:sz w:val="24"/>
          <w:szCs w:val="24"/>
        </w:rPr>
        <w:t xml:space="preserve">, </w:t>
      </w:r>
      <w:r w:rsidR="00353EAC" w:rsidRPr="00597FFB">
        <w:rPr>
          <w:rFonts w:ascii="Times New Roman" w:eastAsia="Calibri" w:hAnsi="Times New Roman" w:cs="Times New Roman"/>
          <w:color w:val="000000"/>
          <w:sz w:val="24"/>
          <w:szCs w:val="24"/>
        </w:rPr>
        <w:t xml:space="preserve">evidence shows that </w:t>
      </w:r>
      <w:r w:rsidRPr="00597FFB">
        <w:rPr>
          <w:rFonts w:ascii="Times New Roman" w:eastAsia="Calibri" w:hAnsi="Times New Roman" w:cs="Times New Roman"/>
          <w:color w:val="000000"/>
          <w:sz w:val="24"/>
          <w:szCs w:val="24"/>
        </w:rPr>
        <w:t xml:space="preserve">consumer awareness </w:t>
      </w:r>
      <w:r w:rsidR="00353EAC" w:rsidRPr="00597FFB">
        <w:rPr>
          <w:rFonts w:ascii="Times New Roman" w:eastAsia="Calibri" w:hAnsi="Times New Roman" w:cs="Times New Roman"/>
          <w:color w:val="000000"/>
          <w:sz w:val="24"/>
          <w:szCs w:val="24"/>
        </w:rPr>
        <w:t xml:space="preserve">affects EWR willingness </w:t>
      </w:r>
      <w:r w:rsidRPr="00597FFB">
        <w:rPr>
          <w:rFonts w:ascii="Times New Roman" w:eastAsia="Calibri" w:hAnsi="Times New Roman" w:cs="Times New Roman"/>
          <w:color w:val="000000"/>
          <w:sz w:val="24"/>
          <w:szCs w:val="24"/>
        </w:rPr>
        <w:t>direct</w:t>
      </w:r>
      <w:r w:rsidR="00353EAC" w:rsidRPr="00597FFB">
        <w:rPr>
          <w:rFonts w:ascii="Times New Roman" w:eastAsia="Calibri" w:hAnsi="Times New Roman" w:cs="Times New Roman"/>
          <w:color w:val="000000"/>
          <w:sz w:val="24"/>
          <w:szCs w:val="24"/>
        </w:rPr>
        <w:t>ly</w:t>
      </w:r>
      <w:r w:rsidRPr="00597FFB">
        <w:rPr>
          <w:rFonts w:ascii="Times New Roman" w:eastAsia="Calibri" w:hAnsi="Times New Roman" w:cs="Times New Roman"/>
          <w:color w:val="000000"/>
          <w:sz w:val="24"/>
          <w:szCs w:val="24"/>
        </w:rPr>
        <w:t xml:space="preserve"> </w:t>
      </w:r>
      <w:r w:rsidR="00B059FA" w:rsidRPr="00597FFB">
        <w:rPr>
          <w:rFonts w:ascii="Times New Roman" w:eastAsia="Calibri" w:hAnsi="Times New Roman" w:cs="Times New Roman"/>
          <w:color w:val="000000"/>
          <w:sz w:val="24"/>
          <w:szCs w:val="24"/>
        </w:rPr>
        <w:fldChar w:fldCharType="begin"/>
      </w:r>
      <w:r w:rsidR="00824E98" w:rsidRPr="00597FFB">
        <w:rPr>
          <w:rFonts w:ascii="Times New Roman" w:eastAsia="Calibri" w:hAnsi="Times New Roman" w:cs="Times New Roman"/>
          <w:color w:val="000000"/>
          <w:sz w:val="24"/>
          <w:szCs w:val="24"/>
        </w:rPr>
        <w:instrText xml:space="preserve"> ADDIN ZOTERO_ITEM CSL_CITATION {"citationID":"a1m8emlkb6b","properties":{"formattedCitation":"(Abubakari &amp; Thuranira, 2021)","plainCitation":"(Abubakari &amp; Thuranira, 2021)","noteIndex":0},"citationItems":[{"id":4155,"uris":["http://zotero.org/users/local/b6CRLSJH/items/4B9TGRGP"],"itemData":{"id":4155,"type":"article-journal","abstract":"Abstract\n            Corporate entities are expected to show a great commitment to the sustainability agenda in response to the Sustainable Development Goal (SDG)-12—‘Ensure sustainable consumption and production patterns’ by 2030. This study, therefore, analyses the sustainability commitments of two major consumer goods companies in Ghana; Unilever Ghana Limited, and PZ Cussons Ghana Limited. It uses the traditional qualitative literature review approach to identify and evaluate the varying commitments of the two entities through an analytic lens of the Sustainable Business Model (SBM) archetypes. The findings indicate that of the eight archetypes, Unilever Ghana Limited is committed to four of the archetypes—1, 3, 6, and 8—whereas PZ Cussons Ghana Limited’s commitments align with five of the archetypes—1, 2, 5, 6, and 8. This indicates a defining step in their sustainability commitments moving forward, however, the translation of the commitments of the two companies into actualities calls for a concerted effort involving the State, civil society, the academic community, and the entities themselves.","container-title":"Discover Sustainability","DOI":"10.1007/s43621-021-00037-8","ISSN":"2662-9984","issue":"1","journalAbbreviation":"Discov Sustain","language":"en","page":"27","source":"DOI.org (Crossref)","title":"The consumer goods sector and the sustainability agenda in Ghana: a review of sustainability commitments","title-short":"The consumer goods sector and the sustainability agenda in Ghana","volume":"2","author":[{"family":"Abubakari","given":"Mohammed"},{"family":"Thuranira","given":"Bessy"}],"issued":{"date-parts":[["2021",12]]}}}],"schema":"https://github.com/citation-style-language/schema/raw/master/csl-citation.json"} </w:instrText>
      </w:r>
      <w:r w:rsidR="00B059FA" w:rsidRPr="00597FFB">
        <w:rPr>
          <w:rFonts w:ascii="Times New Roman" w:eastAsia="Calibri" w:hAnsi="Times New Roman" w:cs="Times New Roman"/>
          <w:color w:val="000000"/>
          <w:sz w:val="24"/>
          <w:szCs w:val="24"/>
        </w:rPr>
        <w:fldChar w:fldCharType="separate"/>
      </w:r>
      <w:r w:rsidR="00824E98" w:rsidRPr="00597FFB">
        <w:rPr>
          <w:rFonts w:ascii="Times New Roman" w:hAnsi="Times New Roman" w:cs="Times New Roman"/>
          <w:sz w:val="24"/>
          <w:szCs w:val="24"/>
        </w:rPr>
        <w:t>(Abubakari &amp; Thuranira, 2021)</w:t>
      </w:r>
      <w:r w:rsidR="00B059FA" w:rsidRPr="00597FFB">
        <w:rPr>
          <w:rFonts w:ascii="Times New Roman" w:eastAsia="Calibri" w:hAnsi="Times New Roman" w:cs="Times New Roman"/>
          <w:color w:val="000000"/>
          <w:sz w:val="24"/>
          <w:szCs w:val="24"/>
        </w:rPr>
        <w:fldChar w:fldCharType="end"/>
      </w:r>
      <w:r w:rsidR="00B059FA"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iCs/>
          <w:color w:val="000000"/>
          <w:sz w:val="24"/>
          <w:szCs w:val="24"/>
        </w:rPr>
        <w:t>Millennials</w:t>
      </w:r>
      <w:r w:rsidR="00743A03" w:rsidRPr="00597FFB">
        <w:rPr>
          <w:rFonts w:ascii="Times New Roman" w:eastAsia="Calibri" w:hAnsi="Times New Roman" w:cs="Times New Roman"/>
          <w:iCs/>
          <w:color w:val="000000"/>
          <w:sz w:val="24"/>
          <w:szCs w:val="24"/>
        </w:rPr>
        <w:t xml:space="preserve"> consume and dispose the largest amount </w:t>
      </w:r>
      <w:r w:rsidRPr="00597FFB">
        <w:rPr>
          <w:rFonts w:ascii="Times New Roman" w:eastAsia="Calibri" w:hAnsi="Times New Roman" w:cs="Times New Roman"/>
          <w:iCs/>
          <w:color w:val="000000"/>
          <w:sz w:val="24"/>
          <w:szCs w:val="24"/>
        </w:rPr>
        <w:t>of small electronic waste globally (Wang et al., 2018).</w:t>
      </w:r>
      <w:r w:rsidRPr="00597FFB">
        <w:rPr>
          <w:rFonts w:ascii="Times New Roman" w:eastAsia="Calibri" w:hAnsi="Times New Roman" w:cs="Times New Roman"/>
          <w:bCs/>
          <w:iCs/>
          <w:color w:val="000000"/>
          <w:sz w:val="24"/>
          <w:szCs w:val="24"/>
        </w:rPr>
        <w:t xml:space="preserve"> </w:t>
      </w:r>
      <w:r w:rsidRPr="00597FFB">
        <w:rPr>
          <w:rFonts w:ascii="Times New Roman" w:eastAsia="Calibri" w:hAnsi="Times New Roman" w:cs="Times New Roman"/>
          <w:iCs/>
          <w:color w:val="000000"/>
          <w:sz w:val="24"/>
          <w:szCs w:val="24"/>
        </w:rPr>
        <w:t xml:space="preserve"> Authors described millennials as a digital generation that lives globally, tries everything for themselves, has cybernetic, media, and technological skills, and acknowledges diversity </w:t>
      </w:r>
      <w:r w:rsidR="003C79AE" w:rsidRPr="00597FFB">
        <w:rPr>
          <w:rFonts w:ascii="Times New Roman" w:eastAsia="Calibri" w:hAnsi="Times New Roman" w:cs="Times New Roman"/>
          <w:iCs/>
          <w:color w:val="000000"/>
          <w:sz w:val="24"/>
          <w:szCs w:val="24"/>
        </w:rPr>
        <w:fldChar w:fldCharType="begin"/>
      </w:r>
      <w:r w:rsidR="00173BF9" w:rsidRPr="00597FFB">
        <w:rPr>
          <w:rFonts w:ascii="Times New Roman" w:eastAsia="Calibri" w:hAnsi="Times New Roman" w:cs="Times New Roman"/>
          <w:iCs/>
          <w:color w:val="000000"/>
          <w:sz w:val="24"/>
          <w:szCs w:val="24"/>
        </w:rPr>
        <w:instrText xml:space="preserve"> ADDIN ZOTERO_ITEM CSL_CITATION {"citationID":"a17dher4rg","properties":{"formattedCitation":"(Barua, 2021a)","plainCitation":"(Barua, 2021a)","noteIndex":0},"citationItems":[{"id":1437,"uris":["http://zotero.org/users/local/b6CRLSJH/items/TZCHN5LB"],"itemData":{"id":1437,"type":"article-journal","abstract":"Purpose\n              Total quality management (TQM) and knowledge management (KM) are two similar and complementary management philosophies synergistic combinations that can form a cycle of improvement and development. This paper aims to investigate the impact of TQM factors on knowledge creation in the organizations of Bangladesh.\n            \n            \n              Design/methodology/approach\n              A list of TQM factors was identified through reviewing the relevant literature. Knowledge creation was analyzed through the framework proposed by Nonaka and Takeuchi (1995). Data were collected through a self-administered questionnaire survey among 450 top and mid-level managers of the organizations. A quantitative research approach, namely, structural equation modeling (SEM) was used in the study. The data were analyzed in SmartPLS 3.\n            \n            \n              Findings\n              From the study, it is found that a positive and significant relationship exists between leadership, employee empowerment, benchmarking, customer focus and information technology with the knowledge creation process and four knowledge conversion modes. In contrast, a negative and significant relationship has been found between employee training and continuous improvement with the knowledge creation process and three knowledge conversion modes.\n            \n            \n              Research limitations/implications\n              Previous researches in Bangladesh empirically validated the effect of TQM on organizational performance, competitive advantage, financial performance, market performance and productivity. But, no such study was undertaken to empirically validate the effect of TQM on knowledge creation process for organizations of Bangladesh. Here, the study has a unique contribution. The empirical support for the hypotheses to explain and predict the contribution of the TQM in promoting knowledge creation.\n            \n            \n              Practical implications\n              The findings highlight the role of leadership practices. Organizational leadership needs to focus more on following issues: gathering required knowledge from the superior sources; transforming prevailing knowledge into a meaningful format to perform activities in better and innovative ways; employing opinions from experiences; facilitating mechanism for employees to update their knowledge; creating a virtual network; implementing customer relationship management system and providing tools and technologies to employees for performing KM activities more efficiently. On the other hand, negative effect of employee training and continuous improvement on knowledge creation sheds light on understanding the reasons for this kind of relationship and formulating effective strategies to resolve problems inside the organizations. In this regard, employees need to be well equipped through regular and appropriate training. Also, employees need to use problem-solving approach to identify problems inside the organizational system thereby availing opportunities for continuous improvement.\n            \n            \n              Originality/value\n              This study was conducted to identify factors that enable knowledge creation in organizations from developing countries like Bangladesh. TQM has been adopted in many organizations. But, its effect was mostly measured to determine its impact on improving organizational performance or competitiveness or identifying its critical success factors of implementation. Hence, this study sheds light on identifying the effect of TQM from a new perspective.","container-title":"The TQM Journal","DOI":"10.1108/TQM-06-2020-0145","ISSN":"1754-2731","issue":"ahead-of-print","journalAbbreviation":"TQM","language":"en","source":"DOI.org (Crossref)","title":"Impact of total quality management factors on knowledge creation in the organizations of Bangladesh","URL":"https://www.emerald.com/insight/content/doi/10.1108/TQM-06-2020-0145/full/html","volume":"ahead-of-print","author":[{"family":"Barua","given":"Bikash"}],"accessed":{"date-parts":[["2021",5,21]]},"issued":{"date-parts":[["2021",1,13]]}}}],"schema":"https://github.com/citation-style-language/schema/raw/master/csl-citation.json"} </w:instrText>
      </w:r>
      <w:r w:rsidR="003C79AE" w:rsidRPr="00597FFB">
        <w:rPr>
          <w:rFonts w:ascii="Times New Roman" w:eastAsia="Calibri" w:hAnsi="Times New Roman" w:cs="Times New Roman"/>
          <w:iCs/>
          <w:color w:val="000000"/>
          <w:sz w:val="24"/>
          <w:szCs w:val="24"/>
        </w:rPr>
        <w:fldChar w:fldCharType="separate"/>
      </w:r>
      <w:r w:rsidR="00173BF9" w:rsidRPr="00597FFB">
        <w:rPr>
          <w:rFonts w:ascii="Times New Roman" w:hAnsi="Times New Roman" w:cs="Times New Roman"/>
          <w:sz w:val="24"/>
        </w:rPr>
        <w:t>(Barua, 2021a)</w:t>
      </w:r>
      <w:r w:rsidR="003C79AE" w:rsidRPr="00597FFB">
        <w:rPr>
          <w:rFonts w:ascii="Times New Roman" w:eastAsia="Calibri" w:hAnsi="Times New Roman" w:cs="Times New Roman"/>
          <w:iCs/>
          <w:color w:val="000000"/>
          <w:sz w:val="24"/>
          <w:szCs w:val="24"/>
        </w:rPr>
        <w:fldChar w:fldCharType="end"/>
      </w:r>
      <w:r w:rsidR="003C79AE" w:rsidRPr="00597FFB">
        <w:rPr>
          <w:rFonts w:ascii="Times New Roman" w:eastAsia="Calibri" w:hAnsi="Times New Roman" w:cs="Times New Roman"/>
          <w:iCs/>
          <w:color w:val="000000"/>
          <w:sz w:val="24"/>
          <w:szCs w:val="24"/>
        </w:rPr>
        <w:t xml:space="preserve">. </w:t>
      </w:r>
      <w:r w:rsidRPr="00597FFB">
        <w:rPr>
          <w:rFonts w:ascii="Times New Roman" w:eastAsia="Calibri" w:hAnsi="Times New Roman" w:cs="Times New Roman"/>
          <w:bCs/>
          <w:iCs/>
          <w:color w:val="000000"/>
          <w:sz w:val="24"/>
          <w:szCs w:val="24"/>
        </w:rPr>
        <w:t xml:space="preserve">There is </w:t>
      </w:r>
      <w:r w:rsidR="009A296C" w:rsidRPr="00597FFB">
        <w:rPr>
          <w:rFonts w:ascii="Times New Roman" w:eastAsia="Calibri" w:hAnsi="Times New Roman" w:cs="Times New Roman"/>
          <w:bCs/>
          <w:iCs/>
          <w:color w:val="000000"/>
          <w:sz w:val="24"/>
          <w:szCs w:val="24"/>
        </w:rPr>
        <w:t>negligible</w:t>
      </w:r>
      <w:r w:rsidRPr="00597FFB">
        <w:rPr>
          <w:rFonts w:ascii="Times New Roman" w:eastAsia="Calibri" w:hAnsi="Times New Roman" w:cs="Times New Roman"/>
          <w:bCs/>
          <w:iCs/>
          <w:color w:val="000000"/>
          <w:sz w:val="24"/>
          <w:szCs w:val="24"/>
        </w:rPr>
        <w:t xml:space="preserve"> research </w:t>
      </w:r>
      <w:r w:rsidR="009A296C" w:rsidRPr="00597FFB">
        <w:rPr>
          <w:rFonts w:ascii="Times New Roman" w:eastAsia="Calibri" w:hAnsi="Times New Roman" w:cs="Times New Roman"/>
          <w:bCs/>
          <w:iCs/>
          <w:color w:val="000000"/>
          <w:sz w:val="24"/>
          <w:szCs w:val="24"/>
        </w:rPr>
        <w:t>that</w:t>
      </w:r>
      <w:r w:rsidRPr="00597FFB">
        <w:rPr>
          <w:rFonts w:ascii="Times New Roman" w:eastAsia="Calibri" w:hAnsi="Times New Roman" w:cs="Times New Roman"/>
          <w:bCs/>
          <w:iCs/>
          <w:color w:val="000000"/>
          <w:sz w:val="24"/>
          <w:szCs w:val="24"/>
        </w:rPr>
        <w:t xml:space="preserve"> model</w:t>
      </w:r>
      <w:r w:rsidR="009A296C" w:rsidRPr="00597FFB">
        <w:rPr>
          <w:rFonts w:ascii="Times New Roman" w:eastAsia="Calibri" w:hAnsi="Times New Roman" w:cs="Times New Roman"/>
          <w:bCs/>
          <w:iCs/>
          <w:color w:val="000000"/>
          <w:sz w:val="24"/>
          <w:szCs w:val="24"/>
        </w:rPr>
        <w:t>s</w:t>
      </w:r>
      <w:r w:rsidRPr="00597FFB">
        <w:rPr>
          <w:rFonts w:ascii="Times New Roman" w:eastAsia="Calibri" w:hAnsi="Times New Roman" w:cs="Times New Roman"/>
          <w:bCs/>
          <w:iCs/>
          <w:color w:val="000000"/>
          <w:sz w:val="24"/>
          <w:szCs w:val="24"/>
        </w:rPr>
        <w:t xml:space="preserve"> </w:t>
      </w:r>
      <w:r w:rsidR="009A296C" w:rsidRPr="00597FFB">
        <w:rPr>
          <w:rFonts w:ascii="Times New Roman" w:eastAsia="Calibri" w:hAnsi="Times New Roman" w:cs="Times New Roman"/>
          <w:bCs/>
          <w:iCs/>
          <w:color w:val="000000"/>
          <w:sz w:val="24"/>
          <w:szCs w:val="24"/>
        </w:rPr>
        <w:t xml:space="preserve">Millennials’ </w:t>
      </w:r>
      <w:r w:rsidRPr="00597FFB">
        <w:rPr>
          <w:rFonts w:ascii="Times New Roman" w:eastAsia="Calibri" w:hAnsi="Times New Roman" w:cs="Times New Roman"/>
          <w:bCs/>
          <w:iCs/>
          <w:color w:val="000000"/>
          <w:sz w:val="24"/>
          <w:szCs w:val="24"/>
        </w:rPr>
        <w:t xml:space="preserve">environmental consumerism and </w:t>
      </w:r>
      <w:r w:rsidR="009A296C" w:rsidRPr="00597FFB">
        <w:rPr>
          <w:rFonts w:ascii="Times New Roman" w:eastAsia="Calibri" w:hAnsi="Times New Roman" w:cs="Times New Roman"/>
          <w:bCs/>
          <w:iCs/>
          <w:color w:val="000000"/>
          <w:sz w:val="24"/>
          <w:szCs w:val="24"/>
        </w:rPr>
        <w:t>how</w:t>
      </w:r>
      <w:r w:rsidRPr="00597FFB">
        <w:rPr>
          <w:rFonts w:ascii="Times New Roman" w:eastAsia="Calibri" w:hAnsi="Times New Roman" w:cs="Times New Roman"/>
          <w:bCs/>
          <w:iCs/>
          <w:color w:val="000000"/>
          <w:sz w:val="24"/>
          <w:szCs w:val="24"/>
        </w:rPr>
        <w:t xml:space="preserve"> these consumers </w:t>
      </w:r>
      <w:r w:rsidR="009A296C" w:rsidRPr="00597FFB">
        <w:rPr>
          <w:rFonts w:ascii="Times New Roman" w:eastAsia="Calibri" w:hAnsi="Times New Roman" w:cs="Times New Roman"/>
          <w:bCs/>
          <w:iCs/>
          <w:color w:val="000000"/>
          <w:sz w:val="24"/>
          <w:szCs w:val="24"/>
        </w:rPr>
        <w:t>undertake</w:t>
      </w:r>
      <w:r w:rsidRPr="00597FFB">
        <w:rPr>
          <w:rFonts w:ascii="Times New Roman" w:eastAsia="Calibri" w:hAnsi="Times New Roman" w:cs="Times New Roman"/>
          <w:bCs/>
          <w:iCs/>
          <w:color w:val="000000"/>
          <w:sz w:val="24"/>
          <w:szCs w:val="24"/>
        </w:rPr>
        <w:t xml:space="preserve"> </w:t>
      </w:r>
      <w:r w:rsidR="009A296C" w:rsidRPr="00597FFB">
        <w:rPr>
          <w:rFonts w:ascii="Times New Roman" w:eastAsia="Calibri" w:hAnsi="Times New Roman" w:cs="Times New Roman"/>
          <w:bCs/>
          <w:iCs/>
          <w:color w:val="000000"/>
          <w:sz w:val="24"/>
          <w:szCs w:val="24"/>
        </w:rPr>
        <w:t>EWR</w:t>
      </w:r>
      <w:r w:rsidRPr="00597FFB">
        <w:rPr>
          <w:rFonts w:ascii="Times New Roman" w:eastAsia="Calibri" w:hAnsi="Times New Roman" w:cs="Times New Roman"/>
          <w:bCs/>
          <w:iCs/>
          <w:color w:val="000000"/>
          <w:sz w:val="24"/>
          <w:szCs w:val="24"/>
        </w:rPr>
        <w:t xml:space="preserve"> </w:t>
      </w:r>
      <w:r w:rsidR="00F17E45" w:rsidRPr="00597FFB">
        <w:rPr>
          <w:rFonts w:ascii="Times New Roman" w:eastAsia="Calibri" w:hAnsi="Times New Roman" w:cs="Times New Roman"/>
          <w:bCs/>
          <w:iCs/>
          <w:color w:val="000000"/>
          <w:sz w:val="24"/>
          <w:szCs w:val="24"/>
        </w:rPr>
        <w:fldChar w:fldCharType="begin"/>
      </w:r>
      <w:r w:rsidR="006D1064" w:rsidRPr="00597FFB">
        <w:rPr>
          <w:rFonts w:ascii="Times New Roman" w:eastAsia="Calibri" w:hAnsi="Times New Roman" w:cs="Times New Roman"/>
          <w:bCs/>
          <w:iCs/>
          <w:color w:val="000000"/>
          <w:sz w:val="24"/>
          <w:szCs w:val="24"/>
        </w:rPr>
        <w:instrText xml:space="preserve"> ADDIN ZOTERO_ITEM CSL_CITATION {"citationID":"a15kp1f3rec","properties":{"formattedCitation":"(Chaturvedi et al., 2020)","plainCitation":"(Chaturvedi et al., 2020)","noteIndex":0},"citationItems":[{"id":4185,"uris":["http://zotero.org/users/local/b6CRLSJH/items/LTKL67Y9"],"itemData":{"id":4185,"type":"article-journal","abstract":"Purpose\n              The purpose of this study is to investigate the influence of environmental concern, perceived value, personal norms and willingness to pay on generation Z’s purchase intention for recycled clothing.\n            \n            \n              Design/methodology/approach\n              The data were collected from five Indian universities. A total of 497 usable responses were analyzed. Confirmatory factor analysis was used for examining the validity and reliability of the scales. Further, the structural equation modeling was used to assess the relationship among the constructs.\n            \n            \n              Findings\n              Findings suggested that willingness to pay, environmental concern, perceived value and personal norms influence generation Z’s purchase intention for recycled clothing. Willingness to pay, environmental concern and perceived value were major predictors of purchase intention for recycled clothing.\n            \n            \n              Practical implications\n              This study holds much importance to the marketers of recycled clothing as it provides useful insights for formulating the appropriate promotional strategies. The study also contributes to the consumer behavior literature by addressing the existing research gap.\n            \n            \n              Originality/value\n              Most of the studies existing in this area have focused on the manufacturing side only except few which explored the consumption side of recycled clothing. Hence, the current study is an attempt to fill this research gap.","container-title":"Young Consumers","DOI":"10.1108/YC-03-2020-1110","ISSN":"1747-3616, 1747-3616","issue":"4","journalAbbreviation":"YC","language":"en","page":"403-417","source":"DOI.org (Crossref)","title":"Investigating the determinants of behavioral intentions of generation Z for recycled clothing: an evidence from a developing economy","title-short":"Investigating the determinants of behavioral intentions of generation Z for recycled clothing","volume":"21","author":[{"family":"Chaturvedi","given":"Pallavi"},{"family":"Kulshreshtha","given":"Kushagra"},{"family":"Tripathi","given":"Vikas"}],"issued":{"date-parts":[["2020",9,28]]}}}],"schema":"https://github.com/citation-style-language/schema/raw/master/csl-citation.json"} </w:instrText>
      </w:r>
      <w:r w:rsidR="00F17E45" w:rsidRPr="00597FFB">
        <w:rPr>
          <w:rFonts w:ascii="Times New Roman" w:eastAsia="Calibri" w:hAnsi="Times New Roman" w:cs="Times New Roman"/>
          <w:bCs/>
          <w:iCs/>
          <w:color w:val="000000"/>
          <w:sz w:val="24"/>
          <w:szCs w:val="24"/>
        </w:rPr>
        <w:fldChar w:fldCharType="separate"/>
      </w:r>
      <w:r w:rsidR="006D1064" w:rsidRPr="00597FFB">
        <w:rPr>
          <w:rFonts w:ascii="Times New Roman" w:hAnsi="Times New Roman" w:cs="Times New Roman"/>
          <w:sz w:val="24"/>
          <w:szCs w:val="24"/>
        </w:rPr>
        <w:t>(Chaturvedi et al., 2020)</w:t>
      </w:r>
      <w:r w:rsidR="00F17E45" w:rsidRPr="00597FFB">
        <w:rPr>
          <w:rFonts w:ascii="Times New Roman" w:eastAsia="Calibri" w:hAnsi="Times New Roman" w:cs="Times New Roman"/>
          <w:bCs/>
          <w:iCs/>
          <w:color w:val="000000"/>
          <w:sz w:val="24"/>
          <w:szCs w:val="24"/>
        </w:rPr>
        <w:fldChar w:fldCharType="end"/>
      </w:r>
      <w:r w:rsidRPr="00597FFB">
        <w:rPr>
          <w:rFonts w:ascii="Times New Roman" w:eastAsia="Calibri" w:hAnsi="Times New Roman" w:cs="Times New Roman"/>
          <w:iCs/>
          <w:color w:val="000000"/>
          <w:sz w:val="24"/>
          <w:szCs w:val="24"/>
        </w:rPr>
        <w:t xml:space="preserve">. The millennial engagement as </w:t>
      </w:r>
      <w:r w:rsidR="0035574A" w:rsidRPr="00597FFB">
        <w:rPr>
          <w:rFonts w:ascii="Times New Roman" w:eastAsia="Calibri" w:hAnsi="Times New Roman" w:cs="Times New Roman"/>
          <w:iCs/>
          <w:color w:val="000000"/>
          <w:sz w:val="24"/>
          <w:szCs w:val="24"/>
        </w:rPr>
        <w:t xml:space="preserve">electronic </w:t>
      </w:r>
      <w:r w:rsidRPr="00597FFB">
        <w:rPr>
          <w:rFonts w:ascii="Times New Roman" w:eastAsia="Calibri" w:hAnsi="Times New Roman" w:cs="Times New Roman"/>
          <w:iCs/>
          <w:color w:val="000000"/>
          <w:sz w:val="24"/>
          <w:szCs w:val="24"/>
        </w:rPr>
        <w:t xml:space="preserve">consumers is </w:t>
      </w:r>
      <w:r w:rsidR="0035574A" w:rsidRPr="00597FFB">
        <w:rPr>
          <w:rFonts w:ascii="Times New Roman" w:eastAsia="Calibri" w:hAnsi="Times New Roman" w:cs="Times New Roman"/>
          <w:iCs/>
          <w:color w:val="000000"/>
          <w:sz w:val="24"/>
          <w:szCs w:val="24"/>
        </w:rPr>
        <w:t>vital in</w:t>
      </w:r>
      <w:r w:rsidRPr="00597FFB">
        <w:rPr>
          <w:rFonts w:ascii="Times New Roman" w:eastAsia="Calibri" w:hAnsi="Times New Roman" w:cs="Times New Roman"/>
          <w:iCs/>
          <w:color w:val="000000"/>
          <w:sz w:val="24"/>
          <w:szCs w:val="24"/>
        </w:rPr>
        <w:t xml:space="preserve"> contextualiz</w:t>
      </w:r>
      <w:r w:rsidR="0035574A" w:rsidRPr="00597FFB">
        <w:rPr>
          <w:rFonts w:ascii="Times New Roman" w:eastAsia="Calibri" w:hAnsi="Times New Roman" w:cs="Times New Roman"/>
          <w:iCs/>
          <w:color w:val="000000"/>
          <w:sz w:val="24"/>
          <w:szCs w:val="24"/>
        </w:rPr>
        <w:t>ing</w:t>
      </w:r>
      <w:r w:rsidRPr="00597FFB">
        <w:rPr>
          <w:rFonts w:ascii="Times New Roman" w:eastAsia="Calibri" w:hAnsi="Times New Roman" w:cs="Times New Roman"/>
          <w:iCs/>
          <w:color w:val="000000"/>
          <w:sz w:val="24"/>
          <w:szCs w:val="24"/>
        </w:rPr>
        <w:t xml:space="preserve"> them as </w:t>
      </w:r>
      <w:r w:rsidR="0035574A" w:rsidRPr="00597FFB">
        <w:rPr>
          <w:rFonts w:ascii="Times New Roman" w:eastAsia="Calibri" w:hAnsi="Times New Roman" w:cs="Times New Roman"/>
          <w:iCs/>
          <w:color w:val="000000"/>
          <w:sz w:val="24"/>
          <w:szCs w:val="24"/>
        </w:rPr>
        <w:t>important</w:t>
      </w:r>
      <w:r w:rsidRPr="00597FFB">
        <w:rPr>
          <w:rFonts w:ascii="Times New Roman" w:eastAsia="Calibri" w:hAnsi="Times New Roman" w:cs="Times New Roman"/>
          <w:iCs/>
          <w:color w:val="000000"/>
          <w:sz w:val="24"/>
          <w:szCs w:val="24"/>
        </w:rPr>
        <w:t xml:space="preserve"> stakeholders and distinguish</w:t>
      </w:r>
      <w:r w:rsidR="0035574A" w:rsidRPr="00597FFB">
        <w:rPr>
          <w:rFonts w:ascii="Times New Roman" w:eastAsia="Calibri" w:hAnsi="Times New Roman" w:cs="Times New Roman"/>
          <w:iCs/>
          <w:color w:val="000000"/>
          <w:sz w:val="24"/>
          <w:szCs w:val="24"/>
        </w:rPr>
        <w:t>ing</w:t>
      </w:r>
      <w:r w:rsidRPr="00597FFB">
        <w:rPr>
          <w:rFonts w:ascii="Times New Roman" w:eastAsia="Calibri" w:hAnsi="Times New Roman" w:cs="Times New Roman"/>
          <w:iCs/>
          <w:color w:val="000000"/>
          <w:sz w:val="24"/>
          <w:szCs w:val="24"/>
        </w:rPr>
        <w:t xml:space="preserve"> between their </w:t>
      </w:r>
      <w:r w:rsidR="0035574A" w:rsidRPr="00597FFB">
        <w:rPr>
          <w:rFonts w:ascii="Times New Roman" w:eastAsia="Calibri" w:hAnsi="Times New Roman" w:cs="Times New Roman"/>
          <w:iCs/>
          <w:color w:val="000000"/>
          <w:sz w:val="24"/>
          <w:szCs w:val="24"/>
        </w:rPr>
        <w:t>objectives</w:t>
      </w:r>
      <w:r w:rsidRPr="00597FFB">
        <w:rPr>
          <w:rFonts w:ascii="Times New Roman" w:eastAsia="Calibri" w:hAnsi="Times New Roman" w:cs="Times New Roman"/>
          <w:iCs/>
          <w:color w:val="000000"/>
          <w:sz w:val="24"/>
          <w:szCs w:val="24"/>
        </w:rPr>
        <w:t xml:space="preserve"> and those of </w:t>
      </w:r>
      <w:r w:rsidR="0035574A" w:rsidRPr="00597FFB">
        <w:rPr>
          <w:rFonts w:ascii="Times New Roman" w:eastAsia="Calibri" w:hAnsi="Times New Roman" w:cs="Times New Roman"/>
          <w:iCs/>
          <w:color w:val="000000"/>
          <w:sz w:val="24"/>
          <w:szCs w:val="24"/>
        </w:rPr>
        <w:t>other consumers, E-waste generators</w:t>
      </w:r>
      <w:r w:rsidRPr="00597FFB">
        <w:rPr>
          <w:rFonts w:ascii="Times New Roman" w:eastAsia="Calibri" w:hAnsi="Times New Roman" w:cs="Times New Roman"/>
          <w:iCs/>
          <w:color w:val="000000"/>
          <w:sz w:val="24"/>
          <w:szCs w:val="24"/>
        </w:rPr>
        <w:t xml:space="preserve">, and </w:t>
      </w:r>
      <w:r w:rsidR="0035574A" w:rsidRPr="00597FFB">
        <w:rPr>
          <w:rFonts w:ascii="Times New Roman" w:eastAsia="Calibri" w:hAnsi="Times New Roman" w:cs="Times New Roman"/>
          <w:iCs/>
          <w:color w:val="000000"/>
          <w:sz w:val="24"/>
          <w:szCs w:val="24"/>
        </w:rPr>
        <w:t xml:space="preserve">the scientific community </w:t>
      </w:r>
      <w:r w:rsidRPr="00597FFB">
        <w:rPr>
          <w:rFonts w:ascii="Times New Roman" w:eastAsia="Calibri" w:hAnsi="Times New Roman" w:cs="Times New Roman"/>
          <w:color w:val="000000"/>
          <w:sz w:val="24"/>
          <w:szCs w:val="24"/>
        </w:rPr>
        <w:t>(Kumar, 2019)</w:t>
      </w:r>
      <w:r w:rsidRPr="00597FFB">
        <w:rPr>
          <w:rFonts w:ascii="Times New Roman" w:eastAsia="Calibri" w:hAnsi="Times New Roman" w:cs="Times New Roman"/>
          <w:iCs/>
          <w:color w:val="000000"/>
          <w:sz w:val="24"/>
          <w:szCs w:val="24"/>
        </w:rPr>
        <w:t>.</w:t>
      </w:r>
      <w:r w:rsidRPr="00597FFB">
        <w:rPr>
          <w:rFonts w:ascii="Times New Roman" w:eastAsia="Calibri" w:hAnsi="Times New Roman" w:cs="Times New Roman"/>
          <w:bCs/>
          <w:iCs/>
          <w:color w:val="000000"/>
          <w:sz w:val="24"/>
          <w:szCs w:val="24"/>
        </w:rPr>
        <w:t xml:space="preserve"> </w:t>
      </w:r>
      <w:r w:rsidR="0035574A" w:rsidRPr="00597FFB">
        <w:rPr>
          <w:rFonts w:ascii="Times New Roman" w:eastAsia="Calibri" w:hAnsi="Times New Roman" w:cs="Times New Roman"/>
          <w:bCs/>
          <w:iCs/>
          <w:color w:val="000000"/>
          <w:sz w:val="24"/>
          <w:szCs w:val="24"/>
        </w:rPr>
        <w:t>Although millennials are important</w:t>
      </w:r>
      <w:r w:rsidRPr="00597FFB">
        <w:rPr>
          <w:rFonts w:ascii="Times New Roman" w:eastAsia="Calibri" w:hAnsi="Times New Roman" w:cs="Times New Roman"/>
          <w:bCs/>
          <w:iCs/>
          <w:color w:val="000000"/>
          <w:sz w:val="24"/>
          <w:szCs w:val="24"/>
        </w:rPr>
        <w:t xml:space="preserve"> as consumers, research </w:t>
      </w:r>
      <w:r w:rsidR="0035574A" w:rsidRPr="00597FFB">
        <w:rPr>
          <w:rFonts w:ascii="Times New Roman" w:eastAsia="Calibri" w:hAnsi="Times New Roman" w:cs="Times New Roman"/>
          <w:bCs/>
          <w:iCs/>
          <w:color w:val="000000"/>
          <w:sz w:val="24"/>
          <w:szCs w:val="24"/>
        </w:rPr>
        <w:t>about them as</w:t>
      </w:r>
      <w:r w:rsidRPr="00597FFB">
        <w:rPr>
          <w:rFonts w:ascii="Times New Roman" w:eastAsia="Calibri" w:hAnsi="Times New Roman" w:cs="Times New Roman"/>
          <w:bCs/>
          <w:iCs/>
          <w:color w:val="000000"/>
          <w:sz w:val="24"/>
          <w:szCs w:val="24"/>
        </w:rPr>
        <w:t xml:space="preserve"> </w:t>
      </w:r>
      <w:r w:rsidRPr="00597FFB">
        <w:rPr>
          <w:rFonts w:ascii="Times New Roman" w:eastAsia="Calibri" w:hAnsi="Times New Roman" w:cs="Times New Roman"/>
          <w:bCs/>
          <w:i/>
          <w:iCs/>
          <w:color w:val="000000"/>
          <w:sz w:val="24"/>
          <w:szCs w:val="24"/>
        </w:rPr>
        <w:t xml:space="preserve">ethical consumers </w:t>
      </w:r>
      <w:r w:rsidR="0035574A" w:rsidRPr="00597FFB">
        <w:rPr>
          <w:rFonts w:ascii="Times New Roman" w:eastAsia="Calibri" w:hAnsi="Times New Roman" w:cs="Times New Roman"/>
          <w:bCs/>
          <w:iCs/>
          <w:color w:val="000000"/>
          <w:sz w:val="24"/>
          <w:szCs w:val="24"/>
        </w:rPr>
        <w:t>remains</w:t>
      </w:r>
      <w:r w:rsidRPr="00597FFB">
        <w:rPr>
          <w:rFonts w:ascii="Times New Roman" w:eastAsia="Calibri" w:hAnsi="Times New Roman" w:cs="Times New Roman"/>
          <w:bCs/>
          <w:iCs/>
          <w:color w:val="000000"/>
          <w:sz w:val="24"/>
          <w:szCs w:val="24"/>
        </w:rPr>
        <w:t xml:space="preserve"> </w:t>
      </w:r>
      <w:r w:rsidR="0035574A" w:rsidRPr="00597FFB">
        <w:rPr>
          <w:rFonts w:ascii="Times New Roman" w:eastAsia="Calibri" w:hAnsi="Times New Roman" w:cs="Times New Roman"/>
          <w:bCs/>
          <w:iCs/>
          <w:color w:val="000000"/>
          <w:sz w:val="24"/>
          <w:szCs w:val="24"/>
        </w:rPr>
        <w:t>inadequate</w:t>
      </w:r>
      <w:r w:rsidRPr="00597FFB">
        <w:rPr>
          <w:rFonts w:ascii="Times New Roman" w:eastAsia="Calibri" w:hAnsi="Times New Roman" w:cs="Times New Roman"/>
          <w:bCs/>
          <w:iCs/>
          <w:color w:val="FF0000"/>
          <w:sz w:val="24"/>
          <w:szCs w:val="24"/>
        </w:rPr>
        <w:t>.</w:t>
      </w:r>
      <w:r w:rsidRPr="00597FFB">
        <w:rPr>
          <w:rFonts w:ascii="Times New Roman" w:eastAsia="Calibri" w:hAnsi="Times New Roman" w:cs="Times New Roman"/>
          <w:iCs/>
          <w:color w:val="FF0000"/>
          <w:sz w:val="24"/>
          <w:szCs w:val="24"/>
        </w:rPr>
        <w:t xml:space="preserve"> </w:t>
      </w:r>
      <w:r w:rsidRPr="00597FFB">
        <w:rPr>
          <w:rFonts w:ascii="Times New Roman" w:eastAsia="Calibri" w:hAnsi="Times New Roman" w:cs="Times New Roman"/>
          <w:iCs/>
          <w:color w:val="000000"/>
          <w:sz w:val="24"/>
          <w:szCs w:val="24"/>
        </w:rPr>
        <w:t>It is essential to understand the subjective preferences to mitigate the growing electronic waste problem (Zhong &amp; Wakkary, 2020).</w:t>
      </w:r>
    </w:p>
    <w:p w14:paraId="3AF71462" w14:textId="56E671D8" w:rsidR="008D6479" w:rsidRPr="00597FFB" w:rsidRDefault="008D6479" w:rsidP="00A558FE">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iCs/>
          <w:sz w:val="24"/>
          <w:szCs w:val="24"/>
        </w:rPr>
        <w:t xml:space="preserve">From the research gaps above, </w:t>
      </w:r>
      <w:r w:rsidRPr="00597FFB">
        <w:rPr>
          <w:rFonts w:ascii="Times New Roman" w:eastAsia="Calibri" w:hAnsi="Times New Roman" w:cs="Times New Roman"/>
          <w:iCs/>
          <w:color w:val="000000"/>
          <w:sz w:val="24"/>
          <w:szCs w:val="24"/>
        </w:rPr>
        <w:t>it is timely and necessary to have an</w:t>
      </w:r>
      <w:r w:rsidRPr="00597FFB">
        <w:rPr>
          <w:rFonts w:ascii="Times New Roman" w:eastAsia="Calibri" w:hAnsi="Times New Roman" w:cs="Times New Roman"/>
          <w:iCs/>
          <w:sz w:val="24"/>
          <w:szCs w:val="24"/>
        </w:rPr>
        <w:t xml:space="preserve"> empirical </w:t>
      </w:r>
      <w:r w:rsidRPr="00597FFB">
        <w:rPr>
          <w:rFonts w:ascii="Times New Roman" w:eastAsia="Calibri" w:hAnsi="Times New Roman" w:cs="Times New Roman"/>
          <w:iCs/>
          <w:color w:val="000000"/>
          <w:sz w:val="24"/>
          <w:szCs w:val="24"/>
        </w:rPr>
        <w:t xml:space="preserve">study to help understand and analyzes the fundamental psychological and demographic antecedents promoting millennials' E-waste recycling behavioral intention toward E-waste recycling. </w:t>
      </w:r>
      <w:r w:rsidRPr="00597FFB">
        <w:rPr>
          <w:rFonts w:ascii="Times New Roman" w:eastAsia="Calibri" w:hAnsi="Times New Roman" w:cs="Times New Roman"/>
          <w:iCs/>
          <w:sz w:val="24"/>
          <w:szCs w:val="24"/>
        </w:rPr>
        <w:t xml:space="preserve">The primary purpose is to determine if </w:t>
      </w:r>
      <w:bookmarkStart w:id="52" w:name="_Hlk52727377"/>
      <w:r w:rsidRPr="00597FFB">
        <w:rPr>
          <w:rFonts w:ascii="Times New Roman" w:eastAsia="Calibri" w:hAnsi="Times New Roman" w:cs="Times New Roman"/>
          <w:iCs/>
          <w:sz w:val="24"/>
          <w:szCs w:val="24"/>
        </w:rPr>
        <w:t>millennial</w:t>
      </w:r>
      <w:r w:rsidRPr="00597FFB">
        <w:rPr>
          <w:rFonts w:ascii="Times New Roman" w:eastAsia="Calibri" w:hAnsi="Times New Roman" w:cs="Times New Roman"/>
          <w:sz w:val="24"/>
          <w:szCs w:val="24"/>
        </w:rPr>
        <w:t xml:space="preserve"> </w:t>
      </w:r>
      <w:r w:rsidRPr="00597FFB">
        <w:rPr>
          <w:rFonts w:ascii="Times New Roman" w:eastAsia="Calibri" w:hAnsi="Times New Roman" w:cs="Times New Roman"/>
          <w:iCs/>
          <w:sz w:val="24"/>
          <w:szCs w:val="24"/>
        </w:rPr>
        <w:t xml:space="preserve">consumers </w:t>
      </w:r>
      <w:bookmarkEnd w:id="52"/>
      <w:r w:rsidRPr="00597FFB">
        <w:rPr>
          <w:rFonts w:ascii="Times New Roman" w:eastAsia="Calibri" w:hAnsi="Times New Roman" w:cs="Times New Roman"/>
          <w:iCs/>
          <w:sz w:val="24"/>
          <w:szCs w:val="24"/>
        </w:rPr>
        <w:t>of EEE in the UAE are aware of E-waste's adverse effects</w:t>
      </w:r>
      <w:r w:rsidRPr="00597FFB">
        <w:rPr>
          <w:rFonts w:ascii="Times New Roman" w:eastAsia="Calibri" w:hAnsi="Times New Roman" w:cs="Times New Roman"/>
          <w:iCs/>
          <w:color w:val="000000"/>
          <w:sz w:val="24"/>
          <w:szCs w:val="24"/>
        </w:rPr>
        <w:t xml:space="preserve"> on their lives and the environment.  It was also vital to examine whether millennials, as EWM stakeholders, understand their responsibility, attitudes, </w:t>
      </w:r>
      <w:r w:rsidR="0035574A" w:rsidRPr="00597FFB">
        <w:rPr>
          <w:rFonts w:ascii="Times New Roman" w:eastAsia="Calibri" w:hAnsi="Times New Roman" w:cs="Times New Roman"/>
          <w:iCs/>
          <w:color w:val="000000"/>
          <w:sz w:val="24"/>
          <w:szCs w:val="24"/>
        </w:rPr>
        <w:t>behavioral issues</w:t>
      </w:r>
      <w:r w:rsidRPr="00597FFB">
        <w:rPr>
          <w:rFonts w:ascii="Times New Roman" w:eastAsia="Calibri" w:hAnsi="Times New Roman" w:cs="Times New Roman"/>
          <w:iCs/>
          <w:color w:val="000000"/>
          <w:sz w:val="24"/>
          <w:szCs w:val="24"/>
        </w:rPr>
        <w:t xml:space="preserve">, and </w:t>
      </w:r>
      <w:r w:rsidR="0035574A" w:rsidRPr="00597FFB">
        <w:rPr>
          <w:rFonts w:ascii="Times New Roman" w:eastAsia="Calibri" w:hAnsi="Times New Roman" w:cs="Times New Roman"/>
          <w:iCs/>
          <w:color w:val="000000"/>
          <w:sz w:val="24"/>
          <w:szCs w:val="24"/>
        </w:rPr>
        <w:t xml:space="preserve">beliefs </w:t>
      </w:r>
      <w:r w:rsidR="0035574A" w:rsidRPr="00597FFB">
        <w:rPr>
          <w:rFonts w:ascii="Times New Roman" w:eastAsia="Calibri" w:hAnsi="Times New Roman" w:cs="Times New Roman"/>
          <w:color w:val="000000"/>
          <w:sz w:val="24"/>
          <w:szCs w:val="24"/>
        </w:rPr>
        <w:t>concerning</w:t>
      </w:r>
      <w:r w:rsidRPr="00597FFB">
        <w:rPr>
          <w:rFonts w:ascii="Times New Roman" w:eastAsia="Calibri" w:hAnsi="Times New Roman" w:cs="Times New Roman"/>
          <w:color w:val="000000"/>
          <w:sz w:val="24"/>
          <w:szCs w:val="24"/>
        </w:rPr>
        <w:t xml:space="preserve"> EWR (Kumar, 2019; Liu et al., 2019; Borthakur &amp; Govind, 201</w:t>
      </w:r>
      <w:r w:rsidR="003718AC" w:rsidRPr="00597FFB">
        <w:rPr>
          <w:rFonts w:ascii="Times New Roman" w:eastAsia="Calibri" w:hAnsi="Times New Roman" w:cs="Times New Roman"/>
          <w:color w:val="000000"/>
          <w:sz w:val="24"/>
          <w:szCs w:val="24"/>
        </w:rPr>
        <w:t>8</w:t>
      </w:r>
      <w:r w:rsidRPr="00597FFB">
        <w:rPr>
          <w:rFonts w:ascii="Times New Roman" w:eastAsia="Calibri" w:hAnsi="Times New Roman" w:cs="Times New Roman"/>
          <w:color w:val="000000"/>
          <w:sz w:val="24"/>
          <w:szCs w:val="24"/>
        </w:rPr>
        <w:t>)</w:t>
      </w:r>
      <w:r w:rsidRPr="00597FFB">
        <w:rPr>
          <w:rFonts w:ascii="Times New Roman" w:eastAsia="Calibri" w:hAnsi="Times New Roman" w:cs="Times New Roman"/>
          <w:iCs/>
          <w:color w:val="000000"/>
          <w:sz w:val="24"/>
          <w:szCs w:val="24"/>
        </w:rPr>
        <w:t xml:space="preserve">. Among the pioneer one, this is the first study about millennials' attitudes and behavioral intention for recycling E-waste in UAE. </w:t>
      </w:r>
      <w:r w:rsidRPr="00597FFB">
        <w:rPr>
          <w:rFonts w:ascii="Times New Roman" w:eastAsia="Calibri" w:hAnsi="Times New Roman" w:cs="Times New Roman"/>
          <w:color w:val="000000"/>
          <w:sz w:val="24"/>
          <w:szCs w:val="24"/>
        </w:rPr>
        <w:t xml:space="preserve">According to </w:t>
      </w:r>
      <w:r w:rsidR="003718AC" w:rsidRPr="00597FFB">
        <w:rPr>
          <w:rFonts w:ascii="Times New Roman" w:eastAsia="Calibri" w:hAnsi="Times New Roman" w:cs="Times New Roman"/>
          <w:color w:val="000000"/>
          <w:sz w:val="24"/>
          <w:szCs w:val="24"/>
        </w:rPr>
        <w:t>Mahmoud</w:t>
      </w:r>
      <w:r w:rsidRPr="00597FFB">
        <w:rPr>
          <w:rFonts w:ascii="Times New Roman" w:eastAsia="Calibri" w:hAnsi="Times New Roman" w:cs="Times New Roman"/>
          <w:color w:val="000000"/>
          <w:sz w:val="24"/>
          <w:szCs w:val="24"/>
        </w:rPr>
        <w:t xml:space="preserve"> et al. (2020), examining millennials' perceptions about </w:t>
      </w:r>
      <w:r w:rsidR="0035574A" w:rsidRPr="00597FFB">
        <w:rPr>
          <w:rFonts w:ascii="Times New Roman" w:eastAsia="Calibri" w:hAnsi="Times New Roman" w:cs="Times New Roman"/>
          <w:color w:val="000000"/>
          <w:sz w:val="24"/>
          <w:szCs w:val="24"/>
        </w:rPr>
        <w:t>E-</w:t>
      </w:r>
      <w:r w:rsidRPr="00597FFB">
        <w:rPr>
          <w:rFonts w:ascii="Times New Roman" w:eastAsia="Calibri" w:hAnsi="Times New Roman" w:cs="Times New Roman"/>
          <w:color w:val="000000"/>
          <w:sz w:val="24"/>
          <w:szCs w:val="24"/>
        </w:rPr>
        <w:t xml:space="preserve">waste and sustainable attitudes is </w:t>
      </w:r>
      <w:r w:rsidR="0035574A" w:rsidRPr="00597FFB">
        <w:rPr>
          <w:rFonts w:ascii="Times New Roman" w:eastAsia="Calibri" w:hAnsi="Times New Roman" w:cs="Times New Roman"/>
          <w:color w:val="000000"/>
          <w:sz w:val="24"/>
          <w:szCs w:val="24"/>
        </w:rPr>
        <w:t>paramount</w:t>
      </w:r>
      <w:r w:rsidRPr="00597FFB">
        <w:rPr>
          <w:rFonts w:ascii="Times New Roman" w:eastAsia="Calibri" w:hAnsi="Times New Roman" w:cs="Times New Roman"/>
          <w:color w:val="000000"/>
          <w:sz w:val="24"/>
          <w:szCs w:val="24"/>
        </w:rPr>
        <w:t xml:space="preserve"> to </w:t>
      </w:r>
      <w:r w:rsidR="0035574A" w:rsidRPr="00597FFB">
        <w:rPr>
          <w:rFonts w:ascii="Times New Roman" w:eastAsia="Calibri" w:hAnsi="Times New Roman" w:cs="Times New Roman"/>
          <w:color w:val="000000"/>
          <w:sz w:val="24"/>
          <w:szCs w:val="24"/>
        </w:rPr>
        <w:t>the establishment of</w:t>
      </w:r>
      <w:r w:rsidRPr="00597FFB">
        <w:rPr>
          <w:rFonts w:ascii="Times New Roman" w:eastAsia="Calibri" w:hAnsi="Times New Roman" w:cs="Times New Roman"/>
          <w:color w:val="000000"/>
          <w:sz w:val="24"/>
          <w:szCs w:val="24"/>
        </w:rPr>
        <w:t xml:space="preserve"> greater public </w:t>
      </w:r>
      <w:r w:rsidR="0035574A" w:rsidRPr="00597FFB">
        <w:rPr>
          <w:rFonts w:ascii="Times New Roman" w:eastAsia="Calibri" w:hAnsi="Times New Roman" w:cs="Times New Roman"/>
          <w:color w:val="000000"/>
          <w:sz w:val="24"/>
          <w:szCs w:val="24"/>
        </w:rPr>
        <w:t>understanding,</w:t>
      </w:r>
      <w:r w:rsidRPr="00597FFB">
        <w:rPr>
          <w:rFonts w:ascii="Times New Roman" w:eastAsia="Calibri" w:hAnsi="Times New Roman" w:cs="Times New Roman"/>
          <w:color w:val="000000"/>
          <w:sz w:val="24"/>
          <w:szCs w:val="24"/>
        </w:rPr>
        <w:t xml:space="preserve"> mitigat</w:t>
      </w:r>
      <w:r w:rsidR="0035574A" w:rsidRPr="00597FFB">
        <w:rPr>
          <w:rFonts w:ascii="Times New Roman" w:eastAsia="Calibri" w:hAnsi="Times New Roman" w:cs="Times New Roman"/>
          <w:color w:val="000000"/>
          <w:sz w:val="24"/>
          <w:szCs w:val="24"/>
        </w:rPr>
        <w:t>ion of</w:t>
      </w:r>
      <w:r w:rsidRPr="00597FFB">
        <w:rPr>
          <w:rFonts w:ascii="Times New Roman" w:eastAsia="Calibri" w:hAnsi="Times New Roman" w:cs="Times New Roman"/>
          <w:color w:val="000000"/>
          <w:sz w:val="24"/>
          <w:szCs w:val="24"/>
        </w:rPr>
        <w:t xml:space="preserve"> the </w:t>
      </w:r>
      <w:r w:rsidR="0035574A" w:rsidRPr="00597FFB">
        <w:rPr>
          <w:rFonts w:ascii="Times New Roman" w:eastAsia="Calibri" w:hAnsi="Times New Roman" w:cs="Times New Roman"/>
          <w:color w:val="000000"/>
          <w:sz w:val="24"/>
          <w:szCs w:val="24"/>
        </w:rPr>
        <w:t>E-</w:t>
      </w:r>
      <w:r w:rsidRPr="00597FFB">
        <w:rPr>
          <w:rFonts w:ascii="Times New Roman" w:eastAsia="Calibri" w:hAnsi="Times New Roman" w:cs="Times New Roman"/>
          <w:color w:val="000000"/>
          <w:sz w:val="24"/>
          <w:szCs w:val="24"/>
        </w:rPr>
        <w:t>waste problem</w:t>
      </w:r>
      <w:r w:rsidR="0035574A" w:rsidRPr="00597FFB">
        <w:rPr>
          <w:rFonts w:ascii="Times New Roman" w:eastAsia="Calibri" w:hAnsi="Times New Roman" w:cs="Times New Roman"/>
          <w:color w:val="000000"/>
          <w:sz w:val="24"/>
          <w:szCs w:val="24"/>
        </w:rPr>
        <w:t>,</w:t>
      </w:r>
      <w:r w:rsidRPr="00597FFB">
        <w:rPr>
          <w:rFonts w:ascii="Times New Roman" w:eastAsia="Calibri" w:hAnsi="Times New Roman" w:cs="Times New Roman"/>
          <w:color w:val="000000"/>
          <w:sz w:val="24"/>
          <w:szCs w:val="24"/>
        </w:rPr>
        <w:t xml:space="preserve"> and </w:t>
      </w:r>
      <w:r w:rsidR="0035574A" w:rsidRPr="00597FFB">
        <w:rPr>
          <w:rFonts w:ascii="Times New Roman" w:eastAsia="Calibri" w:hAnsi="Times New Roman" w:cs="Times New Roman"/>
          <w:color w:val="000000"/>
          <w:sz w:val="24"/>
          <w:szCs w:val="24"/>
        </w:rPr>
        <w:t>identification of potential interventions</w:t>
      </w:r>
      <w:r w:rsidRPr="00597FFB">
        <w:rPr>
          <w:rFonts w:ascii="Times New Roman" w:eastAsia="Calibri" w:hAnsi="Times New Roman" w:cs="Times New Roman"/>
          <w:color w:val="000000"/>
          <w:sz w:val="24"/>
          <w:szCs w:val="24"/>
        </w:rPr>
        <w:t xml:space="preserve"> </w:t>
      </w:r>
      <w:r w:rsidR="0035574A" w:rsidRPr="00597FFB">
        <w:rPr>
          <w:rFonts w:ascii="Times New Roman" w:eastAsia="Calibri" w:hAnsi="Times New Roman" w:cs="Times New Roman"/>
          <w:color w:val="000000"/>
          <w:sz w:val="24"/>
          <w:szCs w:val="24"/>
        </w:rPr>
        <w:t>for</w:t>
      </w:r>
      <w:r w:rsidRPr="00597FFB">
        <w:rPr>
          <w:rFonts w:ascii="Times New Roman" w:eastAsia="Calibri" w:hAnsi="Times New Roman" w:cs="Times New Roman"/>
          <w:color w:val="000000"/>
          <w:sz w:val="24"/>
          <w:szCs w:val="24"/>
        </w:rPr>
        <w:t xml:space="preserve"> influenc</w:t>
      </w:r>
      <w:r w:rsidR="0035574A" w:rsidRPr="00597FFB">
        <w:rPr>
          <w:rFonts w:ascii="Times New Roman" w:eastAsia="Calibri" w:hAnsi="Times New Roman" w:cs="Times New Roman"/>
          <w:color w:val="000000"/>
          <w:sz w:val="24"/>
          <w:szCs w:val="24"/>
        </w:rPr>
        <w:t>ing</w:t>
      </w:r>
      <w:r w:rsidRPr="00597FFB">
        <w:rPr>
          <w:rFonts w:ascii="Times New Roman" w:eastAsia="Calibri" w:hAnsi="Times New Roman" w:cs="Times New Roman"/>
          <w:color w:val="000000"/>
          <w:sz w:val="24"/>
          <w:szCs w:val="24"/>
        </w:rPr>
        <w:t xml:space="preserve"> or motivat</w:t>
      </w:r>
      <w:r w:rsidR="0035574A" w:rsidRPr="00597FFB">
        <w:rPr>
          <w:rFonts w:ascii="Times New Roman" w:eastAsia="Calibri" w:hAnsi="Times New Roman" w:cs="Times New Roman"/>
          <w:color w:val="000000"/>
          <w:sz w:val="24"/>
          <w:szCs w:val="24"/>
        </w:rPr>
        <w:t>ing</w:t>
      </w:r>
      <w:r w:rsidRPr="00597FFB">
        <w:rPr>
          <w:rFonts w:ascii="Times New Roman" w:eastAsia="Calibri" w:hAnsi="Times New Roman" w:cs="Times New Roman"/>
          <w:color w:val="000000"/>
          <w:sz w:val="24"/>
          <w:szCs w:val="24"/>
        </w:rPr>
        <w:t xml:space="preserve"> sustainable behavior. </w:t>
      </w:r>
    </w:p>
    <w:p w14:paraId="6FCF6BB9" w14:textId="280A5B7A" w:rsidR="00703A7E" w:rsidRPr="00597FFB" w:rsidRDefault="002D5CC3" w:rsidP="00A558FE">
      <w:pPr>
        <w:autoSpaceDE w:val="0"/>
        <w:autoSpaceDN w:val="0"/>
        <w:adjustRightInd w:val="0"/>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Compared to research on other waste types, </w:t>
      </w:r>
      <w:r w:rsidR="008D6479" w:rsidRPr="00597FFB">
        <w:rPr>
          <w:rFonts w:ascii="Times New Roman" w:eastAsia="Calibri" w:hAnsi="Times New Roman" w:cs="Times New Roman"/>
          <w:color w:val="000000"/>
          <w:sz w:val="24"/>
          <w:szCs w:val="24"/>
        </w:rPr>
        <w:t xml:space="preserve">academic research </w:t>
      </w:r>
      <w:r w:rsidRPr="00597FFB">
        <w:rPr>
          <w:rFonts w:ascii="Times New Roman" w:eastAsia="Calibri" w:hAnsi="Times New Roman" w:cs="Times New Roman"/>
          <w:color w:val="000000"/>
          <w:sz w:val="24"/>
          <w:szCs w:val="24"/>
        </w:rPr>
        <w:t>concerning</w:t>
      </w:r>
      <w:r w:rsidR="008D6479" w:rsidRPr="00597FFB">
        <w:rPr>
          <w:rFonts w:ascii="Times New Roman" w:eastAsia="Calibri" w:hAnsi="Times New Roman" w:cs="Times New Roman"/>
          <w:color w:val="000000"/>
          <w:sz w:val="24"/>
          <w:szCs w:val="24"/>
        </w:rPr>
        <w:t xml:space="preserve"> e-waste in the UAE context is </w:t>
      </w:r>
      <w:r w:rsidRPr="00597FFB">
        <w:rPr>
          <w:rFonts w:ascii="Times New Roman" w:eastAsia="Calibri" w:hAnsi="Times New Roman" w:cs="Times New Roman"/>
          <w:color w:val="000000"/>
          <w:sz w:val="24"/>
          <w:szCs w:val="24"/>
        </w:rPr>
        <w:t>rare</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Desk research</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conducted on</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previous</w:t>
      </w:r>
      <w:r w:rsidR="008D6479" w:rsidRPr="00597FFB">
        <w:rPr>
          <w:rFonts w:ascii="Times New Roman" w:eastAsia="Calibri" w:hAnsi="Times New Roman" w:cs="Times New Roman"/>
          <w:color w:val="000000"/>
          <w:sz w:val="24"/>
          <w:szCs w:val="24"/>
        </w:rPr>
        <w:t xml:space="preserve"> waste research in the UAE in indexed journals, </w:t>
      </w:r>
      <w:r w:rsidRPr="00597FFB">
        <w:rPr>
          <w:rFonts w:ascii="Times New Roman" w:eastAsia="Calibri" w:hAnsi="Times New Roman" w:cs="Times New Roman"/>
          <w:color w:val="000000"/>
          <w:sz w:val="24"/>
          <w:szCs w:val="24"/>
        </w:rPr>
        <w:t xml:space="preserve">trade publications, </w:t>
      </w:r>
      <w:r w:rsidR="008D6479" w:rsidRPr="00597FFB">
        <w:rPr>
          <w:rFonts w:ascii="Times New Roman" w:eastAsia="Calibri" w:hAnsi="Times New Roman" w:cs="Times New Roman"/>
          <w:color w:val="000000"/>
          <w:sz w:val="24"/>
          <w:szCs w:val="24"/>
        </w:rPr>
        <w:t>conference</w:t>
      </w:r>
      <w:r w:rsidRPr="00597FFB">
        <w:rPr>
          <w:rFonts w:ascii="Times New Roman" w:eastAsia="Calibri" w:hAnsi="Times New Roman" w:cs="Times New Roman"/>
          <w:color w:val="000000"/>
          <w:sz w:val="24"/>
          <w:szCs w:val="24"/>
        </w:rPr>
        <w:t xml:space="preserve"> proceeding</w:t>
      </w:r>
      <w:r w:rsidR="008D6479" w:rsidRPr="00597FFB">
        <w:rPr>
          <w:rFonts w:ascii="Times New Roman" w:eastAsia="Calibri" w:hAnsi="Times New Roman" w:cs="Times New Roman"/>
          <w:color w:val="000000"/>
          <w:sz w:val="24"/>
          <w:szCs w:val="24"/>
        </w:rPr>
        <w:t xml:space="preserve">s, </w:t>
      </w:r>
      <w:r w:rsidRPr="00597FFB">
        <w:rPr>
          <w:rFonts w:ascii="Times New Roman" w:eastAsia="Calibri" w:hAnsi="Times New Roman" w:cs="Times New Roman"/>
          <w:color w:val="000000"/>
          <w:sz w:val="24"/>
          <w:szCs w:val="24"/>
        </w:rPr>
        <w:t xml:space="preserve">and </w:t>
      </w:r>
      <w:r w:rsidR="008D6479" w:rsidRPr="00597FFB">
        <w:rPr>
          <w:rFonts w:ascii="Times New Roman" w:eastAsia="Calibri" w:hAnsi="Times New Roman" w:cs="Times New Roman"/>
          <w:color w:val="000000"/>
          <w:sz w:val="24"/>
          <w:szCs w:val="24"/>
        </w:rPr>
        <w:t xml:space="preserve">books </w:t>
      </w:r>
      <w:r w:rsidRPr="00597FFB">
        <w:rPr>
          <w:rFonts w:ascii="Times New Roman" w:eastAsia="Calibri" w:hAnsi="Times New Roman" w:cs="Times New Roman"/>
          <w:color w:val="000000"/>
          <w:sz w:val="24"/>
          <w:szCs w:val="24"/>
        </w:rPr>
        <w:t xml:space="preserve">yielded </w:t>
      </w:r>
      <w:r w:rsidR="008D6479" w:rsidRPr="00597FFB">
        <w:rPr>
          <w:rFonts w:ascii="Times New Roman" w:eastAsia="Calibri" w:hAnsi="Times New Roman" w:cs="Times New Roman"/>
          <w:color w:val="000000"/>
          <w:sz w:val="24"/>
          <w:szCs w:val="24"/>
        </w:rPr>
        <w:t xml:space="preserve">195 studies </w:t>
      </w:r>
      <w:r w:rsidRPr="00597FFB">
        <w:rPr>
          <w:rFonts w:ascii="Times New Roman" w:eastAsia="Calibri" w:hAnsi="Times New Roman" w:cs="Times New Roman"/>
          <w:color w:val="000000"/>
          <w:sz w:val="24"/>
          <w:szCs w:val="24"/>
        </w:rPr>
        <w:t xml:space="preserve">were </w:t>
      </w:r>
      <w:r w:rsidR="008D6479" w:rsidRPr="00597FFB">
        <w:rPr>
          <w:rFonts w:ascii="Times New Roman" w:eastAsia="Calibri" w:hAnsi="Times New Roman" w:cs="Times New Roman"/>
          <w:color w:val="000000"/>
          <w:sz w:val="24"/>
          <w:szCs w:val="24"/>
        </w:rPr>
        <w:t xml:space="preserve">published </w:t>
      </w:r>
      <w:r w:rsidRPr="00597FFB">
        <w:rPr>
          <w:rFonts w:ascii="Times New Roman" w:eastAsia="Calibri" w:hAnsi="Times New Roman" w:cs="Times New Roman"/>
          <w:color w:val="000000"/>
          <w:sz w:val="24"/>
          <w:szCs w:val="24"/>
        </w:rPr>
        <w:t>between</w:t>
      </w:r>
      <w:r w:rsidR="008D6479" w:rsidRPr="00597FFB">
        <w:rPr>
          <w:rFonts w:ascii="Times New Roman" w:eastAsia="Calibri" w:hAnsi="Times New Roman" w:cs="Times New Roman"/>
          <w:color w:val="000000"/>
          <w:sz w:val="24"/>
          <w:szCs w:val="24"/>
        </w:rPr>
        <w:t xml:space="preserve"> 1979 </w:t>
      </w:r>
      <w:r w:rsidRPr="00597FFB">
        <w:rPr>
          <w:rFonts w:ascii="Times New Roman" w:eastAsia="Calibri" w:hAnsi="Times New Roman" w:cs="Times New Roman"/>
          <w:color w:val="000000"/>
          <w:sz w:val="24"/>
          <w:szCs w:val="24"/>
        </w:rPr>
        <w:t>and</w:t>
      </w:r>
      <w:r w:rsidR="008D6479" w:rsidRPr="00597FFB">
        <w:rPr>
          <w:rFonts w:ascii="Times New Roman" w:eastAsia="Calibri" w:hAnsi="Times New Roman" w:cs="Times New Roman"/>
          <w:color w:val="000000"/>
          <w:sz w:val="24"/>
          <w:szCs w:val="24"/>
        </w:rPr>
        <w:t xml:space="preserve"> January 18, 2019. The co-occurrence map analysis of the main keywords in prior waste research associated with the UAE. Additionally, </w:t>
      </w:r>
      <w:r w:rsidRPr="00597FFB">
        <w:rPr>
          <w:rFonts w:ascii="Times New Roman" w:eastAsia="Calibri" w:hAnsi="Times New Roman" w:cs="Times New Roman"/>
          <w:color w:val="000000"/>
          <w:sz w:val="24"/>
          <w:szCs w:val="24"/>
        </w:rPr>
        <w:t xml:space="preserve">in the UAE context, the keyword, </w:t>
      </w:r>
      <w:r w:rsidR="008D6479" w:rsidRPr="00597FFB">
        <w:rPr>
          <w:rFonts w:ascii="Times New Roman" w:eastAsia="Calibri" w:hAnsi="Times New Roman" w:cs="Times New Roman"/>
          <w:color w:val="000000"/>
          <w:sz w:val="24"/>
          <w:szCs w:val="24"/>
        </w:rPr>
        <w:t>“</w:t>
      </w:r>
      <w:r w:rsidRPr="00597FFB">
        <w:rPr>
          <w:rFonts w:ascii="Times New Roman" w:eastAsia="Calibri" w:hAnsi="Times New Roman" w:cs="Times New Roman"/>
          <w:color w:val="000000"/>
          <w:sz w:val="24"/>
          <w:szCs w:val="24"/>
        </w:rPr>
        <w:t>R</w:t>
      </w:r>
      <w:r w:rsidR="008D6479" w:rsidRPr="00597FFB">
        <w:rPr>
          <w:rFonts w:ascii="Times New Roman" w:eastAsia="Calibri" w:hAnsi="Times New Roman" w:cs="Times New Roman"/>
          <w:color w:val="000000"/>
          <w:sz w:val="24"/>
          <w:szCs w:val="24"/>
        </w:rPr>
        <w:t xml:space="preserve">ecycling” is </w:t>
      </w:r>
      <w:r w:rsidRPr="00597FFB">
        <w:rPr>
          <w:rFonts w:ascii="Times New Roman" w:eastAsia="Calibri" w:hAnsi="Times New Roman" w:cs="Times New Roman"/>
          <w:color w:val="000000"/>
          <w:sz w:val="24"/>
          <w:szCs w:val="24"/>
        </w:rPr>
        <w:t>seldom</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connected</w:t>
      </w:r>
      <w:r w:rsidR="008D6479" w:rsidRPr="00597FFB">
        <w:rPr>
          <w:rFonts w:ascii="Times New Roman" w:eastAsia="Calibri" w:hAnsi="Times New Roman" w:cs="Times New Roman"/>
          <w:color w:val="000000"/>
          <w:sz w:val="24"/>
          <w:szCs w:val="24"/>
        </w:rPr>
        <w:t xml:space="preserve"> to </w:t>
      </w:r>
      <w:r w:rsidRPr="00597FFB">
        <w:rPr>
          <w:rFonts w:ascii="Times New Roman" w:eastAsia="Calibri" w:hAnsi="Times New Roman" w:cs="Times New Roman"/>
          <w:color w:val="000000"/>
          <w:sz w:val="24"/>
          <w:szCs w:val="24"/>
        </w:rPr>
        <w:t xml:space="preserve">the keyword, </w:t>
      </w:r>
      <w:r w:rsidR="008D6479" w:rsidRPr="00597FFB">
        <w:rPr>
          <w:rFonts w:ascii="Times New Roman" w:eastAsia="Calibri" w:hAnsi="Times New Roman" w:cs="Times New Roman"/>
          <w:color w:val="000000"/>
          <w:sz w:val="24"/>
          <w:szCs w:val="24"/>
        </w:rPr>
        <w:t>“</w:t>
      </w:r>
      <w:r w:rsidRPr="00597FFB">
        <w:rPr>
          <w:rFonts w:ascii="Times New Roman" w:eastAsia="Calibri" w:hAnsi="Times New Roman" w:cs="Times New Roman"/>
          <w:color w:val="000000"/>
          <w:sz w:val="24"/>
          <w:szCs w:val="24"/>
        </w:rPr>
        <w:t>E</w:t>
      </w:r>
      <w:r w:rsidR="008D6479" w:rsidRPr="00597FFB">
        <w:rPr>
          <w:rFonts w:ascii="Times New Roman" w:eastAsia="Calibri" w:hAnsi="Times New Roman" w:cs="Times New Roman"/>
          <w:color w:val="000000"/>
          <w:sz w:val="24"/>
          <w:szCs w:val="24"/>
        </w:rPr>
        <w:t>-waste”</w:t>
      </w:r>
      <w:r w:rsidRPr="00597FFB">
        <w:rPr>
          <w:rFonts w:ascii="Times New Roman" w:eastAsia="Calibri" w:hAnsi="Times New Roman" w:cs="Times New Roman"/>
          <w:color w:val="000000"/>
          <w:sz w:val="24"/>
          <w:szCs w:val="24"/>
        </w:rPr>
        <w:t xml:space="preserve">. </w:t>
      </w:r>
      <w:r w:rsidR="00A05593" w:rsidRPr="00597FFB">
        <w:rPr>
          <w:rFonts w:ascii="Times New Roman" w:eastAsia="Calibri" w:hAnsi="Times New Roman" w:cs="Times New Roman"/>
          <w:color w:val="000000"/>
          <w:sz w:val="24"/>
          <w:szCs w:val="24"/>
        </w:rPr>
        <w:t>Instead,</w:t>
      </w:r>
      <w:r w:rsidRPr="00597FFB">
        <w:rPr>
          <w:rFonts w:ascii="Times New Roman" w:eastAsia="Calibri" w:hAnsi="Times New Roman" w:cs="Times New Roman"/>
          <w:color w:val="000000"/>
          <w:sz w:val="24"/>
          <w:szCs w:val="24"/>
        </w:rPr>
        <w:t xml:space="preserve"> it is linked</w:t>
      </w:r>
      <w:r w:rsidR="008D6479" w:rsidRPr="00597FFB">
        <w:rPr>
          <w:rFonts w:ascii="Times New Roman" w:eastAsia="Calibri" w:hAnsi="Times New Roman" w:cs="Times New Roman"/>
          <w:color w:val="000000"/>
          <w:sz w:val="24"/>
          <w:szCs w:val="24"/>
        </w:rPr>
        <w:t xml:space="preserve"> to other </w:t>
      </w:r>
      <w:r w:rsidRPr="00597FFB">
        <w:rPr>
          <w:rFonts w:ascii="Times New Roman" w:eastAsia="Calibri" w:hAnsi="Times New Roman" w:cs="Times New Roman"/>
          <w:color w:val="000000"/>
          <w:sz w:val="24"/>
          <w:szCs w:val="24"/>
        </w:rPr>
        <w:t>areas</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including</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“waste to energy” and </w:t>
      </w:r>
      <w:r w:rsidR="008D6479" w:rsidRPr="00597FFB">
        <w:rPr>
          <w:rFonts w:ascii="Times New Roman" w:eastAsia="Calibri" w:hAnsi="Times New Roman" w:cs="Times New Roman"/>
          <w:color w:val="000000"/>
          <w:sz w:val="24"/>
          <w:szCs w:val="24"/>
        </w:rPr>
        <w:t>“sustainability”. Therefore, this study</w:t>
      </w:r>
      <w:r w:rsidRPr="00597FFB">
        <w:rPr>
          <w:rFonts w:ascii="Times New Roman" w:eastAsia="Calibri" w:hAnsi="Times New Roman" w:cs="Times New Roman"/>
          <w:color w:val="000000"/>
          <w:sz w:val="24"/>
          <w:szCs w:val="24"/>
        </w:rPr>
        <w:t>’s</w:t>
      </w:r>
      <w:r w:rsidR="008D6479"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objective </w:t>
      </w:r>
      <w:r w:rsidR="008D6479" w:rsidRPr="00597FFB">
        <w:rPr>
          <w:rFonts w:ascii="Times New Roman" w:eastAsia="Calibri" w:hAnsi="Times New Roman" w:cs="Times New Roman"/>
          <w:color w:val="000000"/>
          <w:sz w:val="24"/>
          <w:szCs w:val="24"/>
        </w:rPr>
        <w:t xml:space="preserve">is to examine the determinants of </w:t>
      </w:r>
      <w:r w:rsidRPr="00597FFB">
        <w:rPr>
          <w:rFonts w:ascii="Times New Roman" w:eastAsia="Calibri" w:hAnsi="Times New Roman" w:cs="Times New Roman"/>
          <w:color w:val="000000"/>
          <w:sz w:val="24"/>
          <w:szCs w:val="24"/>
        </w:rPr>
        <w:t>E</w:t>
      </w:r>
      <w:r w:rsidR="008D6479" w:rsidRPr="00597FFB">
        <w:rPr>
          <w:rFonts w:ascii="Times New Roman" w:eastAsia="Calibri" w:hAnsi="Times New Roman" w:cs="Times New Roman"/>
          <w:color w:val="000000"/>
          <w:sz w:val="24"/>
          <w:szCs w:val="24"/>
        </w:rPr>
        <w:t xml:space="preserve">-waste recycling intention among UAE </w:t>
      </w:r>
      <w:r w:rsidRPr="00597FFB">
        <w:rPr>
          <w:rFonts w:ascii="Times New Roman" w:eastAsia="Calibri" w:hAnsi="Times New Roman" w:cs="Times New Roman"/>
          <w:color w:val="000000"/>
          <w:sz w:val="24"/>
          <w:szCs w:val="24"/>
        </w:rPr>
        <w:t xml:space="preserve">millennials </w:t>
      </w:r>
      <w:r w:rsidR="008D6479" w:rsidRPr="00597FFB">
        <w:rPr>
          <w:rFonts w:ascii="Times New Roman" w:eastAsia="Calibri" w:hAnsi="Times New Roman" w:cs="Times New Roman"/>
          <w:color w:val="000000"/>
          <w:sz w:val="24"/>
          <w:szCs w:val="24"/>
        </w:rPr>
        <w:t xml:space="preserve">context using </w:t>
      </w:r>
      <w:r w:rsidRPr="00597FFB">
        <w:rPr>
          <w:rFonts w:ascii="Times New Roman" w:eastAsia="Calibri" w:hAnsi="Times New Roman" w:cs="Times New Roman"/>
          <w:color w:val="000000"/>
          <w:sz w:val="24"/>
          <w:szCs w:val="24"/>
        </w:rPr>
        <w:t>extended</w:t>
      </w:r>
      <w:r w:rsidR="008D6479" w:rsidRPr="00597FFB">
        <w:rPr>
          <w:rFonts w:ascii="Times New Roman" w:eastAsia="Calibri" w:hAnsi="Times New Roman" w:cs="Times New Roman"/>
          <w:color w:val="000000"/>
          <w:sz w:val="24"/>
          <w:szCs w:val="24"/>
        </w:rPr>
        <w:t xml:space="preserve"> framework</w:t>
      </w:r>
      <w:r w:rsidRPr="00597FFB">
        <w:rPr>
          <w:rFonts w:ascii="Times New Roman" w:eastAsia="Calibri" w:hAnsi="Times New Roman" w:cs="Times New Roman"/>
          <w:color w:val="000000"/>
          <w:sz w:val="24"/>
          <w:szCs w:val="24"/>
        </w:rPr>
        <w:t>s</w:t>
      </w:r>
      <w:r w:rsidR="008D6479" w:rsidRPr="00597FFB">
        <w:rPr>
          <w:rFonts w:ascii="Times New Roman" w:eastAsia="Calibri" w:hAnsi="Times New Roman" w:cs="Times New Roman"/>
          <w:color w:val="000000"/>
          <w:sz w:val="24"/>
          <w:szCs w:val="24"/>
        </w:rPr>
        <w:t xml:space="preserve"> of the TBP</w:t>
      </w:r>
      <w:r w:rsidR="00EF025B" w:rsidRPr="00597FFB">
        <w:rPr>
          <w:rFonts w:ascii="Times New Roman" w:eastAsia="Calibri" w:hAnsi="Times New Roman" w:cs="Times New Roman"/>
          <w:color w:val="000000"/>
          <w:sz w:val="24"/>
          <w:szCs w:val="24"/>
        </w:rPr>
        <w:t>,</w:t>
      </w:r>
      <w:r w:rsidR="008D6479" w:rsidRPr="00597FFB">
        <w:rPr>
          <w:rFonts w:ascii="Times New Roman" w:eastAsia="Calibri" w:hAnsi="Times New Roman" w:cs="Times New Roman"/>
          <w:color w:val="000000"/>
          <w:sz w:val="24"/>
          <w:szCs w:val="24"/>
        </w:rPr>
        <w:t xml:space="preserve"> NA</w:t>
      </w:r>
      <w:r w:rsidR="00EF025B" w:rsidRPr="00597FFB">
        <w:rPr>
          <w:rFonts w:ascii="Times New Roman" w:eastAsia="Calibri" w:hAnsi="Times New Roman" w:cs="Times New Roman"/>
          <w:color w:val="000000"/>
          <w:sz w:val="24"/>
          <w:szCs w:val="24"/>
        </w:rPr>
        <w:t>T, and PMT</w:t>
      </w:r>
      <w:r w:rsidR="008D6479" w:rsidRPr="00597FFB">
        <w:rPr>
          <w:rFonts w:ascii="Times New Roman" w:eastAsia="Calibri" w:hAnsi="Times New Roman" w:cs="Times New Roman"/>
          <w:color w:val="000000"/>
          <w:sz w:val="24"/>
          <w:szCs w:val="24"/>
        </w:rPr>
        <w:t>.</w:t>
      </w:r>
    </w:p>
    <w:p w14:paraId="411035BE" w14:textId="3BF4000A" w:rsidR="00703A7E" w:rsidRPr="00597FFB" w:rsidRDefault="00097599" w:rsidP="00F14236">
      <w:pPr>
        <w:pStyle w:val="Heading2"/>
        <w:spacing w:line="480" w:lineRule="auto"/>
        <w:rPr>
          <w:rFonts w:asciiTheme="majorBidi" w:hAnsiTheme="majorBidi"/>
          <w:b/>
          <w:bCs/>
          <w:color w:val="000000" w:themeColor="text1"/>
          <w:sz w:val="24"/>
          <w:szCs w:val="24"/>
        </w:rPr>
      </w:pPr>
      <w:bookmarkStart w:id="53" w:name="_Toc74912544"/>
      <w:bookmarkStart w:id="54" w:name="_Toc127170255"/>
      <w:r w:rsidRPr="00597FFB">
        <w:rPr>
          <w:rFonts w:asciiTheme="majorBidi" w:hAnsiTheme="majorBidi"/>
          <w:b/>
          <w:bCs/>
          <w:color w:val="000000" w:themeColor="text1"/>
          <w:sz w:val="24"/>
          <w:szCs w:val="24"/>
        </w:rPr>
        <w:t>1.4</w:t>
      </w:r>
      <w:r w:rsidRPr="00597FFB">
        <w:rPr>
          <w:rFonts w:asciiTheme="majorBidi" w:hAnsiTheme="majorBidi"/>
          <w:b/>
          <w:bCs/>
          <w:color w:val="auto"/>
          <w:sz w:val="24"/>
          <w:szCs w:val="24"/>
        </w:rPr>
        <w:t>.</w:t>
      </w:r>
      <w:bookmarkEnd w:id="53"/>
      <w:r w:rsidRPr="00597FFB">
        <w:rPr>
          <w:rFonts w:asciiTheme="majorBidi" w:hAnsiTheme="majorBidi"/>
          <w:b/>
          <w:bCs/>
          <w:color w:val="auto"/>
          <w:sz w:val="24"/>
          <w:szCs w:val="24"/>
        </w:rPr>
        <w:t xml:space="preserve"> </w:t>
      </w:r>
      <w:r w:rsidRPr="00597FFB">
        <w:rPr>
          <w:rFonts w:ascii="Times New Roman" w:hAnsi="Times New Roman" w:cs="Times New Roman"/>
          <w:b/>
          <w:bCs/>
          <w:iCs/>
          <w:color w:val="auto"/>
          <w:sz w:val="24"/>
          <w:szCs w:val="24"/>
        </w:rPr>
        <w:t xml:space="preserve">Research Objectives </w:t>
      </w:r>
      <w:r w:rsidR="00F3543E">
        <w:rPr>
          <w:rFonts w:ascii="Times New Roman" w:hAnsi="Times New Roman" w:cs="Times New Roman"/>
          <w:b/>
          <w:bCs/>
          <w:iCs/>
          <w:color w:val="auto"/>
          <w:sz w:val="24"/>
          <w:szCs w:val="24"/>
        </w:rPr>
        <w:t>a</w:t>
      </w:r>
      <w:r w:rsidRPr="00597FFB">
        <w:rPr>
          <w:rFonts w:ascii="Times New Roman" w:hAnsi="Times New Roman" w:cs="Times New Roman"/>
          <w:b/>
          <w:bCs/>
          <w:iCs/>
          <w:color w:val="auto"/>
          <w:sz w:val="24"/>
          <w:szCs w:val="24"/>
        </w:rPr>
        <w:t>nd Questions</w:t>
      </w:r>
      <w:r w:rsidR="007D28AC" w:rsidRPr="00597FFB">
        <w:rPr>
          <w:rFonts w:ascii="Times New Roman" w:hAnsi="Times New Roman" w:cs="Times New Roman"/>
          <w:b/>
          <w:bCs/>
          <w:iCs/>
          <w:color w:val="auto"/>
          <w:sz w:val="24"/>
          <w:szCs w:val="24"/>
        </w:rPr>
        <w:t>.</w:t>
      </w:r>
      <w:bookmarkEnd w:id="54"/>
      <w:r w:rsidRPr="00597FFB">
        <w:rPr>
          <w:rFonts w:ascii="Times New Roman" w:hAnsi="Times New Roman" w:cs="Times New Roman"/>
          <w:b/>
          <w:bCs/>
          <w:iCs/>
          <w:color w:val="auto"/>
          <w:sz w:val="24"/>
          <w:szCs w:val="24"/>
        </w:rPr>
        <w:t xml:space="preserve">  </w:t>
      </w:r>
    </w:p>
    <w:p w14:paraId="4CA86429" w14:textId="6CA0167D" w:rsidR="00E23180" w:rsidRPr="00597FFB" w:rsidRDefault="00E23180" w:rsidP="00A558FE">
      <w:pPr>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Calibri" w:hAnsi="Times New Roman" w:cs="Times New Roman"/>
          <w:iCs/>
          <w:sz w:val="24"/>
          <w:szCs w:val="24"/>
        </w:rPr>
        <w:t xml:space="preserve">It is vital to examine the behavior intentions of </w:t>
      </w:r>
      <w:bookmarkStart w:id="55" w:name="_Hlk52116093"/>
      <w:r w:rsidRPr="00597FFB">
        <w:rPr>
          <w:rFonts w:ascii="Times New Roman" w:eastAsia="Calibri" w:hAnsi="Times New Roman" w:cs="Times New Roman"/>
          <w:iCs/>
          <w:sz w:val="24"/>
          <w:szCs w:val="24"/>
        </w:rPr>
        <w:t>millennials</w:t>
      </w:r>
      <w:bookmarkEnd w:id="55"/>
      <w:r w:rsidRPr="00597FFB">
        <w:rPr>
          <w:rFonts w:ascii="Times New Roman" w:eastAsia="Calibri" w:hAnsi="Times New Roman" w:cs="Times New Roman"/>
          <w:iCs/>
          <w:sz w:val="24"/>
          <w:szCs w:val="24"/>
        </w:rPr>
        <w:t xml:space="preserve"> since they are the </w:t>
      </w:r>
      <w:r w:rsidRPr="00597FFB">
        <w:rPr>
          <w:rFonts w:ascii="Times New Roman" w:eastAsia="Calibri" w:hAnsi="Times New Roman" w:cs="Times New Roman"/>
          <w:i/>
          <w:iCs/>
          <w:sz w:val="24"/>
          <w:szCs w:val="24"/>
        </w:rPr>
        <w:t>net generation</w:t>
      </w:r>
      <w:r w:rsidRPr="00597FFB">
        <w:rPr>
          <w:rFonts w:ascii="Times New Roman" w:eastAsia="Calibri" w:hAnsi="Times New Roman" w:cs="Times New Roman"/>
          <w:iCs/>
          <w:sz w:val="24"/>
          <w:szCs w:val="24"/>
        </w:rPr>
        <w:t xml:space="preserve">, who </w:t>
      </w:r>
      <w:r w:rsidR="00ED2B9D" w:rsidRPr="00597FFB">
        <w:rPr>
          <w:rFonts w:ascii="Times New Roman" w:eastAsia="Calibri" w:hAnsi="Times New Roman" w:cs="Times New Roman"/>
          <w:iCs/>
          <w:sz w:val="24"/>
          <w:szCs w:val="24"/>
        </w:rPr>
        <w:t>been brought</w:t>
      </w:r>
      <w:r w:rsidRPr="00597FFB">
        <w:rPr>
          <w:rFonts w:ascii="Times New Roman" w:eastAsia="Calibri" w:hAnsi="Times New Roman" w:cs="Times New Roman"/>
          <w:iCs/>
          <w:sz w:val="24"/>
          <w:szCs w:val="24"/>
        </w:rPr>
        <w:t xml:space="preserve"> up with electronic </w:t>
      </w:r>
      <w:r w:rsidR="00ED2B9D" w:rsidRPr="00597FFB">
        <w:rPr>
          <w:rFonts w:ascii="Times New Roman" w:eastAsia="Calibri" w:hAnsi="Times New Roman" w:cs="Times New Roman"/>
          <w:iCs/>
          <w:sz w:val="24"/>
          <w:szCs w:val="24"/>
        </w:rPr>
        <w:t>devices</w:t>
      </w:r>
      <w:r w:rsidRPr="00597FFB">
        <w:rPr>
          <w:rFonts w:ascii="Times New Roman" w:eastAsia="Calibri" w:hAnsi="Times New Roman" w:cs="Times New Roman"/>
          <w:iCs/>
          <w:sz w:val="24"/>
          <w:szCs w:val="24"/>
        </w:rPr>
        <w:t xml:space="preserve">, expecting and </w:t>
      </w:r>
      <w:r w:rsidR="00ED2B9D" w:rsidRPr="00597FFB">
        <w:rPr>
          <w:rFonts w:ascii="Times New Roman" w:eastAsia="Calibri" w:hAnsi="Times New Roman" w:cs="Times New Roman"/>
          <w:iCs/>
          <w:sz w:val="24"/>
          <w:szCs w:val="24"/>
        </w:rPr>
        <w:t>at times</w:t>
      </w:r>
      <w:r w:rsidRPr="00597FFB">
        <w:rPr>
          <w:rFonts w:ascii="Times New Roman" w:eastAsia="Calibri" w:hAnsi="Times New Roman" w:cs="Times New Roman"/>
          <w:iCs/>
          <w:sz w:val="24"/>
          <w:szCs w:val="24"/>
        </w:rPr>
        <w:t xml:space="preserve"> demanding </w:t>
      </w:r>
      <w:r w:rsidR="00CF2289" w:rsidRPr="00597FFB">
        <w:rPr>
          <w:rFonts w:ascii="Times New Roman" w:eastAsia="Calibri" w:hAnsi="Times New Roman" w:cs="Times New Roman"/>
          <w:iCs/>
          <w:sz w:val="24"/>
          <w:szCs w:val="24"/>
        </w:rPr>
        <w:t>regular</w:t>
      </w:r>
      <w:r w:rsidRPr="00597FFB">
        <w:rPr>
          <w:rFonts w:ascii="Times New Roman" w:eastAsia="Calibri" w:hAnsi="Times New Roman" w:cs="Times New Roman"/>
          <w:iCs/>
          <w:sz w:val="24"/>
          <w:szCs w:val="24"/>
        </w:rPr>
        <w:t xml:space="preserve"> </w:t>
      </w:r>
      <w:r w:rsidRPr="00597FFB">
        <w:rPr>
          <w:rFonts w:ascii="Times New Roman" w:eastAsia="Calibri" w:hAnsi="Times New Roman" w:cs="Times New Roman"/>
          <w:iCs/>
          <w:color w:val="000000"/>
          <w:sz w:val="24"/>
          <w:szCs w:val="24"/>
        </w:rPr>
        <w:t xml:space="preserve">technological </w:t>
      </w:r>
      <w:r w:rsidR="00CF2289" w:rsidRPr="00597FFB">
        <w:rPr>
          <w:rFonts w:ascii="Times New Roman" w:eastAsia="Calibri" w:hAnsi="Times New Roman" w:cs="Times New Roman"/>
          <w:iCs/>
          <w:color w:val="000000"/>
          <w:sz w:val="24"/>
          <w:szCs w:val="24"/>
        </w:rPr>
        <w:t>upgrades</w:t>
      </w:r>
      <w:r w:rsidRPr="00597FFB">
        <w:rPr>
          <w:rFonts w:ascii="Times New Roman" w:eastAsia="Calibri" w:hAnsi="Times New Roman" w:cs="Times New Roman"/>
          <w:iCs/>
          <w:color w:val="000000"/>
          <w:sz w:val="24"/>
          <w:szCs w:val="24"/>
        </w:rPr>
        <w:t xml:space="preserve">, </w:t>
      </w:r>
      <w:r w:rsidR="00CF2289" w:rsidRPr="00597FFB">
        <w:rPr>
          <w:rFonts w:ascii="Times New Roman" w:eastAsia="Calibri" w:hAnsi="Times New Roman" w:cs="Times New Roman"/>
          <w:iCs/>
          <w:color w:val="000000"/>
          <w:sz w:val="24"/>
          <w:szCs w:val="24"/>
        </w:rPr>
        <w:t>could</w:t>
      </w:r>
      <w:r w:rsidRPr="00597FFB">
        <w:rPr>
          <w:rFonts w:ascii="Times New Roman" w:eastAsia="Calibri" w:hAnsi="Times New Roman" w:cs="Times New Roman"/>
          <w:iCs/>
          <w:color w:val="000000"/>
          <w:sz w:val="24"/>
          <w:szCs w:val="24"/>
        </w:rPr>
        <w:t xml:space="preserve"> generate even </w:t>
      </w:r>
      <w:r w:rsidR="00CF2289" w:rsidRPr="00597FFB">
        <w:rPr>
          <w:rFonts w:ascii="Times New Roman" w:eastAsia="Calibri" w:hAnsi="Times New Roman" w:cs="Times New Roman"/>
          <w:iCs/>
          <w:color w:val="000000"/>
          <w:sz w:val="24"/>
          <w:szCs w:val="24"/>
        </w:rPr>
        <w:t>more E-waste quantities</w:t>
      </w:r>
      <w:r w:rsidRPr="00597FFB">
        <w:rPr>
          <w:rFonts w:ascii="Times New Roman" w:eastAsia="Calibri" w:hAnsi="Times New Roman" w:cs="Times New Roman"/>
          <w:iCs/>
          <w:color w:val="000000"/>
          <w:sz w:val="24"/>
          <w:szCs w:val="24"/>
        </w:rPr>
        <w:t xml:space="preserve"> </w:t>
      </w:r>
      <w:r w:rsidR="00CF2289" w:rsidRPr="00597FFB">
        <w:rPr>
          <w:rFonts w:ascii="Times New Roman" w:eastAsia="Calibri" w:hAnsi="Times New Roman" w:cs="Times New Roman"/>
          <w:iCs/>
          <w:color w:val="000000"/>
          <w:sz w:val="24"/>
          <w:szCs w:val="24"/>
        </w:rPr>
        <w:t>in</w:t>
      </w:r>
      <w:r w:rsidRPr="00597FFB">
        <w:rPr>
          <w:rFonts w:ascii="Times New Roman" w:eastAsia="Calibri" w:hAnsi="Times New Roman" w:cs="Times New Roman"/>
          <w:iCs/>
          <w:color w:val="000000"/>
          <w:sz w:val="24"/>
          <w:szCs w:val="24"/>
        </w:rPr>
        <w:t xml:space="preserve"> their lifetimes (</w:t>
      </w:r>
      <w:r w:rsidR="000356C6" w:rsidRPr="00597FFB">
        <w:rPr>
          <w:rFonts w:ascii="Times New Roman" w:eastAsia="Calibri" w:hAnsi="Times New Roman" w:cs="Times New Roman"/>
          <w:iCs/>
          <w:color w:val="000000"/>
          <w:sz w:val="24"/>
          <w:szCs w:val="24"/>
        </w:rPr>
        <w:t>Li</w:t>
      </w:r>
      <w:r w:rsidRPr="00597FFB">
        <w:rPr>
          <w:rFonts w:ascii="Times New Roman" w:eastAsia="Calibri" w:hAnsi="Times New Roman" w:cs="Times New Roman"/>
          <w:iCs/>
          <w:color w:val="000000"/>
          <w:sz w:val="24"/>
          <w:szCs w:val="24"/>
        </w:rPr>
        <w:t xml:space="preserve"> et al., 2020</w:t>
      </w:r>
      <w:r w:rsidRPr="00597FFB">
        <w:rPr>
          <w:rFonts w:ascii="Times New Roman" w:eastAsia="Calibri" w:hAnsi="Times New Roman" w:cs="Times New Roman"/>
          <w:iCs/>
          <w:sz w:val="24"/>
          <w:szCs w:val="24"/>
        </w:rPr>
        <w:t xml:space="preserve">). </w:t>
      </w:r>
      <w:r w:rsidRPr="00597FFB">
        <w:rPr>
          <w:rFonts w:ascii="Times New Roman" w:eastAsia="Times New Roman" w:hAnsi="Times New Roman" w:cs="Times New Roman"/>
          <w:bCs/>
          <w:color w:val="000000"/>
          <w:sz w:val="24"/>
          <w:szCs w:val="24"/>
        </w:rPr>
        <w:t xml:space="preserve">Concerns about </w:t>
      </w:r>
      <w:r w:rsidRPr="00597FFB">
        <w:rPr>
          <w:rFonts w:ascii="Times New Roman" w:eastAsia="Calibri" w:hAnsi="Times New Roman" w:cs="Times New Roman"/>
          <w:iCs/>
          <w:color w:val="000000"/>
          <w:sz w:val="24"/>
          <w:szCs w:val="24"/>
        </w:rPr>
        <w:t xml:space="preserve">millennials' behavior towards the environment have reached a distinct character in </w:t>
      </w:r>
      <w:r w:rsidRPr="00597FFB">
        <w:rPr>
          <w:rFonts w:ascii="Times New Roman" w:eastAsia="Times New Roman" w:hAnsi="Times New Roman" w:cs="Times New Roman"/>
          <w:bCs/>
          <w:color w:val="000000"/>
          <w:sz w:val="24"/>
          <w:szCs w:val="24"/>
        </w:rPr>
        <w:t>natural resource depletion, increasing pollution, and climate changes</w:t>
      </w:r>
      <w:r w:rsidR="00663904" w:rsidRPr="00597FFB">
        <w:rPr>
          <w:rFonts w:ascii="Times New Roman" w:eastAsia="Times New Roman" w:hAnsi="Times New Roman" w:cs="Times New Roman"/>
          <w:bCs/>
          <w:color w:val="000000"/>
          <w:sz w:val="24"/>
          <w:szCs w:val="24"/>
        </w:rPr>
        <w:t xml:space="preserve"> </w:t>
      </w:r>
      <w:r w:rsidR="006639B0" w:rsidRPr="00597FFB">
        <w:rPr>
          <w:rFonts w:ascii="Times New Roman" w:eastAsia="Calibri" w:hAnsi="Times New Roman" w:cs="Times New Roman"/>
          <w:color w:val="222222"/>
          <w:sz w:val="24"/>
          <w:szCs w:val="24"/>
        </w:rPr>
        <w:fldChar w:fldCharType="begin"/>
      </w:r>
      <w:r w:rsidR="00EF025B" w:rsidRPr="00597FFB">
        <w:rPr>
          <w:rFonts w:ascii="Times New Roman" w:eastAsia="Calibri" w:hAnsi="Times New Roman" w:cs="Times New Roman"/>
          <w:color w:val="222222"/>
          <w:sz w:val="24"/>
          <w:szCs w:val="24"/>
        </w:rPr>
        <w:instrText xml:space="preserve"> ADDIN ZOTERO_ITEM CSL_CITATION {"citationID":"a1iktcta00m","properties":{"formattedCitation":"(MacLennan, 2020)","plainCitation":"(MacLennan, 2020)","noteIndex":0},"citationItems":[{"id":4211,"uris":["http://zotero.org/users/local/b6CRLSJH/items/BTCDRL23"],"itemData":{"id":4211,"type":"article-journal","abstract":"Since the renowned terrorist attacks of September 11th, 2001, exclusionary narratives or “othering” have proliferated in the securitized West. Prominently associated with media campaigns, popular culture, or political debates, exclusionary discourses operating within the Canadian judiciary have been largely overlooked. Inspired by the work of Giorgio Agamben and Richard Ericson, this study is a critical discourse analysis of sentencing decisions within five terrorism cases. Findings suggest that “othering” operates in these decisions through seven discursive mechanisms. Those mechanisms construct the offenders as Muslim non-conforming foreign “others” threatening the Canadian nation, and worthy of exclusion. As such, the offenders are seen as deserving of punitive incarceration by the severest extent of the law. The courts also justify this punishment by invoking political imperatives namely the need for the State to preserve its alliance with other nations engaged in the “War on Terrorism” and the necessity to counter the “discontent with the West”. Although limited by legal safeguards, the exceptional state power at play in the post 9/11 era is not without effect on the wider population of Muslim in Canada and abroad.","DOI":"10.20381/RUOR-24736","language":"en","note":"publisher: Université d'Ottawa / University of Ottawa","source":"DOI.org (Datacite)","title":"Constructing the \"Other\": Discursive Mechanisms at Play in the Sentencing of Post 9/11 Canadian Terrorism Cases","title-short":"Constructing the \"Other\"","URL":"http://ruor.uottawa.ca/handle/10393/40503","author":[{"family":"MacLennan","given":"Kirsten"}],"contributor":[{"family":"University","given":"My"},{"family":"University","given":"My"}],"accessed":{"date-parts":[["2021",6,24]]},"issued":{"date-parts":[["2020",5,14]]}}}],"schema":"https://github.com/citation-style-language/schema/raw/master/csl-citation.json"} </w:instrText>
      </w:r>
      <w:r w:rsidR="006639B0" w:rsidRPr="00597FFB">
        <w:rPr>
          <w:rFonts w:ascii="Times New Roman" w:eastAsia="Calibri" w:hAnsi="Times New Roman" w:cs="Times New Roman"/>
          <w:color w:val="222222"/>
          <w:sz w:val="24"/>
          <w:szCs w:val="24"/>
        </w:rPr>
        <w:fldChar w:fldCharType="separate"/>
      </w:r>
      <w:r w:rsidR="00EF025B" w:rsidRPr="00597FFB">
        <w:rPr>
          <w:rFonts w:ascii="Times New Roman" w:hAnsi="Times New Roman" w:cs="Times New Roman"/>
          <w:sz w:val="24"/>
          <w:szCs w:val="24"/>
        </w:rPr>
        <w:t>(MacLennan, 2020)</w:t>
      </w:r>
      <w:r w:rsidR="006639B0" w:rsidRPr="00597FFB">
        <w:rPr>
          <w:rFonts w:ascii="Times New Roman" w:eastAsia="Calibri" w:hAnsi="Times New Roman" w:cs="Times New Roman"/>
          <w:color w:val="222222"/>
          <w:sz w:val="24"/>
          <w:szCs w:val="24"/>
        </w:rPr>
        <w:fldChar w:fldCharType="end"/>
      </w:r>
      <w:r w:rsidR="00663904" w:rsidRPr="00597FFB">
        <w:rPr>
          <w:rFonts w:ascii="Times New Roman" w:eastAsia="Calibri" w:hAnsi="Times New Roman" w:cs="Times New Roman"/>
          <w:color w:val="222222"/>
          <w:sz w:val="24"/>
          <w:szCs w:val="24"/>
        </w:rPr>
        <w:t>.</w:t>
      </w:r>
      <w:r w:rsidRPr="00597FFB">
        <w:rPr>
          <w:rFonts w:ascii="Times New Roman" w:eastAsia="Calibri" w:hAnsi="Times New Roman" w:cs="Times New Roman"/>
          <w:color w:val="222222"/>
          <w:sz w:val="24"/>
          <w:szCs w:val="24"/>
        </w:rPr>
        <w:t xml:space="preserve"> </w:t>
      </w:r>
      <w:r w:rsidRPr="00597FFB">
        <w:rPr>
          <w:rFonts w:ascii="Times New Roman" w:eastAsia="Times New Roman" w:hAnsi="Times New Roman" w:cs="Times New Roman"/>
          <w:bCs/>
          <w:sz w:val="24"/>
          <w:szCs w:val="24"/>
        </w:rPr>
        <w:t xml:space="preserve">While they have one thing in common: their consumer behavior is completely inherent or adjusted to contemporary digital </w:t>
      </w:r>
      <w:r w:rsidRPr="00597FFB">
        <w:rPr>
          <w:rFonts w:ascii="Times New Roman" w:eastAsia="Times New Roman" w:hAnsi="Times New Roman" w:cs="Times New Roman"/>
          <w:bCs/>
          <w:color w:val="000000"/>
          <w:sz w:val="24"/>
          <w:szCs w:val="24"/>
        </w:rPr>
        <w:t>market trends (</w:t>
      </w:r>
      <w:r w:rsidR="00663904" w:rsidRPr="00597FFB">
        <w:rPr>
          <w:rFonts w:ascii="Times New Roman" w:eastAsia="Times New Roman" w:hAnsi="Times New Roman" w:cs="Times New Roman"/>
          <w:bCs/>
          <w:color w:val="000000"/>
          <w:sz w:val="24"/>
          <w:szCs w:val="24"/>
        </w:rPr>
        <w:t>Li et al.</w:t>
      </w:r>
      <w:r w:rsidRPr="00597FFB">
        <w:rPr>
          <w:rFonts w:ascii="Times New Roman" w:eastAsia="Times New Roman" w:hAnsi="Times New Roman" w:cs="Times New Roman"/>
          <w:bCs/>
          <w:color w:val="000000"/>
          <w:sz w:val="24"/>
          <w:szCs w:val="24"/>
        </w:rPr>
        <w:t>, 201</w:t>
      </w:r>
      <w:r w:rsidR="00663904" w:rsidRPr="00597FFB">
        <w:rPr>
          <w:rFonts w:ascii="Times New Roman" w:eastAsia="Times New Roman" w:hAnsi="Times New Roman" w:cs="Times New Roman"/>
          <w:bCs/>
          <w:color w:val="000000"/>
          <w:sz w:val="24"/>
          <w:szCs w:val="24"/>
        </w:rPr>
        <w:t>8</w:t>
      </w:r>
      <w:r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sz w:val="24"/>
          <w:szCs w:val="24"/>
        </w:rPr>
        <w:t xml:space="preserve">Understanding their common characteristics helps marketers tailor communication messages across various media by integrating offline and online channels through search visibility </w:t>
      </w:r>
      <w:r w:rsidR="00491BD7" w:rsidRPr="00597FFB">
        <w:rPr>
          <w:rFonts w:ascii="Times New Roman" w:eastAsia="Times New Roman" w:hAnsi="Times New Roman" w:cs="Times New Roman"/>
          <w:bCs/>
          <w:sz w:val="24"/>
          <w:szCs w:val="24"/>
        </w:rPr>
        <w:fldChar w:fldCharType="begin"/>
      </w:r>
      <w:r w:rsidR="00EF025B" w:rsidRPr="00597FFB">
        <w:rPr>
          <w:rFonts w:ascii="Times New Roman" w:eastAsia="Times New Roman" w:hAnsi="Times New Roman" w:cs="Times New Roman"/>
          <w:bCs/>
          <w:sz w:val="24"/>
          <w:szCs w:val="24"/>
        </w:rPr>
        <w:instrText xml:space="preserve"> ADDIN ZOTERO_ITEM CSL_CITATION {"citationID":"aua4pm14dv","properties":{"formattedCitation":"(Mahmud et al., 2020)","plainCitation":"(Mahmud et al., 2020)","noteIndex":0},"citationItems":[{"id":4193,"uris":["http://zotero.org/users/local/b6CRLSJH/items/GLPN9U8Y"],"itemData":{"id":4193,"type":"article-journal","abstract":"Each year Bangladesh produces around 400,000 metric tonnes of e-waste. E-waste accumulation is expected to increase by 20% annually. In order to facilitate e-waste recycling, it is crucial to identify the factors. In this study, building on the stimulus-organism-response framework, we develop a research model to explore the effect of information publicity, ascription of responsibility and convenience of recycling on the recycling attitude, subjective norm, personal norm and perceived behaviour control which lead to recycling intention. Data were gathered from 127 small and medium electronics store managers. The structural equation modelling technique was used to test the paths. The result suggests a significant influence of the element of stimulus (S) on the element of organism (O). The relationship between the element of organism (O) and the element of response (R) is partial. This paper contributes to the body of work dedicated to helping us better understand the recycling behaviour from the stimulus-organism-response perspective. From the viewpoint of practice, this research sheds light on some of the challenges that the implementer might face when making strategy and policy for e-waste management in Bangladesh.","container-title":"Waste Management &amp; Research: The Journal for a Sustainable Circular Economy","DOI":"10.1177/0734242X20914753","ISSN":"0734-242X, 1096-3669","issue":"12","journalAbbreviation":"Waste Manag Res","language":"en","page":"1438-1449","source":"DOI.org (Crossref)","title":"E-waste recycling intention paradigm of small and medium electronics store managers in Bangladesh: An S–O–R perspective","title-short":"E-waste recycling intention paradigm of small and medium electronics store managers in Bangladesh","volume":"38","author":[{"family":"Mahmud","given":"Imran"},{"family":"Sultana","given":"Sadia"},{"family":"Rahman","given":"Ashikur"},{"family":"Ramayah","given":"T."},{"family":"Cheng Ling","given":"Tan"}],"issued":{"date-parts":[["2020",12]]}}}],"schema":"https://github.com/citation-style-language/schema/raw/master/csl-citation.json"} </w:instrText>
      </w:r>
      <w:r w:rsidR="00491BD7" w:rsidRPr="00597FFB">
        <w:rPr>
          <w:rFonts w:ascii="Times New Roman" w:eastAsia="Times New Roman" w:hAnsi="Times New Roman" w:cs="Times New Roman"/>
          <w:bCs/>
          <w:sz w:val="24"/>
          <w:szCs w:val="24"/>
        </w:rPr>
        <w:fldChar w:fldCharType="separate"/>
      </w:r>
      <w:r w:rsidR="00EF025B" w:rsidRPr="00597FFB">
        <w:rPr>
          <w:rFonts w:ascii="Times New Roman" w:hAnsi="Times New Roman" w:cs="Times New Roman"/>
          <w:sz w:val="24"/>
          <w:szCs w:val="24"/>
        </w:rPr>
        <w:t>(Mahmud et al., 2020)</w:t>
      </w:r>
      <w:r w:rsidR="00491BD7" w:rsidRPr="00597FFB">
        <w:rPr>
          <w:rFonts w:ascii="Times New Roman" w:eastAsia="Times New Roman" w:hAnsi="Times New Roman" w:cs="Times New Roman"/>
          <w:bCs/>
          <w:sz w:val="24"/>
          <w:szCs w:val="24"/>
        </w:rPr>
        <w:fldChar w:fldCharType="end"/>
      </w:r>
      <w:r w:rsidR="00910EED"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color w:val="000000"/>
          <w:sz w:val="24"/>
          <w:szCs w:val="24"/>
        </w:rPr>
        <w:t>Researching this topic has resulted in numerous studies that have introduced theories and models in this field</w:t>
      </w:r>
      <w:r w:rsidRPr="00597FFB">
        <w:rPr>
          <w:rFonts w:ascii="Times New Roman" w:eastAsia="Calibri" w:hAnsi="Times New Roman" w:cs="Times New Roman"/>
          <w:color w:val="000000"/>
          <w:sz w:val="24"/>
          <w:szCs w:val="24"/>
        </w:rPr>
        <w:t xml:space="preserve"> (Nguyen et al., 2018)</w:t>
      </w:r>
      <w:r w:rsidRPr="00597FFB">
        <w:rPr>
          <w:rFonts w:ascii="Times New Roman" w:eastAsia="Times New Roman" w:hAnsi="Times New Roman" w:cs="Times New Roman"/>
          <w:bCs/>
          <w:color w:val="000000"/>
          <w:sz w:val="24"/>
          <w:szCs w:val="24"/>
        </w:rPr>
        <w:t xml:space="preserve">. </w:t>
      </w:r>
      <w:r w:rsidRPr="00597FFB">
        <w:rPr>
          <w:rFonts w:ascii="Times New Roman" w:eastAsia="Calibri" w:hAnsi="Times New Roman" w:cs="Times New Roman"/>
          <w:iCs/>
          <w:sz w:val="24"/>
          <w:szCs w:val="24"/>
        </w:rPr>
        <w:t xml:space="preserve">This study examines millennials' intentions to perform EWR and further investigates the factors most influential on behavioral intention, sustainable behaviors, and whether their activities influence or motivate sustainable behavior </w:t>
      </w:r>
      <w:r w:rsidR="00910EED" w:rsidRPr="00597FFB">
        <w:rPr>
          <w:rFonts w:ascii="Times New Roman" w:eastAsia="Calibri" w:hAnsi="Times New Roman" w:cs="Times New Roman"/>
          <w:iCs/>
          <w:sz w:val="24"/>
          <w:szCs w:val="24"/>
        </w:rPr>
        <w:fldChar w:fldCharType="begin"/>
      </w:r>
      <w:r w:rsidR="00B35F6C" w:rsidRPr="00597FFB">
        <w:rPr>
          <w:rFonts w:ascii="Times New Roman" w:eastAsia="Calibri" w:hAnsi="Times New Roman" w:cs="Times New Roman"/>
          <w:iCs/>
          <w:sz w:val="24"/>
          <w:szCs w:val="24"/>
        </w:rPr>
        <w:instrText xml:space="preserve"> ADDIN ZOTERO_ITEM CSL_CITATION {"citationID":"a28mn6mb4ap","properties":{"formattedCitation":"(Al Bloushi et al., 2020a)","plainCitation":"(Al Bloushi et al., 2020a)","noteIndex":0},"citationItems":[{"id":4391,"uris":["http://zotero.org/users/local/b6CRLSJH/items/B8QXEB9L"],"itemData":{"id":4391,"type":"article-journal","abstract":"Learning outcomes\n              To examine and create an ideal pathway model that can implement aiming to change the current improper practices in managing municipal solid waste (MSW) to sustainable practices. To acquire a better understanding of public participation and community culture helps in achieving the aim of reducing the amount of waste generation, sending less waste to landfill sites and encouraging the reuse and recycling of materials instead. To help students whom the awareness in the community regarding the importance of protecting the environment and acting in a civilization way has increased. To improve the MSW sustainability practices and enhance the waste sustainability practices together with energy and material conservation. To have more extensive knowledge and awareness of issues in waste management and some of the dilemmas managers of strategic and operations face.\n            \n            \n              Case overview/synopsis\n              Abu Dhabi’s center of waste management is known as Tadweer is a governmental entity under the Abu Dhabi Executive Council. Tadweer is responsible for managing every MSWs includes collecting, transferring, segregating, treating, recycling, reusing and tracking all kinds of wastes. CEO of Tadweer Dr Salem Alkabi called his team that manages various departments such as strategy, operations, projects and licensing. The meeting was to discuss Tadweer’s future directing and strategy for mismanagement of solid waste dumping into landﬁlls in Abu Dhabi. Dumping in landfills is the main challenge Tadweer faced. Mr. Abdulrahman Albloushi’s strategy and business development executive director of Tadweer highlighted to Alkaabi how Tadweer could improve the waste management practices to make it more sustainable. Furthermore, assisting the center gets more benefit from the waste s instead of losing this valuable waste into landfills. Consequently, Mr. Abdulrahman must grapple with some difficult questions: how much the effectiveness in collecting waste from where it generated and removing it out-of-sight?\n            \n            \n              Complexity academic level\n              This case study is designed for undergraduate and postgraduate students, and executive MBA students of business management programs, especially for waste management, environmental management and strategic management courses.\n            \n            \n              Supplementary materials\n              Teaching Notes are available upon request.\n            \n            \n              Subject code\n              CSS 4: Environmental management.","container-title":"Emerald Emerging Markets Case Studies","DOI":"10.1108/EEMCS-08-2019-0210","ISSN":"2045-0621","issue":"2","journalAbbreviation":"EEMCS","language":"en","page":"1-26","source":"DOI.org (Crossref)","title":"Tadweer: improving municipal solid waste sustainability practices","title-short":"Tadweer","volume":"10","author":[{"family":"Al Bloushi","given":"Badreya Gharib"},{"family":"Ahmad","given":"Syed Zamberi"},{"family":"Bani Mfarrej","given":"Manar Fawzi"}],"issued":{"date-parts":[["2020",4,29]]}}}],"schema":"https://github.com/citation-style-language/schema/raw/master/csl-citation.json"} </w:instrText>
      </w:r>
      <w:r w:rsidR="00910EED" w:rsidRPr="00597FFB">
        <w:rPr>
          <w:rFonts w:ascii="Times New Roman" w:eastAsia="Calibri" w:hAnsi="Times New Roman" w:cs="Times New Roman"/>
          <w:iCs/>
          <w:sz w:val="24"/>
          <w:szCs w:val="24"/>
        </w:rPr>
        <w:fldChar w:fldCharType="separate"/>
      </w:r>
      <w:r w:rsidR="00B35F6C" w:rsidRPr="00597FFB">
        <w:rPr>
          <w:rFonts w:ascii="Times New Roman" w:hAnsi="Times New Roman" w:cs="Times New Roman"/>
          <w:sz w:val="24"/>
        </w:rPr>
        <w:t>(Al Bloushi et al., 2020a)</w:t>
      </w:r>
      <w:r w:rsidR="00910EED" w:rsidRPr="00597FFB">
        <w:rPr>
          <w:rFonts w:ascii="Times New Roman" w:eastAsia="Calibri" w:hAnsi="Times New Roman" w:cs="Times New Roman"/>
          <w:iCs/>
          <w:sz w:val="24"/>
          <w:szCs w:val="24"/>
        </w:rPr>
        <w:fldChar w:fldCharType="end"/>
      </w:r>
      <w:r w:rsidR="00910EED" w:rsidRPr="00597FFB">
        <w:rPr>
          <w:rFonts w:ascii="Times New Roman" w:eastAsia="Calibri" w:hAnsi="Times New Roman" w:cs="Times New Roman"/>
          <w:iCs/>
          <w:sz w:val="24"/>
          <w:szCs w:val="24"/>
        </w:rPr>
        <w:t xml:space="preserve">. </w:t>
      </w:r>
      <w:r w:rsidRPr="00597FFB">
        <w:rPr>
          <w:rFonts w:ascii="Times New Roman" w:eastAsia="Times New Roman" w:hAnsi="Times New Roman" w:cs="Times New Roman"/>
          <w:bCs/>
          <w:sz w:val="24"/>
          <w:szCs w:val="24"/>
        </w:rPr>
        <w:t xml:space="preserve">Besides, the existence of an attitude-intention gap towards EWR is analyzed. </w:t>
      </w:r>
      <w:r w:rsidRPr="00597FFB">
        <w:rPr>
          <w:rFonts w:ascii="Times New Roman" w:eastAsia="Calibri" w:hAnsi="Times New Roman" w:cs="Times New Roman"/>
          <w:iCs/>
          <w:sz w:val="24"/>
          <w:szCs w:val="24"/>
        </w:rPr>
        <w:t xml:space="preserve">To be speciﬁc, </w:t>
      </w:r>
      <w:r w:rsidRPr="00597FFB">
        <w:rPr>
          <w:rFonts w:ascii="Times New Roman" w:eastAsia="Times New Roman" w:hAnsi="Times New Roman" w:cs="Times New Roman"/>
          <w:bCs/>
          <w:sz w:val="24"/>
          <w:szCs w:val="24"/>
        </w:rPr>
        <w:t xml:space="preserve">the following research </w:t>
      </w:r>
      <w:r w:rsidRPr="00597FFB">
        <w:rPr>
          <w:rFonts w:ascii="Times New Roman" w:eastAsia="Calibri" w:hAnsi="Times New Roman" w:cs="Times New Roman"/>
          <w:iCs/>
          <w:sz w:val="24"/>
          <w:szCs w:val="24"/>
        </w:rPr>
        <w:t>objectives,</w:t>
      </w:r>
      <w:r w:rsidRPr="00597FFB">
        <w:rPr>
          <w:rFonts w:ascii="Times New Roman" w:eastAsia="Times New Roman" w:hAnsi="Times New Roman" w:cs="Times New Roman"/>
          <w:bCs/>
          <w:sz w:val="24"/>
          <w:szCs w:val="24"/>
        </w:rPr>
        <w:t xml:space="preserve"> questions, and hypotheses are developed to address the study's purpose in Table 6.</w:t>
      </w:r>
    </w:p>
    <w:p w14:paraId="2A87C926" w14:textId="6CD543B1" w:rsidR="00E23180" w:rsidRPr="00597FFB" w:rsidRDefault="002F091C" w:rsidP="00E23180">
      <w:pPr>
        <w:autoSpaceDE w:val="0"/>
        <w:autoSpaceDN w:val="0"/>
        <w:adjustRightInd w:val="0"/>
        <w:spacing w:after="0" w:line="276" w:lineRule="auto"/>
        <w:jc w:val="both"/>
        <w:rPr>
          <w:rFonts w:ascii="Times New Roman" w:eastAsia="Calibri" w:hAnsi="Times New Roman" w:cs="Times New Roman"/>
        </w:rPr>
      </w:pPr>
      <w:bookmarkStart w:id="56" w:name="_Hlk123389921"/>
      <w:r w:rsidRPr="00597FFB">
        <w:rPr>
          <w:rFonts w:ascii="Times New Roman" w:eastAsia="Calibri" w:hAnsi="Times New Roman" w:cs="Times New Roman"/>
          <w:b/>
          <w:bCs/>
        </w:rPr>
        <w:t xml:space="preserve">Table 6: </w:t>
      </w:r>
      <w:bookmarkStart w:id="57" w:name="_Hlk123389623"/>
      <w:bookmarkStart w:id="58" w:name="_Hlk57288673"/>
      <w:r w:rsidRPr="00597FFB">
        <w:rPr>
          <w:rFonts w:ascii="Times New Roman" w:eastAsia="Calibri" w:hAnsi="Times New Roman" w:cs="Times New Roman"/>
          <w:i/>
          <w:iCs/>
        </w:rPr>
        <w:t xml:space="preserve">Research Objectives, Questions, </w:t>
      </w:r>
      <w:r w:rsidR="00EF025B" w:rsidRPr="00597FFB">
        <w:rPr>
          <w:rFonts w:ascii="Times New Roman" w:eastAsia="Calibri" w:hAnsi="Times New Roman" w:cs="Times New Roman"/>
          <w:i/>
          <w:iCs/>
        </w:rPr>
        <w:t>a</w:t>
      </w:r>
      <w:r w:rsidRPr="00597FFB">
        <w:rPr>
          <w:rFonts w:ascii="Times New Roman" w:eastAsia="Calibri" w:hAnsi="Times New Roman" w:cs="Times New Roman"/>
          <w:i/>
          <w:iCs/>
        </w:rPr>
        <w:t>nd Hypothesis</w:t>
      </w:r>
      <w:bookmarkEnd w:id="57"/>
      <w:r w:rsidRPr="00597FFB">
        <w:rPr>
          <w:rFonts w:ascii="Times New Roman" w:eastAsia="Calibri" w:hAnsi="Times New Roman" w:cs="Times New Roman"/>
          <w:i/>
          <w:iCs/>
        </w:rPr>
        <w:t>.</w:t>
      </w:r>
      <w:bookmarkEnd w:id="58"/>
    </w:p>
    <w:tbl>
      <w:tblPr>
        <w:tblW w:w="748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483"/>
        <w:gridCol w:w="2502"/>
      </w:tblGrid>
      <w:tr w:rsidR="00E23180" w:rsidRPr="00597FFB" w14:paraId="5ABF72B6" w14:textId="77777777" w:rsidTr="001E19F2">
        <w:tc>
          <w:tcPr>
            <w:tcW w:w="2501" w:type="dxa"/>
          </w:tcPr>
          <w:bookmarkEnd w:id="56"/>
          <w:p w14:paraId="363C7D63" w14:textId="3D3BE471" w:rsidR="00E23180" w:rsidRPr="00597FFB" w:rsidRDefault="00091A18" w:rsidP="00E23180">
            <w:pPr>
              <w:spacing w:before="26" w:after="26" w:line="240" w:lineRule="auto"/>
              <w:contextualSpacing/>
              <w:rPr>
                <w:rFonts w:asciiTheme="majorBidi" w:eastAsia="Calibri" w:hAnsiTheme="majorBidi" w:cstheme="majorBidi"/>
                <w:b/>
                <w:bCs/>
                <w:iCs/>
                <w:color w:val="000000"/>
                <w:sz w:val="20"/>
                <w:szCs w:val="20"/>
              </w:rPr>
            </w:pPr>
            <w:r w:rsidRPr="00597FFB">
              <w:rPr>
                <w:rFonts w:asciiTheme="majorBidi" w:eastAsia="Calibri" w:hAnsiTheme="majorBidi" w:cstheme="majorBidi"/>
                <w:b/>
                <w:bCs/>
                <w:sz w:val="20"/>
                <w:szCs w:val="20"/>
              </w:rPr>
              <w:t>Research Questions (R</w:t>
            </w:r>
            <w:r w:rsidR="00E36C05" w:rsidRPr="00597FFB">
              <w:rPr>
                <w:rFonts w:asciiTheme="majorBidi" w:eastAsia="Calibri" w:hAnsiTheme="majorBidi" w:cstheme="majorBidi"/>
                <w:b/>
                <w:bCs/>
                <w:sz w:val="20"/>
                <w:szCs w:val="20"/>
              </w:rPr>
              <w:t>Q</w:t>
            </w:r>
            <w:r w:rsidRPr="00597FFB">
              <w:rPr>
                <w:rFonts w:asciiTheme="majorBidi" w:eastAsia="Calibri" w:hAnsiTheme="majorBidi" w:cstheme="majorBidi"/>
                <w:b/>
                <w:bCs/>
                <w:sz w:val="20"/>
                <w:szCs w:val="20"/>
              </w:rPr>
              <w:t>)</w:t>
            </w:r>
          </w:p>
        </w:tc>
        <w:tc>
          <w:tcPr>
            <w:tcW w:w="2483" w:type="dxa"/>
          </w:tcPr>
          <w:p w14:paraId="49A31CDA" w14:textId="36E9A0A5" w:rsidR="00E23180" w:rsidRPr="00597FFB" w:rsidRDefault="00091A18" w:rsidP="00E23180">
            <w:pPr>
              <w:spacing w:before="26" w:after="26" w:line="240" w:lineRule="auto"/>
              <w:contextualSpacing/>
              <w:rPr>
                <w:rFonts w:asciiTheme="majorBidi" w:eastAsia="Calibri" w:hAnsiTheme="majorBidi" w:cstheme="majorBidi"/>
                <w:b/>
                <w:bCs/>
                <w:sz w:val="20"/>
                <w:szCs w:val="20"/>
              </w:rPr>
            </w:pPr>
            <w:r w:rsidRPr="00597FFB">
              <w:rPr>
                <w:rFonts w:asciiTheme="majorBidi" w:eastAsia="Calibri" w:hAnsiTheme="majorBidi" w:cstheme="majorBidi"/>
                <w:b/>
                <w:bCs/>
                <w:sz w:val="20"/>
                <w:szCs w:val="20"/>
              </w:rPr>
              <w:t>Research Objectives (R</w:t>
            </w:r>
            <w:r w:rsidR="00E36C05" w:rsidRPr="00597FFB">
              <w:rPr>
                <w:rFonts w:asciiTheme="majorBidi" w:eastAsia="Calibri" w:hAnsiTheme="majorBidi" w:cstheme="majorBidi"/>
                <w:b/>
                <w:bCs/>
                <w:sz w:val="20"/>
                <w:szCs w:val="20"/>
              </w:rPr>
              <w:t>O</w:t>
            </w:r>
            <w:r w:rsidRPr="00597FFB">
              <w:rPr>
                <w:rFonts w:asciiTheme="majorBidi" w:eastAsia="Calibri" w:hAnsiTheme="majorBidi" w:cstheme="majorBidi"/>
                <w:b/>
                <w:bCs/>
                <w:sz w:val="20"/>
                <w:szCs w:val="20"/>
              </w:rPr>
              <w:t>)</w:t>
            </w:r>
          </w:p>
        </w:tc>
        <w:tc>
          <w:tcPr>
            <w:tcW w:w="2502" w:type="dxa"/>
          </w:tcPr>
          <w:p w14:paraId="1196A187" w14:textId="20797DA5" w:rsidR="00E23180" w:rsidRPr="00597FFB" w:rsidRDefault="00091A18" w:rsidP="00E23180">
            <w:pPr>
              <w:spacing w:before="26" w:after="26" w:line="240" w:lineRule="auto"/>
              <w:contextualSpacing/>
              <w:rPr>
                <w:rFonts w:asciiTheme="majorBidi" w:eastAsia="Calibri" w:hAnsiTheme="majorBidi" w:cstheme="majorBidi"/>
                <w:b/>
                <w:bCs/>
                <w:iCs/>
                <w:color w:val="000000"/>
                <w:sz w:val="20"/>
                <w:szCs w:val="20"/>
              </w:rPr>
            </w:pPr>
            <w:r w:rsidRPr="00597FFB">
              <w:rPr>
                <w:rFonts w:asciiTheme="majorBidi" w:eastAsia="Calibri" w:hAnsiTheme="majorBidi" w:cstheme="majorBidi"/>
                <w:b/>
                <w:bCs/>
                <w:sz w:val="20"/>
                <w:szCs w:val="20"/>
              </w:rPr>
              <w:t>Research Hypothesis (R</w:t>
            </w:r>
            <w:r w:rsidR="00E36C05" w:rsidRPr="00597FFB">
              <w:rPr>
                <w:rFonts w:asciiTheme="majorBidi" w:eastAsia="Calibri" w:hAnsiTheme="majorBidi" w:cstheme="majorBidi"/>
                <w:b/>
                <w:bCs/>
                <w:sz w:val="20"/>
                <w:szCs w:val="20"/>
              </w:rPr>
              <w:t>H</w:t>
            </w:r>
            <w:r w:rsidRPr="00597FFB">
              <w:rPr>
                <w:rFonts w:asciiTheme="majorBidi" w:eastAsia="Calibri" w:hAnsiTheme="majorBidi" w:cstheme="majorBidi"/>
                <w:b/>
                <w:bCs/>
                <w:sz w:val="20"/>
                <w:szCs w:val="20"/>
              </w:rPr>
              <w:t>)</w:t>
            </w:r>
          </w:p>
        </w:tc>
      </w:tr>
      <w:tr w:rsidR="00E23180" w:rsidRPr="00597FFB" w14:paraId="62513C93" w14:textId="77777777" w:rsidTr="001E19F2">
        <w:tc>
          <w:tcPr>
            <w:tcW w:w="2501" w:type="dxa"/>
          </w:tcPr>
          <w:p w14:paraId="7DA09292" w14:textId="2C2611EC"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What Are </w:t>
            </w:r>
            <w:r w:rsidR="00B312E9" w:rsidRPr="00597FFB">
              <w:rPr>
                <w:rFonts w:asciiTheme="majorBidi" w:eastAsia="Calibri" w:hAnsiTheme="majorBidi" w:cstheme="majorBidi"/>
                <w:iCs/>
                <w:color w:val="000000"/>
                <w:sz w:val="20"/>
                <w:szCs w:val="20"/>
              </w:rPr>
              <w:t>t</w:t>
            </w:r>
            <w:r w:rsidR="00091A18" w:rsidRPr="00597FFB">
              <w:rPr>
                <w:rFonts w:asciiTheme="majorBidi" w:eastAsia="Calibri" w:hAnsiTheme="majorBidi" w:cstheme="majorBidi"/>
                <w:iCs/>
                <w:color w:val="000000"/>
                <w:sz w:val="20"/>
                <w:szCs w:val="20"/>
              </w:rPr>
              <w:t xml:space="preserve">he </w:t>
            </w:r>
            <w:r w:rsidRPr="00597FFB">
              <w:rPr>
                <w:rFonts w:asciiTheme="majorBidi" w:eastAsia="Calibri" w:hAnsiTheme="majorBidi" w:cstheme="majorBidi"/>
                <w:iCs/>
                <w:color w:val="000000"/>
                <w:sz w:val="20"/>
                <w:szCs w:val="20"/>
              </w:rPr>
              <w:t xml:space="preserve">Key Predictors </w:t>
            </w:r>
            <w:r w:rsidR="00B312E9" w:rsidRPr="00597FFB">
              <w:rPr>
                <w:rFonts w:asciiTheme="majorBidi" w:eastAsia="Calibri" w:hAnsiTheme="majorBidi" w:cstheme="majorBidi"/>
                <w:iCs/>
                <w:color w:val="000000"/>
                <w:sz w:val="20"/>
                <w:szCs w:val="20"/>
              </w:rPr>
              <w:t>o</w:t>
            </w:r>
            <w:r w:rsidR="00091A18" w:rsidRPr="00597FFB">
              <w:rPr>
                <w:rFonts w:asciiTheme="majorBidi" w:eastAsia="Calibri" w:hAnsiTheme="majorBidi" w:cstheme="majorBidi"/>
                <w:iCs/>
                <w:color w:val="000000"/>
                <w:sz w:val="20"/>
                <w:szCs w:val="20"/>
              </w:rPr>
              <w:t xml:space="preserve">f </w:t>
            </w:r>
            <w:r w:rsidRPr="00597FFB">
              <w:rPr>
                <w:rFonts w:asciiTheme="majorBidi" w:eastAsia="Calibri" w:hAnsiTheme="majorBidi" w:cstheme="majorBidi"/>
                <w:iCs/>
                <w:color w:val="000000"/>
                <w:sz w:val="20"/>
                <w:szCs w:val="20"/>
              </w:rPr>
              <w:t>Millennials E</w:t>
            </w:r>
            <w:r w:rsidR="00091A18" w:rsidRPr="00597FFB">
              <w:rPr>
                <w:rFonts w:asciiTheme="majorBidi" w:eastAsia="Calibri" w:hAnsiTheme="majorBidi" w:cstheme="majorBidi"/>
                <w:iCs/>
                <w:color w:val="000000"/>
                <w:sz w:val="20"/>
                <w:szCs w:val="20"/>
              </w:rPr>
              <w:t>-</w:t>
            </w:r>
            <w:r w:rsidRPr="00597FFB">
              <w:rPr>
                <w:rFonts w:asciiTheme="majorBidi" w:eastAsia="Calibri" w:hAnsiTheme="majorBidi" w:cstheme="majorBidi"/>
                <w:iCs/>
                <w:color w:val="000000"/>
                <w:sz w:val="20"/>
                <w:szCs w:val="20"/>
              </w:rPr>
              <w:t xml:space="preserve">Waste Recycling Intentions </w:t>
            </w:r>
            <w:r w:rsidR="00B312E9" w:rsidRPr="00597FFB">
              <w:rPr>
                <w:rFonts w:asciiTheme="majorBidi" w:eastAsia="Calibri" w:hAnsiTheme="majorBidi" w:cstheme="majorBidi"/>
                <w:iCs/>
                <w:color w:val="000000"/>
                <w:sz w:val="20"/>
                <w:szCs w:val="20"/>
              </w:rPr>
              <w:t>i</w:t>
            </w:r>
            <w:r w:rsidR="00091A18" w:rsidRPr="00597FFB">
              <w:rPr>
                <w:rFonts w:asciiTheme="majorBidi" w:eastAsia="Calibri" w:hAnsiTheme="majorBidi" w:cstheme="majorBidi"/>
                <w:iCs/>
                <w:color w:val="000000"/>
                <w:sz w:val="20"/>
                <w:szCs w:val="20"/>
              </w:rPr>
              <w:t xml:space="preserve">n The </w:t>
            </w:r>
            <w:r w:rsidRPr="00597FFB">
              <w:rPr>
                <w:rFonts w:asciiTheme="majorBidi" w:eastAsia="Calibri" w:hAnsiTheme="majorBidi" w:cstheme="majorBidi"/>
                <w:iCs/>
                <w:color w:val="000000"/>
                <w:sz w:val="20"/>
                <w:szCs w:val="20"/>
              </w:rPr>
              <w:t>UAE</w:t>
            </w:r>
            <w:r w:rsidR="00091A18" w:rsidRPr="00597FFB">
              <w:rPr>
                <w:rFonts w:asciiTheme="majorBidi" w:eastAsia="Calibri" w:hAnsiTheme="majorBidi" w:cstheme="majorBidi"/>
                <w:iCs/>
                <w:color w:val="000000"/>
                <w:sz w:val="20"/>
                <w:szCs w:val="20"/>
              </w:rPr>
              <w:t xml:space="preserve">? </w:t>
            </w:r>
          </w:p>
        </w:tc>
        <w:tc>
          <w:tcPr>
            <w:tcW w:w="2483" w:type="dxa"/>
          </w:tcPr>
          <w:p w14:paraId="1423DECE" w14:textId="39BAFDF2"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Develop </w:t>
            </w:r>
            <w:r w:rsidR="00B312E9" w:rsidRPr="00597FFB">
              <w:rPr>
                <w:rFonts w:asciiTheme="majorBidi" w:eastAsia="Calibri" w:hAnsiTheme="majorBidi" w:cstheme="majorBidi"/>
                <w:iCs/>
                <w:color w:val="000000"/>
                <w:sz w:val="20"/>
                <w:szCs w:val="20"/>
              </w:rPr>
              <w:t>a</w:t>
            </w:r>
            <w:r w:rsidR="00091A18" w:rsidRPr="00597FFB">
              <w:rPr>
                <w:rFonts w:asciiTheme="majorBidi" w:eastAsia="Calibri" w:hAnsiTheme="majorBidi" w:cstheme="majorBidi"/>
                <w:iCs/>
                <w:color w:val="000000"/>
                <w:sz w:val="20"/>
                <w:szCs w:val="20"/>
              </w:rPr>
              <w:t xml:space="preserve">nd </w:t>
            </w:r>
            <w:r w:rsidRPr="00597FFB">
              <w:rPr>
                <w:rFonts w:asciiTheme="majorBidi" w:eastAsia="Calibri" w:hAnsiTheme="majorBidi" w:cstheme="majorBidi"/>
                <w:iCs/>
                <w:color w:val="000000"/>
                <w:sz w:val="20"/>
                <w:szCs w:val="20"/>
              </w:rPr>
              <w:t xml:space="preserve">Test </w:t>
            </w:r>
            <w:r w:rsidR="00B312E9" w:rsidRPr="00597FFB">
              <w:rPr>
                <w:rFonts w:asciiTheme="majorBidi" w:eastAsia="Calibri" w:hAnsiTheme="majorBidi" w:cstheme="majorBidi"/>
                <w:iCs/>
                <w:color w:val="000000"/>
                <w:sz w:val="20"/>
                <w:szCs w:val="20"/>
              </w:rPr>
              <w:t>a</w:t>
            </w:r>
            <w:r w:rsidR="00091A18" w:rsidRPr="00597FFB">
              <w:rPr>
                <w:rFonts w:asciiTheme="majorBidi" w:eastAsia="Calibri" w:hAnsiTheme="majorBidi" w:cstheme="majorBidi"/>
                <w:iCs/>
                <w:color w:val="000000"/>
                <w:sz w:val="20"/>
                <w:szCs w:val="20"/>
              </w:rPr>
              <w:t xml:space="preserve">n </w:t>
            </w:r>
            <w:r w:rsidRPr="00597FFB">
              <w:rPr>
                <w:rFonts w:asciiTheme="majorBidi" w:eastAsia="Calibri" w:hAnsiTheme="majorBidi" w:cstheme="majorBidi"/>
                <w:iCs/>
                <w:color w:val="000000"/>
                <w:sz w:val="20"/>
                <w:szCs w:val="20"/>
              </w:rPr>
              <w:t xml:space="preserve">Integrated Theoretical Model </w:t>
            </w:r>
            <w:r w:rsidR="00B312E9" w:rsidRPr="00597FFB">
              <w:rPr>
                <w:rFonts w:asciiTheme="majorBidi" w:eastAsia="Calibri" w:hAnsiTheme="majorBidi" w:cstheme="majorBidi"/>
                <w:iCs/>
                <w:color w:val="000000"/>
                <w:sz w:val="20"/>
                <w:szCs w:val="20"/>
              </w:rPr>
              <w:t>f</w:t>
            </w:r>
            <w:r w:rsidR="00091A18" w:rsidRPr="00597FFB">
              <w:rPr>
                <w:rFonts w:asciiTheme="majorBidi" w:eastAsia="Calibri" w:hAnsiTheme="majorBidi" w:cstheme="majorBidi"/>
                <w:iCs/>
                <w:color w:val="000000"/>
                <w:sz w:val="20"/>
                <w:szCs w:val="20"/>
              </w:rPr>
              <w:t xml:space="preserve">or </w:t>
            </w:r>
            <w:r w:rsidRPr="00597FFB">
              <w:rPr>
                <w:rFonts w:asciiTheme="majorBidi" w:eastAsia="Calibri" w:hAnsiTheme="majorBidi" w:cstheme="majorBidi"/>
                <w:iCs/>
                <w:color w:val="000000"/>
                <w:sz w:val="20"/>
                <w:szCs w:val="20"/>
              </w:rPr>
              <w:t>Explaining E</w:t>
            </w:r>
            <w:r w:rsidR="00091A18" w:rsidRPr="00597FFB">
              <w:rPr>
                <w:rFonts w:asciiTheme="majorBidi" w:eastAsia="Calibri" w:hAnsiTheme="majorBidi" w:cstheme="majorBidi"/>
                <w:iCs/>
                <w:color w:val="000000"/>
                <w:sz w:val="20"/>
                <w:szCs w:val="20"/>
              </w:rPr>
              <w:t>-</w:t>
            </w:r>
            <w:r w:rsidRPr="00597FFB">
              <w:rPr>
                <w:rFonts w:asciiTheme="majorBidi" w:eastAsia="Calibri" w:hAnsiTheme="majorBidi" w:cstheme="majorBidi"/>
                <w:iCs/>
                <w:color w:val="000000"/>
                <w:sz w:val="20"/>
                <w:szCs w:val="20"/>
              </w:rPr>
              <w:t>Waste Recycling Behavior Intentions Towards E</w:t>
            </w:r>
            <w:r w:rsidR="00091A18" w:rsidRPr="00597FFB">
              <w:rPr>
                <w:rFonts w:asciiTheme="majorBidi" w:eastAsia="Calibri" w:hAnsiTheme="majorBidi" w:cstheme="majorBidi"/>
                <w:iCs/>
                <w:color w:val="000000"/>
                <w:sz w:val="20"/>
                <w:szCs w:val="20"/>
              </w:rPr>
              <w:t>-</w:t>
            </w:r>
            <w:r w:rsidRPr="00597FFB">
              <w:rPr>
                <w:rFonts w:asciiTheme="majorBidi" w:eastAsia="Calibri" w:hAnsiTheme="majorBidi" w:cstheme="majorBidi"/>
                <w:iCs/>
                <w:color w:val="000000"/>
                <w:sz w:val="20"/>
                <w:szCs w:val="20"/>
              </w:rPr>
              <w:t xml:space="preserve">Waste Management Sustainability </w:t>
            </w:r>
            <w:r w:rsidR="00B312E9" w:rsidRPr="00597FFB">
              <w:rPr>
                <w:rFonts w:asciiTheme="majorBidi" w:eastAsia="Calibri" w:hAnsiTheme="majorBidi" w:cstheme="majorBidi"/>
                <w:iCs/>
                <w:color w:val="000000"/>
                <w:sz w:val="20"/>
                <w:szCs w:val="20"/>
              </w:rPr>
              <w:t>i</w:t>
            </w:r>
            <w:r w:rsidR="00091A18" w:rsidRPr="00597FFB">
              <w:rPr>
                <w:rFonts w:asciiTheme="majorBidi" w:eastAsia="Calibri" w:hAnsiTheme="majorBidi" w:cstheme="majorBidi"/>
                <w:iCs/>
                <w:color w:val="000000"/>
                <w:sz w:val="20"/>
                <w:szCs w:val="20"/>
              </w:rPr>
              <w:t xml:space="preserve">n </w:t>
            </w:r>
            <w:r w:rsidR="00B312E9" w:rsidRPr="00597FFB">
              <w:rPr>
                <w:rFonts w:asciiTheme="majorBidi" w:eastAsia="Calibri" w:hAnsiTheme="majorBidi" w:cstheme="majorBidi"/>
                <w:iCs/>
                <w:color w:val="000000"/>
                <w:sz w:val="20"/>
                <w:szCs w:val="20"/>
              </w:rPr>
              <w:t>t</w:t>
            </w:r>
            <w:r w:rsidRPr="00597FFB">
              <w:rPr>
                <w:rFonts w:asciiTheme="majorBidi" w:eastAsia="Calibri" w:hAnsiTheme="majorBidi" w:cstheme="majorBidi"/>
                <w:iCs/>
                <w:color w:val="000000"/>
                <w:sz w:val="20"/>
                <w:szCs w:val="20"/>
              </w:rPr>
              <w:t>he UAE Context</w:t>
            </w:r>
            <w:r w:rsidR="00091A18" w:rsidRPr="00597FFB">
              <w:rPr>
                <w:rFonts w:asciiTheme="majorBidi" w:eastAsia="Calibri" w:hAnsiTheme="majorBidi" w:cstheme="majorBidi"/>
                <w:iCs/>
                <w:color w:val="000000"/>
                <w:sz w:val="20"/>
                <w:szCs w:val="20"/>
              </w:rPr>
              <w:t xml:space="preserve">. </w:t>
            </w:r>
          </w:p>
        </w:tc>
        <w:tc>
          <w:tcPr>
            <w:tcW w:w="2502" w:type="dxa"/>
          </w:tcPr>
          <w:p w14:paraId="3F2750BD" w14:textId="77777777"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p>
        </w:tc>
      </w:tr>
      <w:tr w:rsidR="000845E8" w:rsidRPr="00597FFB" w14:paraId="77BB9396" w14:textId="77777777" w:rsidTr="001E19F2">
        <w:tc>
          <w:tcPr>
            <w:tcW w:w="2501" w:type="dxa"/>
          </w:tcPr>
          <w:p w14:paraId="36DB5042" w14:textId="54930966" w:rsidR="000845E8" w:rsidRPr="00597FFB" w:rsidRDefault="002B5B2B"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bCs/>
                <w:iCs/>
                <w:sz w:val="20"/>
                <w:szCs w:val="20"/>
              </w:rPr>
              <w:t xml:space="preserve">Which Predictor Related </w:t>
            </w:r>
            <w:r w:rsidR="00B312E9" w:rsidRPr="00597FFB">
              <w:rPr>
                <w:rFonts w:asciiTheme="majorBidi" w:eastAsia="Calibri" w:hAnsiTheme="majorBidi" w:cstheme="majorBidi"/>
                <w:bCs/>
                <w:iCs/>
                <w:sz w:val="20"/>
                <w:szCs w:val="20"/>
              </w:rPr>
              <w:t>t</w:t>
            </w:r>
            <w:r w:rsidR="00091A18" w:rsidRPr="00597FFB">
              <w:rPr>
                <w:rFonts w:asciiTheme="majorBidi" w:eastAsia="Calibri" w:hAnsiTheme="majorBidi" w:cstheme="majorBidi"/>
                <w:bCs/>
                <w:iCs/>
                <w:sz w:val="20"/>
                <w:szCs w:val="20"/>
              </w:rPr>
              <w:t xml:space="preserve">o </w:t>
            </w:r>
            <w:r w:rsidRPr="00597FFB">
              <w:rPr>
                <w:rFonts w:asciiTheme="majorBidi" w:eastAsia="Calibri" w:hAnsiTheme="majorBidi" w:cstheme="majorBidi"/>
                <w:bCs/>
                <w:iCs/>
                <w:sz w:val="20"/>
                <w:szCs w:val="20"/>
              </w:rPr>
              <w:t xml:space="preserve">The </w:t>
            </w:r>
            <w:r w:rsidR="00440D45" w:rsidRPr="00597FFB">
              <w:rPr>
                <w:rFonts w:asciiTheme="majorBidi" w:eastAsia="Calibri" w:hAnsiTheme="majorBidi" w:cstheme="majorBidi"/>
                <w:bCs/>
                <w:iCs/>
                <w:sz w:val="20"/>
                <w:szCs w:val="20"/>
              </w:rPr>
              <w:t xml:space="preserve">Personal Norm </w:t>
            </w:r>
            <w:r w:rsidR="00091A18" w:rsidRPr="00597FFB">
              <w:rPr>
                <w:rFonts w:asciiTheme="majorBidi" w:eastAsia="Calibri" w:hAnsiTheme="majorBidi" w:cstheme="majorBidi"/>
                <w:bCs/>
                <w:iCs/>
                <w:sz w:val="20"/>
                <w:szCs w:val="20"/>
              </w:rPr>
              <w:t>(</w:t>
            </w:r>
            <w:r w:rsidR="00440D45"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xml:space="preserve">) </w:t>
            </w:r>
            <w:r w:rsidR="00440D45" w:rsidRPr="00597FFB">
              <w:rPr>
                <w:rFonts w:asciiTheme="majorBidi" w:eastAsia="Calibri" w:hAnsiTheme="majorBidi" w:cstheme="majorBidi"/>
                <w:bCs/>
                <w:iCs/>
                <w:sz w:val="20"/>
                <w:szCs w:val="20"/>
              </w:rPr>
              <w:t xml:space="preserve">Towards </w:t>
            </w:r>
            <w:r w:rsidRPr="00597FFB">
              <w:rPr>
                <w:rFonts w:asciiTheme="majorBidi" w:eastAsia="Calibri" w:hAnsiTheme="majorBidi" w:cstheme="majorBidi"/>
                <w:bCs/>
                <w:iCs/>
                <w:sz w:val="20"/>
                <w:szCs w:val="20"/>
              </w:rPr>
              <w:t xml:space="preserve">Recycling Behavior Intentions </w:t>
            </w:r>
            <w:r w:rsidR="00B312E9" w:rsidRPr="00597FFB">
              <w:rPr>
                <w:rFonts w:asciiTheme="majorBidi" w:eastAsia="Calibri" w:hAnsiTheme="majorBidi" w:cstheme="majorBidi"/>
                <w:bCs/>
                <w:iCs/>
                <w:sz w:val="20"/>
                <w:szCs w:val="20"/>
              </w:rPr>
              <w:t>o</w:t>
            </w:r>
            <w:r w:rsidR="00091A18" w:rsidRPr="00597FFB">
              <w:rPr>
                <w:rFonts w:asciiTheme="majorBidi" w:eastAsia="Calibri" w:hAnsiTheme="majorBidi" w:cstheme="majorBidi"/>
                <w:bCs/>
                <w:iCs/>
                <w:sz w:val="20"/>
                <w:szCs w:val="20"/>
              </w:rPr>
              <w:t xml:space="preserve">f </w:t>
            </w:r>
            <w:r w:rsidR="00B312E9" w:rsidRPr="00597FFB">
              <w:rPr>
                <w:rFonts w:asciiTheme="majorBidi" w:eastAsia="Calibri" w:hAnsiTheme="majorBidi" w:cstheme="majorBidi"/>
                <w:bCs/>
                <w:iCs/>
                <w:sz w:val="20"/>
                <w:szCs w:val="20"/>
              </w:rPr>
              <w:t>t</w:t>
            </w:r>
            <w:r w:rsidRPr="00597FFB">
              <w:rPr>
                <w:rFonts w:asciiTheme="majorBidi" w:eastAsia="Calibri" w:hAnsiTheme="majorBidi" w:cstheme="majorBidi"/>
                <w:bCs/>
                <w:iCs/>
                <w:sz w:val="20"/>
                <w:szCs w:val="20"/>
              </w:rPr>
              <w:t xml:space="preserve">he UAE's </w:t>
            </w:r>
            <w:r w:rsidRPr="00597FFB">
              <w:rPr>
                <w:rFonts w:asciiTheme="majorBidi" w:eastAsia="Calibri" w:hAnsiTheme="majorBidi" w:cstheme="majorBidi"/>
                <w:iCs/>
                <w:color w:val="000000"/>
                <w:sz w:val="20"/>
                <w:szCs w:val="20"/>
              </w:rPr>
              <w:t>Millennials</w:t>
            </w:r>
            <w:r w:rsidR="00091A18" w:rsidRPr="00597FFB">
              <w:rPr>
                <w:rFonts w:asciiTheme="majorBidi" w:eastAsia="Calibri" w:hAnsiTheme="majorBidi" w:cstheme="majorBidi"/>
                <w:iCs/>
                <w:color w:val="000000"/>
                <w:sz w:val="20"/>
                <w:szCs w:val="20"/>
              </w:rPr>
              <w:t>?</w:t>
            </w:r>
          </w:p>
        </w:tc>
        <w:tc>
          <w:tcPr>
            <w:tcW w:w="2483" w:type="dxa"/>
          </w:tcPr>
          <w:p w14:paraId="16A2C26E" w14:textId="7B6E0ABC" w:rsidR="000845E8" w:rsidRPr="00597FFB" w:rsidRDefault="004A3C5F"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Examine </w:t>
            </w:r>
            <w:r w:rsidR="00B312E9" w:rsidRPr="00597FFB">
              <w:rPr>
                <w:rFonts w:asciiTheme="majorBidi" w:eastAsia="Calibri" w:hAnsiTheme="majorBidi" w:cstheme="majorBidi"/>
                <w:iCs/>
                <w:color w:val="000000"/>
                <w:sz w:val="20"/>
                <w:szCs w:val="20"/>
              </w:rPr>
              <w:t>t</w:t>
            </w:r>
            <w:r w:rsidR="00091A18" w:rsidRPr="00597FFB">
              <w:rPr>
                <w:rFonts w:asciiTheme="majorBidi" w:eastAsia="Calibri" w:hAnsiTheme="majorBidi" w:cstheme="majorBidi"/>
                <w:iCs/>
                <w:color w:val="000000"/>
                <w:sz w:val="20"/>
                <w:szCs w:val="20"/>
              </w:rPr>
              <w:t xml:space="preserve">he </w:t>
            </w:r>
            <w:r w:rsidRPr="00597FFB">
              <w:rPr>
                <w:rFonts w:asciiTheme="majorBidi" w:eastAsia="Calibri" w:hAnsiTheme="majorBidi" w:cstheme="majorBidi"/>
                <w:iCs/>
                <w:color w:val="000000"/>
                <w:sz w:val="20"/>
                <w:szCs w:val="20"/>
              </w:rPr>
              <w:t xml:space="preserve">Relationship Between </w:t>
            </w:r>
            <w:r w:rsidR="00B312E9" w:rsidRPr="00597FFB">
              <w:rPr>
                <w:rFonts w:asciiTheme="majorBidi" w:eastAsia="Calibri" w:hAnsiTheme="majorBidi" w:cstheme="majorBidi"/>
                <w:iCs/>
                <w:color w:val="000000"/>
                <w:sz w:val="20"/>
                <w:szCs w:val="20"/>
              </w:rPr>
              <w:t>t</w:t>
            </w:r>
            <w:r w:rsidR="00091A18" w:rsidRPr="00597FFB">
              <w:rPr>
                <w:rFonts w:asciiTheme="majorBidi" w:eastAsia="Calibri" w:hAnsiTheme="majorBidi" w:cstheme="majorBidi"/>
                <w:iCs/>
                <w:color w:val="000000"/>
                <w:sz w:val="20"/>
                <w:szCs w:val="20"/>
              </w:rPr>
              <w:t xml:space="preserve">he </w:t>
            </w:r>
            <w:r w:rsidRPr="00597FFB">
              <w:rPr>
                <w:rFonts w:asciiTheme="majorBidi" w:eastAsia="Calibri" w:hAnsiTheme="majorBidi" w:cstheme="majorBidi"/>
                <w:iCs/>
                <w:color w:val="000000"/>
                <w:sz w:val="20"/>
                <w:szCs w:val="20"/>
              </w:rPr>
              <w:t xml:space="preserve">Predictor Variables </w:t>
            </w:r>
            <w:r w:rsidR="00B312E9" w:rsidRPr="00597FFB">
              <w:rPr>
                <w:rFonts w:asciiTheme="majorBidi" w:eastAsia="Calibri" w:hAnsiTheme="majorBidi" w:cstheme="majorBidi"/>
                <w:iCs/>
                <w:color w:val="000000"/>
                <w:sz w:val="20"/>
                <w:szCs w:val="20"/>
              </w:rPr>
              <w:t>a</w:t>
            </w:r>
            <w:r w:rsidR="00091A18" w:rsidRPr="00597FFB">
              <w:rPr>
                <w:rFonts w:asciiTheme="majorBidi" w:eastAsia="Calibri" w:hAnsiTheme="majorBidi" w:cstheme="majorBidi"/>
                <w:iCs/>
                <w:color w:val="000000"/>
                <w:sz w:val="20"/>
                <w:szCs w:val="20"/>
              </w:rPr>
              <w:t xml:space="preserve">nd </w:t>
            </w:r>
            <w:r w:rsidRPr="00597FFB">
              <w:rPr>
                <w:rFonts w:asciiTheme="majorBidi" w:eastAsia="Calibri" w:hAnsiTheme="majorBidi" w:cstheme="majorBidi"/>
                <w:iCs/>
                <w:color w:val="000000"/>
                <w:sz w:val="20"/>
                <w:szCs w:val="20"/>
              </w:rPr>
              <w:t xml:space="preserve">Personal Norm </w:t>
            </w:r>
            <w:r w:rsidR="00091A18" w:rsidRPr="00597FFB">
              <w:rPr>
                <w:rFonts w:asciiTheme="majorBidi" w:eastAsia="Calibri" w:hAnsiTheme="majorBidi" w:cstheme="majorBidi"/>
                <w:iCs/>
                <w:color w:val="000000"/>
                <w:sz w:val="20"/>
                <w:szCs w:val="20"/>
              </w:rPr>
              <w:t>(</w:t>
            </w:r>
            <w:r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Towards Recycling Behavior Intentions </w:t>
            </w:r>
            <w:r w:rsidR="00B312E9" w:rsidRPr="00597FFB">
              <w:rPr>
                <w:rFonts w:asciiTheme="majorBidi" w:eastAsia="Calibri" w:hAnsiTheme="majorBidi" w:cstheme="majorBidi"/>
                <w:iCs/>
                <w:color w:val="000000"/>
                <w:sz w:val="20"/>
                <w:szCs w:val="20"/>
              </w:rPr>
              <w:t>o</w:t>
            </w:r>
            <w:r w:rsidR="00091A18" w:rsidRPr="00597FFB">
              <w:rPr>
                <w:rFonts w:asciiTheme="majorBidi" w:eastAsia="Calibri" w:hAnsiTheme="majorBidi" w:cstheme="majorBidi"/>
                <w:iCs/>
                <w:color w:val="000000"/>
                <w:sz w:val="20"/>
                <w:szCs w:val="20"/>
              </w:rPr>
              <w:t xml:space="preserve">f </w:t>
            </w:r>
            <w:r w:rsidR="00B312E9" w:rsidRPr="00597FFB">
              <w:rPr>
                <w:rFonts w:asciiTheme="majorBidi" w:eastAsia="Calibri" w:hAnsiTheme="majorBidi" w:cstheme="majorBidi"/>
                <w:iCs/>
                <w:color w:val="000000"/>
                <w:sz w:val="20"/>
                <w:szCs w:val="20"/>
              </w:rPr>
              <w:t>t</w:t>
            </w:r>
            <w:r w:rsidRPr="00597FFB">
              <w:rPr>
                <w:rFonts w:asciiTheme="majorBidi" w:eastAsia="Calibri" w:hAnsiTheme="majorBidi" w:cstheme="majorBidi"/>
                <w:iCs/>
                <w:color w:val="000000"/>
                <w:sz w:val="20"/>
                <w:szCs w:val="20"/>
              </w:rPr>
              <w:t>he UAE's Millennials</w:t>
            </w:r>
            <w:r w:rsidR="00091A18" w:rsidRPr="00597FFB">
              <w:rPr>
                <w:rFonts w:asciiTheme="majorBidi" w:eastAsia="Calibri" w:hAnsiTheme="majorBidi" w:cstheme="majorBidi"/>
                <w:iCs/>
                <w:color w:val="000000"/>
                <w:sz w:val="20"/>
                <w:szCs w:val="20"/>
              </w:rPr>
              <w:t>.</w:t>
            </w:r>
          </w:p>
        </w:tc>
        <w:tc>
          <w:tcPr>
            <w:tcW w:w="2502" w:type="dxa"/>
          </w:tcPr>
          <w:p w14:paraId="56FC6DD3" w14:textId="321FD95A" w:rsidR="00BE412D" w:rsidRPr="00597FFB" w:rsidRDefault="00BE412D" w:rsidP="00BE412D">
            <w:pPr>
              <w:spacing w:before="26" w:after="26" w:line="240" w:lineRule="auto"/>
              <w:contextualSpacing/>
              <w:rPr>
                <w:rFonts w:asciiTheme="majorBidi" w:hAnsiTheme="majorBidi" w:cstheme="majorBidi"/>
                <w:b/>
                <w:iCs/>
                <w:sz w:val="20"/>
                <w:szCs w:val="20"/>
              </w:rPr>
            </w:pPr>
            <w:r w:rsidRPr="00597FFB">
              <w:rPr>
                <w:rFonts w:asciiTheme="majorBidi" w:hAnsiTheme="majorBidi" w:cstheme="majorBidi"/>
                <w:b/>
                <w:iCs/>
                <w:sz w:val="20"/>
                <w:szCs w:val="20"/>
              </w:rPr>
              <w:t>H1</w:t>
            </w:r>
            <w:r w:rsidR="00091A18" w:rsidRPr="00597FFB">
              <w:rPr>
                <w:rFonts w:asciiTheme="majorBidi" w:hAnsiTheme="majorBidi" w:cstheme="majorBidi"/>
                <w:b/>
                <w:iCs/>
                <w:sz w:val="20"/>
                <w:szCs w:val="20"/>
              </w:rPr>
              <w:t xml:space="preserve">: </w:t>
            </w:r>
            <w:r w:rsidRPr="00597FFB">
              <w:rPr>
                <w:rFonts w:asciiTheme="majorBidi" w:hAnsiTheme="majorBidi" w:cstheme="majorBidi"/>
                <w:bCs/>
                <w:iCs/>
                <w:sz w:val="20"/>
                <w:szCs w:val="20"/>
              </w:rPr>
              <w:t xml:space="preserve">Ascription </w:t>
            </w:r>
            <w:r w:rsidR="00B312E9" w:rsidRPr="00597FFB">
              <w:rPr>
                <w:rFonts w:asciiTheme="majorBidi" w:hAnsiTheme="majorBidi" w:cstheme="majorBidi"/>
                <w:bCs/>
                <w:iCs/>
                <w:sz w:val="20"/>
                <w:szCs w:val="20"/>
              </w:rPr>
              <w:t>o</w:t>
            </w:r>
            <w:r w:rsidR="00091A18" w:rsidRPr="00597FFB">
              <w:rPr>
                <w:rFonts w:asciiTheme="majorBidi" w:hAnsiTheme="majorBidi" w:cstheme="majorBidi"/>
                <w:bCs/>
                <w:iCs/>
                <w:sz w:val="20"/>
                <w:szCs w:val="20"/>
              </w:rPr>
              <w:t>f Responsibility (</w:t>
            </w:r>
            <w:r w:rsidRPr="00597FFB">
              <w:rPr>
                <w:rFonts w:asciiTheme="majorBidi" w:hAnsiTheme="majorBidi" w:cstheme="majorBidi"/>
                <w:bCs/>
                <w:iCs/>
                <w:sz w:val="20"/>
                <w:szCs w:val="20"/>
              </w:rPr>
              <w:t>AR</w:t>
            </w:r>
            <w:r w:rsidR="00091A18" w:rsidRPr="00597FFB">
              <w:rPr>
                <w:rFonts w:asciiTheme="majorBidi" w:hAnsiTheme="majorBidi" w:cstheme="majorBidi"/>
                <w:bCs/>
                <w:iCs/>
                <w:sz w:val="20"/>
                <w:szCs w:val="20"/>
              </w:rPr>
              <w:t xml:space="preserve">) Has A Significant Impact On Personal Norm </w:t>
            </w:r>
            <w:r w:rsidR="005B4701" w:rsidRPr="00597FFB">
              <w:rPr>
                <w:rFonts w:asciiTheme="majorBidi" w:hAnsiTheme="majorBidi" w:cstheme="majorBidi"/>
                <w:bCs/>
                <w:iCs/>
                <w:sz w:val="20"/>
                <w:szCs w:val="20"/>
              </w:rPr>
              <w:t xml:space="preserve">(PN) </w:t>
            </w:r>
            <w:r w:rsidR="00091A18" w:rsidRPr="00597FFB">
              <w:rPr>
                <w:rFonts w:asciiTheme="majorBidi" w:hAnsiTheme="majorBidi" w:cstheme="majorBidi"/>
                <w:bCs/>
                <w:iCs/>
                <w:sz w:val="20"/>
                <w:szCs w:val="20"/>
              </w:rPr>
              <w:t>Among Millennials</w:t>
            </w:r>
            <w:r w:rsidR="005B4701" w:rsidRPr="00597FFB">
              <w:rPr>
                <w:rFonts w:asciiTheme="majorBidi" w:hAnsiTheme="majorBidi" w:cstheme="majorBidi"/>
                <w:bCs/>
                <w:iCs/>
                <w:sz w:val="20"/>
                <w:szCs w:val="20"/>
              </w:rPr>
              <w:t>.</w:t>
            </w:r>
          </w:p>
          <w:p w14:paraId="2D0E29FF" w14:textId="2F2A6441" w:rsidR="00BE412D" w:rsidRPr="00597FFB" w:rsidRDefault="00BE412D" w:rsidP="00BE412D">
            <w:pPr>
              <w:spacing w:before="26" w:after="26" w:line="240" w:lineRule="auto"/>
              <w:contextualSpacing/>
              <w:rPr>
                <w:rFonts w:asciiTheme="majorBidi" w:hAnsiTheme="majorBidi" w:cstheme="majorBidi"/>
                <w:b/>
                <w:iCs/>
                <w:sz w:val="20"/>
                <w:szCs w:val="20"/>
              </w:rPr>
            </w:pPr>
            <w:r w:rsidRPr="00597FFB">
              <w:rPr>
                <w:rFonts w:asciiTheme="majorBidi" w:hAnsiTheme="majorBidi" w:cstheme="majorBidi"/>
                <w:b/>
                <w:iCs/>
                <w:sz w:val="20"/>
                <w:szCs w:val="20"/>
              </w:rPr>
              <w:t>H2</w:t>
            </w:r>
            <w:r w:rsidR="00091A18" w:rsidRPr="00597FFB">
              <w:rPr>
                <w:rFonts w:asciiTheme="majorBidi" w:hAnsiTheme="majorBidi" w:cstheme="majorBidi"/>
                <w:b/>
                <w:iCs/>
                <w:sz w:val="20"/>
                <w:szCs w:val="20"/>
              </w:rPr>
              <w:t xml:space="preserve">: </w:t>
            </w:r>
            <w:r w:rsidRPr="00597FFB">
              <w:rPr>
                <w:rFonts w:asciiTheme="majorBidi" w:hAnsiTheme="majorBidi" w:cstheme="majorBidi"/>
                <w:bCs/>
                <w:iCs/>
                <w:sz w:val="20"/>
                <w:szCs w:val="20"/>
              </w:rPr>
              <w:t xml:space="preserve">Awareness </w:t>
            </w:r>
            <w:r w:rsidR="00091A18" w:rsidRPr="00597FFB">
              <w:rPr>
                <w:rFonts w:asciiTheme="majorBidi" w:hAnsiTheme="majorBidi" w:cstheme="majorBidi"/>
                <w:bCs/>
                <w:iCs/>
                <w:sz w:val="20"/>
                <w:szCs w:val="20"/>
              </w:rPr>
              <w:t>Of Consequences (</w:t>
            </w:r>
            <w:r w:rsidRPr="00597FFB">
              <w:rPr>
                <w:rFonts w:asciiTheme="majorBidi" w:hAnsiTheme="majorBidi" w:cstheme="majorBidi"/>
                <w:bCs/>
                <w:iCs/>
                <w:sz w:val="20"/>
                <w:szCs w:val="20"/>
              </w:rPr>
              <w:t>AC</w:t>
            </w:r>
            <w:r w:rsidR="00091A18" w:rsidRPr="00597FFB">
              <w:rPr>
                <w:rFonts w:asciiTheme="majorBidi" w:hAnsiTheme="majorBidi" w:cstheme="majorBidi"/>
                <w:bCs/>
                <w:iCs/>
                <w:sz w:val="20"/>
                <w:szCs w:val="20"/>
              </w:rPr>
              <w:t xml:space="preserve">) Has A Significant Impact On Personal Norm </w:t>
            </w:r>
            <w:r w:rsidR="005B4701" w:rsidRPr="00597FFB">
              <w:rPr>
                <w:rFonts w:asciiTheme="majorBidi" w:hAnsiTheme="majorBidi" w:cstheme="majorBidi"/>
                <w:bCs/>
                <w:iCs/>
                <w:sz w:val="20"/>
                <w:szCs w:val="20"/>
              </w:rPr>
              <w:t xml:space="preserve">(PN) </w:t>
            </w:r>
            <w:r w:rsidR="00091A18" w:rsidRPr="00597FFB">
              <w:rPr>
                <w:rFonts w:asciiTheme="majorBidi" w:hAnsiTheme="majorBidi" w:cstheme="majorBidi"/>
                <w:bCs/>
                <w:iCs/>
                <w:sz w:val="20"/>
                <w:szCs w:val="20"/>
              </w:rPr>
              <w:t>Among Millennials</w:t>
            </w:r>
            <w:r w:rsidR="005B4701" w:rsidRPr="00597FFB">
              <w:rPr>
                <w:rFonts w:asciiTheme="majorBidi" w:hAnsiTheme="majorBidi" w:cstheme="majorBidi"/>
                <w:bCs/>
                <w:iCs/>
                <w:sz w:val="20"/>
                <w:szCs w:val="20"/>
              </w:rPr>
              <w:t>.</w:t>
            </w:r>
          </w:p>
          <w:p w14:paraId="7D09B040" w14:textId="0854D2CE" w:rsidR="000845E8" w:rsidRPr="00597FFB" w:rsidRDefault="00BE412D" w:rsidP="00BE412D">
            <w:pPr>
              <w:spacing w:before="26" w:after="26" w:line="240" w:lineRule="auto"/>
              <w:contextualSpacing/>
              <w:rPr>
                <w:rFonts w:asciiTheme="majorBidi" w:eastAsia="Calibri" w:hAnsiTheme="majorBidi" w:cstheme="majorBidi"/>
                <w:iCs/>
                <w:color w:val="000000"/>
                <w:sz w:val="20"/>
                <w:szCs w:val="20"/>
              </w:rPr>
            </w:pPr>
            <w:r w:rsidRPr="00597FFB">
              <w:rPr>
                <w:rFonts w:asciiTheme="majorBidi" w:hAnsiTheme="majorBidi" w:cstheme="majorBidi"/>
                <w:b/>
                <w:iCs/>
                <w:sz w:val="20"/>
                <w:szCs w:val="20"/>
              </w:rPr>
              <w:t>H3</w:t>
            </w:r>
            <w:r w:rsidR="00091A18" w:rsidRPr="00597FFB">
              <w:rPr>
                <w:rFonts w:asciiTheme="majorBidi" w:hAnsiTheme="majorBidi" w:cstheme="majorBidi"/>
                <w:b/>
                <w:iCs/>
                <w:sz w:val="20"/>
                <w:szCs w:val="20"/>
              </w:rPr>
              <w:t xml:space="preserve">: </w:t>
            </w:r>
            <w:r w:rsidRPr="00597FFB">
              <w:rPr>
                <w:rFonts w:asciiTheme="majorBidi" w:hAnsiTheme="majorBidi" w:cstheme="majorBidi"/>
                <w:bCs/>
                <w:iCs/>
                <w:sz w:val="20"/>
                <w:szCs w:val="20"/>
              </w:rPr>
              <w:t xml:space="preserve">Moral Norm </w:t>
            </w:r>
            <w:r w:rsidR="00091A18" w:rsidRPr="00597FFB">
              <w:rPr>
                <w:rFonts w:asciiTheme="majorBidi" w:hAnsiTheme="majorBidi" w:cstheme="majorBidi"/>
                <w:bCs/>
                <w:iCs/>
                <w:sz w:val="20"/>
                <w:szCs w:val="20"/>
              </w:rPr>
              <w:t>(</w:t>
            </w:r>
            <w:r w:rsidRPr="00597FFB">
              <w:rPr>
                <w:rFonts w:asciiTheme="majorBidi" w:hAnsiTheme="majorBidi" w:cstheme="majorBidi"/>
                <w:bCs/>
                <w:iCs/>
                <w:sz w:val="20"/>
                <w:szCs w:val="20"/>
              </w:rPr>
              <w:t>MN</w:t>
            </w:r>
            <w:r w:rsidR="00091A18" w:rsidRPr="00597FFB">
              <w:rPr>
                <w:rFonts w:asciiTheme="majorBidi" w:hAnsiTheme="majorBidi" w:cstheme="majorBidi"/>
                <w:bCs/>
                <w:iCs/>
                <w:sz w:val="20"/>
                <w:szCs w:val="20"/>
              </w:rPr>
              <w:t xml:space="preserve">) Has A Significant Impact On Personal Norm </w:t>
            </w:r>
            <w:r w:rsidR="005B4701" w:rsidRPr="00597FFB">
              <w:rPr>
                <w:rFonts w:asciiTheme="majorBidi" w:hAnsiTheme="majorBidi" w:cstheme="majorBidi"/>
                <w:bCs/>
                <w:iCs/>
                <w:sz w:val="20"/>
                <w:szCs w:val="20"/>
              </w:rPr>
              <w:t xml:space="preserve">(PN) </w:t>
            </w:r>
            <w:r w:rsidR="00091A18" w:rsidRPr="00597FFB">
              <w:rPr>
                <w:rFonts w:asciiTheme="majorBidi" w:hAnsiTheme="majorBidi" w:cstheme="majorBidi"/>
                <w:bCs/>
                <w:iCs/>
                <w:sz w:val="20"/>
                <w:szCs w:val="20"/>
              </w:rPr>
              <w:t>Among Millennials</w:t>
            </w:r>
            <w:r w:rsidR="005B4701" w:rsidRPr="00597FFB">
              <w:rPr>
                <w:rFonts w:asciiTheme="majorBidi" w:hAnsiTheme="majorBidi" w:cstheme="majorBidi"/>
                <w:bCs/>
                <w:iCs/>
                <w:sz w:val="20"/>
                <w:szCs w:val="20"/>
              </w:rPr>
              <w:t>.</w:t>
            </w:r>
          </w:p>
        </w:tc>
      </w:tr>
      <w:tr w:rsidR="00440D45" w:rsidRPr="00597FFB" w14:paraId="5607B8B8" w14:textId="77777777" w:rsidTr="001E19F2">
        <w:tc>
          <w:tcPr>
            <w:tcW w:w="2501" w:type="dxa"/>
          </w:tcPr>
          <w:p w14:paraId="531EFB93" w14:textId="16FBCA12" w:rsidR="00440D45" w:rsidRPr="00597FFB" w:rsidRDefault="00440D45" w:rsidP="00E23180">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Cs/>
                <w:iCs/>
                <w:sz w:val="20"/>
                <w:szCs w:val="20"/>
              </w:rPr>
              <w:t xml:space="preserve">Which Predictor Related </w:t>
            </w:r>
            <w:r w:rsidR="00091A18" w:rsidRPr="00597FFB">
              <w:rPr>
                <w:rFonts w:asciiTheme="majorBidi" w:eastAsia="Calibri" w:hAnsiTheme="majorBidi" w:cstheme="majorBidi"/>
                <w:bCs/>
                <w:iCs/>
                <w:sz w:val="20"/>
                <w:szCs w:val="20"/>
              </w:rPr>
              <w:t xml:space="preserve">To </w:t>
            </w:r>
            <w:r w:rsidRPr="00597FFB">
              <w:rPr>
                <w:rFonts w:asciiTheme="majorBidi" w:eastAsia="Calibri" w:hAnsiTheme="majorBidi" w:cstheme="majorBidi"/>
                <w:bCs/>
                <w:iCs/>
                <w:sz w:val="20"/>
                <w:szCs w:val="20"/>
              </w:rPr>
              <w:t xml:space="preserve">The </w:t>
            </w:r>
            <w:r w:rsidR="00BF6174" w:rsidRPr="00597FFB">
              <w:rPr>
                <w:rFonts w:asciiTheme="majorBidi" w:eastAsia="Calibri" w:hAnsiTheme="majorBidi" w:cstheme="majorBidi"/>
                <w:bCs/>
                <w:iCs/>
                <w:sz w:val="20"/>
                <w:szCs w:val="20"/>
              </w:rPr>
              <w:t xml:space="preserve">Protection Motivation </w:t>
            </w:r>
            <w:r w:rsidR="00091A18" w:rsidRPr="00597FFB">
              <w:rPr>
                <w:rFonts w:asciiTheme="majorBidi" w:eastAsia="Calibri" w:hAnsiTheme="majorBidi" w:cstheme="majorBidi"/>
                <w:bCs/>
                <w:iCs/>
                <w:sz w:val="20"/>
                <w:szCs w:val="20"/>
              </w:rPr>
              <w:t>(</w:t>
            </w:r>
            <w:r w:rsidR="00BF6174" w:rsidRPr="00597FFB">
              <w:rPr>
                <w:rFonts w:asciiTheme="majorBidi" w:eastAsia="Calibri" w:hAnsiTheme="majorBidi" w:cstheme="majorBidi"/>
                <w:bCs/>
                <w:iCs/>
                <w:sz w:val="20"/>
                <w:szCs w:val="20"/>
              </w:rPr>
              <w:t>PM</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Towards Recycling Behavior Intentions </w:t>
            </w:r>
            <w:r w:rsidR="00091A18" w:rsidRPr="00597FFB">
              <w:rPr>
                <w:rFonts w:asciiTheme="majorBidi" w:eastAsia="Calibri" w:hAnsiTheme="majorBidi" w:cstheme="majorBidi"/>
                <w:bCs/>
                <w:iCs/>
                <w:sz w:val="20"/>
                <w:szCs w:val="20"/>
              </w:rPr>
              <w:t xml:space="preserve">Of </w:t>
            </w:r>
            <w:r w:rsidRPr="00597FFB">
              <w:rPr>
                <w:rFonts w:asciiTheme="majorBidi" w:eastAsia="Calibri" w:hAnsiTheme="majorBidi" w:cstheme="majorBidi"/>
                <w:bCs/>
                <w:iCs/>
                <w:sz w:val="20"/>
                <w:szCs w:val="20"/>
              </w:rPr>
              <w:t xml:space="preserve">The UAE's </w:t>
            </w:r>
            <w:r w:rsidRPr="00597FFB">
              <w:rPr>
                <w:rFonts w:asciiTheme="majorBidi" w:eastAsia="Calibri" w:hAnsiTheme="majorBidi" w:cstheme="majorBidi"/>
                <w:iCs/>
                <w:color w:val="000000"/>
                <w:sz w:val="20"/>
                <w:szCs w:val="20"/>
              </w:rPr>
              <w:t>Millennials</w:t>
            </w:r>
            <w:r w:rsidR="00091A18" w:rsidRPr="00597FFB">
              <w:rPr>
                <w:rFonts w:asciiTheme="majorBidi" w:eastAsia="Calibri" w:hAnsiTheme="majorBidi" w:cstheme="majorBidi"/>
                <w:iCs/>
                <w:color w:val="000000"/>
                <w:sz w:val="20"/>
                <w:szCs w:val="20"/>
              </w:rPr>
              <w:t>?</w:t>
            </w:r>
          </w:p>
        </w:tc>
        <w:tc>
          <w:tcPr>
            <w:tcW w:w="2483" w:type="dxa"/>
          </w:tcPr>
          <w:p w14:paraId="66A6255E" w14:textId="3C3E8171" w:rsidR="00440D45" w:rsidRPr="00597FFB" w:rsidRDefault="00001C55"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Examine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Relationship Between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Predictor Variables </w:t>
            </w:r>
            <w:r w:rsidR="00091A18" w:rsidRPr="00597FFB">
              <w:rPr>
                <w:rFonts w:asciiTheme="majorBidi" w:eastAsia="Calibri" w:hAnsiTheme="majorBidi" w:cstheme="majorBidi"/>
                <w:iCs/>
                <w:color w:val="000000"/>
                <w:sz w:val="20"/>
                <w:szCs w:val="20"/>
              </w:rPr>
              <w:t xml:space="preserve">And </w:t>
            </w:r>
            <w:r w:rsidR="00BF6174" w:rsidRPr="00597FFB">
              <w:rPr>
                <w:rFonts w:asciiTheme="majorBidi" w:eastAsia="Calibri" w:hAnsiTheme="majorBidi" w:cstheme="majorBidi"/>
                <w:iCs/>
                <w:color w:val="000000"/>
                <w:sz w:val="20"/>
                <w:szCs w:val="20"/>
              </w:rPr>
              <w:t xml:space="preserve">Protection Motivation </w:t>
            </w:r>
            <w:r w:rsidR="00091A18" w:rsidRPr="00597FFB">
              <w:rPr>
                <w:rFonts w:asciiTheme="majorBidi" w:eastAsia="Calibri" w:hAnsiTheme="majorBidi" w:cstheme="majorBidi"/>
                <w:iCs/>
                <w:color w:val="000000"/>
                <w:sz w:val="20"/>
                <w:szCs w:val="20"/>
              </w:rPr>
              <w:t>(</w:t>
            </w:r>
            <w:r w:rsidR="00BF6174" w:rsidRPr="00597FFB">
              <w:rPr>
                <w:rFonts w:asciiTheme="majorBidi" w:eastAsia="Calibri" w:hAnsiTheme="majorBidi" w:cstheme="majorBidi"/>
                <w:iCs/>
                <w:color w:val="000000"/>
                <w:sz w:val="20"/>
                <w:szCs w:val="20"/>
              </w:rPr>
              <w:t>PM</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Towards Recycling Behavior Intentions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The UAE's Millennials</w:t>
            </w:r>
            <w:r w:rsidR="00091A18" w:rsidRPr="00597FFB">
              <w:rPr>
                <w:rFonts w:asciiTheme="majorBidi" w:eastAsia="Calibri" w:hAnsiTheme="majorBidi" w:cstheme="majorBidi"/>
                <w:iCs/>
                <w:color w:val="000000"/>
                <w:sz w:val="20"/>
                <w:szCs w:val="20"/>
              </w:rPr>
              <w:t>.</w:t>
            </w:r>
          </w:p>
        </w:tc>
        <w:tc>
          <w:tcPr>
            <w:tcW w:w="2502" w:type="dxa"/>
          </w:tcPr>
          <w:p w14:paraId="0553E27A" w14:textId="6C26218C" w:rsidR="00C77696" w:rsidRPr="00597FFB" w:rsidRDefault="00C77696" w:rsidP="00C77696">
            <w:pPr>
              <w:spacing w:before="26" w:after="26" w:line="240" w:lineRule="auto"/>
              <w:contextualSpacing/>
              <w:rPr>
                <w:rFonts w:asciiTheme="majorBidi" w:hAnsiTheme="majorBidi" w:cstheme="majorBidi"/>
                <w:b/>
                <w:iCs/>
                <w:sz w:val="20"/>
                <w:szCs w:val="20"/>
              </w:rPr>
            </w:pPr>
            <w:r w:rsidRPr="00597FFB">
              <w:rPr>
                <w:rFonts w:asciiTheme="majorBidi" w:hAnsiTheme="majorBidi" w:cstheme="majorBidi"/>
                <w:b/>
                <w:iCs/>
                <w:sz w:val="20"/>
                <w:szCs w:val="20"/>
              </w:rPr>
              <w:t>H1</w:t>
            </w:r>
            <w:r w:rsidR="00091A18" w:rsidRPr="00597FFB">
              <w:rPr>
                <w:rFonts w:asciiTheme="majorBidi" w:hAnsiTheme="majorBidi" w:cstheme="majorBidi"/>
                <w:b/>
                <w:iCs/>
                <w:sz w:val="20"/>
                <w:szCs w:val="20"/>
              </w:rPr>
              <w:t xml:space="preserve">: </w:t>
            </w:r>
            <w:r w:rsidRPr="00597FFB">
              <w:rPr>
                <w:rFonts w:asciiTheme="majorBidi" w:hAnsiTheme="majorBidi" w:cstheme="majorBidi"/>
                <w:bCs/>
                <w:iCs/>
                <w:sz w:val="20"/>
                <w:szCs w:val="20"/>
              </w:rPr>
              <w:t xml:space="preserve">Threat </w:t>
            </w:r>
            <w:r w:rsidR="00091A18" w:rsidRPr="00597FFB">
              <w:rPr>
                <w:rFonts w:asciiTheme="majorBidi" w:hAnsiTheme="majorBidi" w:cstheme="majorBidi"/>
                <w:bCs/>
                <w:iCs/>
                <w:sz w:val="20"/>
                <w:szCs w:val="20"/>
              </w:rPr>
              <w:t>Appraisal (</w:t>
            </w:r>
            <w:r w:rsidRPr="00597FFB">
              <w:rPr>
                <w:rFonts w:asciiTheme="majorBidi" w:hAnsiTheme="majorBidi" w:cstheme="majorBidi"/>
                <w:bCs/>
                <w:iCs/>
                <w:sz w:val="20"/>
                <w:szCs w:val="20"/>
              </w:rPr>
              <w:t>TA</w:t>
            </w:r>
            <w:r w:rsidR="00091A18" w:rsidRPr="00597FFB">
              <w:rPr>
                <w:rFonts w:asciiTheme="majorBidi" w:hAnsiTheme="majorBidi" w:cstheme="majorBidi"/>
                <w:bCs/>
                <w:iCs/>
                <w:sz w:val="20"/>
                <w:szCs w:val="20"/>
              </w:rPr>
              <w:t>) Has A Significant Impact On Protection Motivation (</w:t>
            </w:r>
            <w:r w:rsidRPr="00597FFB">
              <w:rPr>
                <w:rFonts w:asciiTheme="majorBidi" w:hAnsiTheme="majorBidi" w:cstheme="majorBidi"/>
                <w:bCs/>
                <w:iCs/>
                <w:sz w:val="20"/>
                <w:szCs w:val="20"/>
              </w:rPr>
              <w:t>PM</w:t>
            </w:r>
            <w:r w:rsidR="00091A18" w:rsidRPr="00597FFB">
              <w:rPr>
                <w:rFonts w:asciiTheme="majorBidi" w:hAnsiTheme="majorBidi" w:cstheme="majorBidi"/>
                <w:bCs/>
                <w:iCs/>
                <w:sz w:val="20"/>
                <w:szCs w:val="20"/>
              </w:rPr>
              <w:t>) Among Millennials</w:t>
            </w:r>
            <w:r w:rsidR="005B4701" w:rsidRPr="00597FFB">
              <w:rPr>
                <w:rFonts w:asciiTheme="majorBidi" w:hAnsiTheme="majorBidi" w:cstheme="majorBidi"/>
                <w:bCs/>
                <w:iCs/>
                <w:sz w:val="20"/>
                <w:szCs w:val="20"/>
              </w:rPr>
              <w:t>.</w:t>
            </w:r>
          </w:p>
          <w:p w14:paraId="7E242381" w14:textId="21F9CAA8" w:rsidR="00C77696" w:rsidRPr="00597FFB" w:rsidRDefault="00C77696" w:rsidP="00C77696">
            <w:pPr>
              <w:spacing w:before="26" w:after="26" w:line="240" w:lineRule="auto"/>
              <w:contextualSpacing/>
              <w:rPr>
                <w:rFonts w:asciiTheme="majorBidi" w:hAnsiTheme="majorBidi" w:cstheme="majorBidi"/>
                <w:b/>
                <w:iCs/>
                <w:sz w:val="20"/>
                <w:szCs w:val="20"/>
              </w:rPr>
            </w:pPr>
            <w:r w:rsidRPr="00597FFB">
              <w:rPr>
                <w:rFonts w:asciiTheme="majorBidi" w:hAnsiTheme="majorBidi" w:cstheme="majorBidi"/>
                <w:b/>
                <w:iCs/>
                <w:sz w:val="20"/>
                <w:szCs w:val="20"/>
              </w:rPr>
              <w:t>H2</w:t>
            </w:r>
            <w:r w:rsidR="00091A18" w:rsidRPr="00597FFB">
              <w:rPr>
                <w:rFonts w:asciiTheme="majorBidi" w:hAnsiTheme="majorBidi" w:cstheme="majorBidi"/>
                <w:b/>
                <w:iCs/>
                <w:sz w:val="20"/>
                <w:szCs w:val="20"/>
              </w:rPr>
              <w:t xml:space="preserve">: </w:t>
            </w:r>
            <w:r w:rsidRPr="00597FFB">
              <w:rPr>
                <w:rFonts w:asciiTheme="majorBidi" w:hAnsiTheme="majorBidi" w:cstheme="majorBidi"/>
                <w:bCs/>
                <w:iCs/>
                <w:sz w:val="20"/>
                <w:szCs w:val="20"/>
              </w:rPr>
              <w:t xml:space="preserve">Coping </w:t>
            </w:r>
            <w:r w:rsidR="00091A18" w:rsidRPr="00597FFB">
              <w:rPr>
                <w:rFonts w:asciiTheme="majorBidi" w:hAnsiTheme="majorBidi" w:cstheme="majorBidi"/>
                <w:bCs/>
                <w:iCs/>
                <w:sz w:val="20"/>
                <w:szCs w:val="20"/>
              </w:rPr>
              <w:t>Appraisal (</w:t>
            </w:r>
            <w:r w:rsidRPr="00597FFB">
              <w:rPr>
                <w:rFonts w:asciiTheme="majorBidi" w:hAnsiTheme="majorBidi" w:cstheme="majorBidi"/>
                <w:bCs/>
                <w:iCs/>
                <w:sz w:val="20"/>
                <w:szCs w:val="20"/>
              </w:rPr>
              <w:t>CA</w:t>
            </w:r>
            <w:r w:rsidR="00091A18" w:rsidRPr="00597FFB">
              <w:rPr>
                <w:rFonts w:asciiTheme="majorBidi" w:hAnsiTheme="majorBidi" w:cstheme="majorBidi"/>
                <w:bCs/>
                <w:iCs/>
                <w:sz w:val="20"/>
                <w:szCs w:val="20"/>
              </w:rPr>
              <w:t>) Has A Significant Impact On Protection Motivation (</w:t>
            </w:r>
            <w:r w:rsidRPr="00597FFB">
              <w:rPr>
                <w:rFonts w:asciiTheme="majorBidi" w:hAnsiTheme="majorBidi" w:cstheme="majorBidi"/>
                <w:bCs/>
                <w:iCs/>
                <w:sz w:val="20"/>
                <w:szCs w:val="20"/>
              </w:rPr>
              <w:t>PM</w:t>
            </w:r>
            <w:r w:rsidR="00091A18" w:rsidRPr="00597FFB">
              <w:rPr>
                <w:rFonts w:asciiTheme="majorBidi" w:hAnsiTheme="majorBidi" w:cstheme="majorBidi"/>
                <w:bCs/>
                <w:iCs/>
                <w:sz w:val="20"/>
                <w:szCs w:val="20"/>
              </w:rPr>
              <w:t>) Among Millennials</w:t>
            </w:r>
          </w:p>
          <w:p w14:paraId="0EF487BB" w14:textId="5BBCA7AD" w:rsidR="00440D45" w:rsidRPr="00597FFB" w:rsidRDefault="00C77696" w:rsidP="00C77696">
            <w:pPr>
              <w:spacing w:before="26" w:after="26" w:line="240" w:lineRule="auto"/>
              <w:contextualSpacing/>
              <w:rPr>
                <w:rFonts w:asciiTheme="majorBidi" w:hAnsiTheme="majorBidi" w:cstheme="majorBidi"/>
                <w:b/>
                <w:iCs/>
                <w:sz w:val="20"/>
                <w:szCs w:val="20"/>
              </w:rPr>
            </w:pPr>
            <w:r w:rsidRPr="00597FFB">
              <w:rPr>
                <w:rFonts w:asciiTheme="majorBidi" w:hAnsiTheme="majorBidi" w:cstheme="majorBidi"/>
                <w:b/>
                <w:iCs/>
                <w:sz w:val="20"/>
                <w:szCs w:val="20"/>
              </w:rPr>
              <w:t>H</w:t>
            </w:r>
            <w:r w:rsidR="002F091C" w:rsidRPr="00597FFB">
              <w:rPr>
                <w:rFonts w:asciiTheme="majorBidi" w:hAnsiTheme="majorBidi" w:cstheme="majorBidi"/>
                <w:b/>
                <w:iCs/>
                <w:sz w:val="20"/>
                <w:szCs w:val="20"/>
              </w:rPr>
              <w:t>3:</w:t>
            </w:r>
            <w:r w:rsidR="002F091C" w:rsidRPr="00597FFB">
              <w:rPr>
                <w:rFonts w:asciiTheme="majorBidi" w:hAnsiTheme="majorBidi" w:cstheme="majorBidi"/>
                <w:bCs/>
                <w:iCs/>
                <w:sz w:val="20"/>
                <w:szCs w:val="20"/>
              </w:rPr>
              <w:t xml:space="preserve"> Information</w:t>
            </w:r>
            <w:r w:rsidR="00091A18" w:rsidRPr="00597FFB">
              <w:rPr>
                <w:rFonts w:asciiTheme="majorBidi" w:hAnsiTheme="majorBidi" w:cstheme="majorBidi"/>
                <w:bCs/>
                <w:iCs/>
                <w:sz w:val="20"/>
                <w:szCs w:val="20"/>
              </w:rPr>
              <w:t xml:space="preserve">/Knowledge About </w:t>
            </w:r>
            <w:r w:rsidRPr="00597FFB">
              <w:rPr>
                <w:rFonts w:asciiTheme="majorBidi" w:hAnsiTheme="majorBidi" w:cstheme="majorBidi"/>
                <w:bCs/>
                <w:iCs/>
                <w:sz w:val="20"/>
                <w:szCs w:val="20"/>
              </w:rPr>
              <w:t xml:space="preserve">EWR </w:t>
            </w:r>
            <w:r w:rsidR="00091A18" w:rsidRPr="00597FFB">
              <w:rPr>
                <w:rFonts w:asciiTheme="majorBidi" w:hAnsiTheme="majorBidi" w:cstheme="majorBidi"/>
                <w:bCs/>
                <w:iCs/>
                <w:sz w:val="20"/>
                <w:szCs w:val="20"/>
              </w:rPr>
              <w:t>(</w:t>
            </w:r>
            <w:r w:rsidRPr="00597FFB">
              <w:rPr>
                <w:rFonts w:asciiTheme="majorBidi" w:hAnsiTheme="majorBidi" w:cstheme="majorBidi"/>
                <w:bCs/>
                <w:iCs/>
                <w:sz w:val="20"/>
                <w:szCs w:val="20"/>
              </w:rPr>
              <w:t>KEWR</w:t>
            </w:r>
            <w:r w:rsidR="00091A18" w:rsidRPr="00597FFB">
              <w:rPr>
                <w:rFonts w:asciiTheme="majorBidi" w:hAnsiTheme="majorBidi" w:cstheme="majorBidi"/>
                <w:bCs/>
                <w:iCs/>
                <w:sz w:val="20"/>
                <w:szCs w:val="20"/>
              </w:rPr>
              <w:t>) Has A Significant Impact On Protection Motivation (</w:t>
            </w:r>
            <w:r w:rsidRPr="00597FFB">
              <w:rPr>
                <w:rFonts w:asciiTheme="majorBidi" w:hAnsiTheme="majorBidi" w:cstheme="majorBidi"/>
                <w:bCs/>
                <w:iCs/>
                <w:sz w:val="20"/>
                <w:szCs w:val="20"/>
              </w:rPr>
              <w:t>PM</w:t>
            </w:r>
            <w:r w:rsidR="00091A18" w:rsidRPr="00597FFB">
              <w:rPr>
                <w:rFonts w:asciiTheme="majorBidi" w:hAnsiTheme="majorBidi" w:cstheme="majorBidi"/>
                <w:bCs/>
                <w:iCs/>
                <w:sz w:val="20"/>
                <w:szCs w:val="20"/>
              </w:rPr>
              <w:t>) Among Millennials</w:t>
            </w:r>
          </w:p>
        </w:tc>
      </w:tr>
      <w:tr w:rsidR="00E23180" w:rsidRPr="00597FFB" w14:paraId="1C5271F1" w14:textId="77777777" w:rsidTr="001E19F2">
        <w:tc>
          <w:tcPr>
            <w:tcW w:w="2501" w:type="dxa"/>
          </w:tcPr>
          <w:p w14:paraId="618DAC0A" w14:textId="3CF15D38"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bCs/>
                <w:iCs/>
                <w:sz w:val="20"/>
                <w:szCs w:val="20"/>
              </w:rPr>
              <w:t xml:space="preserve">Which Predictor Related </w:t>
            </w:r>
            <w:r w:rsidR="00091A18" w:rsidRPr="00597FFB">
              <w:rPr>
                <w:rFonts w:asciiTheme="majorBidi" w:eastAsia="Calibri" w:hAnsiTheme="majorBidi" w:cstheme="majorBidi"/>
                <w:bCs/>
                <w:iCs/>
                <w:sz w:val="20"/>
                <w:szCs w:val="20"/>
              </w:rPr>
              <w:t xml:space="preserve">To </w:t>
            </w:r>
            <w:r w:rsidRPr="00597FFB">
              <w:rPr>
                <w:rFonts w:asciiTheme="majorBidi" w:eastAsia="Calibri" w:hAnsiTheme="majorBidi" w:cstheme="majorBidi"/>
                <w:bCs/>
                <w:iCs/>
                <w:sz w:val="20"/>
                <w:szCs w:val="20"/>
              </w:rPr>
              <w:t xml:space="preserve">The Determinants </w:t>
            </w:r>
            <w:r w:rsidR="00091A18" w:rsidRPr="00597FFB">
              <w:rPr>
                <w:rFonts w:asciiTheme="majorBidi" w:eastAsia="Calibri" w:hAnsiTheme="majorBidi" w:cstheme="majorBidi"/>
                <w:bCs/>
                <w:iCs/>
                <w:sz w:val="20"/>
                <w:szCs w:val="20"/>
              </w:rPr>
              <w:t xml:space="preserve">Of </w:t>
            </w:r>
            <w:r w:rsidRPr="00597FFB">
              <w:rPr>
                <w:rFonts w:asciiTheme="majorBidi" w:eastAsia="Calibri" w:hAnsiTheme="majorBidi" w:cstheme="majorBidi"/>
                <w:bCs/>
                <w:iCs/>
                <w:sz w:val="20"/>
                <w:szCs w:val="20"/>
              </w:rPr>
              <w:t xml:space="preserve">Recycling Behavior Intentions </w:t>
            </w:r>
            <w:r w:rsidR="00091A18" w:rsidRPr="00597FFB">
              <w:rPr>
                <w:rFonts w:asciiTheme="majorBidi" w:eastAsia="Calibri" w:hAnsiTheme="majorBidi" w:cstheme="majorBidi"/>
                <w:bCs/>
                <w:iCs/>
                <w:sz w:val="20"/>
                <w:szCs w:val="20"/>
              </w:rPr>
              <w:t xml:space="preserve">Of </w:t>
            </w:r>
            <w:r w:rsidRPr="00597FFB">
              <w:rPr>
                <w:rFonts w:asciiTheme="majorBidi" w:eastAsia="Calibri" w:hAnsiTheme="majorBidi" w:cstheme="majorBidi"/>
                <w:bCs/>
                <w:iCs/>
                <w:sz w:val="20"/>
                <w:szCs w:val="20"/>
              </w:rPr>
              <w:t xml:space="preserve">The UAE's </w:t>
            </w:r>
            <w:r w:rsidRPr="00597FFB">
              <w:rPr>
                <w:rFonts w:asciiTheme="majorBidi" w:eastAsia="Calibri" w:hAnsiTheme="majorBidi" w:cstheme="majorBidi"/>
                <w:iCs/>
                <w:color w:val="000000"/>
                <w:sz w:val="20"/>
                <w:szCs w:val="20"/>
              </w:rPr>
              <w:t>Millennials</w:t>
            </w:r>
            <w:r w:rsidR="00091A18" w:rsidRPr="00597FFB">
              <w:rPr>
                <w:rFonts w:asciiTheme="majorBidi" w:eastAsia="Calibri" w:hAnsiTheme="majorBidi" w:cstheme="majorBidi"/>
                <w:iCs/>
                <w:color w:val="000000"/>
                <w:sz w:val="20"/>
                <w:szCs w:val="20"/>
              </w:rPr>
              <w:t>?</w:t>
            </w:r>
          </w:p>
        </w:tc>
        <w:tc>
          <w:tcPr>
            <w:tcW w:w="2483" w:type="dxa"/>
          </w:tcPr>
          <w:p w14:paraId="130DF744" w14:textId="2FF027B8" w:rsidR="00E23180" w:rsidRPr="00597FFB" w:rsidRDefault="00E23180" w:rsidP="00E23180">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iCs/>
                <w:color w:val="000000"/>
                <w:sz w:val="20"/>
                <w:szCs w:val="20"/>
              </w:rPr>
              <w:t xml:space="preserve">To Examine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Relationship Between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Predictor Variables </w:t>
            </w:r>
            <w:r w:rsidR="00091A18" w:rsidRPr="00597FFB">
              <w:rPr>
                <w:rFonts w:asciiTheme="majorBidi" w:eastAsia="Calibri" w:hAnsiTheme="majorBidi" w:cstheme="majorBidi"/>
                <w:iCs/>
                <w:color w:val="000000"/>
                <w:sz w:val="20"/>
                <w:szCs w:val="20"/>
              </w:rPr>
              <w:t xml:space="preserve">And </w:t>
            </w:r>
            <w:r w:rsidRPr="00597FFB">
              <w:rPr>
                <w:rFonts w:asciiTheme="majorBidi" w:eastAsia="Calibri" w:hAnsiTheme="majorBidi" w:cstheme="majorBidi"/>
                <w:iCs/>
                <w:color w:val="000000"/>
                <w:sz w:val="20"/>
                <w:szCs w:val="20"/>
              </w:rPr>
              <w:t>Recycling Behavior Intentions Among UAE's Millennials</w:t>
            </w:r>
            <w:r w:rsidR="00091A18" w:rsidRPr="00597FFB">
              <w:rPr>
                <w:rFonts w:asciiTheme="majorBidi" w:eastAsia="Calibri" w:hAnsiTheme="majorBidi" w:cstheme="majorBidi"/>
                <w:iCs/>
                <w:color w:val="000000"/>
                <w:sz w:val="20"/>
                <w:szCs w:val="20"/>
              </w:rPr>
              <w:t>.</w:t>
            </w:r>
          </w:p>
        </w:tc>
        <w:tc>
          <w:tcPr>
            <w:tcW w:w="2502" w:type="dxa"/>
          </w:tcPr>
          <w:p w14:paraId="6AB2A11A" w14:textId="7EE50C86" w:rsidR="008C2F3F" w:rsidRPr="00597FFB" w:rsidRDefault="008C2F3F" w:rsidP="0036213A">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A</w:t>
            </w:r>
            <w:r w:rsidR="00091A18" w:rsidRPr="00597FFB">
              <w:rPr>
                <w:rFonts w:asciiTheme="majorBidi" w:eastAsia="Calibri" w:hAnsiTheme="majorBidi" w:cstheme="majorBidi"/>
                <w:b/>
                <w:iCs/>
                <w:sz w:val="20"/>
                <w:szCs w:val="20"/>
              </w:rPr>
              <w:t>-</w:t>
            </w:r>
            <w:r w:rsidR="00966E01" w:rsidRPr="00597FFB">
              <w:rPr>
                <w:rFonts w:asciiTheme="majorBidi" w:eastAsia="Calibri" w:hAnsiTheme="majorBidi" w:cstheme="majorBidi"/>
                <w:b/>
                <w:iCs/>
                <w:sz w:val="20"/>
                <w:szCs w:val="20"/>
              </w:rPr>
              <w:t>From TPB</w:t>
            </w:r>
          </w:p>
          <w:p w14:paraId="2FE8C8B1" w14:textId="7BAC5861" w:rsidR="0036213A" w:rsidRPr="00597FFB" w:rsidRDefault="0036213A" w:rsidP="0036213A">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H1</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Recycling </w:t>
            </w:r>
            <w:r w:rsidR="00091A18" w:rsidRPr="00597FFB">
              <w:rPr>
                <w:rFonts w:asciiTheme="majorBidi" w:eastAsia="Calibri" w:hAnsiTheme="majorBidi" w:cstheme="majorBidi"/>
                <w:bCs/>
                <w:iCs/>
                <w:sz w:val="20"/>
                <w:szCs w:val="20"/>
              </w:rPr>
              <w:t>Attitude (</w:t>
            </w:r>
            <w:r w:rsidRPr="00597FFB">
              <w:rPr>
                <w:rFonts w:asciiTheme="majorBidi" w:eastAsia="Calibri" w:hAnsiTheme="majorBidi" w:cstheme="majorBidi"/>
                <w:bCs/>
                <w:iCs/>
                <w:sz w:val="20"/>
                <w:szCs w:val="20"/>
              </w:rPr>
              <w:t>AT</w:t>
            </w:r>
            <w:r w:rsidR="00091A18" w:rsidRPr="00597FFB">
              <w:rPr>
                <w:rFonts w:asciiTheme="majorBidi" w:eastAsia="Calibri" w:hAnsiTheme="majorBidi" w:cstheme="majorBidi"/>
                <w:bCs/>
                <w:iCs/>
                <w:sz w:val="20"/>
                <w:szCs w:val="20"/>
              </w:rPr>
              <w:t xml:space="preserve">) Has A Significant Impact On </w:t>
            </w:r>
            <w:r w:rsidRPr="00597FFB">
              <w:rPr>
                <w:rFonts w:asciiTheme="majorBidi" w:eastAsia="Calibri" w:hAnsiTheme="majorBidi" w:cstheme="majorBidi"/>
                <w:bCs/>
                <w:iCs/>
                <w:sz w:val="20"/>
                <w:szCs w:val="20"/>
              </w:rPr>
              <w:t xml:space="preserve">EWR Behavior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Among Millennials</w:t>
            </w:r>
            <w:r w:rsidR="001C5C90" w:rsidRPr="00597FFB">
              <w:rPr>
                <w:rFonts w:asciiTheme="majorBidi" w:eastAsia="Calibri" w:hAnsiTheme="majorBidi" w:cstheme="majorBidi"/>
                <w:bCs/>
                <w:iCs/>
                <w:sz w:val="20"/>
                <w:szCs w:val="20"/>
              </w:rPr>
              <w:t>.</w:t>
            </w:r>
            <w:r w:rsidR="00091A18" w:rsidRPr="00597FFB">
              <w:rPr>
                <w:rFonts w:asciiTheme="majorBidi" w:eastAsia="Calibri" w:hAnsiTheme="majorBidi" w:cstheme="majorBidi"/>
                <w:bCs/>
                <w:iCs/>
                <w:sz w:val="20"/>
                <w:szCs w:val="20"/>
              </w:rPr>
              <w:t xml:space="preserve"> </w:t>
            </w:r>
          </w:p>
          <w:p w14:paraId="1067EFB7" w14:textId="6C2C5456" w:rsidR="0036213A" w:rsidRPr="00597FFB" w:rsidRDefault="0036213A" w:rsidP="0036213A">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H2</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Subjective Norm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SN</w:t>
            </w:r>
            <w:r w:rsidR="00091A18" w:rsidRPr="00597FFB">
              <w:rPr>
                <w:rFonts w:asciiTheme="majorBidi" w:eastAsia="Calibri" w:hAnsiTheme="majorBidi" w:cstheme="majorBidi"/>
                <w:bCs/>
                <w:iCs/>
                <w:sz w:val="20"/>
                <w:szCs w:val="20"/>
              </w:rPr>
              <w:t xml:space="preserve">) Has A Significant Impact On </w:t>
            </w:r>
            <w:r w:rsidRPr="00597FFB">
              <w:rPr>
                <w:rFonts w:asciiTheme="majorBidi" w:eastAsia="Calibri" w:hAnsiTheme="majorBidi" w:cstheme="majorBidi"/>
                <w:bCs/>
                <w:iCs/>
                <w:sz w:val="20"/>
                <w:szCs w:val="20"/>
              </w:rPr>
              <w:t xml:space="preserve">EWR Behavior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Among Millennials</w:t>
            </w:r>
            <w:r w:rsidR="001C5C90" w:rsidRPr="00597FFB">
              <w:rPr>
                <w:rFonts w:asciiTheme="majorBidi" w:eastAsia="Calibri" w:hAnsiTheme="majorBidi" w:cstheme="majorBidi"/>
                <w:bCs/>
                <w:iCs/>
                <w:sz w:val="20"/>
                <w:szCs w:val="20"/>
              </w:rPr>
              <w:t>.</w:t>
            </w:r>
          </w:p>
          <w:p w14:paraId="7E6408E8" w14:textId="574E269E" w:rsidR="0036213A" w:rsidRPr="00597FFB" w:rsidRDefault="0036213A" w:rsidP="0036213A">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H3</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Perceived Behavioral Control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PCB</w:t>
            </w:r>
            <w:r w:rsidR="00091A18" w:rsidRPr="00597FFB">
              <w:rPr>
                <w:rFonts w:asciiTheme="majorBidi" w:eastAsia="Calibri" w:hAnsiTheme="majorBidi" w:cstheme="majorBidi"/>
                <w:bCs/>
                <w:iCs/>
                <w:sz w:val="20"/>
                <w:szCs w:val="20"/>
              </w:rPr>
              <w:t xml:space="preserve">) Has A Significant Impact On </w:t>
            </w:r>
            <w:r w:rsidRPr="00597FFB">
              <w:rPr>
                <w:rFonts w:asciiTheme="majorBidi" w:eastAsia="Calibri" w:hAnsiTheme="majorBidi" w:cstheme="majorBidi"/>
                <w:bCs/>
                <w:iCs/>
                <w:sz w:val="20"/>
                <w:szCs w:val="20"/>
              </w:rPr>
              <w:t xml:space="preserve">EWR Behavior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Among Millennials</w:t>
            </w:r>
            <w:r w:rsidR="001C5C90" w:rsidRPr="00597FFB">
              <w:rPr>
                <w:rFonts w:asciiTheme="majorBidi" w:eastAsia="Calibri" w:hAnsiTheme="majorBidi" w:cstheme="majorBidi"/>
                <w:bCs/>
                <w:iCs/>
                <w:sz w:val="20"/>
                <w:szCs w:val="20"/>
              </w:rPr>
              <w:t>.</w:t>
            </w:r>
          </w:p>
          <w:p w14:paraId="5EB6ACC8" w14:textId="7C2E463A" w:rsidR="0036213A" w:rsidRPr="00597FFB" w:rsidRDefault="0036213A" w:rsidP="0036213A">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H4</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Incentives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IN</w:t>
            </w:r>
            <w:r w:rsidR="00091A18" w:rsidRPr="00597FFB">
              <w:rPr>
                <w:rFonts w:asciiTheme="majorBidi" w:eastAsia="Calibri" w:hAnsiTheme="majorBidi" w:cstheme="majorBidi"/>
                <w:bCs/>
                <w:iCs/>
                <w:sz w:val="20"/>
                <w:szCs w:val="20"/>
              </w:rPr>
              <w:t xml:space="preserve">) (Financial/Nonfinancial) Have A Significant Impact On </w:t>
            </w:r>
            <w:r w:rsidRPr="00597FFB">
              <w:rPr>
                <w:rFonts w:asciiTheme="majorBidi" w:eastAsia="Calibri" w:hAnsiTheme="majorBidi" w:cstheme="majorBidi"/>
                <w:bCs/>
                <w:iCs/>
                <w:sz w:val="20"/>
                <w:szCs w:val="20"/>
              </w:rPr>
              <w:t xml:space="preserve">EWR Behavior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Among Millennials</w:t>
            </w:r>
            <w:r w:rsidR="00690680" w:rsidRPr="00597FFB">
              <w:rPr>
                <w:rFonts w:asciiTheme="majorBidi" w:eastAsia="Calibri" w:hAnsiTheme="majorBidi" w:cstheme="majorBidi"/>
                <w:bCs/>
                <w:iCs/>
                <w:sz w:val="20"/>
                <w:szCs w:val="20"/>
              </w:rPr>
              <w:t>.</w:t>
            </w:r>
          </w:p>
          <w:p w14:paraId="31A842F5" w14:textId="47B2FD35" w:rsidR="00966E01" w:rsidRPr="00597FFB" w:rsidRDefault="00966E01" w:rsidP="00966E01">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B</w:t>
            </w:r>
            <w:r w:rsidR="00091A18" w:rsidRPr="00597FFB">
              <w:rPr>
                <w:rFonts w:asciiTheme="majorBidi" w:eastAsia="Calibri" w:hAnsiTheme="majorBidi" w:cstheme="majorBidi"/>
                <w:b/>
                <w:iCs/>
                <w:sz w:val="20"/>
                <w:szCs w:val="20"/>
              </w:rPr>
              <w:t>-</w:t>
            </w:r>
            <w:r w:rsidRPr="00597FFB">
              <w:rPr>
                <w:rFonts w:asciiTheme="majorBidi" w:eastAsia="Calibri" w:hAnsiTheme="majorBidi" w:cstheme="majorBidi"/>
                <w:b/>
                <w:iCs/>
                <w:sz w:val="20"/>
                <w:szCs w:val="20"/>
              </w:rPr>
              <w:t>From NAT</w:t>
            </w:r>
          </w:p>
          <w:p w14:paraId="7C170AFD" w14:textId="1B0D909C" w:rsidR="00A16AAE" w:rsidRPr="00597FFB" w:rsidRDefault="00FA6198" w:rsidP="00810E56">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H4</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Personal Norm </w:t>
            </w:r>
            <w:r w:rsidR="00091A18" w:rsidRPr="00597FFB">
              <w:rPr>
                <w:rFonts w:asciiTheme="majorBidi" w:eastAsia="Calibri" w:hAnsiTheme="majorBidi" w:cstheme="majorBidi"/>
                <w:bCs/>
                <w:iCs/>
                <w:sz w:val="20"/>
                <w:szCs w:val="20"/>
              </w:rPr>
              <w:t xml:space="preserve">Has A Significant Impact On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w:t>
            </w:r>
            <w:r w:rsidR="00091A18" w:rsidRPr="00597FFB">
              <w:rPr>
                <w:rFonts w:asciiTheme="majorBidi" w:eastAsia="Calibri" w:hAnsiTheme="majorBidi" w:cstheme="majorBidi"/>
                <w:b/>
                <w:iCs/>
                <w:sz w:val="20"/>
                <w:szCs w:val="20"/>
              </w:rPr>
              <w:t xml:space="preserve"> </w:t>
            </w:r>
            <w:r w:rsidR="00091A18" w:rsidRPr="00597FFB">
              <w:rPr>
                <w:rFonts w:asciiTheme="majorBidi" w:eastAsia="Calibri" w:hAnsiTheme="majorBidi" w:cstheme="majorBidi"/>
                <w:bCs/>
                <w:iCs/>
                <w:sz w:val="20"/>
                <w:szCs w:val="20"/>
              </w:rPr>
              <w:t>Millennials</w:t>
            </w:r>
            <w:r w:rsidR="00A16AAE" w:rsidRPr="00597FFB">
              <w:rPr>
                <w:rFonts w:asciiTheme="majorBidi" w:eastAsia="Calibri" w:hAnsiTheme="majorBidi" w:cstheme="majorBidi"/>
                <w:bCs/>
                <w:iCs/>
                <w:sz w:val="20"/>
                <w:szCs w:val="20"/>
              </w:rPr>
              <w:t>.</w:t>
            </w:r>
            <w:r w:rsidR="00091A18" w:rsidRPr="00597FFB">
              <w:rPr>
                <w:rFonts w:asciiTheme="majorBidi" w:eastAsia="Calibri" w:hAnsiTheme="majorBidi" w:cstheme="majorBidi"/>
                <w:b/>
                <w:iCs/>
                <w:sz w:val="20"/>
                <w:szCs w:val="20"/>
              </w:rPr>
              <w:t xml:space="preserve"> </w:t>
            </w:r>
          </w:p>
          <w:p w14:paraId="780F69C2" w14:textId="164915C2" w:rsidR="00810E56" w:rsidRPr="00597FFB" w:rsidRDefault="00810E56" w:rsidP="00810E56">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H5</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Privacy </w:t>
            </w:r>
            <w:r w:rsidR="00091A18" w:rsidRPr="00597FFB">
              <w:rPr>
                <w:rFonts w:asciiTheme="majorBidi" w:eastAsia="Calibri" w:hAnsiTheme="majorBidi" w:cstheme="majorBidi"/>
                <w:bCs/>
                <w:iCs/>
                <w:sz w:val="20"/>
                <w:szCs w:val="20"/>
              </w:rPr>
              <w:t>Concern (</w:t>
            </w:r>
            <w:r w:rsidRPr="00597FFB">
              <w:rPr>
                <w:rFonts w:asciiTheme="majorBidi" w:eastAsia="Calibri" w:hAnsiTheme="majorBidi" w:cstheme="majorBidi"/>
                <w:bCs/>
                <w:iCs/>
                <w:sz w:val="20"/>
                <w:szCs w:val="20"/>
              </w:rPr>
              <w:t>PC</w:t>
            </w:r>
            <w:r w:rsidR="00091A18" w:rsidRPr="00597FFB">
              <w:rPr>
                <w:rFonts w:asciiTheme="majorBidi" w:eastAsia="Calibri" w:hAnsiTheme="majorBidi" w:cstheme="majorBidi"/>
                <w:bCs/>
                <w:iCs/>
                <w:sz w:val="20"/>
                <w:szCs w:val="20"/>
              </w:rPr>
              <w:t xml:space="preserve">) Has A Significant Impact On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02593EBA" w14:textId="0CD48288" w:rsidR="00810E56" w:rsidRPr="00597FFB" w:rsidRDefault="00810E56" w:rsidP="00810E56">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H6</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Ascription </w:t>
            </w:r>
            <w:r w:rsidR="00091A18" w:rsidRPr="00597FFB">
              <w:rPr>
                <w:rFonts w:asciiTheme="majorBidi" w:eastAsia="Calibri" w:hAnsiTheme="majorBidi" w:cstheme="majorBidi"/>
                <w:bCs/>
                <w:iCs/>
                <w:sz w:val="20"/>
                <w:szCs w:val="20"/>
              </w:rPr>
              <w:t>Of Responsibility (</w:t>
            </w:r>
            <w:r w:rsidRPr="00597FFB">
              <w:rPr>
                <w:rFonts w:asciiTheme="majorBidi" w:eastAsia="Calibri" w:hAnsiTheme="majorBidi" w:cstheme="majorBidi"/>
                <w:bCs/>
                <w:iCs/>
                <w:sz w:val="20"/>
                <w:szCs w:val="20"/>
              </w:rPr>
              <w:t>AR</w:t>
            </w:r>
            <w:r w:rsidR="00091A18" w:rsidRPr="00597FFB">
              <w:rPr>
                <w:rFonts w:asciiTheme="majorBidi" w:eastAsia="Calibri" w:hAnsiTheme="majorBidi" w:cstheme="majorBidi"/>
                <w:bCs/>
                <w:iCs/>
                <w:sz w:val="20"/>
                <w:szCs w:val="20"/>
              </w:rPr>
              <w:t xml:space="preserve">) Has A Significant Impact On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34C813CD" w14:textId="4FA040B8" w:rsidR="00810E56" w:rsidRPr="00597FFB" w:rsidRDefault="00810E56" w:rsidP="00810E56">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H7</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Awareness </w:t>
            </w:r>
            <w:r w:rsidR="00091A18" w:rsidRPr="00597FFB">
              <w:rPr>
                <w:rFonts w:asciiTheme="majorBidi" w:eastAsia="Calibri" w:hAnsiTheme="majorBidi" w:cstheme="majorBidi"/>
                <w:bCs/>
                <w:iCs/>
                <w:sz w:val="20"/>
                <w:szCs w:val="20"/>
              </w:rPr>
              <w:t>Of Consequences (</w:t>
            </w:r>
            <w:r w:rsidRPr="00597FFB">
              <w:rPr>
                <w:rFonts w:asciiTheme="majorBidi" w:eastAsia="Calibri" w:hAnsiTheme="majorBidi" w:cstheme="majorBidi"/>
                <w:bCs/>
                <w:iCs/>
                <w:sz w:val="20"/>
                <w:szCs w:val="20"/>
              </w:rPr>
              <w:t>AC</w:t>
            </w:r>
            <w:r w:rsidR="00091A18" w:rsidRPr="00597FFB">
              <w:rPr>
                <w:rFonts w:asciiTheme="majorBidi" w:eastAsia="Calibri" w:hAnsiTheme="majorBidi" w:cstheme="majorBidi"/>
                <w:bCs/>
                <w:iCs/>
                <w:sz w:val="20"/>
                <w:szCs w:val="20"/>
              </w:rPr>
              <w:t xml:space="preserve">) Has A Significant Impact On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1E910061" w14:textId="51DFBE37" w:rsidR="00966E01" w:rsidRPr="00597FFB" w:rsidRDefault="00810E56" w:rsidP="00311483">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H8</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Moral Norm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MN</w:t>
            </w:r>
            <w:r w:rsidR="00091A18" w:rsidRPr="00597FFB">
              <w:rPr>
                <w:rFonts w:asciiTheme="majorBidi" w:eastAsia="Calibri" w:hAnsiTheme="majorBidi" w:cstheme="majorBidi"/>
                <w:bCs/>
                <w:iCs/>
                <w:sz w:val="20"/>
                <w:szCs w:val="20"/>
              </w:rPr>
              <w:t xml:space="preserve">) Has A Significant Impact On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0F68B190" w14:textId="6D4AF238" w:rsidR="00966E01" w:rsidRPr="00597FFB" w:rsidRDefault="00966E01" w:rsidP="00966E01">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C</w:t>
            </w:r>
            <w:r w:rsidR="00091A18" w:rsidRPr="00597FFB">
              <w:rPr>
                <w:rFonts w:asciiTheme="majorBidi" w:eastAsia="Calibri" w:hAnsiTheme="majorBidi" w:cstheme="majorBidi"/>
                <w:b/>
                <w:iCs/>
                <w:sz w:val="20"/>
                <w:szCs w:val="20"/>
              </w:rPr>
              <w:t>-</w:t>
            </w:r>
            <w:r w:rsidRPr="00597FFB">
              <w:rPr>
                <w:rFonts w:asciiTheme="majorBidi" w:eastAsia="Calibri" w:hAnsiTheme="majorBidi" w:cstheme="majorBidi"/>
                <w:b/>
                <w:iCs/>
                <w:sz w:val="20"/>
                <w:szCs w:val="20"/>
              </w:rPr>
              <w:t>From PMT</w:t>
            </w:r>
          </w:p>
          <w:p w14:paraId="1CAA5443" w14:textId="4EDE1FB1" w:rsidR="00282187" w:rsidRPr="00597FFB" w:rsidRDefault="00282187" w:rsidP="00282187">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H4</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Protection </w:t>
            </w:r>
            <w:r w:rsidR="00091A18" w:rsidRPr="00597FFB">
              <w:rPr>
                <w:rFonts w:asciiTheme="majorBidi" w:eastAsia="Calibri" w:hAnsiTheme="majorBidi" w:cstheme="majorBidi"/>
                <w:bCs/>
                <w:iCs/>
                <w:sz w:val="20"/>
                <w:szCs w:val="20"/>
              </w:rPr>
              <w:t>Motivation (</w:t>
            </w:r>
            <w:r w:rsidRPr="00597FFB">
              <w:rPr>
                <w:rFonts w:asciiTheme="majorBidi" w:eastAsia="Calibri" w:hAnsiTheme="majorBidi" w:cstheme="majorBidi"/>
                <w:bCs/>
                <w:iCs/>
                <w:sz w:val="20"/>
                <w:szCs w:val="20"/>
              </w:rPr>
              <w:t>PM</w:t>
            </w:r>
            <w:r w:rsidR="00091A18" w:rsidRPr="00597FFB">
              <w:rPr>
                <w:rFonts w:asciiTheme="majorBidi" w:eastAsia="Calibri" w:hAnsiTheme="majorBidi" w:cstheme="majorBidi"/>
                <w:bCs/>
                <w:iCs/>
                <w:sz w:val="20"/>
                <w:szCs w:val="20"/>
              </w:rPr>
              <w:t xml:space="preserve">) Has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4D6F4F14" w14:textId="35335ED0" w:rsidR="00282187" w:rsidRPr="00597FFB" w:rsidRDefault="00282187" w:rsidP="00282187">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H5</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Habits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H</w:t>
            </w:r>
            <w:r w:rsidR="00091A18" w:rsidRPr="00597FFB">
              <w:rPr>
                <w:rFonts w:asciiTheme="majorBidi" w:eastAsia="Calibri" w:hAnsiTheme="majorBidi" w:cstheme="majorBidi"/>
                <w:bCs/>
                <w:iCs/>
                <w:sz w:val="20"/>
                <w:szCs w:val="20"/>
              </w:rPr>
              <w:t xml:space="preserve">) Have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2E281B9A" w14:textId="43FEB088" w:rsidR="00282187" w:rsidRPr="00597FFB" w:rsidRDefault="00282187" w:rsidP="00282187">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H6</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Environmental </w:t>
            </w:r>
            <w:r w:rsidR="00091A18" w:rsidRPr="00597FFB">
              <w:rPr>
                <w:rFonts w:asciiTheme="majorBidi" w:eastAsia="Calibri" w:hAnsiTheme="majorBidi" w:cstheme="majorBidi"/>
                <w:bCs/>
                <w:iCs/>
                <w:sz w:val="20"/>
                <w:szCs w:val="20"/>
              </w:rPr>
              <w:t>Assessment (</w:t>
            </w:r>
            <w:r w:rsidRPr="00597FFB">
              <w:rPr>
                <w:rFonts w:asciiTheme="majorBidi" w:eastAsia="Calibri" w:hAnsiTheme="majorBidi" w:cstheme="majorBidi"/>
                <w:bCs/>
                <w:iCs/>
                <w:sz w:val="20"/>
                <w:szCs w:val="20"/>
              </w:rPr>
              <w:t>EA</w:t>
            </w:r>
            <w:r w:rsidR="00091A18" w:rsidRPr="00597FFB">
              <w:rPr>
                <w:rFonts w:asciiTheme="majorBidi" w:eastAsia="Calibri" w:hAnsiTheme="majorBidi" w:cstheme="majorBidi"/>
                <w:bCs/>
                <w:iCs/>
                <w:sz w:val="20"/>
                <w:szCs w:val="20"/>
              </w:rPr>
              <w:t xml:space="preserve">) Has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32DA8713" w14:textId="026E70E7" w:rsidR="00996173" w:rsidRPr="00597FFB" w:rsidRDefault="00996173" w:rsidP="00996173">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H7</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Threat Appraisal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TA</w:t>
            </w:r>
            <w:r w:rsidR="00091A18" w:rsidRPr="00597FFB">
              <w:rPr>
                <w:rFonts w:asciiTheme="majorBidi" w:eastAsia="Calibri" w:hAnsiTheme="majorBidi" w:cstheme="majorBidi"/>
                <w:bCs/>
                <w:iCs/>
                <w:sz w:val="20"/>
                <w:szCs w:val="20"/>
              </w:rPr>
              <w:t xml:space="preserve">) Has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047CB0B5" w14:textId="253BCE84" w:rsidR="00996173" w:rsidRPr="00597FFB" w:rsidRDefault="00996173" w:rsidP="00996173">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H8</w:t>
            </w:r>
            <w:r w:rsidR="00091A18" w:rsidRPr="00597FFB">
              <w:rPr>
                <w:rFonts w:asciiTheme="majorBidi" w:eastAsia="Calibri" w:hAnsiTheme="majorBidi" w:cstheme="majorBidi"/>
                <w:b/>
                <w:iCs/>
                <w:sz w:val="20"/>
                <w:szCs w:val="20"/>
              </w:rPr>
              <w:t>:</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Coping </w:t>
            </w:r>
            <w:r w:rsidR="00091A18" w:rsidRPr="00597FFB">
              <w:rPr>
                <w:rFonts w:asciiTheme="majorBidi" w:eastAsia="Calibri" w:hAnsiTheme="majorBidi" w:cstheme="majorBidi"/>
                <w:bCs/>
                <w:iCs/>
                <w:sz w:val="20"/>
                <w:szCs w:val="20"/>
              </w:rPr>
              <w:t>Appraisal (</w:t>
            </w:r>
            <w:r w:rsidRPr="00597FFB">
              <w:rPr>
                <w:rFonts w:asciiTheme="majorBidi" w:eastAsia="Calibri" w:hAnsiTheme="majorBidi" w:cstheme="majorBidi"/>
                <w:bCs/>
                <w:iCs/>
                <w:sz w:val="20"/>
                <w:szCs w:val="20"/>
              </w:rPr>
              <w:t>CA</w:t>
            </w:r>
            <w:r w:rsidR="00091A18" w:rsidRPr="00597FFB">
              <w:rPr>
                <w:rFonts w:asciiTheme="majorBidi" w:eastAsia="Calibri" w:hAnsiTheme="majorBidi" w:cstheme="majorBidi"/>
                <w:bCs/>
                <w:iCs/>
                <w:sz w:val="20"/>
                <w:szCs w:val="20"/>
              </w:rPr>
              <w:t xml:space="preserve">) Has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690680" w:rsidRPr="00597FFB">
              <w:rPr>
                <w:rFonts w:asciiTheme="majorBidi" w:eastAsia="Calibri" w:hAnsiTheme="majorBidi" w:cstheme="majorBidi"/>
                <w:bCs/>
                <w:iCs/>
                <w:sz w:val="20"/>
                <w:szCs w:val="20"/>
              </w:rPr>
              <w:t>.</w:t>
            </w:r>
          </w:p>
          <w:p w14:paraId="241031C7" w14:textId="72270B93" w:rsidR="00E23180" w:rsidRPr="00597FFB" w:rsidRDefault="00996173" w:rsidP="00996173">
            <w:pPr>
              <w:spacing w:before="26" w:after="26" w:line="240" w:lineRule="auto"/>
              <w:contextualSpacing/>
              <w:rPr>
                <w:rFonts w:asciiTheme="majorBidi" w:eastAsia="Calibri" w:hAnsiTheme="majorBidi" w:cstheme="majorBidi"/>
                <w:bCs/>
                <w:iCs/>
                <w:color w:val="000000"/>
                <w:sz w:val="20"/>
                <w:szCs w:val="20"/>
              </w:rPr>
            </w:pPr>
            <w:r w:rsidRPr="00597FFB">
              <w:rPr>
                <w:rFonts w:asciiTheme="majorBidi" w:eastAsia="Calibri" w:hAnsiTheme="majorBidi" w:cstheme="majorBidi"/>
                <w:b/>
                <w:iCs/>
                <w:sz w:val="20"/>
                <w:szCs w:val="20"/>
              </w:rPr>
              <w:t>H</w:t>
            </w:r>
            <w:r w:rsidR="00A94FBD" w:rsidRPr="00597FFB">
              <w:rPr>
                <w:rFonts w:asciiTheme="majorBidi" w:eastAsia="Calibri" w:hAnsiTheme="majorBidi" w:cstheme="majorBidi"/>
                <w:b/>
                <w:iCs/>
                <w:sz w:val="20"/>
                <w:szCs w:val="20"/>
              </w:rPr>
              <w:t>9:</w:t>
            </w:r>
            <w:r w:rsidR="00A94FBD" w:rsidRPr="00597FFB">
              <w:rPr>
                <w:rFonts w:asciiTheme="majorBidi" w:eastAsia="Calibri" w:hAnsiTheme="majorBidi" w:cstheme="majorBidi"/>
                <w:bCs/>
                <w:iCs/>
                <w:sz w:val="20"/>
                <w:szCs w:val="20"/>
              </w:rPr>
              <w:t xml:space="preserve"> Information</w:t>
            </w:r>
            <w:r w:rsidR="00091A18" w:rsidRPr="00597FFB">
              <w:rPr>
                <w:rFonts w:asciiTheme="majorBidi" w:eastAsia="Calibri" w:hAnsiTheme="majorBidi" w:cstheme="majorBidi"/>
                <w:bCs/>
                <w:iCs/>
                <w:sz w:val="20"/>
                <w:szCs w:val="20"/>
              </w:rPr>
              <w:t xml:space="preserve">/Knowledge About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KEWR</w:t>
            </w:r>
            <w:r w:rsidR="00091A18" w:rsidRPr="00597FFB">
              <w:rPr>
                <w:rFonts w:asciiTheme="majorBidi" w:eastAsia="Calibri" w:hAnsiTheme="majorBidi" w:cstheme="majorBidi"/>
                <w:bCs/>
                <w:iCs/>
                <w:sz w:val="20"/>
                <w:szCs w:val="20"/>
              </w:rPr>
              <w:t xml:space="preserve">) Has A Significant Impact On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w:t>
            </w:r>
            <w:r w:rsidRPr="00597FFB">
              <w:rPr>
                <w:rFonts w:asciiTheme="majorBidi" w:eastAsia="Calibri" w:hAnsiTheme="majorBidi" w:cstheme="majorBidi"/>
                <w:bCs/>
                <w:iCs/>
                <w:sz w:val="20"/>
                <w:szCs w:val="20"/>
              </w:rPr>
              <w:t>AD</w:t>
            </w:r>
            <w:r w:rsidR="00091A18" w:rsidRPr="00597FFB">
              <w:rPr>
                <w:rFonts w:asciiTheme="majorBidi" w:eastAsia="Calibri" w:hAnsiTheme="majorBidi" w:cstheme="majorBidi"/>
                <w:bCs/>
                <w:iCs/>
                <w:sz w:val="20"/>
                <w:szCs w:val="20"/>
              </w:rPr>
              <w:t>) Among Millennials</w:t>
            </w:r>
            <w:r w:rsidR="004411E1" w:rsidRPr="00597FFB">
              <w:rPr>
                <w:rFonts w:asciiTheme="majorBidi" w:eastAsia="Calibri" w:hAnsiTheme="majorBidi" w:cstheme="majorBidi"/>
                <w:bCs/>
                <w:iCs/>
                <w:sz w:val="20"/>
                <w:szCs w:val="20"/>
              </w:rPr>
              <w:t>.</w:t>
            </w:r>
          </w:p>
        </w:tc>
      </w:tr>
      <w:tr w:rsidR="00E23180" w:rsidRPr="00597FFB" w14:paraId="776DFA76" w14:textId="77777777" w:rsidTr="001E19F2">
        <w:tc>
          <w:tcPr>
            <w:tcW w:w="2501" w:type="dxa"/>
          </w:tcPr>
          <w:p w14:paraId="21E9EB71" w14:textId="17F2AEE0" w:rsidR="00E23180" w:rsidRPr="00597FFB" w:rsidRDefault="00940F25" w:rsidP="00E23180">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iCs/>
                <w:color w:val="000000"/>
                <w:sz w:val="20"/>
                <w:szCs w:val="20"/>
              </w:rPr>
              <w:t xml:space="preserve">Which Predictor Related </w:t>
            </w:r>
            <w:r w:rsidR="00091A18" w:rsidRPr="00597FFB">
              <w:rPr>
                <w:rFonts w:asciiTheme="majorBidi" w:eastAsia="Calibri" w:hAnsiTheme="majorBidi" w:cstheme="majorBidi"/>
                <w:iCs/>
                <w:color w:val="000000"/>
                <w:sz w:val="20"/>
                <w:szCs w:val="20"/>
              </w:rPr>
              <w:t xml:space="preserve">To </w:t>
            </w:r>
            <w:r w:rsidRPr="00597FFB">
              <w:rPr>
                <w:rFonts w:asciiTheme="majorBidi" w:eastAsia="Calibri" w:hAnsiTheme="majorBidi" w:cstheme="majorBidi"/>
                <w:iCs/>
                <w:color w:val="000000"/>
                <w:sz w:val="20"/>
                <w:szCs w:val="20"/>
              </w:rPr>
              <w:t xml:space="preserve">The Determinants </w:t>
            </w:r>
            <w:r w:rsidR="00091A18" w:rsidRPr="00597FFB">
              <w:rPr>
                <w:rFonts w:asciiTheme="majorBidi" w:eastAsia="Calibri" w:hAnsiTheme="majorBidi" w:cstheme="majorBidi"/>
                <w:iCs/>
                <w:color w:val="000000"/>
                <w:sz w:val="20"/>
                <w:szCs w:val="20"/>
              </w:rPr>
              <w:t xml:space="preserve">Of </w:t>
            </w:r>
            <w:r w:rsidR="00811FBC" w:rsidRPr="00597FFB">
              <w:rPr>
                <w:rFonts w:asciiTheme="majorBidi" w:eastAsia="Calibri" w:hAnsiTheme="majorBidi" w:cstheme="majorBidi"/>
                <w:iCs/>
                <w:color w:val="000000"/>
                <w:sz w:val="20"/>
                <w:szCs w:val="20"/>
              </w:rPr>
              <w:t xml:space="preserve">EWR Adoption Behavioral Intentions </w:t>
            </w:r>
            <w:r w:rsidR="00091A18" w:rsidRPr="00597FFB">
              <w:rPr>
                <w:rFonts w:asciiTheme="majorBidi" w:eastAsia="Calibri" w:hAnsiTheme="majorBidi" w:cstheme="majorBidi"/>
                <w:iCs/>
                <w:color w:val="000000"/>
                <w:sz w:val="20"/>
                <w:szCs w:val="20"/>
              </w:rPr>
              <w:t>(</w:t>
            </w:r>
            <w:r w:rsidR="00811FBC" w:rsidRPr="00597FFB">
              <w:rPr>
                <w:rFonts w:asciiTheme="majorBidi" w:eastAsia="Calibri" w:hAnsiTheme="majorBidi" w:cstheme="majorBidi"/>
                <w:iCs/>
                <w:color w:val="000000"/>
                <w:sz w:val="20"/>
                <w:szCs w:val="20"/>
              </w:rPr>
              <w:t>EWRBI</w:t>
            </w:r>
            <w:r w:rsidR="00091A18" w:rsidRPr="00597FFB">
              <w:rPr>
                <w:rFonts w:asciiTheme="majorBidi" w:eastAsia="Calibri" w:hAnsiTheme="majorBidi" w:cstheme="majorBidi"/>
                <w:iCs/>
                <w:color w:val="000000"/>
                <w:sz w:val="20"/>
                <w:szCs w:val="20"/>
              </w:rPr>
              <w:t xml:space="preserve">) Of </w:t>
            </w:r>
            <w:r w:rsidRPr="00597FFB">
              <w:rPr>
                <w:rFonts w:asciiTheme="majorBidi" w:eastAsia="Calibri" w:hAnsiTheme="majorBidi" w:cstheme="majorBidi"/>
                <w:iCs/>
                <w:color w:val="000000"/>
                <w:sz w:val="20"/>
                <w:szCs w:val="20"/>
              </w:rPr>
              <w:t>The UAE's Millennials</w:t>
            </w:r>
            <w:r w:rsidR="00091A18" w:rsidRPr="00597FFB">
              <w:rPr>
                <w:rFonts w:asciiTheme="majorBidi" w:eastAsia="Calibri" w:hAnsiTheme="majorBidi" w:cstheme="majorBidi"/>
                <w:iCs/>
                <w:color w:val="000000"/>
                <w:sz w:val="20"/>
                <w:szCs w:val="20"/>
              </w:rPr>
              <w:t>?</w:t>
            </w:r>
          </w:p>
        </w:tc>
        <w:tc>
          <w:tcPr>
            <w:tcW w:w="2483" w:type="dxa"/>
          </w:tcPr>
          <w:p w14:paraId="43963494" w14:textId="47ABFF76" w:rsidR="004236D6" w:rsidRPr="00597FFB" w:rsidRDefault="004236D6" w:rsidP="004236D6">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Evaluate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Levels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 xml:space="preserve">The Predictor Variables </w:t>
            </w:r>
            <w:r w:rsidR="00091A18" w:rsidRPr="00597FFB">
              <w:rPr>
                <w:rFonts w:asciiTheme="majorBidi" w:eastAsia="Calibri" w:hAnsiTheme="majorBidi" w:cstheme="majorBidi"/>
                <w:iCs/>
                <w:color w:val="000000"/>
                <w:sz w:val="20"/>
                <w:szCs w:val="20"/>
              </w:rPr>
              <w:t xml:space="preserve">And </w:t>
            </w:r>
            <w:r w:rsidR="00C640A7" w:rsidRPr="00597FFB">
              <w:rPr>
                <w:rFonts w:asciiTheme="majorBidi" w:eastAsia="Calibri" w:hAnsiTheme="majorBidi" w:cstheme="majorBidi"/>
                <w:iCs/>
                <w:color w:val="000000"/>
                <w:sz w:val="20"/>
                <w:szCs w:val="20"/>
              </w:rPr>
              <w:t xml:space="preserve">EWR Adoption Behavioral Intentions </w:t>
            </w:r>
            <w:r w:rsidR="00091A18" w:rsidRPr="00597FFB">
              <w:rPr>
                <w:rFonts w:asciiTheme="majorBidi" w:eastAsia="Calibri" w:hAnsiTheme="majorBidi" w:cstheme="majorBidi"/>
                <w:iCs/>
                <w:color w:val="000000"/>
                <w:sz w:val="20"/>
                <w:szCs w:val="20"/>
              </w:rPr>
              <w:t>(</w:t>
            </w:r>
            <w:r w:rsidR="00C640A7" w:rsidRPr="00597FFB">
              <w:rPr>
                <w:rFonts w:asciiTheme="majorBidi" w:eastAsia="Calibri" w:hAnsiTheme="majorBidi" w:cstheme="majorBidi"/>
                <w:iCs/>
                <w:color w:val="000000"/>
                <w:sz w:val="20"/>
                <w:szCs w:val="20"/>
              </w:rPr>
              <w:t>EWRBI</w:t>
            </w:r>
            <w:r w:rsidR="00091A18" w:rsidRPr="00597FFB">
              <w:rPr>
                <w:rFonts w:asciiTheme="majorBidi" w:eastAsia="Calibri" w:hAnsiTheme="majorBidi" w:cstheme="majorBidi"/>
                <w:iCs/>
                <w:color w:val="000000"/>
                <w:sz w:val="20"/>
                <w:szCs w:val="20"/>
              </w:rPr>
              <w:t xml:space="preserve">) Of </w:t>
            </w:r>
            <w:r w:rsidR="00C640A7" w:rsidRPr="00597FFB">
              <w:rPr>
                <w:rFonts w:asciiTheme="majorBidi" w:eastAsia="Calibri" w:hAnsiTheme="majorBidi" w:cstheme="majorBidi"/>
                <w:iCs/>
                <w:color w:val="000000"/>
                <w:sz w:val="20"/>
                <w:szCs w:val="20"/>
              </w:rPr>
              <w:t>The UAE's Millennials</w:t>
            </w:r>
            <w:r w:rsidR="00091A18" w:rsidRPr="00597FFB">
              <w:rPr>
                <w:rFonts w:asciiTheme="majorBidi" w:eastAsia="Calibri" w:hAnsiTheme="majorBidi" w:cstheme="majorBidi"/>
                <w:iCs/>
                <w:color w:val="000000"/>
                <w:sz w:val="20"/>
                <w:szCs w:val="20"/>
              </w:rPr>
              <w:t>.</w:t>
            </w:r>
          </w:p>
          <w:p w14:paraId="04D415CD" w14:textId="77777777" w:rsidR="00E23180" w:rsidRPr="00597FFB" w:rsidRDefault="00E23180" w:rsidP="004236D6">
            <w:pPr>
              <w:spacing w:before="26" w:after="26" w:line="240" w:lineRule="auto"/>
              <w:contextualSpacing/>
              <w:rPr>
                <w:rFonts w:asciiTheme="majorBidi" w:eastAsia="Calibri" w:hAnsiTheme="majorBidi" w:cstheme="majorBidi"/>
                <w:b/>
                <w:iCs/>
                <w:sz w:val="20"/>
                <w:szCs w:val="20"/>
              </w:rPr>
            </w:pPr>
          </w:p>
        </w:tc>
        <w:tc>
          <w:tcPr>
            <w:tcW w:w="2502" w:type="dxa"/>
          </w:tcPr>
          <w:p w14:paraId="32446864" w14:textId="31BBD56F" w:rsidR="00D21AF9" w:rsidRPr="00597FFB" w:rsidRDefault="00D21AF9" w:rsidP="00D21AF9">
            <w:pPr>
              <w:spacing w:before="26" w:after="26" w:line="240" w:lineRule="auto"/>
              <w:contextualSpacing/>
              <w:rPr>
                <w:rFonts w:asciiTheme="majorBidi" w:eastAsia="Calibri" w:hAnsiTheme="majorBidi" w:cstheme="majorBidi"/>
                <w:b/>
                <w:iCs/>
                <w:color w:val="000000" w:themeColor="text1"/>
                <w:sz w:val="20"/>
                <w:szCs w:val="20"/>
              </w:rPr>
            </w:pPr>
            <w:r w:rsidRPr="00597FFB">
              <w:rPr>
                <w:rFonts w:asciiTheme="majorBidi" w:eastAsia="Calibri" w:hAnsiTheme="majorBidi" w:cstheme="majorBidi"/>
                <w:b/>
                <w:iCs/>
                <w:color w:val="000000" w:themeColor="text1"/>
                <w:sz w:val="20"/>
                <w:szCs w:val="20"/>
              </w:rPr>
              <w:t>H5</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Recycling Attitude </w:t>
            </w:r>
            <w:r w:rsidR="00091A18" w:rsidRPr="00597FFB">
              <w:rPr>
                <w:rFonts w:asciiTheme="majorBidi" w:eastAsia="Calibri" w:hAnsiTheme="majorBidi" w:cstheme="majorBidi"/>
                <w:bCs/>
                <w:iCs/>
                <w:color w:val="000000" w:themeColor="text1"/>
                <w:sz w:val="20"/>
                <w:szCs w:val="20"/>
              </w:rPr>
              <w:t>(</w:t>
            </w:r>
            <w:r w:rsidRPr="00597FFB">
              <w:rPr>
                <w:rFonts w:asciiTheme="majorBidi" w:eastAsia="Calibri" w:hAnsiTheme="majorBidi" w:cstheme="majorBidi"/>
                <w:bCs/>
                <w:iCs/>
                <w:color w:val="000000" w:themeColor="text1"/>
                <w:sz w:val="20"/>
                <w:szCs w:val="20"/>
              </w:rPr>
              <w:t>AT</w:t>
            </w:r>
            <w:r w:rsidR="00091A18" w:rsidRPr="00597FFB">
              <w:rPr>
                <w:rFonts w:asciiTheme="majorBidi" w:eastAsia="Calibri" w:hAnsiTheme="majorBidi" w:cstheme="majorBidi"/>
                <w:bCs/>
                <w:iCs/>
                <w:color w:val="000000" w:themeColor="text1"/>
                <w:sz w:val="20"/>
                <w:szCs w:val="20"/>
              </w:rPr>
              <w:t xml:space="preserve">) Has A Significant Impact On Adoption 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Behavioral Intentions.</w:t>
            </w:r>
          </w:p>
          <w:p w14:paraId="0565A4EA" w14:textId="48A4B5C9" w:rsidR="00D21AF9" w:rsidRPr="00597FFB" w:rsidRDefault="00D21AF9" w:rsidP="00D21AF9">
            <w:pPr>
              <w:spacing w:before="26" w:after="26" w:line="240" w:lineRule="auto"/>
              <w:contextualSpacing/>
              <w:rPr>
                <w:rFonts w:asciiTheme="majorBidi" w:eastAsia="Calibri" w:hAnsiTheme="majorBidi" w:cstheme="majorBidi"/>
                <w:b/>
                <w:iCs/>
                <w:color w:val="000000" w:themeColor="text1"/>
                <w:sz w:val="20"/>
                <w:szCs w:val="20"/>
              </w:rPr>
            </w:pPr>
            <w:r w:rsidRPr="00597FFB">
              <w:rPr>
                <w:rFonts w:asciiTheme="majorBidi" w:eastAsia="Calibri" w:hAnsiTheme="majorBidi" w:cstheme="majorBidi"/>
                <w:b/>
                <w:iCs/>
                <w:color w:val="000000" w:themeColor="text1"/>
                <w:sz w:val="20"/>
                <w:szCs w:val="20"/>
              </w:rPr>
              <w:t>H6</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Subjective Norm </w:t>
            </w:r>
            <w:r w:rsidR="00091A18" w:rsidRPr="00597FFB">
              <w:rPr>
                <w:rFonts w:asciiTheme="majorBidi" w:eastAsia="Calibri" w:hAnsiTheme="majorBidi" w:cstheme="majorBidi"/>
                <w:bCs/>
                <w:iCs/>
                <w:color w:val="000000" w:themeColor="text1"/>
                <w:sz w:val="20"/>
                <w:szCs w:val="20"/>
              </w:rPr>
              <w:t>(</w:t>
            </w:r>
            <w:r w:rsidRPr="00597FFB">
              <w:rPr>
                <w:rFonts w:asciiTheme="majorBidi" w:eastAsia="Calibri" w:hAnsiTheme="majorBidi" w:cstheme="majorBidi"/>
                <w:bCs/>
                <w:iCs/>
                <w:color w:val="000000" w:themeColor="text1"/>
                <w:sz w:val="20"/>
                <w:szCs w:val="20"/>
              </w:rPr>
              <w:t>SN</w:t>
            </w:r>
            <w:r w:rsidR="00091A18" w:rsidRPr="00597FFB">
              <w:rPr>
                <w:rFonts w:asciiTheme="majorBidi" w:eastAsia="Calibri" w:hAnsiTheme="majorBidi" w:cstheme="majorBidi"/>
                <w:bCs/>
                <w:iCs/>
                <w:color w:val="000000" w:themeColor="text1"/>
                <w:sz w:val="20"/>
                <w:szCs w:val="20"/>
              </w:rPr>
              <w:t xml:space="preserve">) Has A Significant Impact On </w:t>
            </w:r>
            <w:r w:rsidRPr="00597FFB">
              <w:rPr>
                <w:rFonts w:asciiTheme="majorBidi" w:eastAsia="Calibri" w:hAnsiTheme="majorBidi" w:cstheme="majorBidi"/>
                <w:bCs/>
                <w:iCs/>
                <w:color w:val="000000" w:themeColor="text1"/>
                <w:sz w:val="20"/>
                <w:szCs w:val="20"/>
              </w:rPr>
              <w:t xml:space="preserve">Adoption </w:t>
            </w:r>
            <w:r w:rsidR="00091A18" w:rsidRPr="00597FFB">
              <w:rPr>
                <w:rFonts w:asciiTheme="majorBidi" w:eastAsia="Calibri" w:hAnsiTheme="majorBidi" w:cstheme="majorBidi"/>
                <w:bCs/>
                <w:iCs/>
                <w:color w:val="000000" w:themeColor="text1"/>
                <w:sz w:val="20"/>
                <w:szCs w:val="20"/>
              </w:rPr>
              <w:t xml:space="preserve">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w:t>
            </w:r>
          </w:p>
          <w:p w14:paraId="27745DA8" w14:textId="6471386F" w:rsidR="00D21AF9" w:rsidRPr="00597FFB" w:rsidRDefault="00D21AF9" w:rsidP="00D21AF9">
            <w:pPr>
              <w:spacing w:before="26" w:after="26" w:line="240" w:lineRule="auto"/>
              <w:contextualSpacing/>
              <w:rPr>
                <w:rFonts w:asciiTheme="majorBidi" w:eastAsia="Calibri" w:hAnsiTheme="majorBidi" w:cstheme="majorBidi"/>
                <w:b/>
                <w:iCs/>
                <w:color w:val="000000" w:themeColor="text1"/>
                <w:sz w:val="20"/>
                <w:szCs w:val="20"/>
              </w:rPr>
            </w:pPr>
            <w:r w:rsidRPr="00597FFB">
              <w:rPr>
                <w:rFonts w:asciiTheme="majorBidi" w:eastAsia="Calibri" w:hAnsiTheme="majorBidi" w:cstheme="majorBidi"/>
                <w:b/>
                <w:iCs/>
                <w:color w:val="000000" w:themeColor="text1"/>
                <w:sz w:val="20"/>
                <w:szCs w:val="20"/>
              </w:rPr>
              <w:t>H7</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Perceived Behavioral Control </w:t>
            </w:r>
            <w:r w:rsidR="00091A18" w:rsidRPr="00597FFB">
              <w:rPr>
                <w:rFonts w:asciiTheme="majorBidi" w:eastAsia="Calibri" w:hAnsiTheme="majorBidi" w:cstheme="majorBidi"/>
                <w:bCs/>
                <w:iCs/>
                <w:color w:val="000000" w:themeColor="text1"/>
                <w:sz w:val="20"/>
                <w:szCs w:val="20"/>
              </w:rPr>
              <w:t>(</w:t>
            </w:r>
            <w:r w:rsidRPr="00597FFB">
              <w:rPr>
                <w:rFonts w:asciiTheme="majorBidi" w:eastAsia="Calibri" w:hAnsiTheme="majorBidi" w:cstheme="majorBidi"/>
                <w:bCs/>
                <w:iCs/>
                <w:color w:val="000000" w:themeColor="text1"/>
                <w:sz w:val="20"/>
                <w:szCs w:val="20"/>
              </w:rPr>
              <w:t>PCB</w:t>
            </w:r>
            <w:r w:rsidR="00091A18" w:rsidRPr="00597FFB">
              <w:rPr>
                <w:rFonts w:asciiTheme="majorBidi" w:eastAsia="Calibri" w:hAnsiTheme="majorBidi" w:cstheme="majorBidi"/>
                <w:bCs/>
                <w:iCs/>
                <w:color w:val="000000" w:themeColor="text1"/>
                <w:sz w:val="20"/>
                <w:szCs w:val="20"/>
              </w:rPr>
              <w:t xml:space="preserve">) Has A Significant Impact On Adoption 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w:t>
            </w:r>
          </w:p>
          <w:p w14:paraId="3639B5CC" w14:textId="083AAE08" w:rsidR="00D21AF9" w:rsidRPr="00597FFB" w:rsidRDefault="00D21AF9" w:rsidP="00D21AF9">
            <w:pPr>
              <w:spacing w:before="26" w:after="26" w:line="240" w:lineRule="auto"/>
              <w:contextualSpacing/>
              <w:rPr>
                <w:rFonts w:asciiTheme="majorBidi" w:eastAsia="Calibri" w:hAnsiTheme="majorBidi" w:cstheme="majorBidi"/>
                <w:b/>
                <w:iCs/>
                <w:color w:val="000000" w:themeColor="text1"/>
                <w:sz w:val="20"/>
                <w:szCs w:val="20"/>
              </w:rPr>
            </w:pPr>
            <w:r w:rsidRPr="00597FFB">
              <w:rPr>
                <w:rFonts w:asciiTheme="majorBidi" w:eastAsia="Calibri" w:hAnsiTheme="majorBidi" w:cstheme="majorBidi"/>
                <w:b/>
                <w:iCs/>
                <w:color w:val="000000" w:themeColor="text1"/>
                <w:sz w:val="20"/>
                <w:szCs w:val="20"/>
              </w:rPr>
              <w:t>H8</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Incentives </w:t>
            </w:r>
            <w:r w:rsidR="00091A18" w:rsidRPr="00597FFB">
              <w:rPr>
                <w:rFonts w:asciiTheme="majorBidi" w:eastAsia="Calibri" w:hAnsiTheme="majorBidi" w:cstheme="majorBidi"/>
                <w:bCs/>
                <w:iCs/>
                <w:color w:val="000000" w:themeColor="text1"/>
                <w:sz w:val="20"/>
                <w:szCs w:val="20"/>
              </w:rPr>
              <w:t>(</w:t>
            </w:r>
            <w:r w:rsidRPr="00597FFB">
              <w:rPr>
                <w:rFonts w:asciiTheme="majorBidi" w:eastAsia="Calibri" w:hAnsiTheme="majorBidi" w:cstheme="majorBidi"/>
                <w:bCs/>
                <w:iCs/>
                <w:color w:val="000000" w:themeColor="text1"/>
                <w:sz w:val="20"/>
                <w:szCs w:val="20"/>
              </w:rPr>
              <w:t>IN</w:t>
            </w:r>
            <w:r w:rsidR="00091A18" w:rsidRPr="00597FFB">
              <w:rPr>
                <w:rFonts w:asciiTheme="majorBidi" w:eastAsia="Calibri" w:hAnsiTheme="majorBidi" w:cstheme="majorBidi"/>
                <w:bCs/>
                <w:iCs/>
                <w:color w:val="000000" w:themeColor="text1"/>
                <w:sz w:val="20"/>
                <w:szCs w:val="20"/>
              </w:rPr>
              <w:t xml:space="preserve">) (Financial/Nonfinancial) Has A Significant Impact On </w:t>
            </w:r>
            <w:r w:rsidRPr="00597FFB">
              <w:rPr>
                <w:rFonts w:asciiTheme="majorBidi" w:eastAsia="Calibri" w:hAnsiTheme="majorBidi" w:cstheme="majorBidi"/>
                <w:bCs/>
                <w:iCs/>
                <w:color w:val="000000" w:themeColor="text1"/>
                <w:sz w:val="20"/>
                <w:szCs w:val="20"/>
              </w:rPr>
              <w:t xml:space="preserve">Adoption </w:t>
            </w:r>
            <w:r w:rsidR="00091A18" w:rsidRPr="00597FFB">
              <w:rPr>
                <w:rFonts w:asciiTheme="majorBidi" w:eastAsia="Calibri" w:hAnsiTheme="majorBidi" w:cstheme="majorBidi"/>
                <w:bCs/>
                <w:iCs/>
                <w:color w:val="000000" w:themeColor="text1"/>
                <w:sz w:val="20"/>
                <w:szCs w:val="20"/>
              </w:rPr>
              <w:t xml:space="preserve">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w:t>
            </w:r>
          </w:p>
          <w:p w14:paraId="5F001CB0" w14:textId="2596A09E" w:rsidR="00D21AF9" w:rsidRPr="00597FFB" w:rsidRDefault="00D21AF9" w:rsidP="00D21AF9">
            <w:pPr>
              <w:spacing w:before="26" w:after="26" w:line="240" w:lineRule="auto"/>
              <w:contextualSpacing/>
              <w:rPr>
                <w:rFonts w:asciiTheme="majorBidi" w:eastAsia="Calibri" w:hAnsiTheme="majorBidi" w:cstheme="majorBidi"/>
                <w:b/>
                <w:iCs/>
                <w:color w:val="000000" w:themeColor="text1"/>
                <w:sz w:val="20"/>
                <w:szCs w:val="20"/>
              </w:rPr>
            </w:pPr>
            <w:r w:rsidRPr="00597FFB">
              <w:rPr>
                <w:rFonts w:asciiTheme="majorBidi" w:eastAsia="Calibri" w:hAnsiTheme="majorBidi" w:cstheme="majorBidi"/>
                <w:b/>
                <w:iCs/>
                <w:color w:val="000000" w:themeColor="text1"/>
                <w:sz w:val="20"/>
                <w:szCs w:val="20"/>
              </w:rPr>
              <w:t>H9</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EWRBI Has </w:t>
            </w:r>
            <w:r w:rsidR="00091A18" w:rsidRPr="00597FFB">
              <w:rPr>
                <w:rFonts w:asciiTheme="majorBidi" w:eastAsia="Calibri" w:hAnsiTheme="majorBidi" w:cstheme="majorBidi"/>
                <w:bCs/>
                <w:iCs/>
                <w:color w:val="000000" w:themeColor="text1"/>
                <w:sz w:val="20"/>
                <w:szCs w:val="20"/>
              </w:rPr>
              <w:t xml:space="preserve">A </w:t>
            </w:r>
            <w:r w:rsidRPr="00597FFB">
              <w:rPr>
                <w:rFonts w:asciiTheme="majorBidi" w:eastAsia="Calibri" w:hAnsiTheme="majorBidi" w:cstheme="majorBidi"/>
                <w:bCs/>
                <w:iCs/>
                <w:color w:val="000000" w:themeColor="text1"/>
                <w:sz w:val="20"/>
                <w:szCs w:val="20"/>
              </w:rPr>
              <w:t xml:space="preserve">Significant Impact </w:t>
            </w:r>
            <w:r w:rsidR="00091A18" w:rsidRPr="00597FFB">
              <w:rPr>
                <w:rFonts w:asciiTheme="majorBidi" w:eastAsia="Calibri" w:hAnsiTheme="majorBidi" w:cstheme="majorBidi"/>
                <w:bCs/>
                <w:iCs/>
                <w:color w:val="000000" w:themeColor="text1"/>
                <w:sz w:val="20"/>
                <w:szCs w:val="20"/>
              </w:rPr>
              <w:t xml:space="preserve">On </w:t>
            </w:r>
            <w:r w:rsidRPr="00597FFB">
              <w:rPr>
                <w:rFonts w:asciiTheme="majorBidi" w:eastAsia="Calibri" w:hAnsiTheme="majorBidi" w:cstheme="majorBidi"/>
                <w:bCs/>
                <w:iCs/>
                <w:color w:val="000000" w:themeColor="text1"/>
                <w:sz w:val="20"/>
                <w:szCs w:val="20"/>
              </w:rPr>
              <w:t xml:space="preserve">Adoption </w:t>
            </w:r>
            <w:r w:rsidR="00091A18" w:rsidRPr="00597FFB">
              <w:rPr>
                <w:rFonts w:asciiTheme="majorBidi" w:eastAsia="Calibri" w:hAnsiTheme="majorBidi" w:cstheme="majorBidi"/>
                <w:bCs/>
                <w:iCs/>
                <w:color w:val="000000" w:themeColor="text1"/>
                <w:sz w:val="20"/>
                <w:szCs w:val="20"/>
              </w:rPr>
              <w:t xml:space="preserve">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Behavioral Intention.</w:t>
            </w:r>
          </w:p>
          <w:p w14:paraId="2A62B9BC" w14:textId="30B95174" w:rsidR="00D21AF9" w:rsidRPr="00597FFB" w:rsidRDefault="00D21AF9" w:rsidP="00D21AF9">
            <w:pPr>
              <w:spacing w:before="26" w:after="26" w:line="240" w:lineRule="auto"/>
              <w:contextualSpacing/>
              <w:rPr>
                <w:rFonts w:asciiTheme="majorBidi" w:eastAsia="Calibri" w:hAnsiTheme="majorBidi" w:cstheme="majorBidi"/>
                <w:bCs/>
                <w:iCs/>
                <w:color w:val="000000" w:themeColor="text1"/>
                <w:sz w:val="20"/>
                <w:szCs w:val="20"/>
              </w:rPr>
            </w:pPr>
            <w:r w:rsidRPr="00597FFB">
              <w:rPr>
                <w:rFonts w:asciiTheme="majorBidi" w:eastAsia="Calibri" w:hAnsiTheme="majorBidi" w:cstheme="majorBidi"/>
                <w:b/>
                <w:iCs/>
                <w:color w:val="000000" w:themeColor="text1"/>
                <w:sz w:val="20"/>
                <w:szCs w:val="20"/>
              </w:rPr>
              <w:t>H10</w:t>
            </w:r>
            <w:r w:rsidR="00091A18" w:rsidRPr="00597FFB">
              <w:rPr>
                <w:rFonts w:asciiTheme="majorBidi" w:eastAsia="Calibri" w:hAnsiTheme="majorBidi" w:cstheme="majorBidi"/>
                <w:b/>
                <w:iCs/>
                <w:color w:val="000000" w:themeColor="text1"/>
                <w:sz w:val="20"/>
                <w:szCs w:val="20"/>
              </w:rPr>
              <w:t xml:space="preserve">: </w:t>
            </w:r>
            <w:r w:rsidRPr="00597FFB">
              <w:rPr>
                <w:rFonts w:asciiTheme="majorBidi" w:eastAsia="Calibri" w:hAnsiTheme="majorBidi" w:cstheme="majorBidi"/>
                <w:bCs/>
                <w:iCs/>
                <w:color w:val="000000" w:themeColor="text1"/>
                <w:sz w:val="20"/>
                <w:szCs w:val="20"/>
              </w:rPr>
              <w:t xml:space="preserve">Environmental Concern </w:t>
            </w:r>
            <w:r w:rsidR="00091A18" w:rsidRPr="00597FFB">
              <w:rPr>
                <w:rFonts w:asciiTheme="majorBidi" w:eastAsia="Calibri" w:hAnsiTheme="majorBidi" w:cstheme="majorBidi"/>
                <w:bCs/>
                <w:iCs/>
                <w:color w:val="000000" w:themeColor="text1"/>
                <w:sz w:val="20"/>
                <w:szCs w:val="20"/>
              </w:rPr>
              <w:t xml:space="preserve">Has A Significant Impact On </w:t>
            </w:r>
            <w:r w:rsidRPr="00597FFB">
              <w:rPr>
                <w:rFonts w:asciiTheme="majorBidi" w:eastAsia="Calibri" w:hAnsiTheme="majorBidi" w:cstheme="majorBidi"/>
                <w:bCs/>
                <w:iCs/>
                <w:color w:val="000000" w:themeColor="text1"/>
                <w:sz w:val="20"/>
                <w:szCs w:val="20"/>
              </w:rPr>
              <w:t xml:space="preserve">Adoption </w:t>
            </w:r>
            <w:r w:rsidR="00091A18" w:rsidRPr="00597FFB">
              <w:rPr>
                <w:rFonts w:asciiTheme="majorBidi" w:eastAsia="Calibri" w:hAnsiTheme="majorBidi" w:cstheme="majorBidi"/>
                <w:bCs/>
                <w:iCs/>
                <w:color w:val="000000" w:themeColor="text1"/>
                <w:sz w:val="20"/>
                <w:szCs w:val="20"/>
              </w:rPr>
              <w:t xml:space="preserve">Of </w:t>
            </w:r>
            <w:r w:rsidRPr="00597FFB">
              <w:rPr>
                <w:rFonts w:asciiTheme="majorBidi" w:eastAsia="Calibri" w:hAnsiTheme="majorBidi" w:cstheme="majorBidi"/>
                <w:bCs/>
                <w:iCs/>
                <w:color w:val="000000" w:themeColor="text1"/>
                <w:sz w:val="20"/>
                <w:szCs w:val="20"/>
              </w:rPr>
              <w:t xml:space="preserve">EWR </w:t>
            </w:r>
            <w:r w:rsidR="00091A18" w:rsidRPr="00597FFB">
              <w:rPr>
                <w:rFonts w:asciiTheme="majorBidi" w:eastAsia="Calibri" w:hAnsiTheme="majorBidi" w:cstheme="majorBidi"/>
                <w:bCs/>
                <w:iCs/>
                <w:color w:val="000000" w:themeColor="text1"/>
                <w:sz w:val="20"/>
                <w:szCs w:val="20"/>
              </w:rPr>
              <w:t>Behavioral Intention.</w:t>
            </w:r>
          </w:p>
          <w:p w14:paraId="57551E08" w14:textId="23365319" w:rsidR="00E23180" w:rsidRPr="00597FFB" w:rsidRDefault="00E23180" w:rsidP="00374078">
            <w:pPr>
              <w:spacing w:before="26" w:after="26" w:line="240" w:lineRule="auto"/>
              <w:contextualSpacing/>
              <w:rPr>
                <w:rFonts w:asciiTheme="majorBidi" w:eastAsia="Calibri" w:hAnsiTheme="majorBidi" w:cstheme="majorBidi"/>
                <w:b/>
                <w:iCs/>
                <w:color w:val="FF0000"/>
                <w:sz w:val="20"/>
                <w:szCs w:val="20"/>
              </w:rPr>
            </w:pPr>
          </w:p>
        </w:tc>
      </w:tr>
      <w:tr w:rsidR="004236D6" w:rsidRPr="00597FFB" w14:paraId="3CC09180" w14:textId="77777777" w:rsidTr="001E19F2">
        <w:tc>
          <w:tcPr>
            <w:tcW w:w="2501" w:type="dxa"/>
          </w:tcPr>
          <w:p w14:paraId="7870757E" w14:textId="2FA57703" w:rsidR="004236D6" w:rsidRPr="00597FFB" w:rsidRDefault="004236D6"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What Degree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 xml:space="preserve">Influence Do These Predictors Have </w:t>
            </w:r>
            <w:r w:rsidR="00091A18" w:rsidRPr="00597FFB">
              <w:rPr>
                <w:rFonts w:asciiTheme="majorBidi" w:eastAsia="Calibri" w:hAnsiTheme="majorBidi" w:cstheme="majorBidi"/>
                <w:iCs/>
                <w:color w:val="000000"/>
                <w:sz w:val="20"/>
                <w:szCs w:val="20"/>
              </w:rPr>
              <w:t xml:space="preserve">On </w:t>
            </w:r>
            <w:r w:rsidRPr="00597FFB">
              <w:rPr>
                <w:rFonts w:asciiTheme="majorBidi" w:eastAsia="Calibri" w:hAnsiTheme="majorBidi" w:cstheme="majorBidi"/>
                <w:iCs/>
                <w:color w:val="000000"/>
                <w:sz w:val="20"/>
                <w:szCs w:val="20"/>
              </w:rPr>
              <w:t xml:space="preserve">Millennials' Recycling Intention </w:t>
            </w:r>
            <w:r w:rsidR="00091A18" w:rsidRPr="00597FFB">
              <w:rPr>
                <w:rFonts w:asciiTheme="majorBidi" w:eastAsia="Calibri" w:hAnsiTheme="majorBidi" w:cstheme="majorBidi"/>
                <w:iCs/>
                <w:color w:val="000000"/>
                <w:sz w:val="20"/>
                <w:szCs w:val="20"/>
              </w:rPr>
              <w:t xml:space="preserve">With </w:t>
            </w:r>
            <w:r w:rsidRPr="00597FFB">
              <w:rPr>
                <w:rFonts w:asciiTheme="majorBidi" w:eastAsia="Calibri" w:hAnsiTheme="majorBidi" w:cstheme="majorBidi"/>
                <w:iCs/>
                <w:color w:val="000000"/>
                <w:sz w:val="20"/>
                <w:szCs w:val="20"/>
              </w:rPr>
              <w:t xml:space="preserve">Regard </w:t>
            </w:r>
            <w:r w:rsidR="00091A18" w:rsidRPr="00597FFB">
              <w:rPr>
                <w:rFonts w:asciiTheme="majorBidi" w:eastAsia="Calibri" w:hAnsiTheme="majorBidi" w:cstheme="majorBidi"/>
                <w:iCs/>
                <w:color w:val="000000"/>
                <w:sz w:val="20"/>
                <w:szCs w:val="20"/>
              </w:rPr>
              <w:t xml:space="preserve">To </w:t>
            </w:r>
            <w:r w:rsidRPr="00597FFB">
              <w:rPr>
                <w:rFonts w:asciiTheme="majorBidi" w:eastAsia="Calibri" w:hAnsiTheme="majorBidi" w:cstheme="majorBidi"/>
                <w:iCs/>
                <w:color w:val="000000"/>
                <w:sz w:val="20"/>
                <w:szCs w:val="20"/>
              </w:rPr>
              <w:t xml:space="preserve">Participating </w:t>
            </w:r>
            <w:r w:rsidR="00091A18" w:rsidRPr="00597FFB">
              <w:rPr>
                <w:rFonts w:asciiTheme="majorBidi" w:eastAsia="Calibri" w:hAnsiTheme="majorBidi" w:cstheme="majorBidi"/>
                <w:iCs/>
                <w:color w:val="000000"/>
                <w:sz w:val="20"/>
                <w:szCs w:val="20"/>
              </w:rPr>
              <w:t xml:space="preserve">In </w:t>
            </w:r>
            <w:r w:rsidRPr="00597FFB">
              <w:rPr>
                <w:rFonts w:asciiTheme="majorBidi" w:eastAsia="Calibri" w:hAnsiTheme="majorBidi" w:cstheme="majorBidi"/>
                <w:iCs/>
                <w:color w:val="000000"/>
                <w:sz w:val="20"/>
                <w:szCs w:val="20"/>
              </w:rPr>
              <w:t>Recycling Activities</w:t>
            </w:r>
            <w:r w:rsidR="00091A18" w:rsidRPr="00597FFB">
              <w:rPr>
                <w:rFonts w:asciiTheme="majorBidi" w:eastAsia="Calibri" w:hAnsiTheme="majorBidi" w:cstheme="majorBidi"/>
                <w:iCs/>
                <w:color w:val="000000"/>
                <w:sz w:val="20"/>
                <w:szCs w:val="20"/>
              </w:rPr>
              <w:t>?</w:t>
            </w:r>
          </w:p>
        </w:tc>
        <w:tc>
          <w:tcPr>
            <w:tcW w:w="2483" w:type="dxa"/>
          </w:tcPr>
          <w:p w14:paraId="1A8694A5" w14:textId="2059420F" w:rsidR="004236D6" w:rsidRPr="00597FFB" w:rsidRDefault="004236D6" w:rsidP="004236D6">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Evaluate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Levels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 xml:space="preserve">The Predictor Variables </w:t>
            </w:r>
            <w:r w:rsidR="00091A18" w:rsidRPr="00597FFB">
              <w:rPr>
                <w:rFonts w:asciiTheme="majorBidi" w:eastAsia="Calibri" w:hAnsiTheme="majorBidi" w:cstheme="majorBidi"/>
                <w:iCs/>
                <w:color w:val="000000"/>
                <w:sz w:val="20"/>
                <w:szCs w:val="20"/>
              </w:rPr>
              <w:t xml:space="preserve">And </w:t>
            </w:r>
            <w:r w:rsidRPr="00597FFB">
              <w:rPr>
                <w:rFonts w:asciiTheme="majorBidi" w:eastAsia="Calibri" w:hAnsiTheme="majorBidi" w:cstheme="majorBidi"/>
                <w:iCs/>
                <w:color w:val="000000"/>
                <w:sz w:val="20"/>
                <w:szCs w:val="20"/>
              </w:rPr>
              <w:t>Recycling Behavior Intentions Among UAE's Millennials</w:t>
            </w:r>
            <w:r w:rsidR="00091A18" w:rsidRPr="00597FFB">
              <w:rPr>
                <w:rFonts w:asciiTheme="majorBidi" w:eastAsia="Calibri" w:hAnsiTheme="majorBidi" w:cstheme="majorBidi"/>
                <w:iCs/>
                <w:color w:val="000000"/>
                <w:sz w:val="20"/>
                <w:szCs w:val="20"/>
              </w:rPr>
              <w:t>.</w:t>
            </w:r>
          </w:p>
          <w:p w14:paraId="0D584888" w14:textId="77777777" w:rsidR="004236D6" w:rsidRPr="00597FFB" w:rsidRDefault="004236D6" w:rsidP="00E23180">
            <w:pPr>
              <w:spacing w:before="26" w:after="26" w:line="240" w:lineRule="auto"/>
              <w:contextualSpacing/>
              <w:rPr>
                <w:rFonts w:asciiTheme="majorBidi" w:eastAsia="Calibri" w:hAnsiTheme="majorBidi" w:cstheme="majorBidi"/>
                <w:iCs/>
                <w:color w:val="000000"/>
                <w:sz w:val="20"/>
                <w:szCs w:val="20"/>
              </w:rPr>
            </w:pPr>
          </w:p>
        </w:tc>
        <w:tc>
          <w:tcPr>
            <w:tcW w:w="2502" w:type="dxa"/>
          </w:tcPr>
          <w:p w14:paraId="0EE3304C" w14:textId="77777777" w:rsidR="004236D6" w:rsidRPr="00597FFB" w:rsidRDefault="004236D6" w:rsidP="00E23180">
            <w:pPr>
              <w:spacing w:before="26" w:after="26" w:line="240" w:lineRule="auto"/>
              <w:contextualSpacing/>
              <w:rPr>
                <w:rFonts w:asciiTheme="majorBidi" w:eastAsia="Calibri" w:hAnsiTheme="majorBidi" w:cstheme="majorBidi"/>
                <w:b/>
                <w:iCs/>
                <w:sz w:val="20"/>
                <w:szCs w:val="20"/>
              </w:rPr>
            </w:pPr>
          </w:p>
        </w:tc>
      </w:tr>
      <w:tr w:rsidR="00E23180" w:rsidRPr="00597FFB" w14:paraId="161F6688" w14:textId="77777777" w:rsidTr="001E19F2">
        <w:tc>
          <w:tcPr>
            <w:tcW w:w="2501" w:type="dxa"/>
          </w:tcPr>
          <w:p w14:paraId="512E6DBD" w14:textId="592FF9BA"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What Extent Are </w:t>
            </w:r>
            <w:r w:rsidRPr="00597FFB">
              <w:rPr>
                <w:rFonts w:asciiTheme="majorBidi" w:eastAsia="Calibri" w:hAnsiTheme="majorBidi" w:cstheme="majorBidi"/>
                <w:iCs/>
                <w:sz w:val="20"/>
                <w:szCs w:val="20"/>
              </w:rPr>
              <w:t>E</w:t>
            </w:r>
            <w:r w:rsidR="00091A18" w:rsidRPr="00597FFB">
              <w:rPr>
                <w:rFonts w:asciiTheme="majorBidi" w:eastAsia="Calibri" w:hAnsiTheme="majorBidi" w:cstheme="majorBidi"/>
                <w:iCs/>
                <w:sz w:val="20"/>
                <w:szCs w:val="20"/>
              </w:rPr>
              <w:t>-</w:t>
            </w:r>
            <w:r w:rsidRPr="00597FFB">
              <w:rPr>
                <w:rFonts w:asciiTheme="majorBidi" w:eastAsia="Calibri" w:hAnsiTheme="majorBidi" w:cstheme="majorBidi"/>
                <w:iCs/>
                <w:sz w:val="20"/>
                <w:szCs w:val="20"/>
              </w:rPr>
              <w:t xml:space="preserve">Waste </w:t>
            </w:r>
            <w:r w:rsidRPr="00597FFB">
              <w:rPr>
                <w:rFonts w:asciiTheme="majorBidi" w:eastAsia="Calibri" w:hAnsiTheme="majorBidi" w:cstheme="majorBidi"/>
                <w:iCs/>
                <w:color w:val="000000"/>
                <w:sz w:val="20"/>
                <w:szCs w:val="20"/>
              </w:rPr>
              <w:t xml:space="preserve">Recycling Behavior Intentions </w:t>
            </w:r>
            <w:r w:rsidR="00091A18" w:rsidRPr="00597FFB">
              <w:rPr>
                <w:rFonts w:asciiTheme="majorBidi" w:eastAsia="Calibri" w:hAnsiTheme="majorBidi" w:cstheme="majorBidi"/>
                <w:iCs/>
                <w:sz w:val="20"/>
                <w:szCs w:val="20"/>
              </w:rPr>
              <w:t xml:space="preserve">And </w:t>
            </w:r>
            <w:r w:rsidR="00537695" w:rsidRPr="00597FFB">
              <w:rPr>
                <w:rFonts w:asciiTheme="majorBidi" w:eastAsia="Calibri" w:hAnsiTheme="majorBidi" w:cstheme="majorBidi"/>
                <w:iCs/>
                <w:color w:val="000000"/>
                <w:sz w:val="20"/>
                <w:szCs w:val="20"/>
              </w:rPr>
              <w:t xml:space="preserve">Millennials </w:t>
            </w:r>
            <w:r w:rsidR="00CC2A6D" w:rsidRPr="00597FFB">
              <w:rPr>
                <w:rFonts w:asciiTheme="majorBidi" w:eastAsia="Calibri" w:hAnsiTheme="majorBidi" w:cstheme="majorBidi"/>
                <w:iCs/>
                <w:color w:val="000000"/>
                <w:sz w:val="20"/>
                <w:szCs w:val="20"/>
              </w:rPr>
              <w:t xml:space="preserve">EWR Adoption Behavioral Intentions </w:t>
            </w:r>
            <w:r w:rsidR="00091A18" w:rsidRPr="00597FFB">
              <w:rPr>
                <w:rFonts w:asciiTheme="majorBidi" w:eastAsia="Calibri" w:hAnsiTheme="majorBidi" w:cstheme="majorBidi"/>
                <w:iCs/>
                <w:color w:val="000000"/>
                <w:sz w:val="20"/>
                <w:szCs w:val="20"/>
              </w:rPr>
              <w:t>(</w:t>
            </w:r>
            <w:r w:rsidR="00CC2A6D" w:rsidRPr="00597FFB">
              <w:rPr>
                <w:rFonts w:asciiTheme="majorBidi" w:eastAsia="Calibri" w:hAnsiTheme="majorBidi" w:cstheme="majorBidi"/>
                <w:iCs/>
                <w:color w:val="000000"/>
                <w:sz w:val="20"/>
                <w:szCs w:val="20"/>
              </w:rPr>
              <w:t>EWRBI</w:t>
            </w:r>
            <w:r w:rsidR="00091A18" w:rsidRPr="00597FFB">
              <w:rPr>
                <w:rFonts w:asciiTheme="majorBidi" w:eastAsia="Calibri" w:hAnsiTheme="majorBidi" w:cstheme="majorBidi"/>
                <w:iCs/>
                <w:color w:val="000000"/>
                <w:sz w:val="20"/>
                <w:szCs w:val="20"/>
              </w:rPr>
              <w:t xml:space="preserve">) In </w:t>
            </w:r>
            <w:r w:rsidRPr="00597FFB">
              <w:rPr>
                <w:rFonts w:asciiTheme="majorBidi" w:eastAsia="Calibri" w:hAnsiTheme="majorBidi" w:cstheme="majorBidi"/>
                <w:iCs/>
                <w:color w:val="000000"/>
                <w:sz w:val="20"/>
                <w:szCs w:val="20"/>
              </w:rPr>
              <w:t>The Context Of UAE</w:t>
            </w:r>
            <w:r w:rsidR="00091A18" w:rsidRPr="00597FFB">
              <w:rPr>
                <w:rFonts w:asciiTheme="majorBidi" w:eastAsia="Calibri" w:hAnsiTheme="majorBidi" w:cstheme="majorBidi"/>
                <w:iCs/>
                <w:color w:val="000000"/>
                <w:sz w:val="20"/>
                <w:szCs w:val="20"/>
              </w:rPr>
              <w:t>?</w:t>
            </w:r>
          </w:p>
        </w:tc>
        <w:tc>
          <w:tcPr>
            <w:tcW w:w="2483" w:type="dxa"/>
          </w:tcPr>
          <w:p w14:paraId="7D34C2A6" w14:textId="2F6A427F" w:rsidR="00E23180" w:rsidRPr="00597FFB" w:rsidRDefault="00E23180" w:rsidP="00E23180">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iCs/>
                <w:color w:val="000000"/>
                <w:sz w:val="20"/>
                <w:szCs w:val="20"/>
              </w:rPr>
              <w:t xml:space="preserve">To Determine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Prediction Effect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 xml:space="preserve">Independent Variables </w:t>
            </w:r>
            <w:r w:rsidR="00091A18" w:rsidRPr="00597FFB">
              <w:rPr>
                <w:rFonts w:asciiTheme="majorBidi" w:eastAsia="Calibri" w:hAnsiTheme="majorBidi" w:cstheme="majorBidi"/>
                <w:iCs/>
                <w:color w:val="000000"/>
                <w:sz w:val="20"/>
                <w:szCs w:val="20"/>
              </w:rPr>
              <w:t xml:space="preserve">On </w:t>
            </w:r>
            <w:r w:rsidRPr="00597FFB">
              <w:rPr>
                <w:rFonts w:asciiTheme="majorBidi" w:eastAsia="Calibri" w:hAnsiTheme="majorBidi" w:cstheme="majorBidi"/>
                <w:iCs/>
                <w:color w:val="000000"/>
                <w:sz w:val="20"/>
                <w:szCs w:val="20"/>
              </w:rPr>
              <w:t xml:space="preserve">The </w:t>
            </w:r>
            <w:r w:rsidR="00CC2A6D" w:rsidRPr="00597FFB">
              <w:rPr>
                <w:rFonts w:asciiTheme="majorBidi" w:eastAsia="Calibri" w:hAnsiTheme="majorBidi" w:cstheme="majorBidi"/>
                <w:iCs/>
                <w:color w:val="000000"/>
                <w:sz w:val="20"/>
                <w:szCs w:val="20"/>
              </w:rPr>
              <w:t xml:space="preserve">EWR Adoption Behavioral Intentions </w:t>
            </w:r>
            <w:r w:rsidR="00091A18" w:rsidRPr="00597FFB">
              <w:rPr>
                <w:rFonts w:asciiTheme="majorBidi" w:eastAsia="Calibri" w:hAnsiTheme="majorBidi" w:cstheme="majorBidi"/>
                <w:iCs/>
                <w:color w:val="000000"/>
                <w:sz w:val="20"/>
                <w:szCs w:val="20"/>
              </w:rPr>
              <w:t>(</w:t>
            </w:r>
            <w:r w:rsidR="00CC2A6D" w:rsidRPr="00597FFB">
              <w:rPr>
                <w:rFonts w:asciiTheme="majorBidi" w:eastAsia="Calibri" w:hAnsiTheme="majorBidi" w:cstheme="majorBidi"/>
                <w:iCs/>
                <w:color w:val="000000"/>
                <w:sz w:val="20"/>
                <w:szCs w:val="20"/>
              </w:rPr>
              <w:t>EWRBI</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Among UAE's Millennials</w:t>
            </w:r>
            <w:r w:rsidR="00091A18" w:rsidRPr="00597FFB">
              <w:rPr>
                <w:rFonts w:asciiTheme="majorBidi" w:eastAsia="Calibri" w:hAnsiTheme="majorBidi" w:cstheme="majorBidi"/>
                <w:iCs/>
                <w:color w:val="000000"/>
                <w:sz w:val="20"/>
                <w:szCs w:val="20"/>
              </w:rPr>
              <w:t xml:space="preserve">. </w:t>
            </w:r>
          </w:p>
        </w:tc>
        <w:tc>
          <w:tcPr>
            <w:tcW w:w="2502" w:type="dxa"/>
          </w:tcPr>
          <w:p w14:paraId="0190740D" w14:textId="2D69057E" w:rsidR="00A32B1C" w:rsidRPr="00597FFB" w:rsidRDefault="00A32B1C" w:rsidP="00A32B1C">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H11</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EWR Behavioral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xml:space="preserve">) Mediate The Relationship Between Attitude (At) And Adoption Of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p w14:paraId="1DC0C81A" w14:textId="1950F976" w:rsidR="00A32B1C" w:rsidRPr="00597FFB" w:rsidRDefault="00A32B1C" w:rsidP="00A32B1C">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H12</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EWR Behavioral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xml:space="preserve">) Mediate The Relationship Between </w:t>
            </w:r>
            <w:r w:rsidRPr="00597FFB">
              <w:rPr>
                <w:rFonts w:asciiTheme="majorBidi" w:eastAsia="Calibri" w:hAnsiTheme="majorBidi" w:cstheme="majorBidi"/>
                <w:bCs/>
                <w:iCs/>
                <w:sz w:val="20"/>
                <w:szCs w:val="20"/>
              </w:rPr>
              <w:t xml:space="preserve">Subjective Norm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SN</w:t>
            </w:r>
            <w:r w:rsidR="00091A18" w:rsidRPr="00597FFB">
              <w:rPr>
                <w:rFonts w:asciiTheme="majorBidi" w:eastAsia="Calibri" w:hAnsiTheme="majorBidi" w:cstheme="majorBidi"/>
                <w:bCs/>
                <w:iCs/>
                <w:sz w:val="20"/>
                <w:szCs w:val="20"/>
              </w:rPr>
              <w:t xml:space="preserve">) And Adoption Of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p w14:paraId="07C95BD3" w14:textId="4F56F89F" w:rsidR="00A32B1C" w:rsidRPr="00597FFB" w:rsidRDefault="00A32B1C" w:rsidP="00A32B1C">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H13</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EWR Behavioral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xml:space="preserve">) Mediate The Relationship Between </w:t>
            </w:r>
            <w:r w:rsidRPr="00597FFB">
              <w:rPr>
                <w:rFonts w:asciiTheme="majorBidi" w:eastAsia="Calibri" w:hAnsiTheme="majorBidi" w:cstheme="majorBidi"/>
                <w:bCs/>
                <w:iCs/>
                <w:sz w:val="20"/>
                <w:szCs w:val="20"/>
              </w:rPr>
              <w:t xml:space="preserve">Perceived Behavioral Control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PCB</w:t>
            </w:r>
            <w:r w:rsidR="00091A18" w:rsidRPr="00597FFB">
              <w:rPr>
                <w:rFonts w:asciiTheme="majorBidi" w:eastAsia="Calibri" w:hAnsiTheme="majorBidi" w:cstheme="majorBidi"/>
                <w:bCs/>
                <w:iCs/>
                <w:sz w:val="20"/>
                <w:szCs w:val="20"/>
              </w:rPr>
              <w:t xml:space="preserve">) </w:t>
            </w:r>
            <w:r w:rsidRPr="00597FFB">
              <w:rPr>
                <w:rFonts w:asciiTheme="majorBidi" w:eastAsia="Calibri" w:hAnsiTheme="majorBidi" w:cstheme="majorBidi"/>
                <w:bCs/>
                <w:iCs/>
                <w:sz w:val="20"/>
                <w:szCs w:val="20"/>
              </w:rPr>
              <w:t xml:space="preserve">And </w:t>
            </w:r>
            <w:r w:rsidR="00091A18" w:rsidRPr="00597FFB">
              <w:rPr>
                <w:rFonts w:asciiTheme="majorBidi" w:eastAsia="Calibri" w:hAnsiTheme="majorBidi" w:cstheme="majorBidi"/>
                <w:bCs/>
                <w:iCs/>
                <w:sz w:val="20"/>
                <w:szCs w:val="20"/>
              </w:rPr>
              <w:t xml:space="preserve">Adoption Of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p w14:paraId="6C1C5615" w14:textId="13A9930E" w:rsidR="00E23180" w:rsidRPr="00597FFB" w:rsidRDefault="00A32B1C" w:rsidP="00A32B1C">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b/>
                <w:iCs/>
                <w:sz w:val="20"/>
                <w:szCs w:val="20"/>
              </w:rPr>
              <w:t>H14</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EWR Behavioral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Mediate The Relationship Between Incentives (</w:t>
            </w:r>
            <w:r w:rsidRPr="00597FFB">
              <w:rPr>
                <w:rFonts w:asciiTheme="majorBidi" w:eastAsia="Calibri" w:hAnsiTheme="majorBidi" w:cstheme="majorBidi"/>
                <w:bCs/>
                <w:iCs/>
                <w:sz w:val="20"/>
                <w:szCs w:val="20"/>
              </w:rPr>
              <w:t>IN</w:t>
            </w:r>
            <w:r w:rsidR="00091A18" w:rsidRPr="00597FFB">
              <w:rPr>
                <w:rFonts w:asciiTheme="majorBidi" w:eastAsia="Calibri" w:hAnsiTheme="majorBidi" w:cstheme="majorBidi"/>
                <w:bCs/>
                <w:iCs/>
                <w:sz w:val="20"/>
                <w:szCs w:val="20"/>
              </w:rPr>
              <w:t xml:space="preserve">) (Financial/Nonfinancial) And Adoption Of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091A18" w:rsidRPr="00597FFB">
              <w:rPr>
                <w:rFonts w:asciiTheme="majorBidi" w:eastAsia="Calibri" w:hAnsiTheme="majorBidi" w:cstheme="majorBidi"/>
                <w:bCs/>
                <w:iCs/>
                <w:color w:val="000000"/>
                <w:sz w:val="20"/>
                <w:szCs w:val="20"/>
              </w:rPr>
              <w:t>.</w:t>
            </w:r>
            <w:r w:rsidR="00091A18" w:rsidRPr="00597FFB">
              <w:rPr>
                <w:rFonts w:asciiTheme="majorBidi" w:eastAsia="Calibri" w:hAnsiTheme="majorBidi" w:cstheme="majorBidi"/>
                <w:iCs/>
                <w:color w:val="000000"/>
                <w:sz w:val="20"/>
                <w:szCs w:val="20"/>
              </w:rPr>
              <w:t xml:space="preserve"> </w:t>
            </w:r>
          </w:p>
        </w:tc>
      </w:tr>
      <w:tr w:rsidR="00E23180" w:rsidRPr="00597FFB" w14:paraId="202A1C15" w14:textId="77777777" w:rsidTr="001E19F2">
        <w:tc>
          <w:tcPr>
            <w:tcW w:w="2501" w:type="dxa"/>
          </w:tcPr>
          <w:p w14:paraId="4DAD2F78" w14:textId="4F8F1F36"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How Do Millennial's </w:t>
            </w:r>
            <w:r w:rsidR="002B481D" w:rsidRPr="00597FFB">
              <w:rPr>
                <w:rFonts w:asciiTheme="majorBidi" w:eastAsia="Calibri" w:hAnsiTheme="majorBidi" w:cstheme="majorBidi"/>
                <w:iCs/>
                <w:color w:val="000000"/>
                <w:sz w:val="20"/>
                <w:szCs w:val="20"/>
              </w:rPr>
              <w:t xml:space="preserve">Personal Norm </w:t>
            </w:r>
            <w:r w:rsidR="00091A18" w:rsidRPr="00597FFB">
              <w:rPr>
                <w:rFonts w:asciiTheme="majorBidi" w:eastAsia="Calibri" w:hAnsiTheme="majorBidi" w:cstheme="majorBidi"/>
                <w:iCs/>
                <w:color w:val="000000"/>
                <w:sz w:val="20"/>
                <w:szCs w:val="20"/>
              </w:rPr>
              <w:t>(</w:t>
            </w:r>
            <w:r w:rsidR="002B481D"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Influence </w:t>
            </w:r>
            <w:r w:rsidR="004A4AE2" w:rsidRPr="00597FFB">
              <w:rPr>
                <w:rFonts w:asciiTheme="majorBidi" w:eastAsia="Calibri" w:hAnsiTheme="majorBidi" w:cstheme="majorBidi"/>
                <w:iCs/>
                <w:color w:val="000000"/>
                <w:sz w:val="20"/>
                <w:szCs w:val="20"/>
              </w:rPr>
              <w:t xml:space="preserve">The Association </w:t>
            </w:r>
            <w:r w:rsidR="00D34194" w:rsidRPr="00597FFB">
              <w:rPr>
                <w:rFonts w:asciiTheme="majorBidi" w:eastAsia="Calibri" w:hAnsiTheme="majorBidi" w:cstheme="majorBidi"/>
                <w:iCs/>
                <w:color w:val="000000"/>
                <w:sz w:val="20"/>
                <w:szCs w:val="20"/>
              </w:rPr>
              <w:t>of Ascription</w:t>
            </w:r>
            <w:r w:rsidR="004F0C3A" w:rsidRPr="00597FFB">
              <w:rPr>
                <w:rFonts w:asciiTheme="majorBidi" w:eastAsia="Calibri" w:hAnsiTheme="majorBidi" w:cstheme="majorBidi"/>
                <w:iCs/>
                <w:color w:val="000000"/>
                <w:sz w:val="20"/>
                <w:szCs w:val="20"/>
              </w:rPr>
              <w:t xml:space="preserve"> </w:t>
            </w:r>
            <w:r w:rsidR="00091A18" w:rsidRPr="00597FFB">
              <w:rPr>
                <w:rFonts w:asciiTheme="majorBidi" w:eastAsia="Calibri" w:hAnsiTheme="majorBidi" w:cstheme="majorBidi"/>
                <w:iCs/>
                <w:color w:val="000000"/>
                <w:sz w:val="20"/>
                <w:szCs w:val="20"/>
              </w:rPr>
              <w:t xml:space="preserve">Of </w:t>
            </w:r>
            <w:r w:rsidR="004F0C3A" w:rsidRPr="00597FFB">
              <w:rPr>
                <w:rFonts w:asciiTheme="majorBidi" w:eastAsia="Calibri" w:hAnsiTheme="majorBidi" w:cstheme="majorBidi"/>
                <w:iCs/>
                <w:color w:val="000000"/>
                <w:sz w:val="20"/>
                <w:szCs w:val="20"/>
              </w:rPr>
              <w:t xml:space="preserve">Responsibility </w:t>
            </w:r>
            <w:r w:rsidR="00091A18" w:rsidRPr="00597FFB">
              <w:rPr>
                <w:rFonts w:asciiTheme="majorBidi" w:eastAsia="Calibri" w:hAnsiTheme="majorBidi" w:cstheme="majorBidi"/>
                <w:iCs/>
                <w:color w:val="000000"/>
                <w:sz w:val="20"/>
                <w:szCs w:val="20"/>
              </w:rPr>
              <w:t>(</w:t>
            </w:r>
            <w:r w:rsidR="004F0C3A" w:rsidRPr="00597FFB">
              <w:rPr>
                <w:rFonts w:asciiTheme="majorBidi" w:eastAsia="Calibri" w:hAnsiTheme="majorBidi" w:cstheme="majorBidi"/>
                <w:iCs/>
                <w:color w:val="000000"/>
                <w:sz w:val="20"/>
                <w:szCs w:val="20"/>
              </w:rPr>
              <w:t>AR</w:t>
            </w:r>
            <w:r w:rsidR="00091A18" w:rsidRPr="00597FFB">
              <w:rPr>
                <w:rFonts w:asciiTheme="majorBidi" w:eastAsia="Calibri" w:hAnsiTheme="majorBidi" w:cstheme="majorBidi"/>
                <w:iCs/>
                <w:color w:val="000000"/>
                <w:sz w:val="20"/>
                <w:szCs w:val="20"/>
              </w:rPr>
              <w:t xml:space="preserve">), </w:t>
            </w:r>
            <w:r w:rsidR="005113FA" w:rsidRPr="00597FFB">
              <w:rPr>
                <w:rFonts w:asciiTheme="majorBidi" w:eastAsia="Calibri" w:hAnsiTheme="majorBidi" w:cstheme="majorBidi"/>
                <w:iCs/>
                <w:color w:val="000000"/>
                <w:sz w:val="20"/>
                <w:szCs w:val="20"/>
              </w:rPr>
              <w:t>Awareness</w:t>
            </w:r>
            <w:r w:rsidR="008F474D" w:rsidRPr="00597FFB">
              <w:rPr>
                <w:rFonts w:asciiTheme="majorBidi" w:eastAsia="Calibri" w:hAnsiTheme="majorBidi" w:cstheme="majorBidi"/>
                <w:iCs/>
                <w:color w:val="000000"/>
                <w:sz w:val="20"/>
                <w:szCs w:val="20"/>
              </w:rPr>
              <w:t xml:space="preserve"> </w:t>
            </w:r>
            <w:r w:rsidR="00091A18" w:rsidRPr="00597FFB">
              <w:rPr>
                <w:rFonts w:asciiTheme="majorBidi" w:eastAsia="Calibri" w:hAnsiTheme="majorBidi" w:cstheme="majorBidi"/>
                <w:iCs/>
                <w:color w:val="000000"/>
                <w:sz w:val="20"/>
                <w:szCs w:val="20"/>
              </w:rPr>
              <w:t xml:space="preserve">Of </w:t>
            </w:r>
            <w:r w:rsidR="008F474D" w:rsidRPr="00597FFB">
              <w:rPr>
                <w:rFonts w:asciiTheme="majorBidi" w:eastAsia="Calibri" w:hAnsiTheme="majorBidi" w:cstheme="majorBidi"/>
                <w:iCs/>
                <w:color w:val="000000"/>
                <w:sz w:val="20"/>
                <w:szCs w:val="20"/>
              </w:rPr>
              <w:t xml:space="preserve">Consequences </w:t>
            </w:r>
            <w:r w:rsidR="00091A18" w:rsidRPr="00597FFB">
              <w:rPr>
                <w:rFonts w:asciiTheme="majorBidi" w:eastAsia="Calibri" w:hAnsiTheme="majorBidi" w:cstheme="majorBidi"/>
                <w:iCs/>
                <w:color w:val="000000"/>
                <w:sz w:val="20"/>
                <w:szCs w:val="20"/>
              </w:rPr>
              <w:t>(</w:t>
            </w:r>
            <w:r w:rsidR="008F474D" w:rsidRPr="00597FFB">
              <w:rPr>
                <w:rFonts w:asciiTheme="majorBidi" w:eastAsia="Calibri" w:hAnsiTheme="majorBidi" w:cstheme="majorBidi"/>
                <w:iCs/>
                <w:color w:val="000000"/>
                <w:sz w:val="20"/>
                <w:szCs w:val="20"/>
              </w:rPr>
              <w:t>AC</w:t>
            </w:r>
            <w:r w:rsidR="00091A18" w:rsidRPr="00597FFB">
              <w:rPr>
                <w:rFonts w:asciiTheme="majorBidi" w:eastAsia="Calibri" w:hAnsiTheme="majorBidi" w:cstheme="majorBidi"/>
                <w:iCs/>
                <w:color w:val="000000"/>
                <w:sz w:val="20"/>
                <w:szCs w:val="20"/>
              </w:rPr>
              <w:t xml:space="preserve">), </w:t>
            </w:r>
            <w:r w:rsidR="005113FA" w:rsidRPr="00597FFB">
              <w:rPr>
                <w:rFonts w:asciiTheme="majorBidi" w:eastAsia="Calibri" w:hAnsiTheme="majorBidi" w:cstheme="majorBidi"/>
                <w:iCs/>
                <w:color w:val="000000"/>
                <w:sz w:val="20"/>
                <w:szCs w:val="20"/>
              </w:rPr>
              <w:t xml:space="preserve">Privacy Concern </w:t>
            </w:r>
            <w:r w:rsidR="00091A18" w:rsidRPr="00597FFB">
              <w:rPr>
                <w:rFonts w:asciiTheme="majorBidi" w:eastAsia="Calibri" w:hAnsiTheme="majorBidi" w:cstheme="majorBidi"/>
                <w:iCs/>
                <w:color w:val="000000"/>
                <w:sz w:val="20"/>
                <w:szCs w:val="20"/>
              </w:rPr>
              <w:t>(</w:t>
            </w:r>
            <w:r w:rsidR="005113FA"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w:t>
            </w:r>
            <w:r w:rsidR="004A4AE2" w:rsidRPr="00597FFB">
              <w:rPr>
                <w:rFonts w:asciiTheme="majorBidi" w:eastAsia="Calibri" w:hAnsiTheme="majorBidi" w:cstheme="majorBidi"/>
                <w:iCs/>
                <w:color w:val="000000"/>
                <w:sz w:val="20"/>
                <w:szCs w:val="20"/>
              </w:rPr>
              <w:t xml:space="preserve">And </w:t>
            </w:r>
            <w:r w:rsidR="00091A18" w:rsidRPr="00597FFB">
              <w:rPr>
                <w:rFonts w:asciiTheme="majorBidi" w:eastAsia="Calibri" w:hAnsiTheme="majorBidi" w:cstheme="majorBidi"/>
                <w:iCs/>
                <w:color w:val="000000"/>
                <w:sz w:val="20"/>
                <w:szCs w:val="20"/>
              </w:rPr>
              <w:t xml:space="preserve">Intentions Towards </w:t>
            </w:r>
            <w:r w:rsidR="00765A5E"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Among Millennials?</w:t>
            </w:r>
          </w:p>
        </w:tc>
        <w:tc>
          <w:tcPr>
            <w:tcW w:w="2483" w:type="dxa"/>
          </w:tcPr>
          <w:p w14:paraId="0802F40D" w14:textId="176A8579" w:rsidR="00E23180" w:rsidRPr="00597FFB" w:rsidRDefault="00E23180" w:rsidP="00E23180">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iCs/>
                <w:color w:val="000000"/>
                <w:sz w:val="20"/>
                <w:szCs w:val="20"/>
              </w:rPr>
              <w:t xml:space="preserve">To Assess </w:t>
            </w:r>
            <w:r w:rsidR="002B481D" w:rsidRPr="00597FFB">
              <w:rPr>
                <w:rFonts w:asciiTheme="majorBidi" w:eastAsia="Calibri" w:hAnsiTheme="majorBidi" w:cstheme="majorBidi"/>
                <w:iCs/>
                <w:color w:val="000000"/>
                <w:sz w:val="20"/>
                <w:szCs w:val="20"/>
              </w:rPr>
              <w:t>P</w:t>
            </w:r>
            <w:r w:rsidR="004819FE" w:rsidRPr="00597FFB">
              <w:rPr>
                <w:rFonts w:asciiTheme="majorBidi" w:eastAsia="Calibri" w:hAnsiTheme="majorBidi" w:cstheme="majorBidi"/>
                <w:iCs/>
                <w:color w:val="000000"/>
                <w:sz w:val="20"/>
                <w:szCs w:val="20"/>
              </w:rPr>
              <w:t xml:space="preserve">ersonal </w:t>
            </w:r>
            <w:r w:rsidR="002B481D" w:rsidRPr="00597FFB">
              <w:rPr>
                <w:rFonts w:asciiTheme="majorBidi" w:eastAsia="Calibri" w:hAnsiTheme="majorBidi" w:cstheme="majorBidi"/>
                <w:iCs/>
                <w:color w:val="000000"/>
                <w:sz w:val="20"/>
                <w:szCs w:val="20"/>
              </w:rPr>
              <w:t>N</w:t>
            </w:r>
            <w:r w:rsidR="004819FE" w:rsidRPr="00597FFB">
              <w:rPr>
                <w:rFonts w:asciiTheme="majorBidi" w:eastAsia="Calibri" w:hAnsiTheme="majorBidi" w:cstheme="majorBidi"/>
                <w:iCs/>
                <w:color w:val="000000"/>
                <w:sz w:val="20"/>
                <w:szCs w:val="20"/>
              </w:rPr>
              <w:t xml:space="preserve">orm </w:t>
            </w:r>
            <w:r w:rsidR="00091A18" w:rsidRPr="00597FFB">
              <w:rPr>
                <w:rFonts w:asciiTheme="majorBidi" w:eastAsia="Calibri" w:hAnsiTheme="majorBidi" w:cstheme="majorBidi"/>
                <w:iCs/>
                <w:color w:val="000000"/>
                <w:sz w:val="20"/>
                <w:szCs w:val="20"/>
              </w:rPr>
              <w:t>(</w:t>
            </w:r>
            <w:r w:rsidR="004819FE"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Mediating Role Between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Relationship </w:t>
            </w:r>
            <w:r w:rsidR="00091A18" w:rsidRPr="00597FFB">
              <w:rPr>
                <w:rFonts w:asciiTheme="majorBidi" w:eastAsia="Calibri" w:hAnsiTheme="majorBidi" w:cstheme="majorBidi"/>
                <w:iCs/>
                <w:color w:val="000000"/>
                <w:sz w:val="20"/>
                <w:szCs w:val="20"/>
              </w:rPr>
              <w:t xml:space="preserve">Of </w:t>
            </w:r>
            <w:r w:rsidR="005113FA" w:rsidRPr="00597FFB">
              <w:rPr>
                <w:rFonts w:asciiTheme="majorBidi" w:eastAsia="Calibri" w:hAnsiTheme="majorBidi" w:cstheme="majorBidi"/>
                <w:iCs/>
                <w:color w:val="000000"/>
                <w:sz w:val="20"/>
                <w:szCs w:val="20"/>
              </w:rPr>
              <w:t xml:space="preserve">Ascription </w:t>
            </w:r>
            <w:r w:rsidR="00091A18" w:rsidRPr="00597FFB">
              <w:rPr>
                <w:rFonts w:asciiTheme="majorBidi" w:eastAsia="Calibri" w:hAnsiTheme="majorBidi" w:cstheme="majorBidi"/>
                <w:iCs/>
                <w:color w:val="000000"/>
                <w:sz w:val="20"/>
                <w:szCs w:val="20"/>
              </w:rPr>
              <w:t xml:space="preserve">Of </w:t>
            </w:r>
            <w:r w:rsidR="005113FA" w:rsidRPr="00597FFB">
              <w:rPr>
                <w:rFonts w:asciiTheme="majorBidi" w:eastAsia="Calibri" w:hAnsiTheme="majorBidi" w:cstheme="majorBidi"/>
                <w:iCs/>
                <w:color w:val="000000"/>
                <w:sz w:val="20"/>
                <w:szCs w:val="20"/>
              </w:rPr>
              <w:t xml:space="preserve">Responsibility </w:t>
            </w:r>
            <w:r w:rsidR="00091A18" w:rsidRPr="00597FFB">
              <w:rPr>
                <w:rFonts w:asciiTheme="majorBidi" w:eastAsia="Calibri" w:hAnsiTheme="majorBidi" w:cstheme="majorBidi"/>
                <w:iCs/>
                <w:color w:val="000000"/>
                <w:sz w:val="20"/>
                <w:szCs w:val="20"/>
              </w:rPr>
              <w:t>(</w:t>
            </w:r>
            <w:r w:rsidR="005113FA" w:rsidRPr="00597FFB">
              <w:rPr>
                <w:rFonts w:asciiTheme="majorBidi" w:eastAsia="Calibri" w:hAnsiTheme="majorBidi" w:cstheme="majorBidi"/>
                <w:iCs/>
                <w:color w:val="000000"/>
                <w:sz w:val="20"/>
                <w:szCs w:val="20"/>
              </w:rPr>
              <w:t>AR</w:t>
            </w:r>
            <w:r w:rsidR="00091A18" w:rsidRPr="00597FFB">
              <w:rPr>
                <w:rFonts w:asciiTheme="majorBidi" w:eastAsia="Calibri" w:hAnsiTheme="majorBidi" w:cstheme="majorBidi"/>
                <w:iCs/>
                <w:color w:val="000000"/>
                <w:sz w:val="20"/>
                <w:szCs w:val="20"/>
              </w:rPr>
              <w:t xml:space="preserve">), </w:t>
            </w:r>
            <w:r w:rsidR="005113FA" w:rsidRPr="00597FFB">
              <w:rPr>
                <w:rFonts w:asciiTheme="majorBidi" w:eastAsia="Calibri" w:hAnsiTheme="majorBidi" w:cstheme="majorBidi"/>
                <w:iCs/>
                <w:color w:val="000000"/>
                <w:sz w:val="20"/>
                <w:szCs w:val="20"/>
              </w:rPr>
              <w:t xml:space="preserve">Awareness </w:t>
            </w:r>
            <w:r w:rsidR="00091A18" w:rsidRPr="00597FFB">
              <w:rPr>
                <w:rFonts w:asciiTheme="majorBidi" w:eastAsia="Calibri" w:hAnsiTheme="majorBidi" w:cstheme="majorBidi"/>
                <w:iCs/>
                <w:color w:val="000000"/>
                <w:sz w:val="20"/>
                <w:szCs w:val="20"/>
              </w:rPr>
              <w:t xml:space="preserve">Of </w:t>
            </w:r>
            <w:r w:rsidR="005113FA" w:rsidRPr="00597FFB">
              <w:rPr>
                <w:rFonts w:asciiTheme="majorBidi" w:eastAsia="Calibri" w:hAnsiTheme="majorBidi" w:cstheme="majorBidi"/>
                <w:iCs/>
                <w:color w:val="000000"/>
                <w:sz w:val="20"/>
                <w:szCs w:val="20"/>
              </w:rPr>
              <w:t xml:space="preserve">Consequences </w:t>
            </w:r>
            <w:r w:rsidR="00091A18" w:rsidRPr="00597FFB">
              <w:rPr>
                <w:rFonts w:asciiTheme="majorBidi" w:eastAsia="Calibri" w:hAnsiTheme="majorBidi" w:cstheme="majorBidi"/>
                <w:iCs/>
                <w:color w:val="000000"/>
                <w:sz w:val="20"/>
                <w:szCs w:val="20"/>
              </w:rPr>
              <w:t>(</w:t>
            </w:r>
            <w:r w:rsidR="005113FA" w:rsidRPr="00597FFB">
              <w:rPr>
                <w:rFonts w:asciiTheme="majorBidi" w:eastAsia="Calibri" w:hAnsiTheme="majorBidi" w:cstheme="majorBidi"/>
                <w:iCs/>
                <w:color w:val="000000"/>
                <w:sz w:val="20"/>
                <w:szCs w:val="20"/>
              </w:rPr>
              <w:t>AC</w:t>
            </w:r>
            <w:r w:rsidR="00091A18" w:rsidRPr="00597FFB">
              <w:rPr>
                <w:rFonts w:asciiTheme="majorBidi" w:eastAsia="Calibri" w:hAnsiTheme="majorBidi" w:cstheme="majorBidi"/>
                <w:iCs/>
                <w:color w:val="000000"/>
                <w:sz w:val="20"/>
                <w:szCs w:val="20"/>
              </w:rPr>
              <w:t xml:space="preserve">), </w:t>
            </w:r>
            <w:r w:rsidR="005113FA" w:rsidRPr="00597FFB">
              <w:rPr>
                <w:rFonts w:asciiTheme="majorBidi" w:eastAsia="Calibri" w:hAnsiTheme="majorBidi" w:cstheme="majorBidi"/>
                <w:iCs/>
                <w:color w:val="000000"/>
                <w:sz w:val="20"/>
                <w:szCs w:val="20"/>
              </w:rPr>
              <w:t xml:space="preserve">Privacy Concern </w:t>
            </w:r>
            <w:r w:rsidR="00091A18" w:rsidRPr="00597FFB">
              <w:rPr>
                <w:rFonts w:asciiTheme="majorBidi" w:eastAsia="Calibri" w:hAnsiTheme="majorBidi" w:cstheme="majorBidi"/>
                <w:iCs/>
                <w:color w:val="000000"/>
                <w:sz w:val="20"/>
                <w:szCs w:val="20"/>
              </w:rPr>
              <w:t>(</w:t>
            </w:r>
            <w:r w:rsidR="005113FA"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And Intentions Towards </w:t>
            </w:r>
            <w:r w:rsidR="00765A5E"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Among Millennials.</w:t>
            </w:r>
          </w:p>
        </w:tc>
        <w:tc>
          <w:tcPr>
            <w:tcW w:w="2502" w:type="dxa"/>
          </w:tcPr>
          <w:p w14:paraId="7749A0EB" w14:textId="0D8D459D" w:rsidR="006D7017" w:rsidRPr="00597FFB" w:rsidRDefault="006D7017" w:rsidP="006D7017">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H9</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Personal </w:t>
            </w:r>
            <w:r w:rsidR="00091A18" w:rsidRPr="00597FFB">
              <w:rPr>
                <w:rFonts w:asciiTheme="majorBidi" w:eastAsia="Calibri" w:hAnsiTheme="majorBidi" w:cstheme="majorBidi"/>
                <w:bCs/>
                <w:iCs/>
                <w:sz w:val="20"/>
                <w:szCs w:val="20"/>
              </w:rPr>
              <w:t>Norm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Mediates The Relationship Between Ascription Of Responsibility (</w:t>
            </w:r>
            <w:r w:rsidRPr="00597FFB">
              <w:rPr>
                <w:rFonts w:asciiTheme="majorBidi" w:eastAsia="Calibri" w:hAnsiTheme="majorBidi" w:cstheme="majorBidi"/>
                <w:bCs/>
                <w:iCs/>
                <w:sz w:val="20"/>
                <w:szCs w:val="20"/>
              </w:rPr>
              <w:t>AR</w:t>
            </w:r>
            <w:r w:rsidR="00091A18" w:rsidRPr="00597FFB">
              <w:rPr>
                <w:rFonts w:asciiTheme="majorBidi" w:eastAsia="Calibri" w:hAnsiTheme="majorBidi" w:cstheme="majorBidi"/>
                <w:bCs/>
                <w:iCs/>
                <w:sz w:val="20"/>
                <w:szCs w:val="20"/>
              </w:rPr>
              <w:t xml:space="preserve">) And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091A18" w:rsidRPr="00597FFB">
              <w:rPr>
                <w:rFonts w:asciiTheme="majorBidi" w:eastAsia="Calibri" w:hAnsiTheme="majorBidi" w:cstheme="majorBidi"/>
                <w:b/>
                <w:iCs/>
                <w:sz w:val="20"/>
                <w:szCs w:val="20"/>
              </w:rPr>
              <w:t>.</w:t>
            </w:r>
          </w:p>
          <w:p w14:paraId="5EAF4D15" w14:textId="1693BFF2" w:rsidR="006D7017" w:rsidRPr="00597FFB" w:rsidRDefault="006D7017" w:rsidP="006D7017">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H0</w:t>
            </w:r>
            <w:r w:rsidR="00091A18" w:rsidRPr="00597FFB">
              <w:rPr>
                <w:rFonts w:asciiTheme="majorBidi" w:eastAsia="Calibri" w:hAnsiTheme="majorBidi" w:cstheme="majorBidi"/>
                <w:b/>
                <w:iCs/>
                <w:sz w:val="20"/>
                <w:szCs w:val="20"/>
              </w:rPr>
              <w:t xml:space="preserve">: </w:t>
            </w:r>
            <w:r w:rsidR="00091A18" w:rsidRPr="00597FFB">
              <w:rPr>
                <w:rFonts w:asciiTheme="majorBidi" w:eastAsia="Calibri" w:hAnsiTheme="majorBidi" w:cstheme="majorBidi"/>
                <w:bCs/>
                <w:iCs/>
                <w:sz w:val="20"/>
                <w:szCs w:val="20"/>
              </w:rPr>
              <w:t>Personal Norm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Mediates The Relationship Between Awareness Of Consequences (</w:t>
            </w:r>
            <w:r w:rsidRPr="00597FFB">
              <w:rPr>
                <w:rFonts w:asciiTheme="majorBidi" w:eastAsia="Calibri" w:hAnsiTheme="majorBidi" w:cstheme="majorBidi"/>
                <w:bCs/>
                <w:iCs/>
                <w:sz w:val="20"/>
                <w:szCs w:val="20"/>
              </w:rPr>
              <w:t>AC</w:t>
            </w:r>
            <w:r w:rsidR="00091A18" w:rsidRPr="00597FFB">
              <w:rPr>
                <w:rFonts w:asciiTheme="majorBidi" w:eastAsia="Calibri" w:hAnsiTheme="majorBidi" w:cstheme="majorBidi"/>
                <w:bCs/>
                <w:iCs/>
                <w:sz w:val="20"/>
                <w:szCs w:val="20"/>
              </w:rPr>
              <w:t xml:space="preserve">) And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r w:rsidR="00091A18" w:rsidRPr="00597FFB">
              <w:rPr>
                <w:rFonts w:asciiTheme="majorBidi" w:eastAsia="Calibri" w:hAnsiTheme="majorBidi" w:cstheme="majorBidi"/>
                <w:b/>
                <w:iCs/>
                <w:sz w:val="20"/>
                <w:szCs w:val="20"/>
              </w:rPr>
              <w:t>.</w:t>
            </w:r>
          </w:p>
          <w:p w14:paraId="745947F3" w14:textId="06DA4382" w:rsidR="00E23180" w:rsidRPr="00597FFB" w:rsidRDefault="006D7017" w:rsidP="006D7017">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H11</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Personal </w:t>
            </w:r>
            <w:r w:rsidR="00091A18" w:rsidRPr="00597FFB">
              <w:rPr>
                <w:rFonts w:asciiTheme="majorBidi" w:eastAsia="Calibri" w:hAnsiTheme="majorBidi" w:cstheme="majorBidi"/>
                <w:bCs/>
                <w:iCs/>
                <w:sz w:val="20"/>
                <w:szCs w:val="20"/>
              </w:rPr>
              <w:t>Norm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Mediate The Relationship Between Privacy Concern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xml:space="preserve">) And Intentions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tc>
      </w:tr>
      <w:tr w:rsidR="00705BEE" w:rsidRPr="00597FFB" w14:paraId="25712E02" w14:textId="77777777" w:rsidTr="001E19F2">
        <w:tc>
          <w:tcPr>
            <w:tcW w:w="2501" w:type="dxa"/>
          </w:tcPr>
          <w:p w14:paraId="6ACC6B01" w14:textId="7A3A996D" w:rsidR="00705BEE" w:rsidRPr="00597FFB" w:rsidRDefault="00705BEE"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How Do Millennial's </w:t>
            </w:r>
            <w:r w:rsidR="003F6411" w:rsidRPr="00597FFB">
              <w:rPr>
                <w:rFonts w:asciiTheme="majorBidi" w:eastAsia="Calibri" w:hAnsiTheme="majorBidi" w:cstheme="majorBidi"/>
                <w:iCs/>
                <w:color w:val="000000"/>
                <w:sz w:val="20"/>
                <w:szCs w:val="20"/>
              </w:rPr>
              <w:t xml:space="preserve">Protection Motivation </w:t>
            </w:r>
            <w:r w:rsidR="00091A18" w:rsidRPr="00597FFB">
              <w:rPr>
                <w:rFonts w:asciiTheme="majorBidi" w:eastAsia="Calibri" w:hAnsiTheme="majorBidi" w:cstheme="majorBidi"/>
                <w:iCs/>
                <w:color w:val="000000"/>
                <w:sz w:val="20"/>
                <w:szCs w:val="20"/>
              </w:rPr>
              <w:t>(</w:t>
            </w:r>
            <w:r w:rsidR="003F6411" w:rsidRPr="00597FFB">
              <w:rPr>
                <w:rFonts w:asciiTheme="majorBidi" w:eastAsia="Calibri" w:hAnsiTheme="majorBidi" w:cstheme="majorBidi"/>
                <w:iCs/>
                <w:color w:val="000000"/>
                <w:sz w:val="20"/>
                <w:szCs w:val="20"/>
              </w:rPr>
              <w:t>PM</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Influence </w:t>
            </w:r>
            <w:r w:rsidR="00D34194" w:rsidRPr="00597FFB">
              <w:rPr>
                <w:rFonts w:asciiTheme="majorBidi" w:eastAsia="Calibri" w:hAnsiTheme="majorBidi" w:cstheme="majorBidi"/>
                <w:iCs/>
                <w:color w:val="000000"/>
                <w:sz w:val="20"/>
                <w:szCs w:val="20"/>
              </w:rPr>
              <w:t>The Association of Threat</w:t>
            </w:r>
            <w:r w:rsidR="002759BD" w:rsidRPr="00597FFB">
              <w:rPr>
                <w:rFonts w:asciiTheme="majorBidi" w:eastAsia="Calibri" w:hAnsiTheme="majorBidi" w:cstheme="majorBidi"/>
                <w:iCs/>
                <w:color w:val="000000"/>
                <w:sz w:val="20"/>
                <w:szCs w:val="20"/>
              </w:rPr>
              <w:t xml:space="preserve"> Appraisal </w:t>
            </w:r>
            <w:r w:rsidR="00091A18" w:rsidRPr="00597FFB">
              <w:rPr>
                <w:rFonts w:asciiTheme="majorBidi" w:eastAsia="Calibri" w:hAnsiTheme="majorBidi" w:cstheme="majorBidi"/>
                <w:iCs/>
                <w:color w:val="000000"/>
                <w:sz w:val="20"/>
                <w:szCs w:val="20"/>
              </w:rPr>
              <w:t>(</w:t>
            </w:r>
            <w:r w:rsidR="002759BD" w:rsidRPr="00597FFB">
              <w:rPr>
                <w:rFonts w:asciiTheme="majorBidi" w:eastAsia="Calibri" w:hAnsiTheme="majorBidi" w:cstheme="majorBidi"/>
                <w:iCs/>
                <w:color w:val="000000"/>
                <w:sz w:val="20"/>
                <w:szCs w:val="20"/>
              </w:rPr>
              <w:t>TA</w:t>
            </w:r>
            <w:r w:rsidR="00091A18" w:rsidRPr="00597FFB">
              <w:rPr>
                <w:rFonts w:asciiTheme="majorBidi" w:eastAsia="Calibri" w:hAnsiTheme="majorBidi" w:cstheme="majorBidi"/>
                <w:iCs/>
                <w:color w:val="000000"/>
                <w:sz w:val="20"/>
                <w:szCs w:val="20"/>
              </w:rPr>
              <w:t xml:space="preserve">), </w:t>
            </w:r>
            <w:r w:rsidR="00037600" w:rsidRPr="00597FFB">
              <w:rPr>
                <w:rFonts w:asciiTheme="majorBidi" w:eastAsia="Calibri" w:hAnsiTheme="majorBidi" w:cstheme="majorBidi"/>
                <w:iCs/>
                <w:color w:val="000000"/>
                <w:sz w:val="20"/>
                <w:szCs w:val="20"/>
              </w:rPr>
              <w:t>C</w:t>
            </w:r>
            <w:r w:rsidR="002759BD" w:rsidRPr="00597FFB">
              <w:rPr>
                <w:rFonts w:asciiTheme="majorBidi" w:eastAsia="Calibri" w:hAnsiTheme="majorBidi" w:cstheme="majorBidi"/>
                <w:iCs/>
                <w:color w:val="000000"/>
                <w:sz w:val="20"/>
                <w:szCs w:val="20"/>
              </w:rPr>
              <w:t xml:space="preserve">oping </w:t>
            </w:r>
            <w:r w:rsidR="00037600" w:rsidRPr="00597FFB">
              <w:rPr>
                <w:rFonts w:asciiTheme="majorBidi" w:eastAsia="Calibri" w:hAnsiTheme="majorBidi" w:cstheme="majorBidi"/>
                <w:iCs/>
                <w:color w:val="000000"/>
                <w:sz w:val="20"/>
                <w:szCs w:val="20"/>
              </w:rPr>
              <w:t>A</w:t>
            </w:r>
            <w:r w:rsidR="002759BD" w:rsidRPr="00597FFB">
              <w:rPr>
                <w:rFonts w:asciiTheme="majorBidi" w:eastAsia="Calibri" w:hAnsiTheme="majorBidi" w:cstheme="majorBidi"/>
                <w:iCs/>
                <w:color w:val="000000"/>
                <w:sz w:val="20"/>
                <w:szCs w:val="20"/>
              </w:rPr>
              <w:t xml:space="preserve">ppraisal </w:t>
            </w:r>
            <w:r w:rsidR="00091A18" w:rsidRPr="00597FFB">
              <w:rPr>
                <w:rFonts w:asciiTheme="majorBidi" w:eastAsia="Calibri" w:hAnsiTheme="majorBidi" w:cstheme="majorBidi"/>
                <w:iCs/>
                <w:color w:val="000000"/>
                <w:sz w:val="20"/>
                <w:szCs w:val="20"/>
              </w:rPr>
              <w:t>(</w:t>
            </w:r>
            <w:r w:rsidR="002759BD" w:rsidRPr="00597FFB">
              <w:rPr>
                <w:rFonts w:asciiTheme="majorBidi" w:eastAsia="Calibri" w:hAnsiTheme="majorBidi" w:cstheme="majorBidi"/>
                <w:iCs/>
                <w:color w:val="000000"/>
                <w:sz w:val="20"/>
                <w:szCs w:val="20"/>
              </w:rPr>
              <w:t>CA</w:t>
            </w:r>
            <w:r w:rsidR="00091A18" w:rsidRPr="00597FFB">
              <w:rPr>
                <w:rFonts w:asciiTheme="majorBidi" w:eastAsia="Calibri" w:hAnsiTheme="majorBidi" w:cstheme="majorBidi"/>
                <w:iCs/>
                <w:color w:val="000000"/>
                <w:sz w:val="20"/>
                <w:szCs w:val="20"/>
              </w:rPr>
              <w:t xml:space="preserve">) And Intention To Adopt </w:t>
            </w:r>
            <w:r w:rsidR="003F6411"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w:t>
            </w:r>
            <w:r w:rsidR="003F6411" w:rsidRPr="00597FFB">
              <w:rPr>
                <w:rFonts w:asciiTheme="majorBidi" w:eastAsia="Calibri" w:hAnsiTheme="majorBidi" w:cstheme="majorBidi"/>
                <w:iCs/>
                <w:color w:val="000000"/>
                <w:sz w:val="20"/>
                <w:szCs w:val="20"/>
              </w:rPr>
              <w:t>AD</w:t>
            </w:r>
            <w:r w:rsidR="00091A18" w:rsidRPr="00597FFB">
              <w:rPr>
                <w:rFonts w:asciiTheme="majorBidi" w:eastAsia="Calibri" w:hAnsiTheme="majorBidi" w:cstheme="majorBidi"/>
                <w:iCs/>
                <w:color w:val="000000"/>
                <w:sz w:val="20"/>
                <w:szCs w:val="20"/>
              </w:rPr>
              <w:t>) Among Millennials?</w:t>
            </w:r>
          </w:p>
        </w:tc>
        <w:tc>
          <w:tcPr>
            <w:tcW w:w="2483" w:type="dxa"/>
          </w:tcPr>
          <w:p w14:paraId="3F320065" w14:textId="05F89746" w:rsidR="00705BEE" w:rsidRPr="00597FFB" w:rsidRDefault="002759BD"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Assess Protection Motivation </w:t>
            </w:r>
            <w:r w:rsidR="00091A18" w:rsidRPr="00597FFB">
              <w:rPr>
                <w:rFonts w:asciiTheme="majorBidi" w:eastAsia="Calibri" w:hAnsiTheme="majorBidi" w:cstheme="majorBidi"/>
                <w:iCs/>
                <w:color w:val="000000"/>
                <w:sz w:val="20"/>
                <w:szCs w:val="20"/>
              </w:rPr>
              <w:t>(</w:t>
            </w:r>
            <w:r w:rsidRPr="00597FFB">
              <w:rPr>
                <w:rFonts w:asciiTheme="majorBidi" w:eastAsia="Calibri" w:hAnsiTheme="majorBidi" w:cstheme="majorBidi"/>
                <w:iCs/>
                <w:color w:val="000000"/>
                <w:sz w:val="20"/>
                <w:szCs w:val="20"/>
              </w:rPr>
              <w:t>PM</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Mediating Role Between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Relationship </w:t>
            </w:r>
            <w:r w:rsidR="00091A18" w:rsidRPr="00597FFB">
              <w:rPr>
                <w:rFonts w:asciiTheme="majorBidi" w:eastAsia="Calibri" w:hAnsiTheme="majorBidi" w:cstheme="majorBidi"/>
                <w:iCs/>
                <w:color w:val="000000"/>
                <w:sz w:val="20"/>
                <w:szCs w:val="20"/>
              </w:rPr>
              <w:t xml:space="preserve">Of </w:t>
            </w:r>
            <w:r w:rsidRPr="00597FFB">
              <w:rPr>
                <w:rFonts w:asciiTheme="majorBidi" w:eastAsia="Calibri" w:hAnsiTheme="majorBidi" w:cstheme="majorBidi"/>
                <w:iCs/>
                <w:color w:val="000000"/>
                <w:sz w:val="20"/>
                <w:szCs w:val="20"/>
              </w:rPr>
              <w:t xml:space="preserve">Ascription </w:t>
            </w:r>
            <w:r w:rsidR="00091A18" w:rsidRPr="00597FFB">
              <w:rPr>
                <w:rFonts w:asciiTheme="majorBidi" w:eastAsia="Calibri" w:hAnsiTheme="majorBidi" w:cstheme="majorBidi"/>
                <w:iCs/>
                <w:color w:val="000000"/>
                <w:sz w:val="20"/>
                <w:szCs w:val="20"/>
              </w:rPr>
              <w:t xml:space="preserve">Of </w:t>
            </w:r>
            <w:r w:rsidR="007A33D5" w:rsidRPr="00597FFB">
              <w:rPr>
                <w:rFonts w:asciiTheme="majorBidi" w:eastAsia="Calibri" w:hAnsiTheme="majorBidi" w:cstheme="majorBidi"/>
                <w:iCs/>
                <w:color w:val="000000"/>
                <w:sz w:val="20"/>
                <w:szCs w:val="20"/>
              </w:rPr>
              <w:t xml:space="preserve">Threat Appraisal </w:t>
            </w:r>
            <w:r w:rsidR="00091A18" w:rsidRPr="00597FFB">
              <w:rPr>
                <w:rFonts w:asciiTheme="majorBidi" w:eastAsia="Calibri" w:hAnsiTheme="majorBidi" w:cstheme="majorBidi"/>
                <w:iCs/>
                <w:color w:val="000000"/>
                <w:sz w:val="20"/>
                <w:szCs w:val="20"/>
              </w:rPr>
              <w:t>(</w:t>
            </w:r>
            <w:r w:rsidR="007A33D5" w:rsidRPr="00597FFB">
              <w:rPr>
                <w:rFonts w:asciiTheme="majorBidi" w:eastAsia="Calibri" w:hAnsiTheme="majorBidi" w:cstheme="majorBidi"/>
                <w:iCs/>
                <w:color w:val="000000"/>
                <w:sz w:val="20"/>
                <w:szCs w:val="20"/>
              </w:rPr>
              <w:t>TA</w:t>
            </w:r>
            <w:r w:rsidR="00091A18" w:rsidRPr="00597FFB">
              <w:rPr>
                <w:rFonts w:asciiTheme="majorBidi" w:eastAsia="Calibri" w:hAnsiTheme="majorBidi" w:cstheme="majorBidi"/>
                <w:iCs/>
                <w:color w:val="000000"/>
                <w:sz w:val="20"/>
                <w:szCs w:val="20"/>
              </w:rPr>
              <w:t xml:space="preserve">), </w:t>
            </w:r>
            <w:r w:rsidR="007A33D5" w:rsidRPr="00597FFB">
              <w:rPr>
                <w:rFonts w:asciiTheme="majorBidi" w:eastAsia="Calibri" w:hAnsiTheme="majorBidi" w:cstheme="majorBidi"/>
                <w:iCs/>
                <w:color w:val="000000"/>
                <w:sz w:val="20"/>
                <w:szCs w:val="20"/>
              </w:rPr>
              <w:t xml:space="preserve">Coping Appraisal </w:t>
            </w:r>
            <w:r w:rsidR="00091A18" w:rsidRPr="00597FFB">
              <w:rPr>
                <w:rFonts w:asciiTheme="majorBidi" w:eastAsia="Calibri" w:hAnsiTheme="majorBidi" w:cstheme="majorBidi"/>
                <w:iCs/>
                <w:color w:val="000000"/>
                <w:sz w:val="20"/>
                <w:szCs w:val="20"/>
              </w:rPr>
              <w:t>(</w:t>
            </w:r>
            <w:r w:rsidR="00D3271C" w:rsidRPr="00597FFB">
              <w:rPr>
                <w:rFonts w:asciiTheme="majorBidi" w:eastAsia="Calibri" w:hAnsiTheme="majorBidi" w:cstheme="majorBidi"/>
                <w:iCs/>
                <w:color w:val="000000"/>
                <w:sz w:val="20"/>
                <w:szCs w:val="20"/>
              </w:rPr>
              <w:t>CA</w:t>
            </w:r>
            <w:r w:rsidR="00091A18" w:rsidRPr="00597FFB">
              <w:rPr>
                <w:rFonts w:asciiTheme="majorBidi" w:eastAsia="Calibri" w:hAnsiTheme="majorBidi" w:cstheme="majorBidi"/>
                <w:iCs/>
                <w:color w:val="000000"/>
                <w:sz w:val="20"/>
                <w:szCs w:val="20"/>
              </w:rPr>
              <w:t xml:space="preserve">) And Intention To Adopt </w:t>
            </w:r>
            <w:r w:rsidR="003F6411"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w:t>
            </w:r>
            <w:r w:rsidR="003F6411" w:rsidRPr="00597FFB">
              <w:rPr>
                <w:rFonts w:asciiTheme="majorBidi" w:eastAsia="Calibri" w:hAnsiTheme="majorBidi" w:cstheme="majorBidi"/>
                <w:iCs/>
                <w:color w:val="000000"/>
                <w:sz w:val="20"/>
                <w:szCs w:val="20"/>
              </w:rPr>
              <w:t>AD</w:t>
            </w:r>
            <w:r w:rsidR="00091A18" w:rsidRPr="00597FFB">
              <w:rPr>
                <w:rFonts w:asciiTheme="majorBidi" w:eastAsia="Calibri" w:hAnsiTheme="majorBidi" w:cstheme="majorBidi"/>
                <w:iCs/>
                <w:color w:val="000000"/>
                <w:sz w:val="20"/>
                <w:szCs w:val="20"/>
              </w:rPr>
              <w:t>) Among Millennials.</w:t>
            </w:r>
          </w:p>
        </w:tc>
        <w:tc>
          <w:tcPr>
            <w:tcW w:w="2502" w:type="dxa"/>
          </w:tcPr>
          <w:p w14:paraId="1F212892" w14:textId="5A99C128" w:rsidR="00BB50CC" w:rsidRPr="00597FFB" w:rsidRDefault="00BB50CC" w:rsidP="00BB50CC">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H10</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Protection </w:t>
            </w:r>
            <w:r w:rsidR="00091A18" w:rsidRPr="00597FFB">
              <w:rPr>
                <w:rFonts w:asciiTheme="majorBidi" w:eastAsia="Calibri" w:hAnsiTheme="majorBidi" w:cstheme="majorBidi"/>
                <w:bCs/>
                <w:iCs/>
                <w:sz w:val="20"/>
                <w:szCs w:val="20"/>
              </w:rPr>
              <w:t>Motivation (</w:t>
            </w:r>
            <w:r w:rsidRPr="00597FFB">
              <w:rPr>
                <w:rFonts w:asciiTheme="majorBidi" w:eastAsia="Calibri" w:hAnsiTheme="majorBidi" w:cstheme="majorBidi"/>
                <w:bCs/>
                <w:iCs/>
                <w:sz w:val="20"/>
                <w:szCs w:val="20"/>
              </w:rPr>
              <w:t>PM</w:t>
            </w:r>
            <w:r w:rsidR="00091A18" w:rsidRPr="00597FFB">
              <w:rPr>
                <w:rFonts w:asciiTheme="majorBidi" w:eastAsia="Calibri" w:hAnsiTheme="majorBidi" w:cstheme="majorBidi"/>
                <w:bCs/>
                <w:iCs/>
                <w:sz w:val="20"/>
                <w:szCs w:val="20"/>
              </w:rPr>
              <w:t>) Mediates The Relationship Between Threat Appraisal (</w:t>
            </w:r>
            <w:r w:rsidRPr="00597FFB">
              <w:rPr>
                <w:rFonts w:asciiTheme="majorBidi" w:eastAsia="Calibri" w:hAnsiTheme="majorBidi" w:cstheme="majorBidi"/>
                <w:bCs/>
                <w:iCs/>
                <w:sz w:val="20"/>
                <w:szCs w:val="20"/>
              </w:rPr>
              <w:t>TA</w:t>
            </w:r>
            <w:r w:rsidR="00091A18" w:rsidRPr="00597FFB">
              <w:rPr>
                <w:rFonts w:asciiTheme="majorBidi" w:eastAsia="Calibri" w:hAnsiTheme="majorBidi" w:cstheme="majorBidi"/>
                <w:bCs/>
                <w:iCs/>
                <w:sz w:val="20"/>
                <w:szCs w:val="20"/>
              </w:rPr>
              <w:t xml:space="preserve">) And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w:t>
            </w:r>
            <w:r w:rsidRPr="00597FFB">
              <w:rPr>
                <w:rFonts w:asciiTheme="majorBidi" w:eastAsia="Calibri" w:hAnsiTheme="majorBidi" w:cstheme="majorBidi"/>
                <w:bCs/>
                <w:iCs/>
                <w:sz w:val="20"/>
                <w:szCs w:val="20"/>
              </w:rPr>
              <w:t>AD</w:t>
            </w:r>
            <w:r w:rsidR="00091A18" w:rsidRPr="00597FFB">
              <w:rPr>
                <w:rFonts w:asciiTheme="majorBidi" w:eastAsia="Calibri" w:hAnsiTheme="majorBidi" w:cstheme="majorBidi"/>
                <w:bCs/>
                <w:iCs/>
                <w:sz w:val="20"/>
                <w:szCs w:val="20"/>
              </w:rPr>
              <w:t>) Among Millennials</w:t>
            </w:r>
            <w:r w:rsidR="00091A18" w:rsidRPr="00597FFB">
              <w:rPr>
                <w:rFonts w:asciiTheme="majorBidi" w:eastAsia="Calibri" w:hAnsiTheme="majorBidi" w:cstheme="majorBidi"/>
                <w:b/>
                <w:iCs/>
                <w:sz w:val="20"/>
                <w:szCs w:val="20"/>
              </w:rPr>
              <w:t>.</w:t>
            </w:r>
          </w:p>
          <w:p w14:paraId="7C46066B" w14:textId="7BD41030" w:rsidR="00705BEE" w:rsidRPr="00597FFB" w:rsidRDefault="00BB50CC" w:rsidP="00BB50CC">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H11</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Protection </w:t>
            </w:r>
            <w:r w:rsidR="00091A18" w:rsidRPr="00597FFB">
              <w:rPr>
                <w:rFonts w:asciiTheme="majorBidi" w:eastAsia="Calibri" w:hAnsiTheme="majorBidi" w:cstheme="majorBidi"/>
                <w:bCs/>
                <w:iCs/>
                <w:sz w:val="20"/>
                <w:szCs w:val="20"/>
              </w:rPr>
              <w:t>Motivation (</w:t>
            </w:r>
            <w:r w:rsidRPr="00597FFB">
              <w:rPr>
                <w:rFonts w:asciiTheme="majorBidi" w:eastAsia="Calibri" w:hAnsiTheme="majorBidi" w:cstheme="majorBidi"/>
                <w:bCs/>
                <w:iCs/>
                <w:sz w:val="20"/>
                <w:szCs w:val="20"/>
              </w:rPr>
              <w:t>PM</w:t>
            </w:r>
            <w:r w:rsidR="00091A18" w:rsidRPr="00597FFB">
              <w:rPr>
                <w:rFonts w:asciiTheme="majorBidi" w:eastAsia="Calibri" w:hAnsiTheme="majorBidi" w:cstheme="majorBidi"/>
                <w:bCs/>
                <w:iCs/>
                <w:sz w:val="20"/>
                <w:szCs w:val="20"/>
              </w:rPr>
              <w:t>) Mediates The Relationship Between Coping Appraisal (</w:t>
            </w:r>
            <w:r w:rsidRPr="00597FFB">
              <w:rPr>
                <w:rFonts w:asciiTheme="majorBidi" w:eastAsia="Calibri" w:hAnsiTheme="majorBidi" w:cstheme="majorBidi"/>
                <w:bCs/>
                <w:iCs/>
                <w:sz w:val="20"/>
                <w:szCs w:val="20"/>
              </w:rPr>
              <w:t>CA</w:t>
            </w:r>
            <w:r w:rsidR="00091A18" w:rsidRPr="00597FFB">
              <w:rPr>
                <w:rFonts w:asciiTheme="majorBidi" w:eastAsia="Calibri" w:hAnsiTheme="majorBidi" w:cstheme="majorBidi"/>
                <w:bCs/>
                <w:iCs/>
                <w:sz w:val="20"/>
                <w:szCs w:val="20"/>
              </w:rPr>
              <w:t xml:space="preserve">) And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w:t>
            </w:r>
            <w:r w:rsidRPr="00597FFB">
              <w:rPr>
                <w:rFonts w:asciiTheme="majorBidi" w:eastAsia="Calibri" w:hAnsiTheme="majorBidi" w:cstheme="majorBidi"/>
                <w:bCs/>
                <w:iCs/>
                <w:sz w:val="20"/>
                <w:szCs w:val="20"/>
              </w:rPr>
              <w:t>AD</w:t>
            </w:r>
            <w:r w:rsidR="00091A18" w:rsidRPr="00597FFB">
              <w:rPr>
                <w:rFonts w:asciiTheme="majorBidi" w:eastAsia="Calibri" w:hAnsiTheme="majorBidi" w:cstheme="majorBidi"/>
                <w:bCs/>
                <w:iCs/>
                <w:sz w:val="20"/>
                <w:szCs w:val="20"/>
              </w:rPr>
              <w:t>) Among Millennials.</w:t>
            </w:r>
          </w:p>
        </w:tc>
      </w:tr>
      <w:tr w:rsidR="00E23180" w:rsidRPr="00597FFB" w14:paraId="0C314308" w14:textId="77777777" w:rsidTr="001E19F2">
        <w:tc>
          <w:tcPr>
            <w:tcW w:w="2501" w:type="dxa"/>
          </w:tcPr>
          <w:p w14:paraId="0A840D33" w14:textId="1F0BB4FC" w:rsidR="00E23180" w:rsidRPr="00597FFB" w:rsidRDefault="00E23180" w:rsidP="00E23180">
            <w:pPr>
              <w:spacing w:before="26" w:after="26" w:line="240" w:lineRule="auto"/>
              <w:contextualSpacing/>
              <w:rPr>
                <w:rFonts w:asciiTheme="majorBidi" w:eastAsia="Calibri" w:hAnsiTheme="majorBidi" w:cstheme="majorBidi"/>
                <w:iCs/>
                <w:color w:val="000000"/>
                <w:sz w:val="20"/>
                <w:szCs w:val="20"/>
              </w:rPr>
            </w:pPr>
            <w:bookmarkStart w:id="59" w:name="_Hlk124320306"/>
            <w:r w:rsidRPr="00597FFB">
              <w:rPr>
                <w:rFonts w:asciiTheme="majorBidi" w:eastAsia="Calibri" w:hAnsiTheme="majorBidi" w:cstheme="majorBidi"/>
                <w:iCs/>
                <w:color w:val="000000"/>
                <w:sz w:val="20"/>
                <w:szCs w:val="20"/>
              </w:rPr>
              <w:t xml:space="preserve">How </w:t>
            </w:r>
            <w:r w:rsidR="00091A18" w:rsidRPr="00597FFB">
              <w:rPr>
                <w:rFonts w:asciiTheme="majorBidi" w:eastAsia="Calibri" w:hAnsiTheme="majorBidi" w:cstheme="majorBidi"/>
                <w:iCs/>
                <w:color w:val="000000"/>
                <w:sz w:val="20"/>
                <w:szCs w:val="20"/>
              </w:rPr>
              <w:t>Does</w:t>
            </w:r>
            <w:r w:rsidR="00091A18" w:rsidRPr="00597FFB">
              <w:rPr>
                <w:rFonts w:asciiTheme="majorBidi" w:eastAsia="Calibri" w:hAnsiTheme="majorBidi" w:cstheme="majorBidi"/>
                <w:iCs/>
                <w:sz w:val="20"/>
                <w:szCs w:val="20"/>
              </w:rPr>
              <w:t xml:space="preserve"> </w:t>
            </w:r>
            <w:r w:rsidR="00CB2C0C" w:rsidRPr="00597FFB">
              <w:rPr>
                <w:rFonts w:asciiTheme="majorBidi" w:eastAsia="Calibri" w:hAnsiTheme="majorBidi" w:cstheme="majorBidi"/>
                <w:iCs/>
                <w:color w:val="000000"/>
                <w:sz w:val="20"/>
                <w:szCs w:val="20"/>
              </w:rPr>
              <w:t xml:space="preserve">Environmental Concern </w:t>
            </w:r>
            <w:r w:rsidR="00091A18" w:rsidRPr="00597FFB">
              <w:rPr>
                <w:rFonts w:asciiTheme="majorBidi" w:eastAsia="Calibri" w:hAnsiTheme="majorBidi" w:cstheme="majorBidi"/>
                <w:iCs/>
                <w:color w:val="000000"/>
                <w:sz w:val="20"/>
                <w:szCs w:val="20"/>
              </w:rPr>
              <w:t>(</w:t>
            </w:r>
            <w:r w:rsidR="00CB2C0C" w:rsidRPr="00597FFB">
              <w:rPr>
                <w:rFonts w:asciiTheme="majorBidi" w:eastAsia="Calibri" w:hAnsiTheme="majorBidi" w:cstheme="majorBidi"/>
                <w:iCs/>
                <w:color w:val="000000"/>
                <w:sz w:val="20"/>
                <w:szCs w:val="20"/>
              </w:rPr>
              <w:t>EC</w:t>
            </w:r>
            <w:r w:rsidR="00091A18" w:rsidRPr="00597FFB">
              <w:rPr>
                <w:rFonts w:asciiTheme="majorBidi" w:eastAsia="Calibri" w:hAnsiTheme="majorBidi" w:cstheme="majorBidi"/>
                <w:iCs/>
                <w:color w:val="000000"/>
                <w:sz w:val="20"/>
                <w:szCs w:val="20"/>
              </w:rPr>
              <w:t>) Moderate</w:t>
            </w:r>
            <w:r w:rsidR="00091A18" w:rsidRPr="00597FFB">
              <w:rPr>
                <w:rFonts w:asciiTheme="majorBidi" w:eastAsia="Calibri" w:hAnsiTheme="majorBidi" w:cstheme="majorBidi"/>
                <w:iCs/>
                <w:sz w:val="20"/>
                <w:szCs w:val="20"/>
              </w:rPr>
              <w:t xml:space="preserve"> The Relationship Between </w:t>
            </w:r>
            <w:r w:rsidR="0049768D" w:rsidRPr="00597FFB">
              <w:rPr>
                <w:rFonts w:asciiTheme="majorBidi" w:eastAsia="Calibri" w:hAnsiTheme="majorBidi" w:cstheme="majorBidi"/>
                <w:iCs/>
                <w:sz w:val="20"/>
                <w:szCs w:val="20"/>
              </w:rPr>
              <w:t xml:space="preserve">EWR Behavioral Intentions </w:t>
            </w:r>
            <w:r w:rsidR="00091A18" w:rsidRPr="00597FFB">
              <w:rPr>
                <w:rFonts w:asciiTheme="majorBidi" w:eastAsia="Calibri" w:hAnsiTheme="majorBidi" w:cstheme="majorBidi"/>
                <w:iCs/>
                <w:sz w:val="20"/>
                <w:szCs w:val="20"/>
              </w:rPr>
              <w:t>(</w:t>
            </w:r>
            <w:r w:rsidR="0049768D" w:rsidRPr="00597FFB">
              <w:rPr>
                <w:rFonts w:asciiTheme="majorBidi" w:eastAsia="Calibri" w:hAnsiTheme="majorBidi" w:cstheme="majorBidi"/>
                <w:iCs/>
                <w:sz w:val="20"/>
                <w:szCs w:val="20"/>
              </w:rPr>
              <w:t>EWRBI</w:t>
            </w:r>
            <w:r w:rsidR="00091A18" w:rsidRPr="00597FFB">
              <w:rPr>
                <w:rFonts w:asciiTheme="majorBidi" w:eastAsia="Calibri" w:hAnsiTheme="majorBidi" w:cstheme="majorBidi"/>
                <w:iCs/>
                <w:sz w:val="20"/>
                <w:szCs w:val="20"/>
              </w:rPr>
              <w:t xml:space="preserve">) And Adoption Of </w:t>
            </w:r>
            <w:r w:rsidR="0049768D" w:rsidRPr="00597FFB">
              <w:rPr>
                <w:rFonts w:asciiTheme="majorBidi" w:eastAsia="Calibri" w:hAnsiTheme="majorBidi" w:cstheme="majorBidi"/>
                <w:iCs/>
                <w:sz w:val="20"/>
                <w:szCs w:val="20"/>
              </w:rPr>
              <w:t xml:space="preserve">EWR </w:t>
            </w:r>
            <w:r w:rsidR="00091A18" w:rsidRPr="00597FFB">
              <w:rPr>
                <w:rFonts w:asciiTheme="majorBidi" w:eastAsia="Calibri" w:hAnsiTheme="majorBidi" w:cstheme="majorBidi"/>
                <w:iCs/>
                <w:sz w:val="20"/>
                <w:szCs w:val="20"/>
              </w:rPr>
              <w:t>Behavior Among Millennials</w:t>
            </w:r>
            <w:r w:rsidR="00091A18" w:rsidRPr="00597FFB">
              <w:rPr>
                <w:rFonts w:asciiTheme="majorBidi" w:eastAsia="Calibri" w:hAnsiTheme="majorBidi" w:cstheme="majorBidi"/>
                <w:iCs/>
                <w:color w:val="000000"/>
                <w:sz w:val="20"/>
                <w:szCs w:val="20"/>
              </w:rPr>
              <w:t>?</w:t>
            </w:r>
          </w:p>
        </w:tc>
        <w:tc>
          <w:tcPr>
            <w:tcW w:w="2483" w:type="dxa"/>
          </w:tcPr>
          <w:p w14:paraId="06FB2084" w14:textId="17EBD11A" w:rsidR="00E23180" w:rsidRPr="00597FFB" w:rsidRDefault="00E23180" w:rsidP="00E23180">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iCs/>
                <w:color w:val="000000"/>
                <w:sz w:val="20"/>
                <w:szCs w:val="20"/>
              </w:rPr>
              <w:t xml:space="preserve">To Investigate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Moderating Effect </w:t>
            </w:r>
            <w:r w:rsidR="00091A18" w:rsidRPr="00597FFB">
              <w:rPr>
                <w:rFonts w:asciiTheme="majorBidi" w:eastAsia="Calibri" w:hAnsiTheme="majorBidi" w:cstheme="majorBidi"/>
                <w:iCs/>
                <w:color w:val="000000"/>
                <w:sz w:val="20"/>
                <w:szCs w:val="20"/>
              </w:rPr>
              <w:t xml:space="preserve">Of </w:t>
            </w:r>
            <w:r w:rsidR="00CB2C0C" w:rsidRPr="00597FFB">
              <w:rPr>
                <w:rFonts w:asciiTheme="majorBidi" w:eastAsia="Calibri" w:hAnsiTheme="majorBidi" w:cstheme="majorBidi"/>
                <w:iCs/>
                <w:color w:val="000000"/>
                <w:sz w:val="20"/>
                <w:szCs w:val="20"/>
              </w:rPr>
              <w:t xml:space="preserve">Environmental Concern </w:t>
            </w:r>
            <w:r w:rsidR="00091A18" w:rsidRPr="00597FFB">
              <w:rPr>
                <w:rFonts w:asciiTheme="majorBidi" w:eastAsia="Calibri" w:hAnsiTheme="majorBidi" w:cstheme="majorBidi"/>
                <w:iCs/>
                <w:color w:val="000000"/>
                <w:sz w:val="20"/>
                <w:szCs w:val="20"/>
              </w:rPr>
              <w:t>(</w:t>
            </w:r>
            <w:r w:rsidR="00CB2C0C" w:rsidRPr="00597FFB">
              <w:rPr>
                <w:rFonts w:asciiTheme="majorBidi" w:eastAsia="Calibri" w:hAnsiTheme="majorBidi" w:cstheme="majorBidi"/>
                <w:iCs/>
                <w:color w:val="000000"/>
                <w:sz w:val="20"/>
                <w:szCs w:val="20"/>
              </w:rPr>
              <w:t>EC</w:t>
            </w:r>
            <w:r w:rsidR="00091A18" w:rsidRPr="00597FFB">
              <w:rPr>
                <w:rFonts w:asciiTheme="majorBidi" w:eastAsia="Calibri" w:hAnsiTheme="majorBidi" w:cstheme="majorBidi"/>
                <w:iCs/>
                <w:color w:val="000000"/>
                <w:sz w:val="20"/>
                <w:szCs w:val="20"/>
              </w:rPr>
              <w:t xml:space="preserve">) </w:t>
            </w:r>
            <w:r w:rsidR="00CB2C0C" w:rsidRPr="00597FFB">
              <w:rPr>
                <w:rFonts w:asciiTheme="majorBidi" w:eastAsia="Calibri" w:hAnsiTheme="majorBidi" w:cstheme="majorBidi"/>
                <w:iCs/>
                <w:color w:val="000000"/>
                <w:sz w:val="20"/>
                <w:szCs w:val="20"/>
              </w:rPr>
              <w:t>On</w:t>
            </w:r>
            <w:r w:rsidRPr="00597FFB">
              <w:rPr>
                <w:rFonts w:asciiTheme="majorBidi" w:eastAsia="Calibri" w:hAnsiTheme="majorBidi" w:cstheme="majorBidi"/>
                <w:iCs/>
                <w:color w:val="000000"/>
                <w:sz w:val="20"/>
                <w:szCs w:val="20"/>
              </w:rPr>
              <w:t xml:space="preserve"> </w:t>
            </w:r>
            <w:r w:rsidR="00091A18" w:rsidRPr="00597FFB">
              <w:rPr>
                <w:rFonts w:asciiTheme="majorBidi" w:eastAsia="Calibri" w:hAnsiTheme="majorBidi" w:cstheme="majorBidi"/>
                <w:iCs/>
                <w:color w:val="000000"/>
                <w:sz w:val="20"/>
                <w:szCs w:val="20"/>
              </w:rPr>
              <w:t xml:space="preserve">The Relationship Between </w:t>
            </w:r>
            <w:r w:rsidR="00A23967" w:rsidRPr="00597FFB">
              <w:rPr>
                <w:rFonts w:asciiTheme="majorBidi" w:eastAsia="Calibri" w:hAnsiTheme="majorBidi" w:cstheme="majorBidi"/>
                <w:iCs/>
                <w:color w:val="000000"/>
                <w:sz w:val="20"/>
                <w:szCs w:val="20"/>
              </w:rPr>
              <w:t xml:space="preserve">EWR Behavioral Intentions </w:t>
            </w:r>
            <w:r w:rsidR="00091A18" w:rsidRPr="00597FFB">
              <w:rPr>
                <w:rFonts w:asciiTheme="majorBidi" w:eastAsia="Calibri" w:hAnsiTheme="majorBidi" w:cstheme="majorBidi"/>
                <w:iCs/>
                <w:color w:val="000000"/>
                <w:sz w:val="20"/>
                <w:szCs w:val="20"/>
              </w:rPr>
              <w:t>(</w:t>
            </w:r>
            <w:r w:rsidR="00A23967" w:rsidRPr="00597FFB">
              <w:rPr>
                <w:rFonts w:asciiTheme="majorBidi" w:eastAsia="Calibri" w:hAnsiTheme="majorBidi" w:cstheme="majorBidi"/>
                <w:iCs/>
                <w:color w:val="000000"/>
                <w:sz w:val="20"/>
                <w:szCs w:val="20"/>
              </w:rPr>
              <w:t>EWRBI</w:t>
            </w:r>
            <w:r w:rsidR="00091A18" w:rsidRPr="00597FFB">
              <w:rPr>
                <w:rFonts w:asciiTheme="majorBidi" w:eastAsia="Calibri" w:hAnsiTheme="majorBidi" w:cstheme="majorBidi"/>
                <w:iCs/>
                <w:color w:val="000000"/>
                <w:sz w:val="20"/>
                <w:szCs w:val="20"/>
              </w:rPr>
              <w:t xml:space="preserve">) And Adoption Of </w:t>
            </w:r>
            <w:r w:rsidR="00A23967"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Among Millennials.</w:t>
            </w:r>
          </w:p>
        </w:tc>
        <w:tc>
          <w:tcPr>
            <w:tcW w:w="2502" w:type="dxa"/>
          </w:tcPr>
          <w:p w14:paraId="6B1B2A43" w14:textId="2E4C2842" w:rsidR="00E23180" w:rsidRPr="00597FFB" w:rsidRDefault="002C3D98" w:rsidP="00E23180">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b/>
                <w:iCs/>
                <w:sz w:val="20"/>
                <w:szCs w:val="20"/>
              </w:rPr>
              <w:t>H15</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Environmental Concern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EC</w:t>
            </w:r>
            <w:r w:rsidR="00091A18" w:rsidRPr="00597FFB">
              <w:rPr>
                <w:rFonts w:asciiTheme="majorBidi" w:eastAsia="Calibri" w:hAnsiTheme="majorBidi" w:cstheme="majorBidi"/>
                <w:bCs/>
                <w:iCs/>
                <w:sz w:val="20"/>
                <w:szCs w:val="20"/>
              </w:rPr>
              <w:t xml:space="preserve">) Moderates The Relationship Between </w:t>
            </w:r>
            <w:r w:rsidRPr="00597FFB">
              <w:rPr>
                <w:rFonts w:asciiTheme="majorBidi" w:eastAsia="Calibri" w:hAnsiTheme="majorBidi" w:cstheme="majorBidi"/>
                <w:bCs/>
                <w:iCs/>
                <w:sz w:val="20"/>
                <w:szCs w:val="20"/>
              </w:rPr>
              <w:t xml:space="preserve">EWR Behavioral Intentions </w:t>
            </w:r>
            <w:r w:rsidR="00091A18" w:rsidRPr="00597FFB">
              <w:rPr>
                <w:rFonts w:asciiTheme="majorBidi" w:eastAsia="Calibri" w:hAnsiTheme="majorBidi" w:cstheme="majorBidi"/>
                <w:bCs/>
                <w:iCs/>
                <w:sz w:val="20"/>
                <w:szCs w:val="20"/>
              </w:rPr>
              <w:t>(</w:t>
            </w:r>
            <w:r w:rsidRPr="00597FFB">
              <w:rPr>
                <w:rFonts w:asciiTheme="majorBidi" w:eastAsia="Calibri" w:hAnsiTheme="majorBidi" w:cstheme="majorBidi"/>
                <w:bCs/>
                <w:iCs/>
                <w:sz w:val="20"/>
                <w:szCs w:val="20"/>
              </w:rPr>
              <w:t>EWRBI</w:t>
            </w:r>
            <w:r w:rsidR="00091A18" w:rsidRPr="00597FFB">
              <w:rPr>
                <w:rFonts w:asciiTheme="majorBidi" w:eastAsia="Calibri" w:hAnsiTheme="majorBidi" w:cstheme="majorBidi"/>
                <w:bCs/>
                <w:iCs/>
                <w:sz w:val="20"/>
                <w:szCs w:val="20"/>
              </w:rPr>
              <w:t xml:space="preserve">) And Adoption Of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tc>
      </w:tr>
      <w:tr w:rsidR="00D3271C" w:rsidRPr="00597FFB" w14:paraId="2F772176" w14:textId="77777777" w:rsidTr="00D3271C">
        <w:tc>
          <w:tcPr>
            <w:tcW w:w="2501" w:type="dxa"/>
            <w:tcBorders>
              <w:top w:val="single" w:sz="4" w:space="0" w:color="auto"/>
              <w:left w:val="single" w:sz="4" w:space="0" w:color="auto"/>
              <w:bottom w:val="single" w:sz="4" w:space="0" w:color="auto"/>
              <w:right w:val="single" w:sz="4" w:space="0" w:color="auto"/>
            </w:tcBorders>
          </w:tcPr>
          <w:p w14:paraId="667135D6" w14:textId="280C1CF5" w:rsidR="00D3271C" w:rsidRPr="00597FFB" w:rsidRDefault="00D3271C" w:rsidP="001E19F2">
            <w:pPr>
              <w:spacing w:before="26" w:after="26" w:line="240" w:lineRule="auto"/>
              <w:contextualSpacing/>
              <w:rPr>
                <w:rFonts w:asciiTheme="majorBidi" w:eastAsia="Calibri" w:hAnsiTheme="majorBidi" w:cstheme="majorBidi"/>
                <w:iCs/>
                <w:color w:val="000000"/>
                <w:sz w:val="20"/>
                <w:szCs w:val="20"/>
              </w:rPr>
            </w:pPr>
            <w:bookmarkStart w:id="60" w:name="_Toc74912545"/>
            <w:bookmarkStart w:id="61" w:name="_Toc123636968"/>
            <w:bookmarkEnd w:id="59"/>
            <w:r w:rsidRPr="00597FFB">
              <w:rPr>
                <w:rFonts w:asciiTheme="majorBidi" w:eastAsia="Calibri" w:hAnsiTheme="majorBidi" w:cstheme="majorBidi"/>
                <w:iCs/>
                <w:color w:val="000000"/>
                <w:sz w:val="20"/>
                <w:szCs w:val="20"/>
              </w:rPr>
              <w:t xml:space="preserve">How </w:t>
            </w:r>
            <w:r w:rsidR="0023672C" w:rsidRPr="00597FFB">
              <w:rPr>
                <w:rFonts w:asciiTheme="majorBidi" w:eastAsia="Calibri" w:hAnsiTheme="majorBidi" w:cstheme="majorBidi"/>
                <w:iCs/>
                <w:color w:val="000000"/>
                <w:sz w:val="20"/>
                <w:szCs w:val="20"/>
              </w:rPr>
              <w:t xml:space="preserve">Privacy Concern </w:t>
            </w:r>
            <w:r w:rsidR="00091A18" w:rsidRPr="00597FFB">
              <w:rPr>
                <w:rFonts w:asciiTheme="majorBidi" w:eastAsia="Calibri" w:hAnsiTheme="majorBidi" w:cstheme="majorBidi"/>
                <w:iCs/>
                <w:color w:val="000000"/>
                <w:sz w:val="20"/>
                <w:szCs w:val="20"/>
              </w:rPr>
              <w:t>(</w:t>
            </w:r>
            <w:r w:rsidR="0023672C"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Moderate The Relationship Between </w:t>
            </w:r>
            <w:r w:rsidR="00BB2F7C" w:rsidRPr="00597FFB">
              <w:rPr>
                <w:rFonts w:asciiTheme="majorBidi" w:eastAsia="Calibri" w:hAnsiTheme="majorBidi" w:cstheme="majorBidi"/>
                <w:iCs/>
                <w:color w:val="000000"/>
                <w:sz w:val="20"/>
                <w:szCs w:val="20"/>
              </w:rPr>
              <w:t xml:space="preserve">Ascription </w:t>
            </w:r>
            <w:r w:rsidR="00091A18" w:rsidRPr="00597FFB">
              <w:rPr>
                <w:rFonts w:asciiTheme="majorBidi" w:eastAsia="Calibri" w:hAnsiTheme="majorBidi" w:cstheme="majorBidi"/>
                <w:iCs/>
                <w:color w:val="000000"/>
                <w:sz w:val="20"/>
                <w:szCs w:val="20"/>
              </w:rPr>
              <w:t xml:space="preserve">Of </w:t>
            </w:r>
            <w:r w:rsidR="00BB2F7C" w:rsidRPr="00597FFB">
              <w:rPr>
                <w:rFonts w:asciiTheme="majorBidi" w:eastAsia="Calibri" w:hAnsiTheme="majorBidi" w:cstheme="majorBidi"/>
                <w:iCs/>
                <w:color w:val="000000"/>
                <w:sz w:val="20"/>
                <w:szCs w:val="20"/>
              </w:rPr>
              <w:t xml:space="preserve">Responsibility </w:t>
            </w:r>
            <w:r w:rsidR="00091A18" w:rsidRPr="00597FFB">
              <w:rPr>
                <w:rFonts w:asciiTheme="majorBidi" w:eastAsia="Calibri" w:hAnsiTheme="majorBidi" w:cstheme="majorBidi"/>
                <w:iCs/>
                <w:color w:val="000000"/>
                <w:sz w:val="20"/>
                <w:szCs w:val="20"/>
              </w:rPr>
              <w:t>(</w:t>
            </w:r>
            <w:r w:rsidR="00BB2F7C" w:rsidRPr="00597FFB">
              <w:rPr>
                <w:rFonts w:asciiTheme="majorBidi" w:eastAsia="Calibri" w:hAnsiTheme="majorBidi" w:cstheme="majorBidi"/>
                <w:iCs/>
                <w:color w:val="000000"/>
                <w:sz w:val="20"/>
                <w:szCs w:val="20"/>
              </w:rPr>
              <w:t>AR</w:t>
            </w:r>
            <w:r w:rsidR="00091A18" w:rsidRPr="00597FFB">
              <w:rPr>
                <w:rFonts w:asciiTheme="majorBidi" w:eastAsia="Calibri" w:hAnsiTheme="majorBidi" w:cstheme="majorBidi"/>
                <w:iCs/>
                <w:color w:val="000000"/>
                <w:sz w:val="20"/>
                <w:szCs w:val="20"/>
              </w:rPr>
              <w:t xml:space="preserve">), </w:t>
            </w:r>
            <w:r w:rsidR="00BB2F7C" w:rsidRPr="00597FFB">
              <w:rPr>
                <w:rFonts w:asciiTheme="majorBidi" w:eastAsia="Calibri" w:hAnsiTheme="majorBidi" w:cstheme="majorBidi"/>
                <w:iCs/>
                <w:color w:val="000000"/>
                <w:sz w:val="20"/>
                <w:szCs w:val="20"/>
              </w:rPr>
              <w:t xml:space="preserve">Awareness </w:t>
            </w:r>
            <w:r w:rsidR="00091A18" w:rsidRPr="00597FFB">
              <w:rPr>
                <w:rFonts w:asciiTheme="majorBidi" w:eastAsia="Calibri" w:hAnsiTheme="majorBidi" w:cstheme="majorBidi"/>
                <w:iCs/>
                <w:color w:val="000000"/>
                <w:sz w:val="20"/>
                <w:szCs w:val="20"/>
              </w:rPr>
              <w:t xml:space="preserve">Of </w:t>
            </w:r>
            <w:r w:rsidR="00BB2F7C" w:rsidRPr="00597FFB">
              <w:rPr>
                <w:rFonts w:asciiTheme="majorBidi" w:eastAsia="Calibri" w:hAnsiTheme="majorBidi" w:cstheme="majorBidi"/>
                <w:iCs/>
                <w:color w:val="000000"/>
                <w:sz w:val="20"/>
                <w:szCs w:val="20"/>
              </w:rPr>
              <w:t xml:space="preserve">Consequences </w:t>
            </w:r>
            <w:r w:rsidR="00091A18" w:rsidRPr="00597FFB">
              <w:rPr>
                <w:rFonts w:asciiTheme="majorBidi" w:eastAsia="Calibri" w:hAnsiTheme="majorBidi" w:cstheme="majorBidi"/>
                <w:iCs/>
                <w:color w:val="000000"/>
                <w:sz w:val="20"/>
                <w:szCs w:val="20"/>
              </w:rPr>
              <w:t>(</w:t>
            </w:r>
            <w:r w:rsidR="00BB2F7C" w:rsidRPr="00597FFB">
              <w:rPr>
                <w:rFonts w:asciiTheme="majorBidi" w:eastAsia="Calibri" w:hAnsiTheme="majorBidi" w:cstheme="majorBidi"/>
                <w:iCs/>
                <w:color w:val="000000"/>
                <w:sz w:val="20"/>
                <w:szCs w:val="20"/>
              </w:rPr>
              <w:t>AC</w:t>
            </w:r>
            <w:r w:rsidR="00091A18" w:rsidRPr="00597FFB">
              <w:rPr>
                <w:rFonts w:asciiTheme="majorBidi" w:eastAsia="Calibri" w:hAnsiTheme="majorBidi" w:cstheme="majorBidi"/>
                <w:iCs/>
                <w:color w:val="000000"/>
                <w:sz w:val="20"/>
                <w:szCs w:val="20"/>
              </w:rPr>
              <w:t xml:space="preserve">), </w:t>
            </w:r>
            <w:r w:rsidR="00F37952" w:rsidRPr="00597FFB">
              <w:rPr>
                <w:rFonts w:asciiTheme="majorBidi" w:eastAsia="Calibri" w:hAnsiTheme="majorBidi" w:cstheme="majorBidi"/>
                <w:iCs/>
                <w:color w:val="000000"/>
                <w:sz w:val="20"/>
                <w:szCs w:val="20"/>
              </w:rPr>
              <w:t xml:space="preserve">Moral Norm </w:t>
            </w:r>
            <w:r w:rsidR="00091A18" w:rsidRPr="00597FFB">
              <w:rPr>
                <w:rFonts w:asciiTheme="majorBidi" w:eastAsia="Calibri" w:hAnsiTheme="majorBidi" w:cstheme="majorBidi"/>
                <w:iCs/>
                <w:color w:val="000000"/>
                <w:sz w:val="20"/>
                <w:szCs w:val="20"/>
              </w:rPr>
              <w:t>(</w:t>
            </w:r>
            <w:r w:rsidR="00F37952" w:rsidRPr="00597FFB">
              <w:rPr>
                <w:rFonts w:asciiTheme="majorBidi" w:eastAsia="Calibri" w:hAnsiTheme="majorBidi" w:cstheme="majorBidi"/>
                <w:iCs/>
                <w:color w:val="000000"/>
                <w:sz w:val="20"/>
                <w:szCs w:val="20"/>
              </w:rPr>
              <w:t>MN</w:t>
            </w:r>
            <w:r w:rsidR="00091A18" w:rsidRPr="00597FFB">
              <w:rPr>
                <w:rFonts w:asciiTheme="majorBidi" w:eastAsia="Calibri" w:hAnsiTheme="majorBidi" w:cstheme="majorBidi"/>
                <w:iCs/>
                <w:color w:val="000000"/>
                <w:sz w:val="20"/>
                <w:szCs w:val="20"/>
              </w:rPr>
              <w:t xml:space="preserve">) And Personal Norm Towards </w:t>
            </w:r>
            <w:r w:rsidR="00BB2F7C"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 xml:space="preserve">Behavior Among </w:t>
            </w:r>
            <w:r w:rsidR="00BB2F7C" w:rsidRPr="00597FFB">
              <w:rPr>
                <w:rFonts w:asciiTheme="majorBidi" w:eastAsia="Calibri" w:hAnsiTheme="majorBidi" w:cstheme="majorBidi"/>
                <w:iCs/>
                <w:color w:val="000000"/>
                <w:sz w:val="20"/>
                <w:szCs w:val="20"/>
              </w:rPr>
              <w:t xml:space="preserve">UAE’s </w:t>
            </w:r>
            <w:r w:rsidR="00091A18" w:rsidRPr="00597FFB">
              <w:rPr>
                <w:rFonts w:asciiTheme="majorBidi" w:eastAsia="Calibri" w:hAnsiTheme="majorBidi" w:cstheme="majorBidi"/>
                <w:iCs/>
                <w:color w:val="000000"/>
                <w:sz w:val="20"/>
                <w:szCs w:val="20"/>
              </w:rPr>
              <w:t>Millennials?</w:t>
            </w:r>
          </w:p>
        </w:tc>
        <w:tc>
          <w:tcPr>
            <w:tcW w:w="2483" w:type="dxa"/>
            <w:tcBorders>
              <w:top w:val="single" w:sz="4" w:space="0" w:color="auto"/>
              <w:left w:val="single" w:sz="4" w:space="0" w:color="auto"/>
              <w:bottom w:val="single" w:sz="4" w:space="0" w:color="auto"/>
              <w:right w:val="single" w:sz="4" w:space="0" w:color="auto"/>
            </w:tcBorders>
          </w:tcPr>
          <w:p w14:paraId="202B3307" w14:textId="1B800292" w:rsidR="00D3271C" w:rsidRPr="00597FFB" w:rsidRDefault="00D3271C" w:rsidP="001E19F2">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Investigate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Moderating Effect </w:t>
            </w:r>
            <w:r w:rsidR="00091A18" w:rsidRPr="00597FFB">
              <w:rPr>
                <w:rFonts w:asciiTheme="majorBidi" w:eastAsia="Calibri" w:hAnsiTheme="majorBidi" w:cstheme="majorBidi"/>
                <w:iCs/>
                <w:color w:val="000000"/>
                <w:sz w:val="20"/>
                <w:szCs w:val="20"/>
              </w:rPr>
              <w:t xml:space="preserve">Of </w:t>
            </w:r>
            <w:r w:rsidR="0023672C" w:rsidRPr="00597FFB">
              <w:rPr>
                <w:rFonts w:asciiTheme="majorBidi" w:eastAsia="Calibri" w:hAnsiTheme="majorBidi" w:cstheme="majorBidi"/>
                <w:iCs/>
                <w:color w:val="000000"/>
                <w:sz w:val="20"/>
                <w:szCs w:val="20"/>
              </w:rPr>
              <w:t xml:space="preserve">Privacy Concern </w:t>
            </w:r>
            <w:r w:rsidR="00091A18" w:rsidRPr="00597FFB">
              <w:rPr>
                <w:rFonts w:asciiTheme="majorBidi" w:eastAsia="Calibri" w:hAnsiTheme="majorBidi" w:cstheme="majorBidi"/>
                <w:iCs/>
                <w:color w:val="000000"/>
                <w:sz w:val="20"/>
                <w:szCs w:val="20"/>
              </w:rPr>
              <w:t>(</w:t>
            </w:r>
            <w:r w:rsidR="0023672C" w:rsidRPr="00597FFB">
              <w:rPr>
                <w:rFonts w:asciiTheme="majorBidi" w:eastAsia="Calibri" w:hAnsiTheme="majorBidi" w:cstheme="majorBidi"/>
                <w:iCs/>
                <w:color w:val="000000"/>
                <w:sz w:val="20"/>
                <w:szCs w:val="20"/>
              </w:rPr>
              <w:t>PN</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On </w:t>
            </w:r>
            <w:r w:rsidR="00091A18" w:rsidRPr="00597FFB">
              <w:rPr>
                <w:rFonts w:asciiTheme="majorBidi" w:eastAsia="Calibri" w:hAnsiTheme="majorBidi" w:cstheme="majorBidi"/>
                <w:iCs/>
                <w:color w:val="000000"/>
                <w:sz w:val="20"/>
                <w:szCs w:val="20"/>
              </w:rPr>
              <w:t xml:space="preserve">The </w:t>
            </w:r>
            <w:r w:rsidR="00D17740" w:rsidRPr="00597FFB">
              <w:rPr>
                <w:rFonts w:asciiTheme="majorBidi" w:eastAsia="Calibri" w:hAnsiTheme="majorBidi" w:cstheme="majorBidi"/>
                <w:iCs/>
                <w:color w:val="000000"/>
                <w:sz w:val="20"/>
                <w:szCs w:val="20"/>
              </w:rPr>
              <w:t xml:space="preserve">Relationship </w:t>
            </w:r>
            <w:r w:rsidR="00091A18" w:rsidRPr="00597FFB">
              <w:rPr>
                <w:rFonts w:asciiTheme="majorBidi" w:eastAsia="Calibri" w:hAnsiTheme="majorBidi" w:cstheme="majorBidi"/>
                <w:iCs/>
                <w:color w:val="000000"/>
                <w:sz w:val="20"/>
                <w:szCs w:val="20"/>
              </w:rPr>
              <w:t xml:space="preserve">Of </w:t>
            </w:r>
            <w:r w:rsidR="00D17740" w:rsidRPr="00597FFB">
              <w:rPr>
                <w:rFonts w:asciiTheme="majorBidi" w:eastAsia="Calibri" w:hAnsiTheme="majorBidi" w:cstheme="majorBidi"/>
                <w:iCs/>
                <w:color w:val="000000"/>
                <w:sz w:val="20"/>
                <w:szCs w:val="20"/>
              </w:rPr>
              <w:t xml:space="preserve">Ascription </w:t>
            </w:r>
            <w:r w:rsidR="00091A18" w:rsidRPr="00597FFB">
              <w:rPr>
                <w:rFonts w:asciiTheme="majorBidi" w:eastAsia="Calibri" w:hAnsiTheme="majorBidi" w:cstheme="majorBidi"/>
                <w:iCs/>
                <w:color w:val="000000"/>
                <w:sz w:val="20"/>
                <w:szCs w:val="20"/>
              </w:rPr>
              <w:t xml:space="preserve">Of </w:t>
            </w:r>
            <w:r w:rsidR="00D17740" w:rsidRPr="00597FFB">
              <w:rPr>
                <w:rFonts w:asciiTheme="majorBidi" w:eastAsia="Calibri" w:hAnsiTheme="majorBidi" w:cstheme="majorBidi"/>
                <w:iCs/>
                <w:color w:val="000000"/>
                <w:sz w:val="20"/>
                <w:szCs w:val="20"/>
              </w:rPr>
              <w:t xml:space="preserve">Responsibility </w:t>
            </w:r>
            <w:r w:rsidR="00091A18" w:rsidRPr="00597FFB">
              <w:rPr>
                <w:rFonts w:asciiTheme="majorBidi" w:eastAsia="Calibri" w:hAnsiTheme="majorBidi" w:cstheme="majorBidi"/>
                <w:iCs/>
                <w:color w:val="000000"/>
                <w:sz w:val="20"/>
                <w:szCs w:val="20"/>
              </w:rPr>
              <w:t>(</w:t>
            </w:r>
            <w:r w:rsidR="00D17740" w:rsidRPr="00597FFB">
              <w:rPr>
                <w:rFonts w:asciiTheme="majorBidi" w:eastAsia="Calibri" w:hAnsiTheme="majorBidi" w:cstheme="majorBidi"/>
                <w:iCs/>
                <w:color w:val="000000"/>
                <w:sz w:val="20"/>
                <w:szCs w:val="20"/>
              </w:rPr>
              <w:t>AR</w:t>
            </w:r>
            <w:r w:rsidR="00091A18" w:rsidRPr="00597FFB">
              <w:rPr>
                <w:rFonts w:asciiTheme="majorBidi" w:eastAsia="Calibri" w:hAnsiTheme="majorBidi" w:cstheme="majorBidi"/>
                <w:iCs/>
                <w:color w:val="000000"/>
                <w:sz w:val="20"/>
                <w:szCs w:val="20"/>
              </w:rPr>
              <w:t xml:space="preserve">), </w:t>
            </w:r>
            <w:r w:rsidR="00D17740" w:rsidRPr="00597FFB">
              <w:rPr>
                <w:rFonts w:asciiTheme="majorBidi" w:eastAsia="Calibri" w:hAnsiTheme="majorBidi" w:cstheme="majorBidi"/>
                <w:iCs/>
                <w:color w:val="000000"/>
                <w:sz w:val="20"/>
                <w:szCs w:val="20"/>
              </w:rPr>
              <w:t xml:space="preserve">Awareness </w:t>
            </w:r>
            <w:r w:rsidR="00091A18" w:rsidRPr="00597FFB">
              <w:rPr>
                <w:rFonts w:asciiTheme="majorBidi" w:eastAsia="Calibri" w:hAnsiTheme="majorBidi" w:cstheme="majorBidi"/>
                <w:iCs/>
                <w:color w:val="000000"/>
                <w:sz w:val="20"/>
                <w:szCs w:val="20"/>
              </w:rPr>
              <w:t xml:space="preserve">Of </w:t>
            </w:r>
            <w:r w:rsidR="00D17740" w:rsidRPr="00597FFB">
              <w:rPr>
                <w:rFonts w:asciiTheme="majorBidi" w:eastAsia="Calibri" w:hAnsiTheme="majorBidi" w:cstheme="majorBidi"/>
                <w:iCs/>
                <w:color w:val="000000"/>
                <w:sz w:val="20"/>
                <w:szCs w:val="20"/>
              </w:rPr>
              <w:t xml:space="preserve">Consequences </w:t>
            </w:r>
            <w:r w:rsidR="00091A18" w:rsidRPr="00597FFB">
              <w:rPr>
                <w:rFonts w:asciiTheme="majorBidi" w:eastAsia="Calibri" w:hAnsiTheme="majorBidi" w:cstheme="majorBidi"/>
                <w:iCs/>
                <w:color w:val="000000"/>
                <w:sz w:val="20"/>
                <w:szCs w:val="20"/>
              </w:rPr>
              <w:t>(</w:t>
            </w:r>
            <w:r w:rsidR="00D17740" w:rsidRPr="00597FFB">
              <w:rPr>
                <w:rFonts w:asciiTheme="majorBidi" w:eastAsia="Calibri" w:hAnsiTheme="majorBidi" w:cstheme="majorBidi"/>
                <w:iCs/>
                <w:color w:val="000000"/>
                <w:sz w:val="20"/>
                <w:szCs w:val="20"/>
              </w:rPr>
              <w:t>AC</w:t>
            </w:r>
            <w:r w:rsidR="00091A18" w:rsidRPr="00597FFB">
              <w:rPr>
                <w:rFonts w:asciiTheme="majorBidi" w:eastAsia="Calibri" w:hAnsiTheme="majorBidi" w:cstheme="majorBidi"/>
                <w:iCs/>
                <w:color w:val="000000"/>
                <w:sz w:val="20"/>
                <w:szCs w:val="20"/>
              </w:rPr>
              <w:t xml:space="preserve">), </w:t>
            </w:r>
            <w:r w:rsidR="00D17740" w:rsidRPr="00597FFB">
              <w:rPr>
                <w:rFonts w:asciiTheme="majorBidi" w:eastAsia="Calibri" w:hAnsiTheme="majorBidi" w:cstheme="majorBidi"/>
                <w:iCs/>
                <w:color w:val="000000"/>
                <w:sz w:val="20"/>
                <w:szCs w:val="20"/>
              </w:rPr>
              <w:t xml:space="preserve">Moral Norm </w:t>
            </w:r>
            <w:r w:rsidR="00091A18" w:rsidRPr="00597FFB">
              <w:rPr>
                <w:rFonts w:asciiTheme="majorBidi" w:eastAsia="Calibri" w:hAnsiTheme="majorBidi" w:cstheme="majorBidi"/>
                <w:iCs/>
                <w:color w:val="000000"/>
                <w:sz w:val="20"/>
                <w:szCs w:val="20"/>
              </w:rPr>
              <w:t>(</w:t>
            </w:r>
            <w:r w:rsidR="00D17740" w:rsidRPr="00597FFB">
              <w:rPr>
                <w:rFonts w:asciiTheme="majorBidi" w:eastAsia="Calibri" w:hAnsiTheme="majorBidi" w:cstheme="majorBidi"/>
                <w:iCs/>
                <w:color w:val="000000"/>
                <w:sz w:val="20"/>
                <w:szCs w:val="20"/>
              </w:rPr>
              <w:t>MN</w:t>
            </w:r>
            <w:r w:rsidR="00091A18" w:rsidRPr="00597FFB">
              <w:rPr>
                <w:rFonts w:asciiTheme="majorBidi" w:eastAsia="Calibri" w:hAnsiTheme="majorBidi" w:cstheme="majorBidi"/>
                <w:iCs/>
                <w:color w:val="000000"/>
                <w:sz w:val="20"/>
                <w:szCs w:val="20"/>
              </w:rPr>
              <w:t xml:space="preserve">) And Personal Norm Towards </w:t>
            </w:r>
            <w:r w:rsidR="00647FD4"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 xml:space="preserve">Behavior Among </w:t>
            </w:r>
            <w:r w:rsidR="00647FD4" w:rsidRPr="00597FFB">
              <w:rPr>
                <w:rFonts w:asciiTheme="majorBidi" w:eastAsia="Calibri" w:hAnsiTheme="majorBidi" w:cstheme="majorBidi"/>
                <w:iCs/>
                <w:color w:val="000000"/>
                <w:sz w:val="20"/>
                <w:szCs w:val="20"/>
              </w:rPr>
              <w:t>UAE’s</w:t>
            </w:r>
            <w:r w:rsidR="00BB2F7C" w:rsidRPr="00597FFB">
              <w:rPr>
                <w:rFonts w:asciiTheme="majorBidi" w:eastAsia="Calibri" w:hAnsiTheme="majorBidi" w:cstheme="majorBidi"/>
                <w:iCs/>
                <w:color w:val="000000"/>
                <w:sz w:val="20"/>
                <w:szCs w:val="20"/>
              </w:rPr>
              <w:t xml:space="preserve"> </w:t>
            </w:r>
            <w:r w:rsidR="00091A18" w:rsidRPr="00597FFB">
              <w:rPr>
                <w:rFonts w:asciiTheme="majorBidi" w:eastAsia="Calibri" w:hAnsiTheme="majorBidi" w:cstheme="majorBidi"/>
                <w:iCs/>
                <w:color w:val="000000"/>
                <w:sz w:val="20"/>
                <w:szCs w:val="20"/>
              </w:rPr>
              <w:t>Millennials.</w:t>
            </w:r>
          </w:p>
        </w:tc>
        <w:tc>
          <w:tcPr>
            <w:tcW w:w="2502" w:type="dxa"/>
            <w:tcBorders>
              <w:top w:val="single" w:sz="4" w:space="0" w:color="auto"/>
              <w:left w:val="single" w:sz="4" w:space="0" w:color="auto"/>
              <w:bottom w:val="single" w:sz="4" w:space="0" w:color="auto"/>
              <w:right w:val="single" w:sz="4" w:space="0" w:color="auto"/>
            </w:tcBorders>
          </w:tcPr>
          <w:p w14:paraId="2983D737" w14:textId="1B019CF5" w:rsidR="002C0D4C" w:rsidRPr="00597FFB" w:rsidRDefault="002C0D4C" w:rsidP="002C0D4C">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H12</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Privacy </w:t>
            </w:r>
            <w:r w:rsidR="00091A18" w:rsidRPr="00597FFB">
              <w:rPr>
                <w:rFonts w:asciiTheme="majorBidi" w:eastAsia="Calibri" w:hAnsiTheme="majorBidi" w:cstheme="majorBidi"/>
                <w:bCs/>
                <w:iCs/>
                <w:sz w:val="20"/>
                <w:szCs w:val="20"/>
              </w:rPr>
              <w:t>Concern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Moderate The Relationship Between Ascription Of Responsibility (</w:t>
            </w:r>
            <w:r w:rsidRPr="00597FFB">
              <w:rPr>
                <w:rFonts w:asciiTheme="majorBidi" w:eastAsia="Calibri" w:hAnsiTheme="majorBidi" w:cstheme="majorBidi"/>
                <w:bCs/>
                <w:iCs/>
                <w:sz w:val="20"/>
                <w:szCs w:val="20"/>
              </w:rPr>
              <w:t>AR</w:t>
            </w:r>
            <w:r w:rsidR="00091A18" w:rsidRPr="00597FFB">
              <w:rPr>
                <w:rFonts w:asciiTheme="majorBidi" w:eastAsia="Calibri" w:hAnsiTheme="majorBidi" w:cstheme="majorBidi"/>
                <w:bCs/>
                <w:iCs/>
                <w:sz w:val="20"/>
                <w:szCs w:val="20"/>
              </w:rPr>
              <w:t xml:space="preserve">) And Personal Norm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p w14:paraId="41E43092" w14:textId="0615C813" w:rsidR="002C0D4C" w:rsidRPr="00597FFB" w:rsidRDefault="002C0D4C" w:rsidP="002C0D4C">
            <w:pPr>
              <w:spacing w:before="26" w:after="26" w:line="240" w:lineRule="auto"/>
              <w:contextualSpacing/>
              <w:rPr>
                <w:rFonts w:asciiTheme="majorBidi" w:eastAsia="Calibri" w:hAnsiTheme="majorBidi" w:cstheme="majorBidi"/>
                <w:bCs/>
                <w:iCs/>
                <w:sz w:val="20"/>
                <w:szCs w:val="20"/>
              </w:rPr>
            </w:pPr>
            <w:r w:rsidRPr="00597FFB">
              <w:rPr>
                <w:rFonts w:asciiTheme="majorBidi" w:eastAsia="Calibri" w:hAnsiTheme="majorBidi" w:cstheme="majorBidi"/>
                <w:b/>
                <w:iCs/>
                <w:sz w:val="20"/>
                <w:szCs w:val="20"/>
              </w:rPr>
              <w:t>H13</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Privacy </w:t>
            </w:r>
            <w:r w:rsidR="00091A18" w:rsidRPr="00597FFB">
              <w:rPr>
                <w:rFonts w:asciiTheme="majorBidi" w:eastAsia="Calibri" w:hAnsiTheme="majorBidi" w:cstheme="majorBidi"/>
                <w:bCs/>
                <w:iCs/>
                <w:sz w:val="20"/>
                <w:szCs w:val="20"/>
              </w:rPr>
              <w:t>Concern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xml:space="preserve">) Moderate The Relationship Between Awareness Of Consequences And Personal Norm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p w14:paraId="345156AE" w14:textId="616FCFC0" w:rsidR="00D3271C" w:rsidRPr="00597FFB" w:rsidRDefault="002C0D4C" w:rsidP="002C0D4C">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H14</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Privacy </w:t>
            </w:r>
            <w:r w:rsidR="00091A18" w:rsidRPr="00597FFB">
              <w:rPr>
                <w:rFonts w:asciiTheme="majorBidi" w:eastAsia="Calibri" w:hAnsiTheme="majorBidi" w:cstheme="majorBidi"/>
                <w:bCs/>
                <w:iCs/>
                <w:sz w:val="20"/>
                <w:szCs w:val="20"/>
              </w:rPr>
              <w:t>Concern (</w:t>
            </w:r>
            <w:r w:rsidRPr="00597FFB">
              <w:rPr>
                <w:rFonts w:asciiTheme="majorBidi" w:eastAsia="Calibri" w:hAnsiTheme="majorBidi" w:cstheme="majorBidi"/>
                <w:bCs/>
                <w:iCs/>
                <w:sz w:val="20"/>
                <w:szCs w:val="20"/>
              </w:rPr>
              <w:t>PN</w:t>
            </w:r>
            <w:r w:rsidR="00091A18" w:rsidRPr="00597FFB">
              <w:rPr>
                <w:rFonts w:asciiTheme="majorBidi" w:eastAsia="Calibri" w:hAnsiTheme="majorBidi" w:cstheme="majorBidi"/>
                <w:bCs/>
                <w:iCs/>
                <w:sz w:val="20"/>
                <w:szCs w:val="20"/>
              </w:rPr>
              <w:t>) Moderate The Relationship Between Moral Norm (</w:t>
            </w:r>
            <w:r w:rsidR="008D6329" w:rsidRPr="00597FFB">
              <w:rPr>
                <w:rFonts w:asciiTheme="majorBidi" w:eastAsia="Calibri" w:hAnsiTheme="majorBidi" w:cstheme="majorBidi"/>
                <w:bCs/>
                <w:iCs/>
                <w:sz w:val="20"/>
                <w:szCs w:val="20"/>
              </w:rPr>
              <w:t>MN</w:t>
            </w:r>
            <w:r w:rsidR="00091A18" w:rsidRPr="00597FFB">
              <w:rPr>
                <w:rFonts w:asciiTheme="majorBidi" w:eastAsia="Calibri" w:hAnsiTheme="majorBidi" w:cstheme="majorBidi"/>
                <w:bCs/>
                <w:iCs/>
                <w:sz w:val="20"/>
                <w:szCs w:val="20"/>
              </w:rPr>
              <w:t xml:space="preserve">) And Personal Norm Towards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Among Millennials.</w:t>
            </w:r>
          </w:p>
        </w:tc>
      </w:tr>
      <w:tr w:rsidR="006315AB" w:rsidRPr="00597FFB" w14:paraId="320BF0B2" w14:textId="77777777" w:rsidTr="00D3271C">
        <w:tc>
          <w:tcPr>
            <w:tcW w:w="2501" w:type="dxa"/>
            <w:tcBorders>
              <w:top w:val="single" w:sz="4" w:space="0" w:color="auto"/>
              <w:left w:val="single" w:sz="4" w:space="0" w:color="auto"/>
              <w:bottom w:val="single" w:sz="4" w:space="0" w:color="auto"/>
              <w:right w:val="single" w:sz="4" w:space="0" w:color="auto"/>
            </w:tcBorders>
          </w:tcPr>
          <w:p w14:paraId="03F21FF6" w14:textId="7C5B3955" w:rsidR="006315AB" w:rsidRPr="00597FFB" w:rsidRDefault="006315AB" w:rsidP="006315AB">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How </w:t>
            </w:r>
            <w:r w:rsidR="00F54A20" w:rsidRPr="00597FFB">
              <w:rPr>
                <w:rFonts w:asciiTheme="majorBidi" w:eastAsia="Calibri" w:hAnsiTheme="majorBidi" w:cstheme="majorBidi"/>
                <w:iCs/>
                <w:color w:val="000000"/>
                <w:sz w:val="20"/>
                <w:szCs w:val="20"/>
              </w:rPr>
              <w:t xml:space="preserve">Environment Assessment </w:t>
            </w:r>
            <w:r w:rsidR="00091A18" w:rsidRPr="00597FFB">
              <w:rPr>
                <w:rFonts w:asciiTheme="majorBidi" w:eastAsia="Calibri" w:hAnsiTheme="majorBidi" w:cstheme="majorBidi"/>
                <w:iCs/>
                <w:color w:val="000000"/>
                <w:sz w:val="20"/>
                <w:szCs w:val="20"/>
              </w:rPr>
              <w:t>(</w:t>
            </w:r>
            <w:r w:rsidR="00F54A20" w:rsidRPr="00597FFB">
              <w:rPr>
                <w:rFonts w:asciiTheme="majorBidi" w:eastAsia="Calibri" w:hAnsiTheme="majorBidi" w:cstheme="majorBidi"/>
                <w:iCs/>
                <w:color w:val="000000"/>
                <w:sz w:val="20"/>
                <w:szCs w:val="20"/>
              </w:rPr>
              <w:t>EA</w:t>
            </w:r>
            <w:r w:rsidR="00091A18" w:rsidRPr="00597FFB">
              <w:rPr>
                <w:rFonts w:asciiTheme="majorBidi" w:eastAsia="Calibri" w:hAnsiTheme="majorBidi" w:cstheme="majorBidi"/>
                <w:iCs/>
                <w:color w:val="000000"/>
                <w:sz w:val="20"/>
                <w:szCs w:val="20"/>
              </w:rPr>
              <w:t>) Moderate The Relationship Between Protection Motivation (</w:t>
            </w:r>
            <w:r w:rsidR="00884AEB" w:rsidRPr="00597FFB">
              <w:rPr>
                <w:rFonts w:asciiTheme="majorBidi" w:eastAsia="Calibri" w:hAnsiTheme="majorBidi" w:cstheme="majorBidi"/>
                <w:iCs/>
                <w:color w:val="000000"/>
                <w:sz w:val="20"/>
                <w:szCs w:val="20"/>
              </w:rPr>
              <w:t>PM</w:t>
            </w:r>
            <w:r w:rsidR="00091A18" w:rsidRPr="00597FFB">
              <w:rPr>
                <w:rFonts w:asciiTheme="majorBidi" w:eastAsia="Calibri" w:hAnsiTheme="majorBidi" w:cstheme="majorBidi"/>
                <w:iCs/>
                <w:color w:val="000000"/>
                <w:sz w:val="20"/>
                <w:szCs w:val="20"/>
              </w:rPr>
              <w:t xml:space="preserve">) And Intention To Adopt </w:t>
            </w:r>
            <w:r w:rsidR="00884AEB"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w:t>
            </w:r>
            <w:r w:rsidR="00884AEB" w:rsidRPr="00597FFB">
              <w:rPr>
                <w:rFonts w:asciiTheme="majorBidi" w:eastAsia="Calibri" w:hAnsiTheme="majorBidi" w:cstheme="majorBidi"/>
                <w:iCs/>
                <w:color w:val="000000"/>
                <w:sz w:val="20"/>
                <w:szCs w:val="20"/>
              </w:rPr>
              <w:t>AD</w:t>
            </w:r>
            <w:r w:rsidR="00091A18" w:rsidRPr="00597FFB">
              <w:rPr>
                <w:rFonts w:asciiTheme="majorBidi" w:eastAsia="Calibri" w:hAnsiTheme="majorBidi" w:cstheme="majorBidi"/>
                <w:iCs/>
                <w:color w:val="000000"/>
                <w:sz w:val="20"/>
                <w:szCs w:val="20"/>
              </w:rPr>
              <w:t xml:space="preserve">) Among </w:t>
            </w:r>
            <w:r w:rsidR="00884AEB" w:rsidRPr="00597FFB">
              <w:rPr>
                <w:rFonts w:asciiTheme="majorBidi" w:eastAsia="Calibri" w:hAnsiTheme="majorBidi" w:cstheme="majorBidi"/>
                <w:iCs/>
                <w:color w:val="000000"/>
                <w:sz w:val="20"/>
                <w:szCs w:val="20"/>
              </w:rPr>
              <w:t xml:space="preserve">UAE’s </w:t>
            </w:r>
            <w:r w:rsidR="00091A18" w:rsidRPr="00597FFB">
              <w:rPr>
                <w:rFonts w:asciiTheme="majorBidi" w:eastAsia="Calibri" w:hAnsiTheme="majorBidi" w:cstheme="majorBidi"/>
                <w:iCs/>
                <w:color w:val="000000"/>
                <w:sz w:val="20"/>
                <w:szCs w:val="20"/>
              </w:rPr>
              <w:t>Millennials.?</w:t>
            </w:r>
          </w:p>
        </w:tc>
        <w:tc>
          <w:tcPr>
            <w:tcW w:w="2483" w:type="dxa"/>
            <w:tcBorders>
              <w:top w:val="single" w:sz="4" w:space="0" w:color="auto"/>
              <w:left w:val="single" w:sz="4" w:space="0" w:color="auto"/>
              <w:bottom w:val="single" w:sz="4" w:space="0" w:color="auto"/>
              <w:right w:val="single" w:sz="4" w:space="0" w:color="auto"/>
            </w:tcBorders>
          </w:tcPr>
          <w:p w14:paraId="7AC0E213" w14:textId="53D9602C" w:rsidR="006315AB" w:rsidRPr="00597FFB" w:rsidRDefault="006315AB" w:rsidP="006315AB">
            <w:pPr>
              <w:spacing w:before="26" w:after="26" w:line="240" w:lineRule="auto"/>
              <w:contextualSpacing/>
              <w:rPr>
                <w:rFonts w:asciiTheme="majorBidi" w:eastAsia="Calibri" w:hAnsiTheme="majorBidi" w:cstheme="majorBidi"/>
                <w:iCs/>
                <w:color w:val="000000"/>
                <w:sz w:val="20"/>
                <w:szCs w:val="20"/>
              </w:rPr>
            </w:pPr>
            <w:r w:rsidRPr="00597FFB">
              <w:rPr>
                <w:rFonts w:asciiTheme="majorBidi" w:eastAsia="Calibri" w:hAnsiTheme="majorBidi" w:cstheme="majorBidi"/>
                <w:iCs/>
                <w:color w:val="000000"/>
                <w:sz w:val="20"/>
                <w:szCs w:val="20"/>
              </w:rPr>
              <w:t xml:space="preserve">To Investigate </w:t>
            </w:r>
            <w:r w:rsidR="00091A18" w:rsidRPr="00597FFB">
              <w:rPr>
                <w:rFonts w:asciiTheme="majorBidi" w:eastAsia="Calibri" w:hAnsiTheme="majorBidi" w:cstheme="majorBidi"/>
                <w:iCs/>
                <w:color w:val="000000"/>
                <w:sz w:val="20"/>
                <w:szCs w:val="20"/>
              </w:rPr>
              <w:t xml:space="preserve">The </w:t>
            </w:r>
            <w:r w:rsidRPr="00597FFB">
              <w:rPr>
                <w:rFonts w:asciiTheme="majorBidi" w:eastAsia="Calibri" w:hAnsiTheme="majorBidi" w:cstheme="majorBidi"/>
                <w:iCs/>
                <w:color w:val="000000"/>
                <w:sz w:val="20"/>
                <w:szCs w:val="20"/>
              </w:rPr>
              <w:t xml:space="preserve">Moderating Effect </w:t>
            </w:r>
            <w:r w:rsidR="00091A18" w:rsidRPr="00597FFB">
              <w:rPr>
                <w:rFonts w:asciiTheme="majorBidi" w:eastAsia="Calibri" w:hAnsiTheme="majorBidi" w:cstheme="majorBidi"/>
                <w:iCs/>
                <w:color w:val="000000"/>
                <w:sz w:val="20"/>
                <w:szCs w:val="20"/>
              </w:rPr>
              <w:t xml:space="preserve">Of </w:t>
            </w:r>
            <w:r w:rsidR="00F54A20" w:rsidRPr="00597FFB">
              <w:rPr>
                <w:rFonts w:asciiTheme="majorBidi" w:eastAsia="Calibri" w:hAnsiTheme="majorBidi" w:cstheme="majorBidi"/>
                <w:iCs/>
                <w:color w:val="000000"/>
                <w:sz w:val="20"/>
                <w:szCs w:val="20"/>
              </w:rPr>
              <w:t xml:space="preserve">Environment </w:t>
            </w:r>
            <w:r w:rsidR="00091A18" w:rsidRPr="00597FFB">
              <w:rPr>
                <w:rFonts w:asciiTheme="majorBidi" w:eastAsia="Calibri" w:hAnsiTheme="majorBidi" w:cstheme="majorBidi"/>
                <w:iCs/>
                <w:color w:val="000000"/>
                <w:sz w:val="20"/>
                <w:szCs w:val="20"/>
              </w:rPr>
              <w:t>Assessment (</w:t>
            </w:r>
            <w:r w:rsidR="00F54A20" w:rsidRPr="00597FFB">
              <w:rPr>
                <w:rFonts w:asciiTheme="majorBidi" w:eastAsia="Calibri" w:hAnsiTheme="majorBidi" w:cstheme="majorBidi"/>
                <w:iCs/>
                <w:color w:val="000000"/>
                <w:sz w:val="20"/>
                <w:szCs w:val="20"/>
              </w:rPr>
              <w:t>EA</w:t>
            </w:r>
            <w:r w:rsidR="00091A18" w:rsidRPr="00597FFB">
              <w:rPr>
                <w:rFonts w:asciiTheme="majorBidi" w:eastAsia="Calibri" w:hAnsiTheme="majorBidi" w:cstheme="majorBidi"/>
                <w:iCs/>
                <w:color w:val="000000"/>
                <w:sz w:val="20"/>
                <w:szCs w:val="20"/>
              </w:rPr>
              <w:t xml:space="preserve">) </w:t>
            </w:r>
            <w:r w:rsidRPr="00597FFB">
              <w:rPr>
                <w:rFonts w:asciiTheme="majorBidi" w:eastAsia="Calibri" w:hAnsiTheme="majorBidi" w:cstheme="majorBidi"/>
                <w:iCs/>
                <w:color w:val="000000"/>
                <w:sz w:val="20"/>
                <w:szCs w:val="20"/>
              </w:rPr>
              <w:t xml:space="preserve">On </w:t>
            </w:r>
            <w:r w:rsidR="00091A18" w:rsidRPr="00597FFB">
              <w:rPr>
                <w:rFonts w:asciiTheme="majorBidi" w:eastAsia="Calibri" w:hAnsiTheme="majorBidi" w:cstheme="majorBidi"/>
                <w:iCs/>
                <w:color w:val="000000"/>
                <w:sz w:val="20"/>
                <w:szCs w:val="20"/>
              </w:rPr>
              <w:t>The Relationship Between Protection Motivation (</w:t>
            </w:r>
            <w:r w:rsidR="00A422EC" w:rsidRPr="00597FFB">
              <w:rPr>
                <w:rFonts w:asciiTheme="majorBidi" w:eastAsia="Calibri" w:hAnsiTheme="majorBidi" w:cstheme="majorBidi"/>
                <w:iCs/>
                <w:color w:val="000000"/>
                <w:sz w:val="20"/>
                <w:szCs w:val="20"/>
              </w:rPr>
              <w:t>PM</w:t>
            </w:r>
            <w:r w:rsidR="00091A18" w:rsidRPr="00597FFB">
              <w:rPr>
                <w:rFonts w:asciiTheme="majorBidi" w:eastAsia="Calibri" w:hAnsiTheme="majorBidi" w:cstheme="majorBidi"/>
                <w:iCs/>
                <w:color w:val="000000"/>
                <w:sz w:val="20"/>
                <w:szCs w:val="20"/>
              </w:rPr>
              <w:t xml:space="preserve">) And Intention To Adopt </w:t>
            </w:r>
            <w:r w:rsidR="00A170FE" w:rsidRPr="00597FFB">
              <w:rPr>
                <w:rFonts w:asciiTheme="majorBidi" w:eastAsia="Calibri" w:hAnsiTheme="majorBidi" w:cstheme="majorBidi"/>
                <w:iCs/>
                <w:color w:val="000000"/>
                <w:sz w:val="20"/>
                <w:szCs w:val="20"/>
              </w:rPr>
              <w:t xml:space="preserve">EWR </w:t>
            </w:r>
            <w:r w:rsidR="00091A18" w:rsidRPr="00597FFB">
              <w:rPr>
                <w:rFonts w:asciiTheme="majorBidi" w:eastAsia="Calibri" w:hAnsiTheme="majorBidi" w:cstheme="majorBidi"/>
                <w:iCs/>
                <w:color w:val="000000"/>
                <w:sz w:val="20"/>
                <w:szCs w:val="20"/>
              </w:rPr>
              <w:t>Behavior (</w:t>
            </w:r>
            <w:r w:rsidR="00A170FE" w:rsidRPr="00597FFB">
              <w:rPr>
                <w:rFonts w:asciiTheme="majorBidi" w:eastAsia="Calibri" w:hAnsiTheme="majorBidi" w:cstheme="majorBidi"/>
                <w:iCs/>
                <w:color w:val="000000"/>
                <w:sz w:val="20"/>
                <w:szCs w:val="20"/>
              </w:rPr>
              <w:t>AD</w:t>
            </w:r>
            <w:r w:rsidR="00091A18" w:rsidRPr="00597FFB">
              <w:rPr>
                <w:rFonts w:asciiTheme="majorBidi" w:eastAsia="Calibri" w:hAnsiTheme="majorBidi" w:cstheme="majorBidi"/>
                <w:iCs/>
                <w:color w:val="000000"/>
                <w:sz w:val="20"/>
                <w:szCs w:val="20"/>
              </w:rPr>
              <w:t xml:space="preserve">) Among </w:t>
            </w:r>
            <w:r w:rsidRPr="00597FFB">
              <w:rPr>
                <w:rFonts w:asciiTheme="majorBidi" w:eastAsia="Calibri" w:hAnsiTheme="majorBidi" w:cstheme="majorBidi"/>
                <w:iCs/>
                <w:color w:val="000000"/>
                <w:sz w:val="20"/>
                <w:szCs w:val="20"/>
              </w:rPr>
              <w:t xml:space="preserve">UAE’s </w:t>
            </w:r>
            <w:r w:rsidR="00091A18" w:rsidRPr="00597FFB">
              <w:rPr>
                <w:rFonts w:asciiTheme="majorBidi" w:eastAsia="Calibri" w:hAnsiTheme="majorBidi" w:cstheme="majorBidi"/>
                <w:iCs/>
                <w:color w:val="000000"/>
                <w:sz w:val="20"/>
                <w:szCs w:val="20"/>
              </w:rPr>
              <w:t>Millennials.</w:t>
            </w:r>
          </w:p>
        </w:tc>
        <w:tc>
          <w:tcPr>
            <w:tcW w:w="2502" w:type="dxa"/>
            <w:tcBorders>
              <w:top w:val="single" w:sz="4" w:space="0" w:color="auto"/>
              <w:left w:val="single" w:sz="4" w:space="0" w:color="auto"/>
              <w:bottom w:val="single" w:sz="4" w:space="0" w:color="auto"/>
              <w:right w:val="single" w:sz="4" w:space="0" w:color="auto"/>
            </w:tcBorders>
          </w:tcPr>
          <w:p w14:paraId="54ADFE91" w14:textId="7B32DFA9" w:rsidR="006315AB" w:rsidRPr="00597FFB" w:rsidRDefault="00FC5C4B" w:rsidP="006315AB">
            <w:pPr>
              <w:spacing w:before="26" w:after="26" w:line="240" w:lineRule="auto"/>
              <w:contextualSpacing/>
              <w:rPr>
                <w:rFonts w:asciiTheme="majorBidi" w:eastAsia="Calibri" w:hAnsiTheme="majorBidi" w:cstheme="majorBidi"/>
                <w:b/>
                <w:iCs/>
                <w:sz w:val="20"/>
                <w:szCs w:val="20"/>
              </w:rPr>
            </w:pPr>
            <w:r w:rsidRPr="00597FFB">
              <w:rPr>
                <w:rFonts w:asciiTheme="majorBidi" w:eastAsia="Calibri" w:hAnsiTheme="majorBidi" w:cstheme="majorBidi"/>
                <w:b/>
                <w:iCs/>
                <w:sz w:val="20"/>
                <w:szCs w:val="20"/>
              </w:rPr>
              <w:t>H12</w:t>
            </w:r>
            <w:r w:rsidR="00091A18" w:rsidRPr="00597FFB">
              <w:rPr>
                <w:rFonts w:asciiTheme="majorBidi" w:eastAsia="Calibri" w:hAnsiTheme="majorBidi" w:cstheme="majorBidi"/>
                <w:b/>
                <w:iCs/>
                <w:sz w:val="20"/>
                <w:szCs w:val="20"/>
              </w:rPr>
              <w:t xml:space="preserve">: </w:t>
            </w:r>
            <w:r w:rsidRPr="00597FFB">
              <w:rPr>
                <w:rFonts w:asciiTheme="majorBidi" w:eastAsia="Calibri" w:hAnsiTheme="majorBidi" w:cstheme="majorBidi"/>
                <w:bCs/>
                <w:iCs/>
                <w:sz w:val="20"/>
                <w:szCs w:val="20"/>
              </w:rPr>
              <w:t xml:space="preserve">Environment </w:t>
            </w:r>
            <w:r w:rsidR="00091A18" w:rsidRPr="00597FFB">
              <w:rPr>
                <w:rFonts w:asciiTheme="majorBidi" w:eastAsia="Calibri" w:hAnsiTheme="majorBidi" w:cstheme="majorBidi"/>
                <w:bCs/>
                <w:iCs/>
                <w:sz w:val="20"/>
                <w:szCs w:val="20"/>
              </w:rPr>
              <w:t>Assessment (</w:t>
            </w:r>
            <w:r w:rsidRPr="00597FFB">
              <w:rPr>
                <w:rFonts w:asciiTheme="majorBidi" w:eastAsia="Calibri" w:hAnsiTheme="majorBidi" w:cstheme="majorBidi"/>
                <w:bCs/>
                <w:iCs/>
                <w:sz w:val="20"/>
                <w:szCs w:val="20"/>
              </w:rPr>
              <w:t>EA</w:t>
            </w:r>
            <w:r w:rsidR="00091A18" w:rsidRPr="00597FFB">
              <w:rPr>
                <w:rFonts w:asciiTheme="majorBidi" w:eastAsia="Calibri" w:hAnsiTheme="majorBidi" w:cstheme="majorBidi"/>
                <w:bCs/>
                <w:iCs/>
                <w:sz w:val="20"/>
                <w:szCs w:val="20"/>
              </w:rPr>
              <w:t xml:space="preserve">) Moderates The Relationship Between Protection Motivation And Intention To Adopt </w:t>
            </w:r>
            <w:r w:rsidRPr="00597FFB">
              <w:rPr>
                <w:rFonts w:asciiTheme="majorBidi" w:eastAsia="Calibri" w:hAnsiTheme="majorBidi" w:cstheme="majorBidi"/>
                <w:bCs/>
                <w:iCs/>
                <w:sz w:val="20"/>
                <w:szCs w:val="20"/>
              </w:rPr>
              <w:t xml:space="preserve">EWR </w:t>
            </w:r>
            <w:r w:rsidR="00091A18" w:rsidRPr="00597FFB">
              <w:rPr>
                <w:rFonts w:asciiTheme="majorBidi" w:eastAsia="Calibri" w:hAnsiTheme="majorBidi" w:cstheme="majorBidi"/>
                <w:bCs/>
                <w:iCs/>
                <w:sz w:val="20"/>
                <w:szCs w:val="20"/>
              </w:rPr>
              <w:t>Behavior (</w:t>
            </w:r>
            <w:r w:rsidRPr="00597FFB">
              <w:rPr>
                <w:rFonts w:asciiTheme="majorBidi" w:eastAsia="Calibri" w:hAnsiTheme="majorBidi" w:cstheme="majorBidi"/>
                <w:bCs/>
                <w:iCs/>
                <w:sz w:val="20"/>
                <w:szCs w:val="20"/>
              </w:rPr>
              <w:t>AD</w:t>
            </w:r>
            <w:r w:rsidR="00091A18" w:rsidRPr="00597FFB">
              <w:rPr>
                <w:rFonts w:asciiTheme="majorBidi" w:eastAsia="Calibri" w:hAnsiTheme="majorBidi" w:cstheme="majorBidi"/>
                <w:bCs/>
                <w:iCs/>
                <w:sz w:val="20"/>
                <w:szCs w:val="20"/>
              </w:rPr>
              <w:t>) Among Millennials.</w:t>
            </w:r>
          </w:p>
        </w:tc>
      </w:tr>
    </w:tbl>
    <w:p w14:paraId="4CD058C3" w14:textId="77777777" w:rsidR="002F091C" w:rsidRPr="00597FFB" w:rsidRDefault="002F091C" w:rsidP="00A558FE">
      <w:pPr>
        <w:spacing w:line="480" w:lineRule="auto"/>
      </w:pPr>
    </w:p>
    <w:p w14:paraId="2A92E32F" w14:textId="0DB92844" w:rsidR="007F414F" w:rsidRPr="00597FFB" w:rsidRDefault="002F091C" w:rsidP="001036C5">
      <w:pPr>
        <w:pStyle w:val="Heading2"/>
        <w:spacing w:line="480" w:lineRule="auto"/>
        <w:rPr>
          <w:rFonts w:asciiTheme="majorBidi" w:hAnsiTheme="majorBidi"/>
          <w:b/>
          <w:bCs/>
          <w:color w:val="000000" w:themeColor="text1"/>
          <w:sz w:val="24"/>
          <w:szCs w:val="24"/>
        </w:rPr>
      </w:pPr>
      <w:bookmarkStart w:id="62" w:name="_Toc127170256"/>
      <w:bookmarkStart w:id="63" w:name="_Hlk123711598"/>
      <w:r w:rsidRPr="00597FFB">
        <w:rPr>
          <w:rFonts w:asciiTheme="majorBidi" w:hAnsiTheme="majorBidi"/>
          <w:b/>
          <w:bCs/>
          <w:color w:val="000000" w:themeColor="text1"/>
          <w:sz w:val="24"/>
          <w:szCs w:val="24"/>
        </w:rPr>
        <w:t xml:space="preserve">1.5. Significance </w:t>
      </w:r>
      <w:r w:rsidR="00FA68AD">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 xml:space="preserve">f </w:t>
      </w:r>
      <w:r w:rsidR="00617D8C">
        <w:rPr>
          <w:rFonts w:asciiTheme="majorBidi" w:hAnsiTheme="majorBidi"/>
          <w:b/>
          <w:bCs/>
          <w:color w:val="000000" w:themeColor="text1"/>
          <w:sz w:val="24"/>
          <w:szCs w:val="24"/>
        </w:rPr>
        <w:t>t</w:t>
      </w:r>
      <w:r w:rsidRPr="00597FFB">
        <w:rPr>
          <w:rFonts w:asciiTheme="majorBidi" w:hAnsiTheme="majorBidi"/>
          <w:b/>
          <w:bCs/>
          <w:color w:val="000000" w:themeColor="text1"/>
          <w:sz w:val="24"/>
          <w:szCs w:val="24"/>
        </w:rPr>
        <w:t xml:space="preserve">he </w:t>
      </w:r>
      <w:r w:rsidR="00FA68AD">
        <w:rPr>
          <w:rFonts w:asciiTheme="majorBidi" w:hAnsiTheme="majorBidi"/>
          <w:b/>
          <w:bCs/>
          <w:color w:val="000000" w:themeColor="text1"/>
          <w:sz w:val="24"/>
          <w:szCs w:val="24"/>
        </w:rPr>
        <w:t>Research</w:t>
      </w:r>
      <w:r w:rsidR="007D28AC" w:rsidRPr="00597FFB">
        <w:rPr>
          <w:rFonts w:asciiTheme="majorBidi" w:hAnsiTheme="majorBidi"/>
          <w:b/>
          <w:bCs/>
          <w:color w:val="000000" w:themeColor="text1"/>
          <w:sz w:val="24"/>
          <w:szCs w:val="24"/>
        </w:rPr>
        <w:t>.</w:t>
      </w:r>
      <w:bookmarkEnd w:id="62"/>
    </w:p>
    <w:bookmarkEnd w:id="60"/>
    <w:bookmarkEnd w:id="61"/>
    <w:bookmarkEnd w:id="63"/>
    <w:p w14:paraId="7B8922FF" w14:textId="22B7396E" w:rsidR="00CE0E91" w:rsidRPr="00597FFB" w:rsidRDefault="00CE0E91" w:rsidP="001036C5">
      <w:pPr>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color w:val="000000"/>
          <w:sz w:val="24"/>
          <w:szCs w:val="24"/>
        </w:rPr>
        <w:t xml:space="preserve">Pro-environmental behaviors have been regarded as a way of having a sustainable future </w:t>
      </w:r>
      <w:r w:rsidR="00734DBF" w:rsidRPr="00597FFB">
        <w:rPr>
          <w:rFonts w:ascii="Times New Roman" w:eastAsia="Calibri" w:hAnsi="Times New Roman" w:cs="Times New Roman"/>
          <w:iCs/>
          <w:color w:val="000000"/>
          <w:sz w:val="24"/>
          <w:szCs w:val="24"/>
        </w:rPr>
        <w:fldChar w:fldCharType="begin"/>
      </w:r>
      <w:r w:rsidR="00174C35" w:rsidRPr="00597FFB">
        <w:rPr>
          <w:rFonts w:ascii="Times New Roman" w:eastAsia="Calibri" w:hAnsi="Times New Roman" w:cs="Times New Roman"/>
          <w:iCs/>
          <w:color w:val="000000"/>
          <w:sz w:val="24"/>
          <w:szCs w:val="24"/>
        </w:rPr>
        <w:instrText xml:space="preserve"> ADDIN ZOTERO_ITEM CSL_CITATION {"citationID":"a2dpr9spek8","properties":{"formattedCitation":"(Abbas &amp; Sa\\uc0\\u287{}san, 2019)","plainCitation":"(Abbas &amp; Sağsan, 2019)","noteIndex":0},"citationItems":[{"id":2991,"uris":["http://zotero.org/users/local/b6CRLSJH/items/M2RJ5ZWJ"],"itemData":{"id":2991,"type":"article-journal","container-title":"Journal of Cleaner Production","DOI":"10.1016/j.jclepro.2019.05.024","ISSN":"09596526","journalAbbreviation":"Journal of Cleaner Production","language":"en","page":"611-620","source":"DOI.org (Crossref)","title":"Impact of knowledge management practices on green innovation and corporate sustainable development: A structural analysis","title-short":"Impact of knowledge management practices on green innovation and corporate sustainable development","volume":"229","author":[{"family":"Abbas","given":"Jawad"},{"family":"Sağsan","given":"Mustafa"}],"issued":{"date-parts":[["2019",8]]}}}],"schema":"https://github.com/citation-style-language/schema/raw/master/csl-citation.json"} </w:instrText>
      </w:r>
      <w:r w:rsidR="00734DBF" w:rsidRPr="00597FFB">
        <w:rPr>
          <w:rFonts w:ascii="Times New Roman" w:eastAsia="Calibri" w:hAnsi="Times New Roman" w:cs="Times New Roman"/>
          <w:iCs/>
          <w:color w:val="000000"/>
          <w:sz w:val="24"/>
          <w:szCs w:val="24"/>
        </w:rPr>
        <w:fldChar w:fldCharType="separate"/>
      </w:r>
      <w:r w:rsidR="00174C35" w:rsidRPr="00597FFB">
        <w:rPr>
          <w:rFonts w:ascii="Times New Roman" w:hAnsi="Times New Roman" w:cs="Times New Roman"/>
          <w:sz w:val="24"/>
          <w:szCs w:val="24"/>
        </w:rPr>
        <w:t>(Abbas &amp; Sağsan, 2019)</w:t>
      </w:r>
      <w:r w:rsidR="00734DBF" w:rsidRPr="00597FFB">
        <w:rPr>
          <w:rFonts w:ascii="Times New Roman" w:eastAsia="Calibri" w:hAnsi="Times New Roman" w:cs="Times New Roman"/>
          <w:iCs/>
          <w:color w:val="000000"/>
          <w:sz w:val="24"/>
          <w:szCs w:val="24"/>
        </w:rPr>
        <w:fldChar w:fldCharType="end"/>
      </w:r>
      <w:r w:rsidR="00174C35" w:rsidRPr="00597FFB">
        <w:rPr>
          <w:rFonts w:ascii="Times New Roman" w:eastAsia="Calibri" w:hAnsi="Times New Roman" w:cs="Times New Roman"/>
          <w:iCs/>
          <w:color w:val="000000"/>
          <w:sz w:val="24"/>
          <w:szCs w:val="24"/>
        </w:rPr>
        <w:t xml:space="preserve">. </w:t>
      </w:r>
      <w:r w:rsidRPr="00597FFB">
        <w:rPr>
          <w:rFonts w:ascii="Times New Roman" w:eastAsia="Times New Roman" w:hAnsi="Times New Roman" w:cs="Times New Roman"/>
          <w:bCs/>
          <w:color w:val="000000"/>
          <w:sz w:val="24"/>
          <w:szCs w:val="24"/>
        </w:rPr>
        <w:t xml:space="preserve">Recycling behavior directly related to the three pillars (environmental, social, and economic) of sustainable development has been considered the most </w:t>
      </w:r>
      <w:r w:rsidR="00AC7EEE" w:rsidRPr="00597FFB">
        <w:rPr>
          <w:rFonts w:ascii="Times New Roman" w:eastAsia="Times New Roman" w:hAnsi="Times New Roman" w:cs="Times New Roman"/>
          <w:bCs/>
          <w:color w:val="000000"/>
          <w:sz w:val="24"/>
          <w:szCs w:val="24"/>
        </w:rPr>
        <w:t>viable</w:t>
      </w:r>
      <w:r w:rsidRPr="00597FFB">
        <w:rPr>
          <w:rFonts w:ascii="Times New Roman" w:eastAsia="Times New Roman" w:hAnsi="Times New Roman" w:cs="Times New Roman"/>
          <w:bCs/>
          <w:color w:val="000000"/>
          <w:sz w:val="24"/>
          <w:szCs w:val="24"/>
        </w:rPr>
        <w:t xml:space="preserve"> pro-environmental behavior for</w:t>
      </w:r>
      <w:r w:rsidR="008A37EC" w:rsidRPr="00597FFB">
        <w:rPr>
          <w:rFonts w:ascii="Times New Roman" w:eastAsia="Times New Roman" w:hAnsi="Times New Roman" w:cs="Times New Roman"/>
          <w:bCs/>
          <w:color w:val="000000"/>
          <w:sz w:val="24"/>
          <w:szCs w:val="24"/>
        </w:rPr>
        <w:t xml:space="preserve"> the</w:t>
      </w:r>
      <w:r w:rsidRPr="00597FFB">
        <w:rPr>
          <w:rFonts w:ascii="Times New Roman" w:eastAsia="Times New Roman" w:hAnsi="Times New Roman" w:cs="Times New Roman"/>
          <w:bCs/>
          <w:color w:val="000000"/>
          <w:sz w:val="24"/>
          <w:szCs w:val="24"/>
        </w:rPr>
        <w:t xml:space="preserve"> </w:t>
      </w:r>
      <w:r w:rsidR="005F530E" w:rsidRPr="00597FFB">
        <w:rPr>
          <w:rFonts w:ascii="Times New Roman" w:eastAsia="Times New Roman" w:hAnsi="Times New Roman" w:cs="Times New Roman"/>
          <w:bCs/>
          <w:color w:val="000000"/>
          <w:sz w:val="24"/>
          <w:szCs w:val="24"/>
        </w:rPr>
        <w:t>achiev</w:t>
      </w:r>
      <w:r w:rsidR="008A37EC" w:rsidRPr="00597FFB">
        <w:rPr>
          <w:rFonts w:ascii="Times New Roman" w:eastAsia="Times New Roman" w:hAnsi="Times New Roman" w:cs="Times New Roman"/>
          <w:bCs/>
          <w:color w:val="000000"/>
          <w:sz w:val="24"/>
          <w:szCs w:val="24"/>
        </w:rPr>
        <w:t>ement of</w:t>
      </w:r>
      <w:r w:rsidRPr="00597FFB">
        <w:rPr>
          <w:rFonts w:ascii="Times New Roman" w:eastAsia="Times New Roman" w:hAnsi="Times New Roman" w:cs="Times New Roman"/>
          <w:bCs/>
          <w:color w:val="000000"/>
          <w:sz w:val="24"/>
          <w:szCs w:val="24"/>
        </w:rPr>
        <w:t xml:space="preserve"> </w:t>
      </w:r>
      <w:r w:rsidR="00AC7EEE" w:rsidRPr="00597FFB">
        <w:rPr>
          <w:rFonts w:ascii="Times New Roman" w:eastAsia="Times New Roman" w:hAnsi="Times New Roman" w:cs="Times New Roman"/>
          <w:bCs/>
          <w:color w:val="000000"/>
          <w:sz w:val="24"/>
          <w:szCs w:val="24"/>
        </w:rPr>
        <w:t>sustainability</w:t>
      </w:r>
      <w:r w:rsidRPr="00597FFB">
        <w:rPr>
          <w:rFonts w:ascii="Times New Roman" w:eastAsia="Times New Roman" w:hAnsi="Times New Roman" w:cs="Times New Roman"/>
          <w:bCs/>
          <w:color w:val="000000"/>
          <w:sz w:val="24"/>
          <w:szCs w:val="24"/>
        </w:rPr>
        <w:t xml:space="preserve"> </w:t>
      </w:r>
      <w:r w:rsidR="00174C35" w:rsidRPr="00597FFB">
        <w:rPr>
          <w:rFonts w:ascii="Times New Roman" w:eastAsia="Times New Roman" w:hAnsi="Times New Roman" w:cs="Times New Roman"/>
          <w:bCs/>
          <w:color w:val="000000"/>
          <w:sz w:val="24"/>
          <w:szCs w:val="24"/>
        </w:rPr>
        <w:fldChar w:fldCharType="begin"/>
      </w:r>
      <w:r w:rsidR="00174C35" w:rsidRPr="00597FFB">
        <w:rPr>
          <w:rFonts w:ascii="Times New Roman" w:eastAsia="Times New Roman" w:hAnsi="Times New Roman" w:cs="Times New Roman"/>
          <w:bCs/>
          <w:color w:val="000000"/>
          <w:sz w:val="24"/>
          <w:szCs w:val="24"/>
        </w:rPr>
        <w:instrText xml:space="preserve"> ADDIN ZOTERO_ITEM CSL_CITATION {"citationID":"a1f3fbddg1","properties":{"formattedCitation":"(Alao et al., 2020a)","plainCitation":"(Alao et al., 2020a)","noteIndex":0},"citationItems":[{"id":2898,"uris":["http://zotero.org/users/local/b6CRLSJH/items/VZDVDK4L"],"itemData":{"id":2898,"type":"article-journal","abstract":"Selection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00174C35" w:rsidRPr="00597FFB">
        <w:rPr>
          <w:rFonts w:ascii="Times New Roman" w:eastAsia="Times New Roman" w:hAnsi="Times New Roman" w:cs="Times New Roman"/>
          <w:bCs/>
          <w:color w:val="000000"/>
          <w:sz w:val="24"/>
          <w:szCs w:val="24"/>
        </w:rPr>
        <w:fldChar w:fldCharType="separate"/>
      </w:r>
      <w:r w:rsidR="00174C35" w:rsidRPr="00597FFB">
        <w:rPr>
          <w:rFonts w:ascii="Times New Roman" w:hAnsi="Times New Roman" w:cs="Times New Roman"/>
          <w:sz w:val="24"/>
          <w:szCs w:val="24"/>
        </w:rPr>
        <w:t>(Alao et al., 2020a)</w:t>
      </w:r>
      <w:r w:rsidR="00174C35" w:rsidRPr="00597FFB">
        <w:rPr>
          <w:rFonts w:ascii="Times New Roman" w:eastAsia="Times New Roman" w:hAnsi="Times New Roman" w:cs="Times New Roman"/>
          <w:bCs/>
          <w:color w:val="000000"/>
          <w:sz w:val="24"/>
          <w:szCs w:val="24"/>
        </w:rPr>
        <w:fldChar w:fldCharType="end"/>
      </w:r>
      <w:r w:rsidR="00174C35" w:rsidRPr="00597FFB">
        <w:rPr>
          <w:rFonts w:ascii="Times New Roman" w:eastAsia="Times New Roman" w:hAnsi="Times New Roman" w:cs="Times New Roman"/>
          <w:bCs/>
          <w:color w:val="000000"/>
          <w:sz w:val="24"/>
          <w:szCs w:val="24"/>
        </w:rPr>
        <w:t xml:space="preserve">. </w:t>
      </w:r>
      <w:r w:rsidRPr="00597FFB">
        <w:rPr>
          <w:rFonts w:ascii="Times New Roman" w:eastAsia="Times New Roman" w:hAnsi="Times New Roman" w:cs="Times New Roman"/>
          <w:bCs/>
          <w:color w:val="000000"/>
          <w:sz w:val="24"/>
          <w:szCs w:val="24"/>
        </w:rPr>
        <w:t xml:space="preserve">To help </w:t>
      </w:r>
      <w:r w:rsidRPr="00597FFB">
        <w:rPr>
          <w:rFonts w:ascii="Times New Roman" w:eastAsia="Times New Roman" w:hAnsi="Times New Roman" w:cs="Times New Roman"/>
          <w:bCs/>
          <w:sz w:val="24"/>
          <w:szCs w:val="24"/>
        </w:rPr>
        <w:t>achieve this, research can explore how consumer attitudes and their underlying factors play a role in managing EEE. The study is crucial due to the lack of similar studies in the UAE. It could provide a promising area for further studies in the future. As a result, it is proposed that this research is significant because it attempts to explore these intentions determinants, along with their underlying sub-factors, and develop a model that explains their interaction. If research can better understand how these factors and attitudes work together, it may be possible to put systems and processes that will ensure a more sustainable outcome.  This is important; for a while, sustainability should be balanced against societal progression. It will risk irrevocably changing or destroying vital ecosystems by ignoring small high-volume electronic waste issues.</w:t>
      </w:r>
    </w:p>
    <w:p w14:paraId="7EB8446A" w14:textId="1F9DB10D" w:rsidR="006D2D64" w:rsidRPr="00597FFB" w:rsidRDefault="00CE0E91" w:rsidP="00A558FE">
      <w:pPr>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The study results would provide vital information to all environmental stakeholders (i.e., manufacturers, municipalities, government, and authorities related to EWM, the academics, researchers, and universities) regarding consumer behavior intentions to recycle E-waste.  Using an empirical method of assessing the potential impact of recycling E-waste, the Environment Agency-Abu Dhabi (EAD) could use the study to improve the UAE's overall E-waste management.  Necessary information regarding electronic waste management is provided to improve the overall national EWM and services resolved through this study and the data compiled. The study contributes a great deal to the literature on millennials recycling behavior intention by addressing the need for a more sustainable and integrated EWM. Understanding millennials' attitude and behavior and their recycling intention would help policymakers design more effective ways of managing E-waste in the future. This area still needs improvement in the country. Based on the responses from a large sample of millennials consumers regarding the weakness of current policies and guidelines on E-waste recovery, Improvement measures can be suggested.</w:t>
      </w:r>
    </w:p>
    <w:p w14:paraId="3025E7A0" w14:textId="406101AA" w:rsidR="00703A7E" w:rsidRPr="00597FFB" w:rsidRDefault="002F091C" w:rsidP="00F14236">
      <w:pPr>
        <w:pStyle w:val="Heading2"/>
        <w:spacing w:line="480" w:lineRule="auto"/>
        <w:rPr>
          <w:rFonts w:asciiTheme="majorBidi" w:hAnsiTheme="majorBidi"/>
          <w:b/>
          <w:bCs/>
          <w:color w:val="000000" w:themeColor="text1"/>
          <w:sz w:val="24"/>
          <w:szCs w:val="24"/>
        </w:rPr>
      </w:pPr>
      <w:bookmarkStart w:id="64" w:name="_Toc127170257"/>
      <w:r w:rsidRPr="00597FFB">
        <w:rPr>
          <w:rFonts w:asciiTheme="majorBidi" w:hAnsiTheme="majorBidi"/>
          <w:b/>
          <w:bCs/>
          <w:color w:val="000000" w:themeColor="text1"/>
          <w:sz w:val="24"/>
          <w:szCs w:val="24"/>
        </w:rPr>
        <w:t xml:space="preserve">1.6. Contribution </w:t>
      </w:r>
      <w:r w:rsidR="00DC3B65">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 xml:space="preserve">f </w:t>
      </w:r>
      <w:r w:rsidR="00DC3B65">
        <w:rPr>
          <w:rFonts w:asciiTheme="majorBidi" w:hAnsiTheme="majorBidi"/>
          <w:b/>
          <w:bCs/>
          <w:color w:val="000000" w:themeColor="text1"/>
          <w:sz w:val="24"/>
          <w:szCs w:val="24"/>
        </w:rPr>
        <w:t>t</w:t>
      </w:r>
      <w:r w:rsidRPr="00597FFB">
        <w:rPr>
          <w:rFonts w:asciiTheme="majorBidi" w:hAnsiTheme="majorBidi"/>
          <w:b/>
          <w:bCs/>
          <w:color w:val="000000" w:themeColor="text1"/>
          <w:sz w:val="24"/>
          <w:szCs w:val="24"/>
        </w:rPr>
        <w:t xml:space="preserve">he </w:t>
      </w:r>
      <w:r w:rsidR="00DC3B65">
        <w:rPr>
          <w:rFonts w:asciiTheme="majorBidi" w:hAnsiTheme="majorBidi"/>
          <w:b/>
          <w:bCs/>
          <w:color w:val="000000" w:themeColor="text1"/>
          <w:sz w:val="24"/>
          <w:szCs w:val="24"/>
        </w:rPr>
        <w:t>Research</w:t>
      </w:r>
      <w:r w:rsidR="007D28AC" w:rsidRPr="00597FFB">
        <w:rPr>
          <w:rFonts w:asciiTheme="majorBidi" w:hAnsiTheme="majorBidi"/>
          <w:b/>
          <w:bCs/>
          <w:color w:val="000000" w:themeColor="text1"/>
          <w:sz w:val="24"/>
          <w:szCs w:val="24"/>
        </w:rPr>
        <w:t>.</w:t>
      </w:r>
      <w:bookmarkEnd w:id="64"/>
    </w:p>
    <w:p w14:paraId="11B055B7" w14:textId="1EEE4047" w:rsidR="00703A7E" w:rsidRPr="00597FFB" w:rsidRDefault="00AC7EEE" w:rsidP="00A558FE">
      <w:pPr>
        <w:spacing w:before="26" w:after="26" w:line="480" w:lineRule="auto"/>
        <w:ind w:firstLine="720"/>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 xml:space="preserve">Previous </w:t>
      </w:r>
      <w:r w:rsidR="00D442DA" w:rsidRPr="00597FFB">
        <w:rPr>
          <w:rFonts w:ascii="Times New Roman" w:eastAsia="Times New Roman" w:hAnsi="Times New Roman" w:cs="Times New Roman"/>
          <w:bCs/>
          <w:sz w:val="24"/>
          <w:szCs w:val="24"/>
        </w:rPr>
        <w:t>literature</w:t>
      </w:r>
      <w:r w:rsidRPr="00597FFB">
        <w:rPr>
          <w:rFonts w:ascii="Times New Roman" w:eastAsia="Times New Roman" w:hAnsi="Times New Roman" w:cs="Times New Roman"/>
          <w:bCs/>
          <w:sz w:val="24"/>
          <w:szCs w:val="24"/>
        </w:rPr>
        <w:t xml:space="preserve"> differs from the current study’s objectives on various fronts</w:t>
      </w:r>
      <w:r w:rsidR="00D442DA" w:rsidRPr="00597FFB">
        <w:rPr>
          <w:rFonts w:ascii="Times New Roman" w:eastAsia="Times New Roman" w:hAnsi="Times New Roman" w:cs="Times New Roman"/>
          <w:bCs/>
          <w:sz w:val="24"/>
          <w:szCs w:val="24"/>
        </w:rPr>
        <w:t>. First, TPB</w:t>
      </w:r>
      <w:r w:rsidR="00C63AA3" w:rsidRPr="00597FFB">
        <w:rPr>
          <w:rFonts w:ascii="Times New Roman" w:eastAsia="Times New Roman" w:hAnsi="Times New Roman" w:cs="Times New Roman"/>
          <w:bCs/>
          <w:sz w:val="24"/>
          <w:szCs w:val="24"/>
        </w:rPr>
        <w:t xml:space="preserve">, </w:t>
      </w:r>
      <w:r w:rsidR="00D442DA" w:rsidRPr="00597FFB">
        <w:rPr>
          <w:rFonts w:ascii="Times New Roman" w:eastAsia="Times New Roman" w:hAnsi="Times New Roman" w:cs="Times New Roman"/>
          <w:bCs/>
          <w:sz w:val="24"/>
          <w:szCs w:val="24"/>
        </w:rPr>
        <w:t>NA</w:t>
      </w:r>
      <w:r w:rsidR="00C63AA3" w:rsidRPr="00597FFB">
        <w:rPr>
          <w:rFonts w:ascii="Times New Roman" w:eastAsia="Times New Roman" w:hAnsi="Times New Roman" w:cs="Times New Roman"/>
          <w:bCs/>
          <w:sz w:val="24"/>
          <w:szCs w:val="24"/>
        </w:rPr>
        <w:t>T, and PMT</w:t>
      </w:r>
      <w:r w:rsidRPr="00597FFB">
        <w:rPr>
          <w:rFonts w:ascii="Times New Roman" w:eastAsia="Times New Roman" w:hAnsi="Times New Roman" w:cs="Times New Roman"/>
          <w:bCs/>
          <w:sz w:val="24"/>
          <w:szCs w:val="24"/>
        </w:rPr>
        <w:t xml:space="preserve"> are extended and employed as distinct</w:t>
      </w:r>
      <w:r w:rsidR="00D442DA" w:rsidRPr="00597FFB">
        <w:rPr>
          <w:rFonts w:ascii="Times New Roman" w:eastAsia="Times New Roman" w:hAnsi="Times New Roman" w:cs="Times New Roman"/>
          <w:bCs/>
          <w:sz w:val="24"/>
          <w:szCs w:val="24"/>
        </w:rPr>
        <w:t xml:space="preserve"> theoretical framework</w:t>
      </w:r>
      <w:r w:rsidRPr="00597FFB">
        <w:rPr>
          <w:rFonts w:ascii="Times New Roman" w:eastAsia="Times New Roman" w:hAnsi="Times New Roman" w:cs="Times New Roman"/>
          <w:bCs/>
          <w:sz w:val="24"/>
          <w:szCs w:val="24"/>
        </w:rPr>
        <w:t>s</w:t>
      </w:r>
      <w:r w:rsidR="00D442DA" w:rsidRPr="00597FFB">
        <w:rPr>
          <w:rFonts w:ascii="Times New Roman" w:eastAsia="Times New Roman" w:hAnsi="Times New Roman" w:cs="Times New Roman"/>
          <w:bCs/>
          <w:sz w:val="24"/>
          <w:szCs w:val="24"/>
        </w:rPr>
        <w:t xml:space="preserve"> to examine the determinants of e-waste recycling intentions</w:t>
      </w:r>
      <w:r w:rsidRPr="00597FFB">
        <w:rPr>
          <w:rFonts w:ascii="Times New Roman" w:eastAsia="Times New Roman" w:hAnsi="Times New Roman" w:cs="Times New Roman"/>
          <w:bCs/>
          <w:sz w:val="24"/>
          <w:szCs w:val="24"/>
        </w:rPr>
        <w:t xml:space="preserve"> in this research</w:t>
      </w:r>
      <w:r w:rsidR="00D442DA"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Second, the current study</w:t>
      </w:r>
      <w:r w:rsidR="00D442DA" w:rsidRPr="00597FFB">
        <w:rPr>
          <w:rFonts w:ascii="Times New Roman" w:eastAsia="Times New Roman" w:hAnsi="Times New Roman" w:cs="Times New Roman"/>
          <w:bCs/>
          <w:sz w:val="24"/>
          <w:szCs w:val="24"/>
        </w:rPr>
        <w:t xml:space="preserve"> reveal</w:t>
      </w:r>
      <w:r w:rsidRPr="00597FFB">
        <w:rPr>
          <w:rFonts w:ascii="Times New Roman" w:eastAsia="Times New Roman" w:hAnsi="Times New Roman" w:cs="Times New Roman"/>
          <w:bCs/>
          <w:sz w:val="24"/>
          <w:szCs w:val="24"/>
        </w:rPr>
        <w:t>s</w:t>
      </w:r>
      <w:r w:rsidR="00D442DA" w:rsidRPr="00597FFB">
        <w:rPr>
          <w:rFonts w:ascii="Times New Roman" w:eastAsia="Times New Roman" w:hAnsi="Times New Roman" w:cs="Times New Roman"/>
          <w:bCs/>
          <w:sz w:val="24"/>
          <w:szCs w:val="24"/>
        </w:rPr>
        <w:t xml:space="preserve"> the present incentives on consumption and disposal behavior on EWR using a firsthand survey focusing on UAE for the first time in the academic literature. This, in turn, will improve our overall understanding of e-waste recycling intentions. Second, the present study examines the role of different consumer values (such as Accessibility, Information availability, and environmental concerns) in predicting the intentions to recycle e-waste. The inclusion of values in the proposed model will provide insight into the guiding principles of UAE’s millennials consumers and whether these principles promote recycling behavior, in turn. Third, the prior literature has largely focused on China (Liu et al., 2019), India (Borthakur &amp; Govind, 2018), Brazil </w:t>
      </w:r>
      <w:r w:rsidR="00CA7426" w:rsidRPr="00597FFB">
        <w:rPr>
          <w:rFonts w:ascii="Times New Roman" w:eastAsia="Times New Roman" w:hAnsi="Times New Roman" w:cs="Times New Roman"/>
          <w:bCs/>
          <w:sz w:val="24"/>
          <w:szCs w:val="24"/>
        </w:rPr>
        <w:fldChar w:fldCharType="begin"/>
      </w:r>
      <w:r w:rsidR="00794844" w:rsidRPr="00597FFB">
        <w:rPr>
          <w:rFonts w:ascii="Times New Roman" w:eastAsia="Times New Roman" w:hAnsi="Times New Roman" w:cs="Times New Roman"/>
          <w:bCs/>
          <w:sz w:val="24"/>
          <w:szCs w:val="24"/>
        </w:rPr>
        <w:instrText xml:space="preserve"> ADDIN ZOTERO_ITEM CSL_CITATION {"citationID":"aurf51l1nk","properties":{"formattedCitation":"(Cantone et al., 2022)","plainCitation":"(Cantone et al., 2022)","noteIndex":0},"citationItems":[{"id":4506,"uris":["http://zotero.org/users/local/b6CRLSJH/items/G3KMFECP"],"itemData":{"id":4506,"type":"article-journal","abstract":"Abstract\n            \n              The paper aims to identify the current positioning of consumer brand engagement (CBE) in marketing literature, thus filling a gap and contributing to a richer overview of the concept. Numerous research topics currently overlap in the marketing literature as brand theory has not been systemised precisely, especially with regard to consumer feeling towards brands and consumers’ active role in creating brand equity. The methodology adopted for this empirical research is qualitative, and the research question is the following:\n              what is the current positioning of CBE in marketing theory?\n              To find the answer, three empirical studies were performed. The first, Study 1, involved eight scholars—the key informants—specialising in the topic. In Study 2, 64 academic articles focusing on CBE were analysed. By comparing the two, it was possible to identify some counterintuitive problems and pitfalls impeding the definitive affirmation of CBE in marketing literature. Lastly, in Study 3, six Italian CBE practitioners (marketing managers and digital marketing consultants) were questioned to gather further information and shed light on some grey areas highlighted by the academic community regarding management issues. The principal expected outcome was to ascertain whether CBE has specific and well-defined conceptual dimensions that may be applied to other similar topics in marketing literature. The study’s originality lies in a rationalisation of the theory underpinning the topic and proposing a possible systematisation.","container-title":"Italian Journal of Marketing","DOI":"10.1007/s43039-022-00054-z","ISSN":"2662-3323, 2662-3331","issue":"2","journalAbbreviation":"Ital. J. Mark.","language":"en","page":"135-172","source":"DOI.org (Crossref)","title":"Issues in defining and placing consumer brand engagement","volume":"2022","author":[{"family":"Cantone","given":"Luigi"},{"family":"Testa","given":"Pierpaolo"},{"family":"Marrone","given":"Teresa"}],"issued":{"date-parts":[["2022",6]]}}}],"schema":"https://github.com/citation-style-language/schema/raw/master/csl-citation.json"} </w:instrText>
      </w:r>
      <w:r w:rsidR="00CA7426" w:rsidRPr="00597FFB">
        <w:rPr>
          <w:rFonts w:ascii="Times New Roman" w:eastAsia="Times New Roman" w:hAnsi="Times New Roman" w:cs="Times New Roman"/>
          <w:bCs/>
          <w:sz w:val="24"/>
          <w:szCs w:val="24"/>
        </w:rPr>
        <w:fldChar w:fldCharType="separate"/>
      </w:r>
      <w:r w:rsidR="00794844" w:rsidRPr="00597FFB">
        <w:rPr>
          <w:rFonts w:ascii="Times New Roman" w:hAnsi="Times New Roman" w:cs="Times New Roman"/>
          <w:sz w:val="24"/>
          <w:szCs w:val="24"/>
        </w:rPr>
        <w:t>(Cantone et al., 2022)</w:t>
      </w:r>
      <w:r w:rsidR="00CA7426" w:rsidRPr="00597FFB">
        <w:rPr>
          <w:rFonts w:ascii="Times New Roman" w:eastAsia="Times New Roman" w:hAnsi="Times New Roman" w:cs="Times New Roman"/>
          <w:bCs/>
          <w:sz w:val="24"/>
          <w:szCs w:val="24"/>
        </w:rPr>
        <w:fldChar w:fldCharType="end"/>
      </w:r>
      <w:r w:rsidR="00EE2092" w:rsidRPr="00597FFB">
        <w:rPr>
          <w:rFonts w:ascii="Times New Roman" w:eastAsia="Times New Roman" w:hAnsi="Times New Roman" w:cs="Times New Roman"/>
          <w:bCs/>
          <w:sz w:val="24"/>
          <w:szCs w:val="24"/>
        </w:rPr>
        <w:t xml:space="preserve">, </w:t>
      </w:r>
      <w:r w:rsidR="00D442DA" w:rsidRPr="00597FFB">
        <w:rPr>
          <w:rFonts w:ascii="Times New Roman" w:eastAsia="Times New Roman" w:hAnsi="Times New Roman" w:cs="Times New Roman"/>
          <w:bCs/>
          <w:sz w:val="24"/>
          <w:szCs w:val="24"/>
        </w:rPr>
        <w:t xml:space="preserve">Malaysia </w:t>
      </w:r>
      <w:r w:rsidR="00EE2092"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{"citationID":"aqmqe2s98o","properties":{"formattedCitation":"(Alofan et al., 2020a)","plainCitation":"(Alofan et al., 2020a)","noteIndex":0},"citationItems":[{"id":2971,"uris":["http://zotero.org/users/local/b6CRLSJH/items/3U987K9T"],"itemData":{"id":2971,"type":"article-journal","container-title":"Journal of Business Research","DOI":"10.1016/j.jbusres.2019.11.037","ISSN":"01482963","journalAbbreviation":"Journal of Business Research","language":"en","page":"184-199","source":"DOI.org (Crossref)","title":"National cultural distance, organizational culture, and adaptation of management innovations in foreign subsidiaries: A fuzzy set analysis of TQM implementation in Saudi Arabia","title-short":"National cultural distance, organizational culture, and adaptation of management innovations in foreign subsidiaries","volume":"109","author":[{"family":"Alofan","given":"Fahad"},{"family":"Chen","given":"Stephen"},{"family":"Tan","given":"Hao"}],"issued":{"date-parts":[["2020",3]]}}}],"schema":"https://github.com/citation-style-language/schema/raw/master/csl-citation.json"} </w:instrText>
      </w:r>
      <w:r w:rsidR="00EE2092"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rPr>
        <w:t>(Alofan et al., 2020a)</w:t>
      </w:r>
      <w:r w:rsidR="00EE2092" w:rsidRPr="00597FFB">
        <w:rPr>
          <w:rFonts w:ascii="Times New Roman" w:eastAsia="Times New Roman" w:hAnsi="Times New Roman" w:cs="Times New Roman"/>
          <w:bCs/>
          <w:sz w:val="24"/>
          <w:szCs w:val="24"/>
        </w:rPr>
        <w:fldChar w:fldCharType="end"/>
      </w:r>
      <w:r w:rsidR="00EE2092" w:rsidRPr="00597FFB">
        <w:rPr>
          <w:rFonts w:ascii="Times New Roman" w:eastAsia="Times New Roman" w:hAnsi="Times New Roman" w:cs="Times New Roman"/>
          <w:bCs/>
          <w:sz w:val="24"/>
          <w:szCs w:val="24"/>
        </w:rPr>
        <w:t xml:space="preserve">, </w:t>
      </w:r>
      <w:r w:rsidR="00D442DA" w:rsidRPr="00597FFB">
        <w:rPr>
          <w:rFonts w:ascii="Times New Roman" w:eastAsia="Times New Roman" w:hAnsi="Times New Roman" w:cs="Times New Roman"/>
          <w:bCs/>
          <w:sz w:val="24"/>
          <w:szCs w:val="24"/>
        </w:rPr>
        <w:t xml:space="preserve">Pakistan </w:t>
      </w:r>
      <w:r w:rsidR="00CA7426" w:rsidRPr="00597FFB">
        <w:rPr>
          <w:rFonts w:ascii="Times New Roman" w:eastAsia="Times New Roman" w:hAnsi="Times New Roman" w:cs="Times New Roman"/>
          <w:bCs/>
          <w:sz w:val="24"/>
          <w:szCs w:val="24"/>
        </w:rPr>
        <w:fldChar w:fldCharType="begin"/>
      </w:r>
      <w:r w:rsidR="00794844" w:rsidRPr="00597FFB">
        <w:rPr>
          <w:rFonts w:ascii="Times New Roman" w:eastAsia="Times New Roman" w:hAnsi="Times New Roman" w:cs="Times New Roman"/>
          <w:bCs/>
          <w:sz w:val="24"/>
          <w:szCs w:val="24"/>
        </w:rPr>
        <w:instrText xml:space="preserve"> ADDIN ZOTERO_ITEM CSL_CITATION {"citationID":"aa2sp8p8nb","properties":{"formattedCitation":"(Asadi et al., 2021b)","plainCitation":"(Asadi et al., 2021b)","noteIndex":0},"citationItems":[{"id":4431,"uris":["http://zotero.org/users/local/b6CRLSJH/items/N63T23ZT"],"itemData":{"id":4431,"type":"article-journal","container-title":"Journal of Cleaner Production","DOI":"10.1016/j.jclepro.2020.124474","ISSN":"09596526","journalAbbreviation":"Journal of Cleaner Production","language":"en","page":"124474","source":"DOI.org (Crossref)","title":"Factors impacting consumers’ intention toward adoption of electric vehicles in Malaysia","volume":"282","author":[{"family":"Asadi","given":"Shahla"},{"family":"Nilashi","given":"Mehrbakhsh"},{"family":"Samad","given":"Sarminah"},{"family":"Abdullah","given":"Rusli"},{"family":"Mahmoud","given":"Marwan"},{"family":"Alkinani","given":"Monagi H."},{"family":"Yadegaridehkordi","given":"Elaheh"}],"issued":{"date-parts":[["2021",2]]}}}],"schema":"https://github.com/citation-style-language/schema/raw/master/csl-citation.json"} </w:instrText>
      </w:r>
      <w:r w:rsidR="00CA7426" w:rsidRPr="00597FFB">
        <w:rPr>
          <w:rFonts w:ascii="Times New Roman" w:eastAsia="Times New Roman" w:hAnsi="Times New Roman" w:cs="Times New Roman"/>
          <w:bCs/>
          <w:sz w:val="24"/>
          <w:szCs w:val="24"/>
        </w:rPr>
        <w:fldChar w:fldCharType="separate"/>
      </w:r>
      <w:r w:rsidR="00794844" w:rsidRPr="00597FFB">
        <w:rPr>
          <w:rFonts w:ascii="Times New Roman" w:hAnsi="Times New Roman" w:cs="Times New Roman"/>
          <w:sz w:val="24"/>
          <w:szCs w:val="24"/>
        </w:rPr>
        <w:t>(Asadi et al., 2021b)</w:t>
      </w:r>
      <w:r w:rsidR="00CA7426" w:rsidRPr="00597FFB">
        <w:rPr>
          <w:rFonts w:ascii="Times New Roman" w:eastAsia="Times New Roman" w:hAnsi="Times New Roman" w:cs="Times New Roman"/>
          <w:bCs/>
          <w:sz w:val="24"/>
          <w:szCs w:val="24"/>
        </w:rPr>
        <w:fldChar w:fldCharType="end"/>
      </w:r>
      <w:r w:rsidR="00CA7426" w:rsidRPr="00597FFB">
        <w:rPr>
          <w:rFonts w:ascii="Times New Roman" w:eastAsia="Times New Roman" w:hAnsi="Times New Roman" w:cs="Times New Roman"/>
          <w:bCs/>
          <w:sz w:val="24"/>
          <w:szCs w:val="24"/>
        </w:rPr>
        <w:t xml:space="preserve">, </w:t>
      </w:r>
      <w:r w:rsidR="00D442DA" w:rsidRPr="00597FFB">
        <w:rPr>
          <w:rFonts w:ascii="Times New Roman" w:eastAsia="Times New Roman" w:hAnsi="Times New Roman" w:cs="Times New Roman"/>
          <w:bCs/>
          <w:sz w:val="24"/>
          <w:szCs w:val="24"/>
        </w:rPr>
        <w:t xml:space="preserve">and Vietnam (Nguyen et al., 2018), with only a few studies reporting insights from developed countries, such as Australia </w:t>
      </w:r>
      <w:r w:rsidR="00AF2DDC"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{"citationID":"a1fadi9au27","properties":{"formattedCitation":"(M. T. Islam &amp; Huda, 2020)","plainCitation":"(M. T. Islam &amp; Huda, 2020)","noteIndex":0},"citationItems":[{"id":3870,"uris":["http://zotero.org/users/local/b6CRLSJH/items/I9QVJEZK"],"itemData":{"id":3870,"type":"article-journal","abstract":"Currently, Australian e-waste management system under the National Television and Computer Recycling Scheme (NTCRS) consider television, computer, and IT peripheral products and MobileMuster only considers mobile phones. A large proportion of E-waste from other categories is still unregulated. This study aims to estimate e-waste generation from this “unregulated” e-waste stream by a Weibull distribution-based sales-stocklifespan model from 2010 to 2030. A total of sixteen unregulated products (eleven electrical appliances and five electronic equipment) were selected for the estimation. The results of this study show that Australia will generate 342 kilo tonnes (kt) of the e-waste in 2020, which is predicted to grow to 461 kt in 2030 with an annual increase rate of around 3.7% from the 16 unregulated electrical and electronic equipment (EEE). Home laundry appliances, air treatment products, refrigeration appliances, large cooking appliances, and heating appliances are the critical items that account for more than 70% of the total e-waste generation. Base metals such as Fe, Cu, and Al will have a sharp increase by the year 2030, accounting 234.27 kt, 31.19 kt, 13.93 kt, respectively from the estimated e-waste quantities. Electronics products (e.g., home audio and visual devices, portable players, video games hardware, and others) will be a significant source of precious and rare-earth elements. By 2030, the estimated economic value of the metals will vary in between 2.74–4.60 billion US$. This study provides suggestion to policymakers in decision making for the future collection and recycling of e-waste in Australia.","container-title":"Resources, Conservation and Recycling","DOI":"10.1016/j.resconrec.2019.104526","ISSN":"09213449","journalAbbreviation":"Resources, Conservation and Recycling","language":"en","page":"104526","source":"DOI.org (Crossref)","title":"Assessing the recycling potential of “unregulated” e-waste in Australia","volume":"152","author":[{"family":"Islam","given":"Md Tasbirul"},{"family":"Huda","given":"Nazmul"}],"issued":{"date-parts":[["2020",1]]}}}],"schema":"https://github.com/citation-style-language/schema/raw/master/csl-citation.json"} </w:instrText>
      </w:r>
      <w:r w:rsidR="00AF2DDC"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rPr>
        <w:t>(M. T. Islam &amp; Huda, 2020)</w:t>
      </w:r>
      <w:r w:rsidR="00AF2DDC" w:rsidRPr="00597FFB">
        <w:rPr>
          <w:rFonts w:ascii="Times New Roman" w:eastAsia="Times New Roman" w:hAnsi="Times New Roman" w:cs="Times New Roman"/>
          <w:bCs/>
          <w:sz w:val="24"/>
          <w:szCs w:val="24"/>
        </w:rPr>
        <w:fldChar w:fldCharType="end"/>
      </w:r>
      <w:r w:rsidR="00D442DA" w:rsidRPr="00597FFB">
        <w:rPr>
          <w:rFonts w:ascii="Times New Roman" w:eastAsia="Times New Roman" w:hAnsi="Times New Roman" w:cs="Times New Roman"/>
          <w:bCs/>
          <w:sz w:val="24"/>
          <w:szCs w:val="24"/>
        </w:rPr>
        <w:t xml:space="preserve">, the United States of America </w:t>
      </w:r>
      <w:r w:rsidR="00D35E02" w:rsidRPr="00597FFB">
        <w:rPr>
          <w:rFonts w:ascii="Times New Roman" w:eastAsia="Times New Roman" w:hAnsi="Times New Roman" w:cs="Times New Roman"/>
          <w:bCs/>
          <w:sz w:val="24"/>
          <w:szCs w:val="24"/>
        </w:rPr>
        <w:fldChar w:fldCharType="begin"/>
      </w:r>
      <w:r w:rsidR="00A51F62" w:rsidRPr="00597FFB">
        <w:rPr>
          <w:rFonts w:ascii="Times New Roman" w:eastAsia="Times New Roman" w:hAnsi="Times New Roman" w:cs="Times New Roman"/>
          <w:bCs/>
          <w:sz w:val="24"/>
          <w:szCs w:val="24"/>
        </w:rPr>
        <w:instrText xml:space="preserve"> ADDIN ZOTERO_ITEM CSL_CITATION {"citationID":"aie0fc1lms","properties":{"formattedCitation":"(M. G. Aboelmaged, 2020a)","plainCitation":"(M. G. Aboelmaged, 2020a)","dontUpdate":true,"noteIndex":0},"citationItems":[{"id":3214,"uris":["http://zotero.org/users/local/b6CRLSJH/items/TCI3P43T"],"itemData":{"id":3214,"type":"paper-conference","abstract":"This paper integrates habits into the Theory of Planned Behavior and the Technology Acceptance Model to predict waste electrical and electronic equipment (WEEE) or the e-waste recycling intention among young adults. This study adopts the structural equation modelling (SEM) technique, using the partial least squares (PLS) approach as a multivariate statistical method to analyze the survey data. The findings show that the integrated model has good explanatory power and confirms its robustness in predicting the e-waste recycling intention among young adults. The role of habits and perceived usefulness are demonstrated as strong predictors of young adults’ e-waste recycling intention, as well as their attitudes. The paper concludes with several social and practical implications that can foster e-waste recycling initiatives in the UAE.","container-title":"2020 IEEE Conference on Technologies for Sustainability (SusTech)","DOI":"10.1109/SusTech47890.2020.9150485","event-place":"Santa Ana, CA, USA","event-title":"2020 IEEE Conference on Technologies for Sustainability (SusTech)","ISBN":"978-1-72813-108-5","language":"en","page":"1-6","publisher":"IEEE","publisher-place":"Santa Ana, CA, USA","source":"DOI.org (Crossref)","title":"Acceptance of E-waste Recycling Among Young Adults: An Empirical Study","title-short":"Acceptance of E-waste Recycling Among Young Adults","URL":"https://ieeexplore.ieee.org/document/9150485/","author":[{"family":"Aboelmaged","given":"Mohamed Gamal"}],"accessed":{"date-parts":[["2021",5,25]]},"issued":{"date-parts":[["2020",4]]}}}],"schema":"https://github.com/citation-style-language/schema/raw/master/csl-citation.json"} </w:instrText>
      </w:r>
      <w:r w:rsidR="00D35E02" w:rsidRPr="00597FFB">
        <w:rPr>
          <w:rFonts w:ascii="Times New Roman" w:eastAsia="Times New Roman" w:hAnsi="Times New Roman" w:cs="Times New Roman"/>
          <w:bCs/>
          <w:sz w:val="24"/>
          <w:szCs w:val="24"/>
        </w:rPr>
        <w:fldChar w:fldCharType="separate"/>
      </w:r>
      <w:r w:rsidR="00794844" w:rsidRPr="00597FFB">
        <w:rPr>
          <w:rFonts w:ascii="Times New Roman" w:hAnsi="Times New Roman" w:cs="Times New Roman"/>
          <w:sz w:val="24"/>
          <w:szCs w:val="24"/>
        </w:rPr>
        <w:t>(Aboelmaged, 2020a)</w:t>
      </w:r>
      <w:r w:rsidR="00D35E02" w:rsidRPr="00597FFB">
        <w:rPr>
          <w:rFonts w:ascii="Times New Roman" w:eastAsia="Times New Roman" w:hAnsi="Times New Roman" w:cs="Times New Roman"/>
          <w:bCs/>
          <w:sz w:val="24"/>
          <w:szCs w:val="24"/>
        </w:rPr>
        <w:fldChar w:fldCharType="end"/>
      </w:r>
      <w:r w:rsidR="00AF2DDC" w:rsidRPr="00597FFB">
        <w:rPr>
          <w:rFonts w:ascii="Times New Roman" w:eastAsia="Times New Roman" w:hAnsi="Times New Roman" w:cs="Times New Roman"/>
          <w:bCs/>
          <w:sz w:val="24"/>
          <w:szCs w:val="24"/>
        </w:rPr>
        <w:t xml:space="preserve">, </w:t>
      </w:r>
      <w:r w:rsidR="00D442DA" w:rsidRPr="00597FFB">
        <w:rPr>
          <w:rFonts w:ascii="Times New Roman" w:eastAsia="Times New Roman" w:hAnsi="Times New Roman" w:cs="Times New Roman"/>
          <w:bCs/>
          <w:sz w:val="24"/>
          <w:szCs w:val="24"/>
        </w:rPr>
        <w:t xml:space="preserve">and Japan (Mishima &amp; Nishimura, 2016). Fourth, </w:t>
      </w:r>
      <w:r w:rsidR="00FB583F" w:rsidRPr="00597FFB">
        <w:rPr>
          <w:rFonts w:ascii="Times New Roman" w:eastAsia="Times New Roman" w:hAnsi="Times New Roman" w:cs="Times New Roman"/>
          <w:bCs/>
          <w:sz w:val="24"/>
          <w:szCs w:val="24"/>
        </w:rPr>
        <w:t xml:space="preserve">Arain et al., (2020) </w:t>
      </w:r>
      <w:r w:rsidR="00D442DA" w:rsidRPr="00597FFB">
        <w:rPr>
          <w:rFonts w:ascii="Times New Roman" w:eastAsia="Times New Roman" w:hAnsi="Times New Roman" w:cs="Times New Roman"/>
          <w:bCs/>
          <w:sz w:val="24"/>
          <w:szCs w:val="24"/>
        </w:rPr>
        <w:t>utilized the analysis of means (ANOM) to study consumer preferences of services promoting recycling behavior. The current study instead uses a different set of research questions and objectives. Thus, by providing updated insights from UAE, this study contributes to the e-waste management literature from a developed country perspective, so that other countries with similar conditions can benefit from the findings to implement their programs or to update the existing one.</w:t>
      </w:r>
    </w:p>
    <w:p w14:paraId="6C13B758" w14:textId="11261D06" w:rsidR="00703A7E" w:rsidRPr="00597FFB" w:rsidRDefault="002F091C" w:rsidP="00F14236">
      <w:pPr>
        <w:pStyle w:val="Heading2"/>
        <w:spacing w:line="480" w:lineRule="auto"/>
        <w:rPr>
          <w:rFonts w:asciiTheme="majorBidi" w:hAnsiTheme="majorBidi"/>
          <w:b/>
          <w:bCs/>
          <w:color w:val="000000" w:themeColor="text1"/>
          <w:sz w:val="24"/>
          <w:szCs w:val="24"/>
        </w:rPr>
      </w:pPr>
      <w:bookmarkStart w:id="65" w:name="_Toc74912547"/>
      <w:bookmarkStart w:id="66" w:name="_Toc127170258"/>
      <w:r w:rsidRPr="00597FFB">
        <w:rPr>
          <w:rFonts w:asciiTheme="majorBidi" w:hAnsiTheme="majorBidi"/>
          <w:b/>
          <w:bCs/>
          <w:color w:val="000000" w:themeColor="text1"/>
          <w:sz w:val="24"/>
          <w:szCs w:val="24"/>
        </w:rPr>
        <w:t>1.7.</w:t>
      </w:r>
      <w:bookmarkEnd w:id="65"/>
      <w:r w:rsidRPr="00597FFB">
        <w:rPr>
          <w:rFonts w:asciiTheme="majorBidi" w:hAnsiTheme="majorBidi"/>
          <w:b/>
          <w:bCs/>
          <w:color w:val="000000" w:themeColor="text1"/>
          <w:sz w:val="24"/>
          <w:szCs w:val="24"/>
        </w:rPr>
        <w:t xml:space="preserve"> </w:t>
      </w:r>
      <w:r w:rsidRPr="00597FFB">
        <w:rPr>
          <w:rFonts w:ascii="Times New Roman" w:hAnsi="Times New Roman" w:cs="Times New Roman"/>
          <w:b/>
          <w:iCs/>
          <w:color w:val="auto"/>
          <w:sz w:val="24"/>
          <w:szCs w:val="24"/>
        </w:rPr>
        <w:t>Overall Research Structure</w:t>
      </w:r>
      <w:r w:rsidR="007D28AC" w:rsidRPr="00597FFB">
        <w:rPr>
          <w:rFonts w:ascii="Times New Roman" w:hAnsi="Times New Roman" w:cs="Times New Roman"/>
          <w:b/>
          <w:iCs/>
          <w:color w:val="auto"/>
          <w:sz w:val="24"/>
          <w:szCs w:val="24"/>
        </w:rPr>
        <w:t>.</w:t>
      </w:r>
      <w:bookmarkEnd w:id="66"/>
    </w:p>
    <w:p w14:paraId="48B2DB2C" w14:textId="65575490" w:rsidR="00745A8D" w:rsidRPr="00597FFB" w:rsidRDefault="001603E7" w:rsidP="00A558FE">
      <w:pPr>
        <w:spacing w:before="26" w:after="26"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The remaining structure of this paper is </w:t>
      </w:r>
      <w:r w:rsidRPr="00597FFB">
        <w:rPr>
          <w:rFonts w:ascii="Times New Roman" w:eastAsia="Calibri" w:hAnsi="Times New Roman" w:cs="Times New Roman"/>
          <w:bCs/>
          <w:iCs/>
          <w:color w:val="000000"/>
          <w:sz w:val="24"/>
          <w:szCs w:val="24"/>
        </w:rPr>
        <w:t>structured as follows:</w:t>
      </w:r>
      <w:r w:rsidRPr="00597FFB">
        <w:rPr>
          <w:rFonts w:ascii="Times New Roman" w:eastAsia="Calibri" w:hAnsi="Times New Roman" w:cs="Times New Roman"/>
          <w:color w:val="000000"/>
          <w:sz w:val="24"/>
          <w:szCs w:val="24"/>
        </w:rPr>
        <w:t xml:space="preserve"> Chapter 2 is a literature review </w:t>
      </w:r>
      <w:r w:rsidR="009A3447" w:rsidRPr="00597FFB">
        <w:rPr>
          <w:rFonts w:ascii="Times New Roman" w:eastAsia="Calibri" w:hAnsi="Times New Roman" w:cs="Times New Roman"/>
          <w:color w:val="000000" w:themeColor="text1"/>
          <w:sz w:val="24"/>
          <w:szCs w:val="24"/>
        </w:rPr>
        <w:t>starting with a brief overview of the circular economy concept with respect to e-waste</w:t>
      </w:r>
      <w:r w:rsidRPr="00597FFB">
        <w:rPr>
          <w:rFonts w:ascii="Times New Roman" w:eastAsia="Calibri" w:hAnsi="Times New Roman" w:cs="Times New Roman"/>
          <w:color w:val="000000"/>
          <w:sz w:val="24"/>
          <w:szCs w:val="24"/>
        </w:rPr>
        <w:t xml:space="preserve">; </w:t>
      </w:r>
      <w:r w:rsidR="005423D8" w:rsidRPr="00597FFB">
        <w:rPr>
          <w:rFonts w:ascii="Times New Roman" w:eastAsia="Calibri" w:hAnsi="Times New Roman" w:cs="Times New Roman"/>
          <w:color w:val="000000" w:themeColor="text1"/>
          <w:sz w:val="24"/>
          <w:szCs w:val="24"/>
        </w:rPr>
        <w:t xml:space="preserve">an exploration of the factors </w:t>
      </w:r>
      <w:r w:rsidR="00AC7EEE" w:rsidRPr="00597FFB">
        <w:rPr>
          <w:rFonts w:ascii="Times New Roman" w:eastAsia="Calibri" w:hAnsi="Times New Roman" w:cs="Times New Roman"/>
          <w:color w:val="000000" w:themeColor="text1"/>
          <w:sz w:val="24"/>
          <w:szCs w:val="24"/>
        </w:rPr>
        <w:t>behind</w:t>
      </w:r>
      <w:r w:rsidR="005423D8" w:rsidRPr="00597FFB">
        <w:rPr>
          <w:rFonts w:ascii="Times New Roman" w:eastAsia="Calibri" w:hAnsi="Times New Roman" w:cs="Times New Roman"/>
          <w:color w:val="000000" w:themeColor="text1"/>
          <w:sz w:val="24"/>
          <w:szCs w:val="24"/>
        </w:rPr>
        <w:t xml:space="preserve"> </w:t>
      </w:r>
      <w:r w:rsidR="00AC7EEE" w:rsidRPr="00597FFB">
        <w:rPr>
          <w:rFonts w:ascii="Times New Roman" w:eastAsia="Calibri" w:hAnsi="Times New Roman" w:cs="Times New Roman"/>
          <w:color w:val="000000" w:themeColor="text1"/>
          <w:sz w:val="24"/>
          <w:szCs w:val="24"/>
        </w:rPr>
        <w:t>increasing</w:t>
      </w:r>
      <w:r w:rsidR="005423D8" w:rsidRPr="00597FFB">
        <w:rPr>
          <w:rFonts w:ascii="Times New Roman" w:eastAsia="Calibri" w:hAnsi="Times New Roman" w:cs="Times New Roman"/>
          <w:color w:val="000000" w:themeColor="text1"/>
          <w:sz w:val="24"/>
          <w:szCs w:val="24"/>
        </w:rPr>
        <w:t xml:space="preserve"> </w:t>
      </w:r>
      <w:r w:rsidR="00AC7EEE" w:rsidRPr="00597FFB">
        <w:rPr>
          <w:rFonts w:ascii="Times New Roman" w:eastAsia="Calibri" w:hAnsi="Times New Roman" w:cs="Times New Roman"/>
          <w:color w:val="000000" w:themeColor="text1"/>
          <w:sz w:val="24"/>
          <w:szCs w:val="24"/>
        </w:rPr>
        <w:t>E</w:t>
      </w:r>
      <w:r w:rsidR="005423D8" w:rsidRPr="00597FFB">
        <w:rPr>
          <w:rFonts w:ascii="Times New Roman" w:eastAsia="Calibri" w:hAnsi="Times New Roman" w:cs="Times New Roman"/>
          <w:color w:val="000000" w:themeColor="text1"/>
          <w:sz w:val="24"/>
          <w:szCs w:val="24"/>
        </w:rPr>
        <w:t xml:space="preserve">-waste </w:t>
      </w:r>
      <w:r w:rsidR="00AC7EEE" w:rsidRPr="00597FFB">
        <w:rPr>
          <w:rFonts w:ascii="Times New Roman" w:eastAsia="Calibri" w:hAnsi="Times New Roman" w:cs="Times New Roman"/>
          <w:color w:val="000000" w:themeColor="text1"/>
          <w:sz w:val="24"/>
          <w:szCs w:val="24"/>
        </w:rPr>
        <w:t>amounts</w:t>
      </w:r>
      <w:r w:rsidR="005423D8" w:rsidRPr="00597FFB">
        <w:rPr>
          <w:rFonts w:ascii="Times New Roman" w:eastAsia="Calibri" w:hAnsi="Times New Roman" w:cs="Times New Roman"/>
          <w:color w:val="000000" w:themeColor="text1"/>
          <w:sz w:val="24"/>
          <w:szCs w:val="24"/>
        </w:rPr>
        <w:t xml:space="preserve"> </w:t>
      </w:r>
      <w:r w:rsidR="00AC7EEE" w:rsidRPr="00597FFB">
        <w:rPr>
          <w:rFonts w:ascii="Times New Roman" w:eastAsia="Calibri" w:hAnsi="Times New Roman" w:cs="Times New Roman"/>
          <w:color w:val="000000" w:themeColor="text1"/>
          <w:sz w:val="24"/>
          <w:szCs w:val="24"/>
        </w:rPr>
        <w:t>globally</w:t>
      </w:r>
      <w:r w:rsidRPr="00597FFB">
        <w:rPr>
          <w:rFonts w:ascii="Times New Roman" w:eastAsia="Calibri" w:hAnsi="Times New Roman" w:cs="Times New Roman"/>
          <w:color w:val="000000"/>
          <w:sz w:val="24"/>
          <w:szCs w:val="24"/>
        </w:rPr>
        <w:t xml:space="preserve">; </w:t>
      </w:r>
      <w:r w:rsidR="00C36569" w:rsidRPr="00597FFB">
        <w:rPr>
          <w:rFonts w:ascii="Times New Roman" w:eastAsia="Calibri" w:hAnsi="Times New Roman" w:cs="Times New Roman"/>
          <w:color w:val="000000" w:themeColor="text1"/>
          <w:sz w:val="24"/>
          <w:szCs w:val="24"/>
        </w:rPr>
        <w:t>a review of the factors from a lifecycle perspective in the context of e-waste management</w:t>
      </w:r>
      <w:r w:rsidRPr="00597FFB">
        <w:rPr>
          <w:rFonts w:ascii="Times New Roman" w:eastAsia="Calibri" w:hAnsi="Times New Roman" w:cs="Times New Roman"/>
          <w:bCs/>
          <w:iCs/>
          <w:color w:val="000000"/>
          <w:sz w:val="24"/>
          <w:szCs w:val="24"/>
        </w:rPr>
        <w:t>;</w:t>
      </w:r>
      <w:r w:rsidRPr="00597FFB">
        <w:rPr>
          <w:rFonts w:ascii="Times New Roman" w:eastAsia="Calibri" w:hAnsi="Times New Roman" w:cs="Times New Roman"/>
          <w:color w:val="000000"/>
          <w:sz w:val="24"/>
          <w:szCs w:val="24"/>
        </w:rPr>
        <w:t xml:space="preserve"> </w:t>
      </w:r>
      <w:r w:rsidR="00C2194B" w:rsidRPr="00597FFB">
        <w:rPr>
          <w:rFonts w:ascii="Times New Roman" w:eastAsia="Calibri" w:hAnsi="Times New Roman" w:cs="Times New Roman"/>
          <w:color w:val="000000" w:themeColor="text1"/>
          <w:sz w:val="24"/>
          <w:szCs w:val="24"/>
        </w:rPr>
        <w:t>the current practices used in developing countries including in the UAE</w:t>
      </w:r>
      <w:r w:rsidRPr="00597FFB">
        <w:rPr>
          <w:rFonts w:ascii="Times New Roman" w:eastAsia="Calibri" w:hAnsi="Times New Roman" w:cs="Times New Roman"/>
          <w:color w:val="000000"/>
          <w:sz w:val="24"/>
          <w:szCs w:val="24"/>
        </w:rPr>
        <w:t xml:space="preserve">; </w:t>
      </w:r>
      <w:r w:rsidR="0008228B" w:rsidRPr="00597FFB">
        <w:rPr>
          <w:rFonts w:ascii="Times New Roman" w:eastAsia="Calibri" w:hAnsi="Times New Roman" w:cs="Times New Roman"/>
          <w:color w:val="000000" w:themeColor="text1"/>
          <w:sz w:val="24"/>
          <w:szCs w:val="24"/>
        </w:rPr>
        <w:t xml:space="preserve">the processes used in e-waste disposal including municipal waste, informal, and formal disposal approaches ; </w:t>
      </w:r>
      <w:r w:rsidR="00FD3CFA" w:rsidRPr="00597FFB">
        <w:rPr>
          <w:rFonts w:ascii="Times New Roman" w:eastAsia="Calibri" w:hAnsi="Times New Roman" w:cs="Times New Roman"/>
          <w:color w:val="000000" w:themeColor="text1"/>
          <w:sz w:val="24"/>
          <w:szCs w:val="24"/>
        </w:rPr>
        <w:t xml:space="preserve">literature about e-waste recycling (EWR); </w:t>
      </w:r>
      <w:r w:rsidR="00B4312E" w:rsidRPr="00597FFB">
        <w:rPr>
          <w:rFonts w:ascii="Times New Roman" w:eastAsia="Calibri" w:hAnsi="Times New Roman" w:cs="Times New Roman"/>
          <w:color w:val="000000" w:themeColor="text1"/>
          <w:sz w:val="24"/>
          <w:szCs w:val="24"/>
        </w:rPr>
        <w:t>consumer recycling behavior and the internal and external factors that influence such behavior</w:t>
      </w:r>
      <w:r w:rsidR="00B4312E"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color w:val="000000"/>
          <w:sz w:val="24"/>
          <w:szCs w:val="24"/>
        </w:rPr>
        <w:t xml:space="preserve">and </w:t>
      </w:r>
      <w:r w:rsidR="00FB5306" w:rsidRPr="00597FFB">
        <w:rPr>
          <w:rFonts w:ascii="Times New Roman" w:eastAsia="Calibri" w:hAnsi="Times New Roman" w:cs="Times New Roman"/>
          <w:color w:val="000000" w:themeColor="text1"/>
          <w:sz w:val="24"/>
          <w:szCs w:val="24"/>
        </w:rPr>
        <w:t>the literature reviewed narrows down to millennials as the target population of this study with respect to their technology consumption and the gap between attitude and intention to recycle or contribute to e-waste reduction</w:t>
      </w:r>
      <w:r w:rsidRPr="00597FFB">
        <w:rPr>
          <w:rFonts w:ascii="Times New Roman" w:eastAsia="Calibri" w:hAnsi="Times New Roman" w:cs="Times New Roman"/>
          <w:color w:val="000000"/>
          <w:sz w:val="24"/>
          <w:szCs w:val="24"/>
        </w:rPr>
        <w:t xml:space="preserve">. Chapter 3 </w:t>
      </w:r>
      <w:r w:rsidR="009471EF" w:rsidRPr="00597FFB">
        <w:rPr>
          <w:rFonts w:ascii="Times New Roman" w:eastAsia="Times New Roman" w:hAnsi="Times New Roman" w:cs="Times New Roman"/>
          <w:bCs/>
          <w:color w:val="000000" w:themeColor="text1"/>
        </w:rPr>
        <w:t>theoretical grounding for this research in accordance with the research problem of determining the factors that influence the e-waste recycling behavior of UAE millennials</w:t>
      </w:r>
      <w:r w:rsidR="00C317FC" w:rsidRPr="00597FFB">
        <w:rPr>
          <w:rFonts w:ascii="Times New Roman" w:eastAsia="Times New Roman" w:hAnsi="Times New Roman" w:cs="Times New Roman"/>
          <w:bCs/>
          <w:color w:val="000000" w:themeColor="text1"/>
        </w:rPr>
        <w:t xml:space="preserve">; the application of the </w:t>
      </w:r>
      <w:r w:rsidR="008110A4" w:rsidRPr="00597FFB">
        <w:rPr>
          <w:rFonts w:ascii="Times New Roman" w:eastAsia="Times New Roman" w:hAnsi="Times New Roman" w:cs="Times New Roman"/>
          <w:bCs/>
          <w:color w:val="000000" w:themeColor="text1"/>
        </w:rPr>
        <w:t>theory of planned behavior (</w:t>
      </w:r>
      <w:r w:rsidR="00C317FC" w:rsidRPr="00597FFB">
        <w:rPr>
          <w:rFonts w:ascii="Times New Roman" w:eastAsia="Times New Roman" w:hAnsi="Times New Roman" w:cs="Times New Roman"/>
          <w:bCs/>
          <w:color w:val="000000" w:themeColor="text1"/>
        </w:rPr>
        <w:t>TPB</w:t>
      </w:r>
      <w:r w:rsidR="008110A4" w:rsidRPr="00597FFB">
        <w:rPr>
          <w:rFonts w:ascii="Times New Roman" w:eastAsia="Times New Roman" w:hAnsi="Times New Roman" w:cs="Times New Roman"/>
          <w:bCs/>
          <w:color w:val="000000" w:themeColor="text1"/>
        </w:rPr>
        <w:t>)</w:t>
      </w:r>
      <w:r w:rsidR="00C317FC" w:rsidRPr="00597FFB">
        <w:rPr>
          <w:rFonts w:ascii="Times New Roman" w:eastAsia="Times New Roman" w:hAnsi="Times New Roman" w:cs="Times New Roman"/>
          <w:bCs/>
          <w:color w:val="000000" w:themeColor="text1"/>
        </w:rPr>
        <w:t xml:space="preserve"> in the prediction of consumer behavioral intention toward e-waste recycling is discussed; </w:t>
      </w:r>
      <w:r w:rsidR="0009293E" w:rsidRPr="00597FFB">
        <w:rPr>
          <w:rFonts w:ascii="Times New Roman" w:eastAsia="Times New Roman" w:hAnsi="Times New Roman" w:cs="Times New Roman"/>
          <w:bCs/>
          <w:color w:val="000000" w:themeColor="text1"/>
        </w:rPr>
        <w:t>a discussion of the Norm Activation Theory (hereafter, NAT) within the context of consumer e-waste recycling behavior;</w:t>
      </w:r>
      <w:r w:rsidR="00C26153" w:rsidRPr="00597FFB">
        <w:rPr>
          <w:rFonts w:ascii="Times New Roman" w:eastAsia="Times New Roman" w:hAnsi="Times New Roman" w:cs="Times New Roman"/>
          <w:bCs/>
          <w:color w:val="000000" w:themeColor="text1"/>
        </w:rPr>
        <w:t xml:space="preserve">  </w:t>
      </w:r>
      <w:r w:rsidR="00472C4B" w:rsidRPr="00597FFB">
        <w:rPr>
          <w:rFonts w:ascii="Times New Roman" w:eastAsia="Times New Roman" w:hAnsi="Times New Roman" w:cs="Times New Roman"/>
          <w:bCs/>
          <w:color w:val="000000" w:themeColor="text1"/>
        </w:rPr>
        <w:t>t</w:t>
      </w:r>
      <w:r w:rsidR="00C26153" w:rsidRPr="00597FFB">
        <w:rPr>
          <w:rFonts w:ascii="Times New Roman" w:eastAsia="Times New Roman" w:hAnsi="Times New Roman" w:cs="Times New Roman"/>
          <w:bCs/>
          <w:color w:val="000000" w:themeColor="text1"/>
        </w:rPr>
        <w:t>he review of the Protection Motivation Theory (</w:t>
      </w:r>
      <w:r w:rsidR="008110A4" w:rsidRPr="00597FFB">
        <w:rPr>
          <w:rFonts w:ascii="Times New Roman" w:eastAsia="Times New Roman" w:hAnsi="Times New Roman" w:cs="Times New Roman"/>
          <w:bCs/>
          <w:color w:val="000000" w:themeColor="text1"/>
        </w:rPr>
        <w:t>PMT</w:t>
      </w:r>
      <w:r w:rsidR="00472C4B" w:rsidRPr="00597FFB">
        <w:rPr>
          <w:rFonts w:ascii="Times New Roman" w:eastAsia="Times New Roman" w:hAnsi="Times New Roman" w:cs="Times New Roman"/>
          <w:bCs/>
          <w:color w:val="000000" w:themeColor="text1"/>
        </w:rPr>
        <w:t>); and</w:t>
      </w:r>
      <w:r w:rsidR="003A6825" w:rsidRPr="00597FFB">
        <w:rPr>
          <w:rFonts w:ascii="Times New Roman" w:eastAsia="Times New Roman" w:hAnsi="Times New Roman" w:cs="Times New Roman"/>
          <w:bCs/>
          <w:color w:val="000000" w:themeColor="text1"/>
        </w:rPr>
        <w:t xml:space="preserve"> The other factors included from different theories are stimulus that influence behavioral intention and behavior directly or indirectly to aid in the development of the extended TPB,NAT, and PMT framework for this research.</w:t>
      </w:r>
      <w:r w:rsidRPr="00597FFB">
        <w:rPr>
          <w:rFonts w:ascii="Times New Roman" w:eastAsia="Calibri" w:hAnsi="Times New Roman" w:cs="Times New Roman"/>
          <w:color w:val="000000"/>
          <w:sz w:val="24"/>
          <w:szCs w:val="24"/>
        </w:rPr>
        <w:t xml:space="preserve"> The exploratory factor analysis (EFA) and structure equation modeling (SEM) will be used in the </w:t>
      </w:r>
      <w:r w:rsidRPr="00597FFB">
        <w:rPr>
          <w:rFonts w:ascii="Times New Roman" w:eastAsia="Calibri" w:hAnsi="Times New Roman" w:cs="Times New Roman"/>
          <w:bCs/>
          <w:iCs/>
          <w:color w:val="000000"/>
          <w:sz w:val="24"/>
          <w:szCs w:val="24"/>
        </w:rPr>
        <w:t>fourth chapter</w:t>
      </w:r>
      <w:r w:rsidRPr="00597FFB">
        <w:rPr>
          <w:rFonts w:ascii="Times New Roman" w:eastAsia="Calibri" w:hAnsi="Times New Roman" w:cs="Times New Roman"/>
          <w:color w:val="000000"/>
          <w:sz w:val="24"/>
          <w:szCs w:val="24"/>
        </w:rPr>
        <w:t>.</w:t>
      </w:r>
      <w:r w:rsidRPr="00597FFB">
        <w:rPr>
          <w:rFonts w:ascii="Calibri" w:eastAsia="Calibri" w:hAnsi="Calibri" w:cs="Arial"/>
        </w:rPr>
        <w:t xml:space="preserve"> </w:t>
      </w:r>
      <w:r w:rsidRPr="00597FFB">
        <w:rPr>
          <w:rFonts w:ascii="Times New Roman" w:eastAsia="Calibri" w:hAnsi="Times New Roman" w:cs="Times New Roman"/>
          <w:color w:val="000000"/>
          <w:sz w:val="24"/>
          <w:szCs w:val="24"/>
        </w:rPr>
        <w:t xml:space="preserve">Firstly, the EFA will adapt to explore the underlying construct of a set of items. Then, SEM will apply to analyze the structural relationship and, in turn, find out the factors affecting </w:t>
      </w:r>
      <w:r w:rsidRPr="00597FFB">
        <w:rPr>
          <w:rFonts w:ascii="Times New Roman" w:eastAsia="Calibri" w:hAnsi="Times New Roman" w:cs="Times New Roman"/>
          <w:bCs/>
          <w:iCs/>
          <w:color w:val="000000"/>
          <w:sz w:val="24"/>
          <w:szCs w:val="24"/>
        </w:rPr>
        <w:t>millennials</w:t>
      </w:r>
      <w:r w:rsidRPr="00597FFB">
        <w:rPr>
          <w:rFonts w:ascii="Times New Roman" w:eastAsia="Calibri" w:hAnsi="Times New Roman" w:cs="Times New Roman"/>
          <w:color w:val="000000"/>
          <w:sz w:val="24"/>
          <w:szCs w:val="24"/>
        </w:rPr>
        <w:t xml:space="preserve">' E-waste recycling behavioral intention. Cronbach's α values will calculate for internal validity to assess the reliability of the revised scale. Chapter 4 discusses the research methodology; the study results are presented in Chapter 5; and Chapter </w:t>
      </w:r>
      <w:bookmarkStart w:id="67" w:name="_Hlk57130816"/>
      <w:r w:rsidR="002741C8" w:rsidRPr="00597FFB">
        <w:rPr>
          <w:rFonts w:ascii="Times New Roman" w:eastAsia="Calibri" w:hAnsi="Times New Roman" w:cs="Times New Roman"/>
          <w:color w:val="000000"/>
          <w:sz w:val="24"/>
          <w:szCs w:val="24"/>
        </w:rPr>
        <w:t xml:space="preserve">5 </w:t>
      </w:r>
      <w:bookmarkEnd w:id="67"/>
      <w:r w:rsidR="004066C1" w:rsidRPr="00597FFB">
        <w:rPr>
          <w:rFonts w:ascii="Times New Roman" w:hAnsi="Times New Roman" w:cs="Times New Roman"/>
          <w:color w:val="000000"/>
          <w:sz w:val="24"/>
          <w:szCs w:val="24"/>
        </w:rPr>
        <w:t>presents the analysis, results, and discussion of the findings obtained from the statistical analysis of the sample data collected based on the implementation of the research methodology</w:t>
      </w:r>
      <w:r w:rsidRPr="00597FFB">
        <w:rPr>
          <w:rFonts w:ascii="Times New Roman" w:eastAsia="Calibri" w:hAnsi="Times New Roman" w:cs="Times New Roman"/>
          <w:color w:val="000000"/>
          <w:sz w:val="24"/>
          <w:szCs w:val="24"/>
        </w:rPr>
        <w:t xml:space="preserve">. Finally, the </w:t>
      </w:r>
      <w:bookmarkStart w:id="68" w:name="_Hlk57130854"/>
      <w:r w:rsidRPr="00597FFB">
        <w:rPr>
          <w:rFonts w:ascii="Times New Roman" w:eastAsia="Calibri" w:hAnsi="Times New Roman" w:cs="Times New Roman"/>
          <w:color w:val="000000"/>
          <w:sz w:val="24"/>
          <w:szCs w:val="24"/>
        </w:rPr>
        <w:t>conclusions</w:t>
      </w:r>
      <w:r w:rsidR="00B05F5F" w:rsidRPr="00597FFB">
        <w:rPr>
          <w:rFonts w:ascii="Times New Roman" w:eastAsia="Calibri" w:hAnsi="Times New Roman" w:cs="Times New Roman"/>
          <w:color w:val="000000"/>
          <w:sz w:val="24"/>
          <w:szCs w:val="24"/>
        </w:rPr>
        <w:t>,</w:t>
      </w:r>
      <w:r w:rsidRPr="00597FFB">
        <w:rPr>
          <w:rFonts w:ascii="Times New Roman" w:eastAsia="Calibri" w:hAnsi="Times New Roman" w:cs="Times New Roman"/>
          <w:color w:val="000000"/>
          <w:sz w:val="24"/>
          <w:szCs w:val="24"/>
        </w:rPr>
        <w:t xml:space="preserve"> </w:t>
      </w:r>
      <w:r w:rsidR="003A0209" w:rsidRPr="00597FFB">
        <w:rPr>
          <w:rFonts w:ascii="Times New Roman" w:eastAsia="Calibri" w:hAnsi="Times New Roman" w:cs="Times New Roman"/>
          <w:color w:val="000000"/>
          <w:sz w:val="24"/>
          <w:szCs w:val="24"/>
        </w:rPr>
        <w:t xml:space="preserve">limitations, and </w:t>
      </w:r>
      <w:r w:rsidRPr="00597FFB">
        <w:rPr>
          <w:rFonts w:ascii="Times New Roman" w:eastAsia="Calibri" w:hAnsi="Times New Roman" w:cs="Times New Roman"/>
          <w:color w:val="000000"/>
          <w:sz w:val="24"/>
          <w:szCs w:val="24"/>
        </w:rPr>
        <w:t xml:space="preserve">implications </w:t>
      </w:r>
      <w:bookmarkEnd w:id="68"/>
      <w:r w:rsidRPr="00597FFB">
        <w:rPr>
          <w:rFonts w:ascii="Times New Roman" w:eastAsia="Calibri" w:hAnsi="Times New Roman" w:cs="Times New Roman"/>
          <w:color w:val="000000"/>
          <w:sz w:val="24"/>
          <w:szCs w:val="24"/>
        </w:rPr>
        <w:t xml:space="preserve">for theory and policy are presented in Chapter </w:t>
      </w:r>
      <w:r w:rsidR="002741C8" w:rsidRPr="00597FFB">
        <w:rPr>
          <w:rFonts w:ascii="Times New Roman" w:eastAsia="Calibri" w:hAnsi="Times New Roman" w:cs="Times New Roman"/>
          <w:color w:val="000000"/>
          <w:sz w:val="24"/>
          <w:szCs w:val="24"/>
        </w:rPr>
        <w:t>6</w:t>
      </w:r>
      <w:r w:rsidRPr="00597FFB">
        <w:rPr>
          <w:rFonts w:ascii="Times New Roman" w:eastAsia="Calibri" w:hAnsi="Times New Roman" w:cs="Times New Roman"/>
          <w:color w:val="000000"/>
          <w:sz w:val="24"/>
          <w:szCs w:val="24"/>
        </w:rPr>
        <w:t>.</w:t>
      </w:r>
    </w:p>
    <w:p w14:paraId="730D1770" w14:textId="5D32ED8C" w:rsidR="00703A7E" w:rsidRPr="00597FFB" w:rsidRDefault="002F7003" w:rsidP="00703A7E">
      <w:pPr>
        <w:pStyle w:val="Heading2"/>
        <w:rPr>
          <w:rFonts w:asciiTheme="majorBidi" w:hAnsiTheme="majorBidi"/>
          <w:b/>
          <w:bCs/>
          <w:color w:val="000000" w:themeColor="text1"/>
          <w:sz w:val="24"/>
          <w:szCs w:val="24"/>
        </w:rPr>
      </w:pPr>
      <w:bookmarkStart w:id="69" w:name="_Toc74912548"/>
      <w:bookmarkStart w:id="70" w:name="_Toc127170259"/>
      <w:r w:rsidRPr="00597FFB">
        <w:rPr>
          <w:rFonts w:asciiTheme="majorBidi" w:hAnsiTheme="majorBidi"/>
          <w:b/>
          <w:bCs/>
          <w:color w:val="000000" w:themeColor="text1"/>
          <w:sz w:val="24"/>
          <w:szCs w:val="24"/>
        </w:rPr>
        <w:t>1.</w:t>
      </w:r>
      <w:bookmarkStart w:id="71" w:name="_Hlk57287771"/>
      <w:bookmarkStart w:id="72" w:name="_Hlk63359129"/>
      <w:bookmarkEnd w:id="69"/>
      <w:r w:rsidRPr="00597FFB">
        <w:rPr>
          <w:rFonts w:asciiTheme="majorBidi" w:hAnsiTheme="majorBidi"/>
          <w:b/>
          <w:bCs/>
          <w:color w:val="000000" w:themeColor="text1"/>
          <w:sz w:val="24"/>
          <w:szCs w:val="24"/>
        </w:rPr>
        <w:t xml:space="preserve">8. </w:t>
      </w:r>
      <w:r w:rsidRPr="00597FFB">
        <w:rPr>
          <w:rFonts w:ascii="Times New Roman" w:hAnsi="Times New Roman" w:cs="Times New Roman"/>
          <w:b/>
          <w:iCs/>
          <w:color w:val="auto"/>
          <w:sz w:val="24"/>
          <w:szCs w:val="24"/>
        </w:rPr>
        <w:t>Research Process</w:t>
      </w:r>
      <w:bookmarkEnd w:id="71"/>
      <w:bookmarkEnd w:id="72"/>
      <w:r w:rsidR="007D28AC" w:rsidRPr="00597FFB">
        <w:rPr>
          <w:rFonts w:ascii="Times New Roman" w:hAnsi="Times New Roman" w:cs="Times New Roman"/>
          <w:b/>
          <w:iCs/>
          <w:color w:val="auto"/>
          <w:sz w:val="24"/>
          <w:szCs w:val="24"/>
        </w:rPr>
        <w:t>.</w:t>
      </w:r>
      <w:bookmarkEnd w:id="70"/>
    </w:p>
    <w:p w14:paraId="58490C36" w14:textId="77777777" w:rsidR="00703A7E" w:rsidRPr="00597FFB" w:rsidRDefault="00703A7E" w:rsidP="00703A7E"/>
    <w:p w14:paraId="63D82C71" w14:textId="4A61FFB2" w:rsidR="00291CE5" w:rsidRPr="00597FFB" w:rsidRDefault="003834FE" w:rsidP="00291CE5">
      <w:pPr>
        <w:spacing w:before="26" w:after="26" w:line="480" w:lineRule="auto"/>
        <w:rPr>
          <w:rFonts w:ascii="Times New Roman" w:eastAsia="Calibri" w:hAnsi="Times New Roman" w:cs="Times New Roman"/>
          <w:b/>
          <w:bCs/>
          <w:iCs/>
        </w:rPr>
      </w:pPr>
      <w:r w:rsidRPr="00597FFB">
        <w:rPr>
          <w:rFonts w:ascii="Times New Roman" w:eastAsia="Calibri" w:hAnsi="Times New Roman" w:cs="Times New Roman"/>
          <w:b/>
          <w:iCs/>
          <w:noProof/>
        </w:rPr>
        <mc:AlternateContent>
          <mc:Choice Requires="wpg">
            <w:drawing>
              <wp:anchor distT="0" distB="0" distL="114300" distR="114300" simplePos="0" relativeHeight="251661312" behindDoc="0" locked="0" layoutInCell="1" allowOverlap="1" wp14:anchorId="64D46F9C" wp14:editId="125F0F55">
                <wp:simplePos x="0" y="0"/>
                <wp:positionH relativeFrom="column">
                  <wp:posOffset>-9525</wp:posOffset>
                </wp:positionH>
                <wp:positionV relativeFrom="paragraph">
                  <wp:posOffset>339090</wp:posOffset>
                </wp:positionV>
                <wp:extent cx="5290875" cy="7328997"/>
                <wp:effectExtent l="19050" t="0" r="24130" b="24765"/>
                <wp:wrapNone/>
                <wp:docPr id="369" name="Group 369"/>
                <wp:cNvGraphicFramePr/>
                <a:graphic xmlns:a="http://schemas.openxmlformats.org/drawingml/2006/main">
                  <a:graphicData uri="http://schemas.microsoft.com/office/word/2010/wordprocessingGroup">
                    <wpg:wgp>
                      <wpg:cNvGrpSpPr/>
                      <wpg:grpSpPr>
                        <a:xfrm>
                          <a:off x="0" y="0"/>
                          <a:ext cx="5290875" cy="7328997"/>
                          <a:chOff x="0" y="0"/>
                          <a:chExt cx="5290875" cy="7328997"/>
                        </a:xfrm>
                      </wpg:grpSpPr>
                      <wpg:grpSp>
                        <wpg:cNvPr id="244" name="Group 244"/>
                        <wpg:cNvGrpSpPr>
                          <a:grpSpLocks/>
                        </wpg:cNvGrpSpPr>
                        <wpg:grpSpPr>
                          <a:xfrm>
                            <a:off x="0" y="0"/>
                            <a:ext cx="5290875" cy="7328997"/>
                            <a:chOff x="266065" y="0"/>
                            <a:chExt cx="5599791" cy="8033006"/>
                          </a:xfrm>
                        </wpg:grpSpPr>
                        <wpg:grpSp>
                          <wpg:cNvPr id="245" name="Group 245"/>
                          <wpg:cNvGrpSpPr/>
                          <wpg:grpSpPr>
                            <a:xfrm>
                              <a:off x="266065" y="0"/>
                              <a:ext cx="5599791" cy="8033006"/>
                              <a:chOff x="102869" y="0"/>
                              <a:chExt cx="5599791" cy="8033006"/>
                            </a:xfrm>
                          </wpg:grpSpPr>
                          <wpg:grpSp>
                            <wpg:cNvPr id="247" name="Group 247"/>
                            <wpg:cNvGrpSpPr/>
                            <wpg:grpSpPr>
                              <a:xfrm>
                                <a:off x="641906" y="0"/>
                                <a:ext cx="5060754" cy="8033006"/>
                                <a:chOff x="318056" y="0"/>
                                <a:chExt cx="5060754" cy="8033006"/>
                              </a:xfrm>
                            </wpg:grpSpPr>
                            <wpg:grpSp>
                              <wpg:cNvPr id="248" name="Group 248"/>
                              <wpg:cNvGrpSpPr/>
                              <wpg:grpSpPr>
                                <a:xfrm>
                                  <a:off x="318056" y="0"/>
                                  <a:ext cx="5060754" cy="8033006"/>
                                  <a:chOff x="318056" y="0"/>
                                  <a:chExt cx="5060754" cy="8033006"/>
                                </a:xfrm>
                              </wpg:grpSpPr>
                              <wps:wsp>
                                <wps:cNvPr id="249" name="Straight Arrow Connector 249"/>
                                <wps:cNvCnPr/>
                                <wps:spPr>
                                  <a:xfrm>
                                    <a:off x="2455151" y="4301264"/>
                                    <a:ext cx="0" cy="336501"/>
                                  </a:xfrm>
                                  <a:prstGeom prst="straightConnector1">
                                    <a:avLst/>
                                  </a:prstGeom>
                                  <a:noFill/>
                                  <a:ln w="38100" cap="flat" cmpd="sng" algn="ctr">
                                    <a:solidFill>
                                      <a:sysClr val="windowText" lastClr="000000"/>
                                    </a:solidFill>
                                    <a:prstDash val="solid"/>
                                    <a:miter lim="800000"/>
                                    <a:tailEnd type="triangle"/>
                                  </a:ln>
                                  <a:effectLst/>
                                </wps:spPr>
                                <wps:bodyPr/>
                              </wps:wsp>
                              <wpg:grpSp>
                                <wpg:cNvPr id="250" name="Group 250"/>
                                <wpg:cNvGrpSpPr/>
                                <wpg:grpSpPr>
                                  <a:xfrm>
                                    <a:off x="318056" y="0"/>
                                    <a:ext cx="5060754" cy="8033006"/>
                                    <a:chOff x="318056" y="0"/>
                                    <a:chExt cx="5060754" cy="8033006"/>
                                  </a:xfrm>
                                </wpg:grpSpPr>
                                <wps:wsp>
                                  <wps:cNvPr id="251" name="Straight Arrow Connector 251"/>
                                  <wps:cNvCnPr/>
                                  <wps:spPr>
                                    <a:xfrm>
                                      <a:off x="4425661" y="6629370"/>
                                      <a:ext cx="0" cy="422533"/>
                                    </a:xfrm>
                                    <a:prstGeom prst="straightConnector1">
                                      <a:avLst/>
                                    </a:prstGeom>
                                    <a:noFill/>
                                    <a:ln w="38100" cap="flat" cmpd="sng" algn="ctr">
                                      <a:solidFill>
                                        <a:sysClr val="windowText" lastClr="000000"/>
                                      </a:solidFill>
                                      <a:prstDash val="solid"/>
                                      <a:miter lim="800000"/>
                                      <a:tailEnd type="triangle"/>
                                    </a:ln>
                                    <a:effectLst/>
                                  </wps:spPr>
                                  <wps:bodyPr/>
                                </wps:wsp>
                                <wpg:grpSp>
                                  <wpg:cNvPr id="253" name="Group 253"/>
                                  <wpg:cNvGrpSpPr/>
                                  <wpg:grpSpPr>
                                    <a:xfrm>
                                      <a:off x="318056" y="0"/>
                                      <a:ext cx="5060754" cy="8033006"/>
                                      <a:chOff x="318056" y="0"/>
                                      <a:chExt cx="5060754" cy="8033006"/>
                                    </a:xfrm>
                                  </wpg:grpSpPr>
                                  <wps:wsp>
                                    <wps:cNvPr id="254" name="Straight Arrow Connector 254"/>
                                    <wps:cNvCnPr/>
                                    <wps:spPr>
                                      <a:xfrm>
                                        <a:off x="2447489" y="1628538"/>
                                        <a:ext cx="176" cy="432246"/>
                                      </a:xfrm>
                                      <a:prstGeom prst="straightConnector1">
                                        <a:avLst/>
                                      </a:prstGeom>
                                      <a:noFill/>
                                      <a:ln w="38100" cap="flat" cmpd="sng" algn="ctr">
                                        <a:solidFill>
                                          <a:sysClr val="windowText" lastClr="000000"/>
                                        </a:solidFill>
                                        <a:prstDash val="solid"/>
                                        <a:miter lim="800000"/>
                                        <a:tailEnd type="triangle"/>
                                      </a:ln>
                                      <a:effectLst/>
                                    </wps:spPr>
                                    <wps:bodyPr/>
                                  </wps:wsp>
                                  <wpg:grpSp>
                                    <wpg:cNvPr id="255" name="Group 255"/>
                                    <wpg:cNvGrpSpPr/>
                                    <wpg:grpSpPr>
                                      <a:xfrm>
                                        <a:off x="318056" y="0"/>
                                        <a:ext cx="5060754" cy="8033006"/>
                                        <a:chOff x="318056" y="0"/>
                                        <a:chExt cx="5060754" cy="8033006"/>
                                      </a:xfrm>
                                    </wpg:grpSpPr>
                                    <wpg:grpSp>
                                      <wpg:cNvPr id="256" name="Group 256"/>
                                      <wpg:cNvGrpSpPr/>
                                      <wpg:grpSpPr>
                                        <a:xfrm>
                                          <a:off x="318056" y="0"/>
                                          <a:ext cx="5060754" cy="8033006"/>
                                          <a:chOff x="318056" y="0"/>
                                          <a:chExt cx="5060754" cy="8033006"/>
                                        </a:xfrm>
                                      </wpg:grpSpPr>
                                      <wpg:grpSp>
                                        <wpg:cNvPr id="257" name="Group 257"/>
                                        <wpg:cNvGrpSpPr/>
                                        <wpg:grpSpPr>
                                          <a:xfrm>
                                            <a:off x="318056" y="0"/>
                                            <a:ext cx="5060754" cy="8033006"/>
                                            <a:chOff x="318056" y="0"/>
                                            <a:chExt cx="5060754" cy="8033006"/>
                                          </a:xfrm>
                                        </wpg:grpSpPr>
                                        <wpg:grpSp>
                                          <wpg:cNvPr id="258" name="Group 258"/>
                                          <wpg:cNvGrpSpPr/>
                                          <wpg:grpSpPr>
                                            <a:xfrm>
                                              <a:off x="318056" y="4636029"/>
                                              <a:ext cx="3381053" cy="1903992"/>
                                              <a:chOff x="299006" y="-59796"/>
                                              <a:chExt cx="3381053" cy="1903992"/>
                                            </a:xfrm>
                                          </wpg:grpSpPr>
                                          <wps:wsp>
                                            <wps:cNvPr id="259" name="Text Box 2"/>
                                            <wps:cNvSpPr txBox="1">
                                              <a:spLocks noChangeArrowheads="1"/>
                                            </wps:cNvSpPr>
                                            <wps:spPr bwMode="auto">
                                              <a:xfrm>
                                                <a:off x="299006" y="1234596"/>
                                                <a:ext cx="1323975" cy="609600"/>
                                              </a:xfrm>
                                              <a:prstGeom prst="rect">
                                                <a:avLst/>
                                              </a:prstGeom>
                                              <a:solidFill>
                                                <a:srgbClr val="FFFFFF"/>
                                              </a:solidFill>
                                              <a:ln w="9525">
                                                <a:noFill/>
                                                <a:miter lim="800000"/>
                                                <a:headEnd/>
                                                <a:tailEnd/>
                                              </a:ln>
                                            </wps:spPr>
                                            <wps:txbx>
                                              <w:txbxContent>
                                                <w:p w14:paraId="6377401F" w14:textId="77777777" w:rsidR="00291CE5" w:rsidRPr="00E45F94" w:rsidRDefault="00291CE5" w:rsidP="00291CE5">
                                                  <w:pPr>
                                                    <w:jc w:val="center"/>
                                                    <w:rPr>
                                                      <w:rFonts w:ascii="Times New Roman" w:eastAsia="Times New Roman" w:hAnsi="Times New Roman" w:cs="Times New Roman"/>
                                                      <w:b/>
                                                    </w:rPr>
                                                  </w:pPr>
                                                  <w:r w:rsidRPr="00E45F94">
                                                    <w:rPr>
                                                      <w:rFonts w:ascii="Times New Roman" w:eastAsia="Times New Roman" w:hAnsi="Times New Roman" w:cs="Times New Roman"/>
                                                      <w:bCs/>
                                                    </w:rPr>
                                                    <w:t>Hypothesis</w:t>
                                                  </w:r>
                                                  <w:r w:rsidRPr="00E45F94">
                                                    <w:rPr>
                                                      <w:rFonts w:ascii="Times New Roman" w:eastAsia="Times New Roman" w:hAnsi="Times New Roman" w:cs="Times New Roman"/>
                                                      <w:b/>
                                                      <w:bCs/>
                                                    </w:rPr>
                                                    <w:t xml:space="preserve"> </w:t>
                                                  </w:r>
                                                </w:p>
                                                <w:p w14:paraId="70E3DB59" w14:textId="77777777" w:rsidR="00291CE5" w:rsidRPr="00E45F94" w:rsidRDefault="00291CE5" w:rsidP="00291CE5">
                                                  <w:pPr>
                                                    <w:jc w:val="center"/>
                                                    <w:rPr>
                                                      <w:rFonts w:ascii="Times New Roman" w:eastAsia="Times New Roman" w:hAnsi="Times New Roman" w:cs="Times New Roman"/>
                                                      <w:bCs/>
                                                      <w:color w:val="FF0000"/>
                                                    </w:rPr>
                                                  </w:pPr>
                                                  <w:r w:rsidRPr="00E45F94">
                                                    <w:rPr>
                                                      <w:rFonts w:ascii="Times New Roman" w:eastAsia="Times New Roman" w:hAnsi="Times New Roman" w:cs="Times New Roman"/>
                                                      <w:b/>
                                                      <w:color w:val="FF0000"/>
                                                    </w:rPr>
                                                    <w:t>Rejected</w:t>
                                                  </w:r>
                                                </w:p>
                                              </w:txbxContent>
                                            </wps:txbx>
                                            <wps:bodyPr rot="0" vert="horz" wrap="square" lIns="91440" tIns="45720" rIns="91440" bIns="45720" anchor="t" anchorCtr="0">
                                              <a:noAutofit/>
                                            </wps:bodyPr>
                                          </wps:wsp>
                                          <wps:wsp>
                                            <wps:cNvPr id="260" name="Text Box 2"/>
                                            <wps:cNvSpPr txBox="1">
                                              <a:spLocks noChangeArrowheads="1"/>
                                            </wps:cNvSpPr>
                                            <wps:spPr bwMode="auto">
                                              <a:xfrm>
                                                <a:off x="1127359" y="-59796"/>
                                                <a:ext cx="2552700" cy="847726"/>
                                              </a:xfrm>
                                              <a:prstGeom prst="rect">
                                                <a:avLst/>
                                              </a:prstGeom>
                                              <a:solidFill>
                                                <a:srgbClr val="FFFFFF"/>
                                              </a:solidFill>
                                              <a:ln w="9525">
                                                <a:noFill/>
                                                <a:miter lim="800000"/>
                                                <a:headEnd/>
                                                <a:tailEnd/>
                                              </a:ln>
                                            </wps:spPr>
                                            <wps:txbx>
                                              <w:txbxContent>
                                                <w:p w14:paraId="7062C95C" w14:textId="3F26380A" w:rsidR="00291CE5" w:rsidRPr="00F105ED" w:rsidRDefault="00291CE5" w:rsidP="00291CE5">
                                                  <w:pPr>
                                                    <w:jc w:val="center"/>
                                                    <w:rPr>
                                                      <w:rFonts w:ascii="Times New Roman" w:eastAsia="Times New Roman" w:hAnsi="Times New Roman" w:cs="Times New Roman"/>
                                                      <w:b/>
                                                      <w:bCs/>
                                                    </w:rPr>
                                                  </w:pPr>
                                                  <w:r w:rsidRPr="00F105ED">
                                                    <w:rPr>
                                                      <w:rFonts w:ascii="Times New Roman" w:eastAsia="Times New Roman" w:hAnsi="Times New Roman" w:cs="Times New Roman"/>
                                                      <w:bCs/>
                                                    </w:rPr>
                                                    <w:t>Data Analysis (CFA, EFA, SEM)</w:t>
                                                  </w:r>
                                                  <w:r w:rsidR="00994B00">
                                                    <w:rPr>
                                                      <w:rFonts w:ascii="Times New Roman" w:eastAsia="Times New Roman" w:hAnsi="Times New Roman" w:cs="Times New Roman"/>
                                                      <w:bCs/>
                                                    </w:rPr>
                                                    <w:t>,</w:t>
                                                  </w:r>
                                                  <w:r w:rsidR="00994B00" w:rsidRPr="00994B00">
                                                    <w:rPr>
                                                      <w:rFonts w:ascii="Times New Roman" w:eastAsia="Times New Roman" w:hAnsi="Times New Roman" w:cs="Times New Roman"/>
                                                      <w:bCs/>
                                                    </w:rPr>
                                                    <w:t xml:space="preserve"> </w:t>
                                                  </w:r>
                                                  <w:r w:rsidR="00994B00" w:rsidRPr="00F105ED">
                                                    <w:rPr>
                                                      <w:rFonts w:ascii="Times New Roman" w:eastAsia="Times New Roman" w:hAnsi="Times New Roman" w:cs="Times New Roman"/>
                                                      <w:bCs/>
                                                    </w:rPr>
                                                    <w:t>Discussion the Findings</w:t>
                                                  </w:r>
                                                </w:p>
                                                <w:p w14:paraId="18D3BB25"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5</w:t>
                                                  </w:r>
                                                </w:p>
                                              </w:txbxContent>
                                            </wps:txbx>
                                            <wps:bodyPr rot="0" vert="horz" wrap="square" lIns="91440" tIns="45720" rIns="91440" bIns="45720" anchor="t" anchorCtr="0">
                                              <a:noAutofit/>
                                            </wps:bodyPr>
                                          </wps:wsp>
                                        </wpg:grpSp>
                                        <wpg:grpSp>
                                          <wpg:cNvPr id="261" name="Group 261"/>
                                          <wpg:cNvGrpSpPr/>
                                          <wpg:grpSpPr>
                                            <a:xfrm>
                                              <a:off x="886679" y="0"/>
                                              <a:ext cx="4492131" cy="8033006"/>
                                              <a:chOff x="886679" y="0"/>
                                              <a:chExt cx="4492131" cy="8033006"/>
                                            </a:xfrm>
                                          </wpg:grpSpPr>
                                          <wps:wsp>
                                            <wps:cNvPr id="262" name="Text Box 2"/>
                                            <wps:cNvSpPr txBox="1">
                                              <a:spLocks noChangeArrowheads="1"/>
                                            </wps:cNvSpPr>
                                            <wps:spPr bwMode="auto">
                                              <a:xfrm>
                                                <a:off x="886679" y="3113221"/>
                                                <a:ext cx="3199965" cy="1188039"/>
                                              </a:xfrm>
                                              <a:prstGeom prst="rect">
                                                <a:avLst/>
                                              </a:prstGeom>
                                              <a:solidFill>
                                                <a:srgbClr val="FFFFFF"/>
                                              </a:solidFill>
                                              <a:ln w="9525">
                                                <a:noFill/>
                                                <a:miter lim="800000"/>
                                                <a:headEnd/>
                                                <a:tailEnd/>
                                              </a:ln>
                                            </wps:spPr>
                                            <wps:txbx>
                                              <w:txbxContent>
                                                <w:p w14:paraId="0DBF4380"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Open Questionnaire of variables</w:t>
                                                  </w:r>
                                                </w:p>
                                                <w:p w14:paraId="7D8D3CCB"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(Independent and Dependent)</w:t>
                                                  </w:r>
                                                </w:p>
                                                <w:p w14:paraId="2E6239E6" w14:textId="77777777" w:rsidR="00291CE5" w:rsidRPr="00F105ED" w:rsidRDefault="00291CE5" w:rsidP="00291CE5">
                                                  <w:pPr>
                                                    <w:jc w:val="center"/>
                                                    <w:rPr>
                                                      <w:rFonts w:ascii="Times New Roman" w:eastAsia="Times New Roman" w:hAnsi="Times New Roman" w:cs="Times New Roman"/>
                                                    </w:rPr>
                                                  </w:pPr>
                                                  <w:r w:rsidRPr="00F105ED">
                                                    <w:rPr>
                                                      <w:rFonts w:ascii="Times New Roman" w:eastAsia="Times New Roman" w:hAnsi="Times New Roman" w:cs="Times New Roman"/>
                                                    </w:rPr>
                                                    <w:t>Data Collection</w:t>
                                                  </w:r>
                                                </w:p>
                                                <w:p w14:paraId="0953F3AA"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4</w:t>
                                                  </w:r>
                                                </w:p>
                                                <w:p w14:paraId="74B782B1" w14:textId="77777777" w:rsidR="00291CE5" w:rsidRPr="00F105ED" w:rsidRDefault="00291CE5" w:rsidP="00291CE5">
                                                  <w:pPr>
                                                    <w:jc w:val="center"/>
                                                    <w:rPr>
                                                      <w:rFonts w:ascii="Times New Roman" w:eastAsia="Times New Roman" w:hAnsi="Times New Roman" w:cs="Times New Roman"/>
                                                    </w:rPr>
                                                  </w:pPr>
                                                </w:p>
                                                <w:p w14:paraId="3F1DBA82" w14:textId="77777777" w:rsidR="00291CE5" w:rsidRPr="002521E6" w:rsidRDefault="00291CE5" w:rsidP="00291CE5">
                                                  <w:pPr>
                                                    <w:jc w:val="center"/>
                                                    <w:rPr>
                                                      <w:rFonts w:ascii="Times New Roman" w:eastAsia="Times New Roman" w:hAnsi="Times New Roman" w:cs="Times New Roman"/>
                                                      <w:bCs/>
                                                      <w:sz w:val="24"/>
                                                      <w:szCs w:val="24"/>
                                                    </w:rPr>
                                                  </w:pPr>
                                                  <w:r w:rsidRPr="002521E6">
                                                    <w:rPr>
                                                      <w:rFonts w:ascii="Times New Roman" w:eastAsia="Times New Roman" w:hAnsi="Times New Roman" w:cs="Times New Roman"/>
                                                      <w:b/>
                                                      <w:sz w:val="24"/>
                                                      <w:szCs w:val="24"/>
                                                    </w:rPr>
                                                    <w:t xml:space="preserve">Chapter </w:t>
                                                  </w:r>
                                                  <w:r>
                                                    <w:rPr>
                                                      <w:rFonts w:ascii="Times New Roman" w:eastAsia="Times New Roman" w:hAnsi="Times New Roman" w:cs="Times New Roman"/>
                                                      <w:b/>
                                                      <w:sz w:val="24"/>
                                                      <w:szCs w:val="24"/>
                                                    </w:rPr>
                                                    <w:t>4</w:t>
                                                  </w:r>
                                                  <w:r w:rsidRPr="00F4341E">
                                                    <w:rPr>
                                                      <w:rFonts w:ascii="Times New Roman" w:eastAsia="Times New Roman" w:hAnsi="Times New Roman" w:cs="Times New Roman"/>
                                                      <w:b/>
                                                      <w:sz w:val="24"/>
                                                      <w:szCs w:val="24"/>
                                                    </w:rPr>
                                                    <w:t xml:space="preserve"> </w:t>
                                                  </w:r>
                                                  <w:r w:rsidRPr="002521E6">
                                                    <w:rPr>
                                                      <w:rFonts w:ascii="Times New Roman" w:eastAsia="Times New Roman" w:hAnsi="Times New Roman" w:cs="Times New Roman"/>
                                                      <w:b/>
                                                      <w:sz w:val="24"/>
                                                      <w:szCs w:val="24"/>
                                                    </w:rPr>
                                                    <w:t xml:space="preserve">Chapter </w:t>
                                                  </w:r>
                                                  <w:r>
                                                    <w:rPr>
                                                      <w:rFonts w:ascii="Times New Roman" w:eastAsia="Times New Roman" w:hAnsi="Times New Roman" w:cs="Times New Roman"/>
                                                      <w:b/>
                                                      <w:sz w:val="24"/>
                                                      <w:szCs w:val="24"/>
                                                    </w:rPr>
                                                    <w:t>3</w:t>
                                                  </w:r>
                                                </w:p>
                                                <w:p w14:paraId="7288F0F4" w14:textId="77777777" w:rsidR="00291CE5" w:rsidRPr="002521E6" w:rsidRDefault="00291CE5" w:rsidP="00291CE5">
                                                  <w:pPr>
                                                    <w:jc w:val="center"/>
                                                    <w:rPr>
                                                      <w:rFonts w:ascii="Times New Roman" w:eastAsia="Times New Roman" w:hAnsi="Times New Roman" w:cs="Times New Roman"/>
                                                      <w:bCs/>
                                                      <w:sz w:val="24"/>
                                                      <w:szCs w:val="24"/>
                                                    </w:rPr>
                                                  </w:pPr>
                                                </w:p>
                                              </w:txbxContent>
                                            </wps:txbx>
                                            <wps:bodyPr rot="0" vert="horz" wrap="square" lIns="91440" tIns="45720" rIns="91440" bIns="45720" anchor="t" anchorCtr="0">
                                              <a:noAutofit/>
                                            </wps:bodyPr>
                                          </wps:wsp>
                                          <wpg:grpSp>
                                            <wpg:cNvPr id="263" name="Group 263"/>
                                            <wpg:cNvGrpSpPr/>
                                            <wpg:grpSpPr>
                                              <a:xfrm>
                                                <a:off x="903763" y="0"/>
                                                <a:ext cx="4475047" cy="8033006"/>
                                                <a:chOff x="903763" y="0"/>
                                                <a:chExt cx="4475047" cy="8033006"/>
                                              </a:xfrm>
                                            </wpg:grpSpPr>
                                            <wps:wsp>
                                              <wps:cNvPr id="264" name="Text Box 2"/>
                                              <wps:cNvSpPr txBox="1">
                                                <a:spLocks noChangeArrowheads="1"/>
                                              </wps:cNvSpPr>
                                              <wps:spPr bwMode="auto">
                                                <a:xfrm>
                                                  <a:off x="1609541" y="2060780"/>
                                                  <a:ext cx="1714500" cy="782915"/>
                                                </a:xfrm>
                                                <a:prstGeom prst="rect">
                                                  <a:avLst/>
                                                </a:prstGeom>
                                                <a:solidFill>
                                                  <a:srgbClr val="FFFFFF"/>
                                                </a:solidFill>
                                                <a:ln w="9525">
                                                  <a:noFill/>
                                                  <a:miter lim="800000"/>
                                                  <a:headEnd/>
                                                  <a:tailEnd/>
                                                </a:ln>
                                              </wps:spPr>
                                              <wps:txbx>
                                                <w:txbxContent>
                                                  <w:p w14:paraId="0A90B7C8" w14:textId="77777777" w:rsidR="00291CE5" w:rsidRPr="00F105ED" w:rsidRDefault="00291CE5" w:rsidP="00291CE5">
                                                    <w:pPr>
                                                      <w:jc w:val="center"/>
                                                      <w:rPr>
                                                        <w:rFonts w:ascii="Times New Roman" w:eastAsia="Times New Roman" w:hAnsi="Times New Roman" w:cs="Times New Roman"/>
                                                        <w:b/>
                                                        <w:bCs/>
                                                      </w:rPr>
                                                    </w:pPr>
                                                    <w:r w:rsidRPr="00F105ED">
                                                      <w:rPr>
                                                        <w:rFonts w:ascii="Times New Roman" w:eastAsia="Times New Roman" w:hAnsi="Times New Roman" w:cs="Times New Roman"/>
                                                        <w:bCs/>
                                                      </w:rPr>
                                                      <w:t>Research Model and Hypothesis</w:t>
                                                    </w:r>
                                                    <w:r w:rsidRPr="00F105ED">
                                                      <w:rPr>
                                                        <w:rFonts w:ascii="Times New Roman" w:eastAsia="Times New Roman" w:hAnsi="Times New Roman" w:cs="Times New Roman"/>
                                                        <w:b/>
                                                        <w:bCs/>
                                                      </w:rPr>
                                                      <w:t xml:space="preserve"> </w:t>
                                                    </w:r>
                                                  </w:p>
                                                  <w:p w14:paraId="6CE71FF0"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3</w:t>
                                                    </w:r>
                                                  </w:p>
                                                </w:txbxContent>
                                              </wps:txbx>
                                              <wps:bodyPr rot="0" vert="horz" wrap="square" lIns="91440" tIns="45720" rIns="91440" bIns="45720" anchor="t" anchorCtr="0">
                                                <a:noAutofit/>
                                              </wps:bodyPr>
                                            </wps:wsp>
                                            <wpg:grpSp>
                                              <wpg:cNvPr id="265" name="Group 265"/>
                                              <wpg:cNvGrpSpPr/>
                                              <wpg:grpSpPr>
                                                <a:xfrm>
                                                  <a:off x="903763" y="0"/>
                                                  <a:ext cx="4475047" cy="8033006"/>
                                                  <a:chOff x="903763" y="0"/>
                                                  <a:chExt cx="4475047" cy="8033006"/>
                                                </a:xfrm>
                                              </wpg:grpSpPr>
                                              <wps:wsp>
                                                <wps:cNvPr id="266" name="Text Box 2"/>
                                                <wps:cNvSpPr txBox="1">
                                                  <a:spLocks noChangeArrowheads="1"/>
                                                </wps:cNvSpPr>
                                                <wps:spPr bwMode="auto">
                                                  <a:xfrm>
                                                    <a:off x="1609725" y="95250"/>
                                                    <a:ext cx="1752600" cy="609600"/>
                                                  </a:xfrm>
                                                  <a:prstGeom prst="rect">
                                                    <a:avLst/>
                                                  </a:prstGeom>
                                                  <a:solidFill>
                                                    <a:srgbClr val="FFFFFF"/>
                                                  </a:solidFill>
                                                  <a:ln w="9525">
                                                    <a:noFill/>
                                                    <a:miter lim="800000"/>
                                                    <a:headEnd/>
                                                    <a:tailEnd/>
                                                  </a:ln>
                                                </wps:spPr>
                                                <wps:txbx>
                                                  <w:txbxContent>
                                                    <w:p w14:paraId="79C1216F" w14:textId="77777777" w:rsidR="00291CE5" w:rsidRPr="00F105ED" w:rsidRDefault="00291CE5" w:rsidP="00291CE5">
                                                      <w:pPr>
                                                        <w:jc w:val="center"/>
                                                        <w:rPr>
                                                          <w:rFonts w:ascii="Times New Roman" w:eastAsia="Times New Roman" w:hAnsi="Times New Roman" w:cs="Times New Roman"/>
                                                          <w:b/>
                                                        </w:rPr>
                                                      </w:pPr>
                                                      <w:r w:rsidRPr="00F105ED">
                                                        <w:rPr>
                                                          <w:rFonts w:ascii="Times New Roman" w:eastAsia="Times New Roman" w:hAnsi="Times New Roman" w:cs="Times New Roman"/>
                                                          <w:bCs/>
                                                        </w:rPr>
                                                        <w:t>General Phenomenon</w:t>
                                                      </w:r>
                                                    </w:p>
                                                    <w:p w14:paraId="012CAB38"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1</w:t>
                                                      </w:r>
                                                    </w:p>
                                                  </w:txbxContent>
                                                </wps:txbx>
                                                <wps:bodyPr rot="0" vert="horz" wrap="square" lIns="91440" tIns="45720" rIns="91440" bIns="45720" anchor="t" anchorCtr="0">
                                                  <a:noAutofit/>
                                                </wps:bodyPr>
                                              </wps:wsp>
                                              <wps:wsp>
                                                <wps:cNvPr id="267" name="Text Box 2"/>
                                                <wps:cNvSpPr txBox="1">
                                                  <a:spLocks noChangeArrowheads="1"/>
                                                </wps:cNvSpPr>
                                                <wps:spPr bwMode="auto">
                                                  <a:xfrm>
                                                    <a:off x="1657350" y="1152525"/>
                                                    <a:ext cx="1533525" cy="609600"/>
                                                  </a:xfrm>
                                                  <a:prstGeom prst="rect">
                                                    <a:avLst/>
                                                  </a:prstGeom>
                                                  <a:solidFill>
                                                    <a:srgbClr val="FFFFFF"/>
                                                  </a:solidFill>
                                                  <a:ln w="9525">
                                                    <a:noFill/>
                                                    <a:miter lim="800000"/>
                                                    <a:headEnd/>
                                                    <a:tailEnd/>
                                                  </a:ln>
                                                </wps:spPr>
                                                <wps:txbx>
                                                  <w:txbxContent>
                                                    <w:p w14:paraId="29B13B9E"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Literature review</w:t>
                                                      </w:r>
                                                      <w:r w:rsidRPr="00F105ED">
                                                        <w:rPr>
                                                          <w:rFonts w:ascii="Times New Roman" w:eastAsia="Times New Roman" w:hAnsi="Times New Roman" w:cs="Times New Roman"/>
                                                          <w:b/>
                                                          <w:bCs/>
                                                        </w:rPr>
                                                        <w:t xml:space="preserve"> </w:t>
                                                      </w:r>
                                                      <w:r w:rsidRPr="00F105ED">
                                                        <w:rPr>
                                                          <w:rFonts w:ascii="Times New Roman" w:eastAsia="Times New Roman" w:hAnsi="Times New Roman" w:cs="Times New Roman"/>
                                                          <w:b/>
                                                        </w:rPr>
                                                        <w:t>Chapter 2</w:t>
                                                      </w:r>
                                                    </w:p>
                                                    <w:p w14:paraId="0F48DFB0" w14:textId="77777777" w:rsidR="00291CE5" w:rsidRDefault="00291CE5" w:rsidP="00291CE5"/>
                                                  </w:txbxContent>
                                                </wps:txbx>
                                                <wps:bodyPr rot="0" vert="horz" wrap="square" lIns="91440" tIns="45720" rIns="91440" bIns="45720" anchor="t" anchorCtr="0">
                                                  <a:noAutofit/>
                                                </wps:bodyPr>
                                              </wps:wsp>
                                              <wpg:grpSp>
                                                <wpg:cNvPr id="268" name="Group 268"/>
                                                <wpg:cNvGrpSpPr/>
                                                <wpg:grpSpPr>
                                                  <a:xfrm>
                                                    <a:off x="903763" y="0"/>
                                                    <a:ext cx="4475047" cy="8033006"/>
                                                    <a:chOff x="903763" y="0"/>
                                                    <a:chExt cx="4475047" cy="8033006"/>
                                                  </a:xfrm>
                                                </wpg:grpSpPr>
                                                <wpg:grpSp>
                                                  <wpg:cNvPr id="269" name="Group 269"/>
                                                  <wpg:cNvGrpSpPr/>
                                                  <wpg:grpSpPr>
                                                    <a:xfrm>
                                                      <a:off x="903763" y="0"/>
                                                      <a:ext cx="4475047" cy="8033006"/>
                                                      <a:chOff x="903763" y="0"/>
                                                      <a:chExt cx="4475047" cy="8033006"/>
                                                    </a:xfrm>
                                                  </wpg:grpSpPr>
                                                  <wpg:grpSp>
                                                    <wpg:cNvPr id="270" name="Group 270"/>
                                                    <wpg:cNvGrpSpPr/>
                                                    <wpg:grpSpPr>
                                                      <a:xfrm>
                                                        <a:off x="903763" y="0"/>
                                                        <a:ext cx="4160236" cy="6628963"/>
                                                        <a:chOff x="903763" y="0"/>
                                                        <a:chExt cx="4160236" cy="6628963"/>
                                                      </a:xfrm>
                                                    </wpg:grpSpPr>
                                                    <wps:wsp>
                                                      <wps:cNvPr id="271" name="Rectangle 3"/>
                                                      <wps:cNvSpPr/>
                                                      <wps:spPr>
                                                        <a:xfrm>
                                                          <a:off x="1562100" y="0"/>
                                                          <a:ext cx="1771650" cy="749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Rectangle 8"/>
                                                      <wps:cNvSpPr/>
                                                      <wps:spPr>
                                                        <a:xfrm>
                                                          <a:off x="1561926" y="1085791"/>
                                                          <a:ext cx="1771650" cy="647241"/>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1533507" y="2026327"/>
                                                          <a:ext cx="1771650" cy="78100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3634459" y="5877694"/>
                                                          <a:ext cx="1429540" cy="75126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angle 275"/>
                                                      <wps:cNvSpPr/>
                                                      <wps:spPr>
                                                        <a:xfrm>
                                                          <a:off x="903763" y="3144011"/>
                                                          <a:ext cx="3209490" cy="11811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angle 276"/>
                                                      <wps:cNvSpPr/>
                                                      <wps:spPr>
                                                        <a:xfrm>
                                                          <a:off x="1072146" y="4635183"/>
                                                          <a:ext cx="2800351" cy="804032"/>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7" name="Rectangle 277"/>
                                                    <wps:cNvSpPr/>
                                                    <wps:spPr>
                                                      <a:xfrm>
                                                        <a:off x="3438359" y="7052347"/>
                                                        <a:ext cx="1940451" cy="980659"/>
                                                      </a:xfrm>
                                                      <a:prstGeom prst="rect">
                                                        <a:avLst/>
                                                      </a:prstGeom>
                                                      <a:noFill/>
                                                      <a:ln w="12700" cap="flat" cmpd="sng" algn="ctr">
                                                        <a:solidFill>
                                                          <a:sysClr val="windowText" lastClr="000000"/>
                                                        </a:solidFill>
                                                        <a:prstDash val="solid"/>
                                                        <a:miter lim="800000"/>
                                                      </a:ln>
                                                      <a:effectLst/>
                                                    </wps:spPr>
                                                    <wps:txbx>
                                                      <w:txbxContent>
                                                        <w:p w14:paraId="79BA2642" w14:textId="77777777" w:rsidR="00291CE5" w:rsidRDefault="00291CE5" w:rsidP="00291C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9" name="Group 279"/>
                                                  <wpg:cNvGrpSpPr/>
                                                  <wpg:grpSpPr>
                                                    <a:xfrm>
                                                      <a:off x="3514340" y="5919412"/>
                                                      <a:ext cx="1803983" cy="2041879"/>
                                                      <a:chOff x="-19435" y="13912"/>
                                                      <a:chExt cx="1803983" cy="2041879"/>
                                                    </a:xfrm>
                                                  </wpg:grpSpPr>
                                                  <wps:wsp>
                                                    <wps:cNvPr id="319" name="Text Box 2"/>
                                                    <wps:cNvSpPr txBox="1">
                                                      <a:spLocks noChangeArrowheads="1"/>
                                                    </wps:cNvSpPr>
                                                    <wps:spPr bwMode="auto">
                                                      <a:xfrm>
                                                        <a:off x="191456" y="13912"/>
                                                        <a:ext cx="1238250" cy="643360"/>
                                                      </a:xfrm>
                                                      <a:prstGeom prst="rect">
                                                        <a:avLst/>
                                                      </a:prstGeom>
                                                      <a:solidFill>
                                                        <a:srgbClr val="FFFFFF"/>
                                                      </a:solidFill>
                                                      <a:ln w="9525">
                                                        <a:noFill/>
                                                        <a:miter lim="800000"/>
                                                        <a:headEnd/>
                                                        <a:tailEnd/>
                                                      </a:ln>
                                                    </wps:spPr>
                                                    <wps:txbx>
                                                      <w:txbxContent>
                                                        <w:p w14:paraId="755AA6D3" w14:textId="77777777" w:rsidR="00291CE5" w:rsidRPr="00E45F94" w:rsidRDefault="00291CE5" w:rsidP="00291CE5">
                                                          <w:pPr>
                                                            <w:jc w:val="center"/>
                                                            <w:rPr>
                                                              <w:rFonts w:ascii="Times New Roman" w:eastAsia="Times New Roman" w:hAnsi="Times New Roman" w:cs="Times New Roman"/>
                                                              <w:b/>
                                                            </w:rPr>
                                                          </w:pPr>
                                                          <w:r w:rsidRPr="00E45F94">
                                                            <w:rPr>
                                                              <w:rFonts w:ascii="Times New Roman" w:eastAsia="Times New Roman" w:hAnsi="Times New Roman" w:cs="Times New Roman"/>
                                                              <w:bCs/>
                                                            </w:rPr>
                                                            <w:t>Hypothesis</w:t>
                                                          </w:r>
                                                          <w:r w:rsidRPr="00E45F94">
                                                            <w:rPr>
                                                              <w:rFonts w:ascii="Times New Roman" w:eastAsia="Times New Roman" w:hAnsi="Times New Roman" w:cs="Times New Roman"/>
                                                              <w:b/>
                                                              <w:bCs/>
                                                            </w:rPr>
                                                            <w:t xml:space="preserve"> </w:t>
                                                          </w:r>
                                                        </w:p>
                                                        <w:p w14:paraId="31BEE404" w14:textId="77777777" w:rsidR="00291CE5" w:rsidRPr="00E45F94" w:rsidRDefault="00291CE5" w:rsidP="00291CE5">
                                                          <w:pPr>
                                                            <w:jc w:val="center"/>
                                                            <w:rPr>
                                                              <w:rFonts w:ascii="Times New Roman" w:eastAsia="Times New Roman" w:hAnsi="Times New Roman" w:cs="Times New Roman"/>
                                                              <w:bCs/>
                                                              <w:color w:val="FF0000"/>
                                                            </w:rPr>
                                                          </w:pPr>
                                                          <w:r w:rsidRPr="00E45F94">
                                                            <w:rPr>
                                                              <w:rFonts w:ascii="Times New Roman" w:eastAsia="Times New Roman" w:hAnsi="Times New Roman" w:cs="Times New Roman"/>
                                                              <w:b/>
                                                              <w:color w:val="FF0000"/>
                                                            </w:rPr>
                                                            <w:t>Accepted</w:t>
                                                          </w:r>
                                                        </w:p>
                                                      </w:txbxContent>
                                                    </wps:txbx>
                                                    <wps:bodyPr rot="0" vert="horz" wrap="square" lIns="91440" tIns="45720" rIns="91440" bIns="45720" anchor="t" anchorCtr="0">
                                                      <a:noAutofit/>
                                                    </wps:bodyPr>
                                                  </wps:wsp>
                                                  <wps:wsp>
                                                    <wps:cNvPr id="320" name="Text Box 2"/>
                                                    <wps:cNvSpPr txBox="1">
                                                      <a:spLocks noChangeArrowheads="1"/>
                                                    </wps:cNvSpPr>
                                                    <wps:spPr bwMode="auto">
                                                      <a:xfrm>
                                                        <a:off x="-19435" y="1224988"/>
                                                        <a:ext cx="1803983" cy="830803"/>
                                                      </a:xfrm>
                                                      <a:prstGeom prst="rect">
                                                        <a:avLst/>
                                                      </a:prstGeom>
                                                      <a:solidFill>
                                                        <a:srgbClr val="FFFFFF"/>
                                                      </a:solidFill>
                                                      <a:ln w="9525">
                                                        <a:noFill/>
                                                        <a:miter lim="800000"/>
                                                        <a:headEnd/>
                                                        <a:tailEnd/>
                                                      </a:ln>
                                                    </wps:spPr>
                                                    <wps:txbx>
                                                      <w:txbxContent>
                                                        <w:p w14:paraId="15288FB5" w14:textId="3957474F" w:rsidR="001F17C5" w:rsidRPr="00F105ED" w:rsidRDefault="001F17C5" w:rsidP="001F17C5">
                                                          <w:pPr>
                                                            <w:jc w:val="center"/>
                                                            <w:rPr>
                                                              <w:rFonts w:ascii="Times New Roman" w:eastAsia="Times New Roman" w:hAnsi="Times New Roman" w:cs="Times New Roman"/>
                                                              <w:b/>
                                                              <w:bCs/>
                                                            </w:rPr>
                                                          </w:pPr>
                                                          <w:r w:rsidRPr="00F105ED">
                                                            <w:rPr>
                                                              <w:rFonts w:ascii="Times New Roman" w:eastAsia="Times New Roman" w:hAnsi="Times New Roman" w:cs="Times New Roman"/>
                                                              <w:bCs/>
                                                            </w:rPr>
                                                            <w:t>Conclusions, Limitations and Implications</w:t>
                                                          </w:r>
                                                          <w:r w:rsidRPr="00F105ED">
                                                            <w:rPr>
                                                              <w:rFonts w:ascii="Times New Roman" w:eastAsia="Times New Roman" w:hAnsi="Times New Roman" w:cs="Times New Roman"/>
                                                              <w:b/>
                                                              <w:bCs/>
                                                            </w:rPr>
                                                            <w:t xml:space="preserve"> </w:t>
                                                          </w:r>
                                                        </w:p>
                                                        <w:p w14:paraId="4DD3ADA3" w14:textId="60478BDD" w:rsidR="00CF0582" w:rsidRPr="00F105ED" w:rsidRDefault="00CF0582" w:rsidP="00CF0582">
                                                          <w:pPr>
                                                            <w:jc w:val="center"/>
                                                            <w:rPr>
                                                              <w:rFonts w:ascii="Times New Roman" w:eastAsia="Times New Roman" w:hAnsi="Times New Roman" w:cs="Times New Roman"/>
                                                              <w:bCs/>
                                                            </w:rPr>
                                                          </w:pPr>
                                                          <w:r w:rsidRPr="00F105ED">
                                                            <w:rPr>
                                                              <w:rFonts w:ascii="Times New Roman" w:eastAsia="Times New Roman" w:hAnsi="Times New Roman" w:cs="Times New Roman"/>
                                                              <w:b/>
                                                            </w:rPr>
                                                            <w:t xml:space="preserve">Chapter </w:t>
                                                          </w:r>
                                                          <w:r>
                                                            <w:rPr>
                                                              <w:rFonts w:ascii="Times New Roman" w:eastAsia="Times New Roman" w:hAnsi="Times New Roman" w:cs="Times New Roman"/>
                                                              <w:b/>
                                                            </w:rPr>
                                                            <w:t>6</w:t>
                                                          </w:r>
                                                        </w:p>
                                                        <w:p w14:paraId="033E2E92" w14:textId="501DCEEC" w:rsidR="00291CE5" w:rsidRPr="00F105ED" w:rsidRDefault="00291CE5" w:rsidP="00291CE5">
                                                          <w:pPr>
                                                            <w:jc w:val="center"/>
                                                            <w:rPr>
                                                              <w:rFonts w:ascii="Times New Roman" w:eastAsia="Times New Roman" w:hAnsi="Times New Roman" w:cs="Times New Roman"/>
                                                              <w:bCs/>
                                                            </w:rPr>
                                                          </w:pPr>
                                                        </w:p>
                                                        <w:p w14:paraId="038D4499"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bCs/>
                                                            </w:rPr>
                                                            <w:t xml:space="preserve"> </w:t>
                                                          </w:r>
                                                          <w:r w:rsidRPr="00F105ED">
                                                            <w:rPr>
                                                              <w:rFonts w:ascii="Times New Roman" w:eastAsia="Times New Roman" w:hAnsi="Times New Roman" w:cs="Times New Roman"/>
                                                              <w:b/>
                                                            </w:rPr>
                                                            <w:t>Chapter 6</w:t>
                                                          </w:r>
                                                        </w:p>
                                                      </w:txbxContent>
                                                    </wps:txbx>
                                                    <wps:bodyPr rot="0" vert="horz" wrap="square" lIns="91440" tIns="45720" rIns="91440" bIns="45720" anchor="t" anchorCtr="0">
                                                      <a:noAutofit/>
                                                    </wps:bodyPr>
                                                  </wps:wsp>
                                                </wpg:grpSp>
                                              </wpg:grpSp>
                                            </wpg:grpSp>
                                          </wpg:grpSp>
                                        </wpg:grpSp>
                                      </wpg:grpSp>
                                      <wps:wsp>
                                        <wps:cNvPr id="329" name="Straight Arrow Connector 329"/>
                                        <wps:cNvCnPr/>
                                        <wps:spPr>
                                          <a:xfrm>
                                            <a:off x="2447925" y="749246"/>
                                            <a:ext cx="0" cy="336525"/>
                                          </a:xfrm>
                                          <a:prstGeom prst="straightConnector1">
                                            <a:avLst/>
                                          </a:prstGeom>
                                          <a:noFill/>
                                          <a:ln w="38100" cap="flat" cmpd="sng" algn="ctr">
                                            <a:solidFill>
                                              <a:sysClr val="windowText" lastClr="000000"/>
                                            </a:solidFill>
                                            <a:prstDash val="solid"/>
                                            <a:miter lim="800000"/>
                                            <a:tailEnd type="triangle"/>
                                          </a:ln>
                                          <a:effectLst/>
                                        </wps:spPr>
                                        <wps:bodyPr/>
                                      </wps:wsp>
                                    </wpg:grpSp>
                                    <wps:wsp>
                                      <wps:cNvPr id="330" name="Straight Arrow Connector 330"/>
                                      <wps:cNvCnPr/>
                                      <wps:spPr>
                                        <a:xfrm>
                                          <a:off x="2447486" y="2807506"/>
                                          <a:ext cx="0" cy="336501"/>
                                        </a:xfrm>
                                        <a:prstGeom prst="straightConnector1">
                                          <a:avLst/>
                                        </a:prstGeom>
                                        <a:noFill/>
                                        <a:ln w="38100" cap="flat" cmpd="sng" algn="ctr">
                                          <a:solidFill>
                                            <a:sysClr val="windowText" lastClr="000000"/>
                                          </a:solidFill>
                                          <a:prstDash val="solid"/>
                                          <a:miter lim="800000"/>
                                          <a:tailEnd type="triangle"/>
                                        </a:ln>
                                        <a:effectLst/>
                                      </wps:spPr>
                                      <wps:bodyPr/>
                                    </wps:wsp>
                                  </wpg:grpSp>
                                </wpg:grpSp>
                              </wpg:grpSp>
                            </wpg:grpSp>
                            <wps:wsp>
                              <wps:cNvPr id="332" name="Straight Arrow Connector 332"/>
                              <wps:cNvCnPr>
                                <a:stCxn id="260" idx="2"/>
                                <a:endCxn id="274" idx="0"/>
                              </wps:cNvCnPr>
                              <wps:spPr>
                                <a:xfrm>
                                  <a:off x="2422732" y="5483410"/>
                                  <a:ext cx="1926450" cy="393914"/>
                                </a:xfrm>
                                <a:prstGeom prst="straightConnector1">
                                  <a:avLst/>
                                </a:prstGeom>
                                <a:noFill/>
                                <a:ln w="38100" cap="flat" cmpd="sng" algn="ctr">
                                  <a:solidFill>
                                    <a:sysClr val="windowText" lastClr="000000"/>
                                  </a:solidFill>
                                  <a:prstDash val="solid"/>
                                  <a:miter lim="800000"/>
                                  <a:tailEnd type="triangle"/>
                                </a:ln>
                                <a:effectLst/>
                              </wps:spPr>
                              <wps:bodyPr/>
                            </wps:wsp>
                            <wps:wsp>
                              <wps:cNvPr id="333" name="Straight Arrow Connector 333"/>
                              <wps:cNvCnPr>
                                <a:stCxn id="260" idx="2"/>
                              </wps:cNvCnPr>
                              <wps:spPr>
                                <a:xfrm flipH="1">
                                  <a:off x="785334" y="5483410"/>
                                  <a:ext cx="1637398" cy="351946"/>
                                </a:xfrm>
                                <a:prstGeom prst="straightConnector1">
                                  <a:avLst/>
                                </a:prstGeom>
                                <a:noFill/>
                                <a:ln w="38100" cap="flat" cmpd="sng" algn="ctr">
                                  <a:solidFill>
                                    <a:sysClr val="windowText" lastClr="000000"/>
                                  </a:solidFill>
                                  <a:prstDash val="solid"/>
                                  <a:miter lim="800000"/>
                                  <a:tailEnd type="triangle"/>
                                </a:ln>
                                <a:effectLst/>
                              </wps:spPr>
                              <wps:bodyPr/>
                            </wps:wsp>
                          </wpg:grpSp>
                          <wps:wsp>
                            <wps:cNvPr id="335" name="Straight Arrow Connector 30"/>
                            <wps:cNvCnPr/>
                            <wps:spPr>
                              <a:xfrm flipH="1">
                                <a:off x="102869" y="2506451"/>
                                <a:ext cx="19052" cy="3751024"/>
                              </a:xfrm>
                              <a:prstGeom prst="straightConnector1">
                                <a:avLst/>
                              </a:prstGeom>
                              <a:noFill/>
                              <a:ln w="28575" cap="flat" cmpd="sng" algn="ctr">
                                <a:solidFill>
                                  <a:srgbClr val="C00000"/>
                                </a:solidFill>
                                <a:prstDash val="dashDot"/>
                                <a:miter lim="800000"/>
                                <a:headEnd type="none" w="med" len="med"/>
                                <a:tailEnd type="none" w="med" len="med"/>
                              </a:ln>
                              <a:effectLst/>
                            </wps:spPr>
                            <wps:bodyPr/>
                          </wps:wsp>
                          <wps:wsp>
                            <wps:cNvPr id="336" name="Straight Arrow Connector 39"/>
                            <wps:cNvCnPr/>
                            <wps:spPr>
                              <a:xfrm>
                                <a:off x="123825" y="2506804"/>
                                <a:ext cx="1733550" cy="29838"/>
                              </a:xfrm>
                              <a:prstGeom prst="straightConnector1">
                                <a:avLst/>
                              </a:prstGeom>
                              <a:noFill/>
                              <a:ln w="28575" cap="flat" cmpd="sng" algn="ctr">
                                <a:solidFill>
                                  <a:srgbClr val="C00000"/>
                                </a:solidFill>
                                <a:prstDash val="dashDot"/>
                                <a:miter lim="800000"/>
                                <a:headEnd type="none" w="med" len="med"/>
                                <a:tailEnd type="arrow" w="med" len="med"/>
                              </a:ln>
                              <a:effectLst/>
                            </wps:spPr>
                            <wps:bodyPr/>
                          </wps:wsp>
                        </wpg:grpSp>
                        <wps:wsp>
                          <wps:cNvPr id="337" name="Straight Arrow Connector 337"/>
                          <wps:cNvCnPr/>
                          <wps:spPr>
                            <a:xfrm flipH="1" flipV="1">
                              <a:off x="285117" y="6257025"/>
                              <a:ext cx="344804" cy="17449"/>
                            </a:xfrm>
                            <a:prstGeom prst="straightConnector1">
                              <a:avLst/>
                            </a:prstGeom>
                            <a:noFill/>
                            <a:ln w="28575" cap="flat" cmpd="sng" algn="ctr">
                              <a:solidFill>
                                <a:srgbClr val="C00000"/>
                              </a:solidFill>
                              <a:prstDash val="dashDot"/>
                              <a:miter lim="800000"/>
                              <a:headEnd type="none" w="med" len="med"/>
                              <a:tailEnd type="none" w="med" len="med"/>
                            </a:ln>
                            <a:effectLst/>
                          </wps:spPr>
                          <wps:bodyPr/>
                        </wps:wsp>
                      </wpg:grpSp>
                      <wps:wsp>
                        <wps:cNvPr id="368" name="Rectangle 368"/>
                        <wps:cNvSpPr/>
                        <wps:spPr>
                          <a:xfrm>
                            <a:off x="504825" y="5334000"/>
                            <a:ext cx="1350665" cy="6853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D46F9C" id="Group 369" o:spid="_x0000_s1027" style="position:absolute;margin-left:-.75pt;margin-top:26.7pt;width:416.6pt;height:577.1pt;z-index:251661312" coordsize="52908,7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">
                <v:group id="Group 244" o:spid="_x0000_s1028" style="position:absolute;width:52908;height:73289" coordorigin="2660" coordsize="5599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group id="Group 245" o:spid="_x0000_s1029" style="position:absolute;left:2660;width:55998;height:80330" coordorigin="1028" coordsize="5599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group id="Group 247" o:spid="_x0000_s1030" style="position:absolute;left:6419;width:50607;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group id="Group 248" o:spid="_x0000_s1031"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type id="_x0000_t32" coordsize="21600,21600" o:spt="32" o:oned="t" path="m,l21600,21600e" filled="f">
                          <v:path arrowok="t" fillok="f" o:connecttype="none"/>
                          <o:lock v:ext="edit" shapetype="t"/>
                        </v:shapetype>
                        <v:shape id="Straight Arrow Connector 249" o:spid="_x0000_s1032" type="#_x0000_t32" style="position:absolute;left:24551;top:43012;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" strokecolor="windowText" strokeweight="3pt">
                          <v:stroke endarrow="block" joinstyle="miter"/>
                        </v:shape>
                        <v:group id="Group 250" o:spid="_x0000_s1033"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Straight Arrow Connector 251" o:spid="_x0000_s1034" type="#_x0000_t32" style="position:absolute;left:44256;top:66293;width:0;height:4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" strokecolor="windowText" strokeweight="3pt">
                            <v:stroke endarrow="block" joinstyle="miter"/>
                          </v:shape>
                          <v:group id="Group 253" o:spid="_x0000_s1035"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Straight Arrow Connector 254" o:spid="_x0000_s1036" type="#_x0000_t32" style="position:absolute;left:24474;top:16285;width:2;height:4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" strokecolor="windowText" strokeweight="3pt">
                              <v:stroke endarrow="block" joinstyle="miter"/>
                            </v:shape>
                            <v:group id="Group 255" o:spid="_x0000_s1037"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Group 256" o:spid="_x0000_s1038"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39" style="position:absolute;left:3180;width:50608;height:80330" coordorigin="3180" coordsize="50607,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58" o:spid="_x0000_s1040" style="position:absolute;left:3180;top:46360;width:33811;height:19040" coordorigin="2990,-597" coordsize="33810,1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Text Box 2" o:spid="_x0000_s1041" type="#_x0000_t202" style="position:absolute;left:2990;top:12345;width:1323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6377401F" w14:textId="77777777" w:rsidR="00291CE5" w:rsidRPr="00E45F94" w:rsidRDefault="00291CE5" w:rsidP="00291CE5">
                                            <w:pPr>
                                              <w:jc w:val="center"/>
                                              <w:rPr>
                                                <w:rFonts w:ascii="Times New Roman" w:eastAsia="Times New Roman" w:hAnsi="Times New Roman" w:cs="Times New Roman"/>
                                                <w:b/>
                                              </w:rPr>
                                            </w:pPr>
                                            <w:r w:rsidRPr="00E45F94">
                                              <w:rPr>
                                                <w:rFonts w:ascii="Times New Roman" w:eastAsia="Times New Roman" w:hAnsi="Times New Roman" w:cs="Times New Roman"/>
                                                <w:bCs/>
                                              </w:rPr>
                                              <w:t>Hypothesis</w:t>
                                            </w:r>
                                            <w:r w:rsidRPr="00E45F94">
                                              <w:rPr>
                                                <w:rFonts w:ascii="Times New Roman" w:eastAsia="Times New Roman" w:hAnsi="Times New Roman" w:cs="Times New Roman"/>
                                                <w:b/>
                                                <w:bCs/>
                                              </w:rPr>
                                              <w:t xml:space="preserve"> </w:t>
                                            </w:r>
                                          </w:p>
                                          <w:p w14:paraId="70E3DB59" w14:textId="77777777" w:rsidR="00291CE5" w:rsidRPr="00E45F94" w:rsidRDefault="00291CE5" w:rsidP="00291CE5">
                                            <w:pPr>
                                              <w:jc w:val="center"/>
                                              <w:rPr>
                                                <w:rFonts w:ascii="Times New Roman" w:eastAsia="Times New Roman" w:hAnsi="Times New Roman" w:cs="Times New Roman"/>
                                                <w:bCs/>
                                                <w:color w:val="FF0000"/>
                                              </w:rPr>
                                            </w:pPr>
                                            <w:r w:rsidRPr="00E45F94">
                                              <w:rPr>
                                                <w:rFonts w:ascii="Times New Roman" w:eastAsia="Times New Roman" w:hAnsi="Times New Roman" w:cs="Times New Roman"/>
                                                <w:b/>
                                                <w:color w:val="FF0000"/>
                                              </w:rPr>
                                              <w:t>Rejected</w:t>
                                            </w:r>
                                          </w:p>
                                        </w:txbxContent>
                                      </v:textbox>
                                    </v:shape>
                                    <v:shape id="Text Box 2" o:spid="_x0000_s1042" type="#_x0000_t202" style="position:absolute;left:11273;top:-597;width:25527;height: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" stroked="f">
                                      <v:textbox>
                                        <w:txbxContent>
                                          <w:p w14:paraId="7062C95C" w14:textId="3F26380A" w:rsidR="00291CE5" w:rsidRPr="00F105ED" w:rsidRDefault="00291CE5" w:rsidP="00291CE5">
                                            <w:pPr>
                                              <w:jc w:val="center"/>
                                              <w:rPr>
                                                <w:rFonts w:ascii="Times New Roman" w:eastAsia="Times New Roman" w:hAnsi="Times New Roman" w:cs="Times New Roman"/>
                                                <w:b/>
                                                <w:bCs/>
                                              </w:rPr>
                                            </w:pPr>
                                            <w:r w:rsidRPr="00F105ED">
                                              <w:rPr>
                                                <w:rFonts w:ascii="Times New Roman" w:eastAsia="Times New Roman" w:hAnsi="Times New Roman" w:cs="Times New Roman"/>
                                                <w:bCs/>
                                              </w:rPr>
                                              <w:t>Data Analysis (CFA, EFA, SEM)</w:t>
                                            </w:r>
                                            <w:r w:rsidR="00994B00">
                                              <w:rPr>
                                                <w:rFonts w:ascii="Times New Roman" w:eastAsia="Times New Roman" w:hAnsi="Times New Roman" w:cs="Times New Roman"/>
                                                <w:bCs/>
                                              </w:rPr>
                                              <w:t>,</w:t>
                                            </w:r>
                                            <w:r w:rsidR="00994B00" w:rsidRPr="00994B00">
                                              <w:rPr>
                                                <w:rFonts w:ascii="Times New Roman" w:eastAsia="Times New Roman" w:hAnsi="Times New Roman" w:cs="Times New Roman"/>
                                                <w:bCs/>
                                              </w:rPr>
                                              <w:t xml:space="preserve"> </w:t>
                                            </w:r>
                                            <w:r w:rsidR="00994B00" w:rsidRPr="00F105ED">
                                              <w:rPr>
                                                <w:rFonts w:ascii="Times New Roman" w:eastAsia="Times New Roman" w:hAnsi="Times New Roman" w:cs="Times New Roman"/>
                                                <w:bCs/>
                                              </w:rPr>
                                              <w:t>Discussion the Findings</w:t>
                                            </w:r>
                                          </w:p>
                                          <w:p w14:paraId="18D3BB25"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5</w:t>
                                            </w:r>
                                          </w:p>
                                        </w:txbxContent>
                                      </v:textbox>
                                    </v:shape>
                                  </v:group>
                                  <v:group id="Group 261" o:spid="_x0000_s1043" style="position:absolute;left:8866;width:44922;height:80330" coordorigin="8866" coordsize="44921,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Text Box 2" o:spid="_x0000_s1044" type="#_x0000_t202" style="position:absolute;left:8866;top:31132;width:32000;height: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" stroked="f">
                                      <v:textbox>
                                        <w:txbxContent>
                                          <w:p w14:paraId="0DBF4380"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Open Questionnaire of variables</w:t>
                                            </w:r>
                                          </w:p>
                                          <w:p w14:paraId="7D8D3CCB"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(Independent and Dependent)</w:t>
                                            </w:r>
                                          </w:p>
                                          <w:p w14:paraId="2E6239E6" w14:textId="77777777" w:rsidR="00291CE5" w:rsidRPr="00F105ED" w:rsidRDefault="00291CE5" w:rsidP="00291CE5">
                                            <w:pPr>
                                              <w:jc w:val="center"/>
                                              <w:rPr>
                                                <w:rFonts w:ascii="Times New Roman" w:eastAsia="Times New Roman" w:hAnsi="Times New Roman" w:cs="Times New Roman"/>
                                              </w:rPr>
                                            </w:pPr>
                                            <w:r w:rsidRPr="00F105ED">
                                              <w:rPr>
                                                <w:rFonts w:ascii="Times New Roman" w:eastAsia="Times New Roman" w:hAnsi="Times New Roman" w:cs="Times New Roman"/>
                                              </w:rPr>
                                              <w:t>Data Collection</w:t>
                                            </w:r>
                                          </w:p>
                                          <w:p w14:paraId="0953F3AA"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4</w:t>
                                            </w:r>
                                          </w:p>
                                          <w:p w14:paraId="74B782B1" w14:textId="77777777" w:rsidR="00291CE5" w:rsidRPr="00F105ED" w:rsidRDefault="00291CE5" w:rsidP="00291CE5">
                                            <w:pPr>
                                              <w:jc w:val="center"/>
                                              <w:rPr>
                                                <w:rFonts w:ascii="Times New Roman" w:eastAsia="Times New Roman" w:hAnsi="Times New Roman" w:cs="Times New Roman"/>
                                              </w:rPr>
                                            </w:pPr>
                                          </w:p>
                                          <w:p w14:paraId="3F1DBA82" w14:textId="77777777" w:rsidR="00291CE5" w:rsidRPr="002521E6" w:rsidRDefault="00291CE5" w:rsidP="00291CE5">
                                            <w:pPr>
                                              <w:jc w:val="center"/>
                                              <w:rPr>
                                                <w:rFonts w:ascii="Times New Roman" w:eastAsia="Times New Roman" w:hAnsi="Times New Roman" w:cs="Times New Roman"/>
                                                <w:bCs/>
                                                <w:sz w:val="24"/>
                                                <w:szCs w:val="24"/>
                                              </w:rPr>
                                            </w:pPr>
                                            <w:r w:rsidRPr="002521E6">
                                              <w:rPr>
                                                <w:rFonts w:ascii="Times New Roman" w:eastAsia="Times New Roman" w:hAnsi="Times New Roman" w:cs="Times New Roman"/>
                                                <w:b/>
                                                <w:sz w:val="24"/>
                                                <w:szCs w:val="24"/>
                                              </w:rPr>
                                              <w:t xml:space="preserve">Chapter </w:t>
                                            </w:r>
                                            <w:r>
                                              <w:rPr>
                                                <w:rFonts w:ascii="Times New Roman" w:eastAsia="Times New Roman" w:hAnsi="Times New Roman" w:cs="Times New Roman"/>
                                                <w:b/>
                                                <w:sz w:val="24"/>
                                                <w:szCs w:val="24"/>
                                              </w:rPr>
                                              <w:t>4</w:t>
                                            </w:r>
                                            <w:r w:rsidRPr="00F4341E">
                                              <w:rPr>
                                                <w:rFonts w:ascii="Times New Roman" w:eastAsia="Times New Roman" w:hAnsi="Times New Roman" w:cs="Times New Roman"/>
                                                <w:b/>
                                                <w:sz w:val="24"/>
                                                <w:szCs w:val="24"/>
                                              </w:rPr>
                                              <w:t xml:space="preserve"> </w:t>
                                            </w:r>
                                            <w:r w:rsidRPr="002521E6">
                                              <w:rPr>
                                                <w:rFonts w:ascii="Times New Roman" w:eastAsia="Times New Roman" w:hAnsi="Times New Roman" w:cs="Times New Roman"/>
                                                <w:b/>
                                                <w:sz w:val="24"/>
                                                <w:szCs w:val="24"/>
                                              </w:rPr>
                                              <w:t xml:space="preserve">Chapter </w:t>
                                            </w:r>
                                            <w:r>
                                              <w:rPr>
                                                <w:rFonts w:ascii="Times New Roman" w:eastAsia="Times New Roman" w:hAnsi="Times New Roman" w:cs="Times New Roman"/>
                                                <w:b/>
                                                <w:sz w:val="24"/>
                                                <w:szCs w:val="24"/>
                                              </w:rPr>
                                              <w:t>3</w:t>
                                            </w:r>
                                          </w:p>
                                          <w:p w14:paraId="7288F0F4" w14:textId="77777777" w:rsidR="00291CE5" w:rsidRPr="002521E6" w:rsidRDefault="00291CE5" w:rsidP="00291CE5">
                                            <w:pPr>
                                              <w:jc w:val="center"/>
                                              <w:rPr>
                                                <w:rFonts w:ascii="Times New Roman" w:eastAsia="Times New Roman" w:hAnsi="Times New Roman" w:cs="Times New Roman"/>
                                                <w:bCs/>
                                                <w:sz w:val="24"/>
                                                <w:szCs w:val="24"/>
                                              </w:rPr>
                                            </w:pPr>
                                          </w:p>
                                        </w:txbxContent>
                                      </v:textbox>
                                    </v:shape>
                                    <v:group id="Group 263" o:spid="_x0000_s1045" style="position:absolute;left:9037;width:44751;height:80330" coordorigin="9037" coordsize="44750,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Text Box 2" o:spid="_x0000_s1046" type="#_x0000_t202" style="position:absolute;left:16095;top:20607;width:17145;height:7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" stroked="f">
                                        <v:textbox>
                                          <w:txbxContent>
                                            <w:p w14:paraId="0A90B7C8" w14:textId="77777777" w:rsidR="00291CE5" w:rsidRPr="00F105ED" w:rsidRDefault="00291CE5" w:rsidP="00291CE5">
                                              <w:pPr>
                                                <w:jc w:val="center"/>
                                                <w:rPr>
                                                  <w:rFonts w:ascii="Times New Roman" w:eastAsia="Times New Roman" w:hAnsi="Times New Roman" w:cs="Times New Roman"/>
                                                  <w:b/>
                                                  <w:bCs/>
                                                </w:rPr>
                                              </w:pPr>
                                              <w:r w:rsidRPr="00F105ED">
                                                <w:rPr>
                                                  <w:rFonts w:ascii="Times New Roman" w:eastAsia="Times New Roman" w:hAnsi="Times New Roman" w:cs="Times New Roman"/>
                                                  <w:bCs/>
                                                </w:rPr>
                                                <w:t>Research Model and Hypothesis</w:t>
                                              </w:r>
                                              <w:r w:rsidRPr="00F105ED">
                                                <w:rPr>
                                                  <w:rFonts w:ascii="Times New Roman" w:eastAsia="Times New Roman" w:hAnsi="Times New Roman" w:cs="Times New Roman"/>
                                                  <w:b/>
                                                  <w:bCs/>
                                                </w:rPr>
                                                <w:t xml:space="preserve"> </w:t>
                                              </w:r>
                                            </w:p>
                                            <w:p w14:paraId="6CE71FF0"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3</w:t>
                                              </w:r>
                                            </w:p>
                                          </w:txbxContent>
                                        </v:textbox>
                                      </v:shape>
                                      <v:group id="Group 265" o:spid="_x0000_s1047" style="position:absolute;left:9037;width:44751;height:80330" coordorigin="9037" coordsize="44750,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Text Box 2" o:spid="_x0000_s1048" type="#_x0000_t202" style="position:absolute;left:16097;top:952;width:1752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" stroked="f">
                                          <v:textbox>
                                            <w:txbxContent>
                                              <w:p w14:paraId="79C1216F" w14:textId="77777777" w:rsidR="00291CE5" w:rsidRPr="00F105ED" w:rsidRDefault="00291CE5" w:rsidP="00291CE5">
                                                <w:pPr>
                                                  <w:jc w:val="center"/>
                                                  <w:rPr>
                                                    <w:rFonts w:ascii="Times New Roman" w:eastAsia="Times New Roman" w:hAnsi="Times New Roman" w:cs="Times New Roman"/>
                                                    <w:b/>
                                                  </w:rPr>
                                                </w:pPr>
                                                <w:r w:rsidRPr="00F105ED">
                                                  <w:rPr>
                                                    <w:rFonts w:ascii="Times New Roman" w:eastAsia="Times New Roman" w:hAnsi="Times New Roman" w:cs="Times New Roman"/>
                                                    <w:bCs/>
                                                  </w:rPr>
                                                  <w:t>General Phenomenon</w:t>
                                                </w:r>
                                              </w:p>
                                              <w:p w14:paraId="012CAB38"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rPr>
                                                  <w:t>Chapter 1</w:t>
                                                </w:r>
                                              </w:p>
                                            </w:txbxContent>
                                          </v:textbox>
                                        </v:shape>
                                        <v:shape id="Text Box 2" o:spid="_x0000_s1049" type="#_x0000_t202" style="position:absolute;left:16573;top:11525;width:1533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" stroked="f">
                                          <v:textbox>
                                            <w:txbxContent>
                                              <w:p w14:paraId="29B13B9E"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Cs/>
                                                  </w:rPr>
                                                  <w:t>Literature review</w:t>
                                                </w:r>
                                                <w:r w:rsidRPr="00F105ED">
                                                  <w:rPr>
                                                    <w:rFonts w:ascii="Times New Roman" w:eastAsia="Times New Roman" w:hAnsi="Times New Roman" w:cs="Times New Roman"/>
                                                    <w:b/>
                                                    <w:bCs/>
                                                  </w:rPr>
                                                  <w:t xml:space="preserve"> </w:t>
                                                </w:r>
                                                <w:r w:rsidRPr="00F105ED">
                                                  <w:rPr>
                                                    <w:rFonts w:ascii="Times New Roman" w:eastAsia="Times New Roman" w:hAnsi="Times New Roman" w:cs="Times New Roman"/>
                                                    <w:b/>
                                                  </w:rPr>
                                                  <w:t>Chapter 2</w:t>
                                                </w:r>
                                              </w:p>
                                              <w:p w14:paraId="0F48DFB0" w14:textId="77777777" w:rsidR="00291CE5" w:rsidRDefault="00291CE5" w:rsidP="00291CE5"/>
                                            </w:txbxContent>
                                          </v:textbox>
                                        </v:shape>
                                        <v:group id="Group 268" o:spid="_x0000_s1050" style="position:absolute;left:9037;width:44751;height:80330" coordorigin="9037" coordsize="44750,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group id="Group 269" o:spid="_x0000_s1051" style="position:absolute;left:9037;width:44751;height:80330" coordorigin="9037" coordsize="44750,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group id="Group 270" o:spid="_x0000_s1052" style="position:absolute;left:9037;width:41602;height:66289" coordorigin="9037" coordsize="41602,6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rect id="Rectangle 3" o:spid="_x0000_s1053" style="position:absolute;left:15621;width:17716;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" filled="f" strokecolor="windowText" strokeweight="1pt"/>
                                              <v:rect id="Rectangle 8" o:spid="_x0000_s1054" style="position:absolute;left:15619;top:10857;width:17716;height:6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" filled="f" strokecolor="windowText" strokeweight="1pt"/>
                                              <v:rect id="Rectangle 273" o:spid="_x0000_s1055" style="position:absolute;left:15335;top:20263;width:17716;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" filled="f" strokecolor="windowText" strokeweight="1pt"/>
                                              <v:rect id="Rectangle 274" o:spid="_x0000_s1056" style="position:absolute;left:36344;top:58776;width:14295;height:7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" filled="f" strokecolor="windowText" strokeweight="1pt"/>
                                              <v:rect id="Rectangle 275" o:spid="_x0000_s1057" style="position:absolute;left:9037;top:31440;width:32095;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" filled="f" strokecolor="windowText" strokeweight="1pt"/>
                                              <v:rect id="Rectangle 276" o:spid="_x0000_s1058" style="position:absolute;left:10721;top:46351;width:28003;height:8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" filled="f" strokecolor="windowText" strokeweight="1pt"/>
                                            </v:group>
                                            <v:rect id="Rectangle 277" o:spid="_x0000_s1059" style="position:absolute;left:34383;top:70523;width:19405;height:9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" filled="f" strokecolor="windowText" strokeweight="1pt">
                                              <v:textbox>
                                                <w:txbxContent>
                                                  <w:p w14:paraId="79BA2642" w14:textId="77777777" w:rsidR="00291CE5" w:rsidRDefault="00291CE5" w:rsidP="00291CE5">
                                                    <w:pPr>
                                                      <w:jc w:val="center"/>
                                                    </w:pPr>
                                                    <w:r>
                                                      <w:t xml:space="preserve"> </w:t>
                                                    </w:r>
                                                  </w:p>
                                                </w:txbxContent>
                                              </v:textbox>
                                            </v:rect>
                                          </v:group>
                                          <v:group id="Group 279" o:spid="_x0000_s1060" style="position:absolute;left:35143;top:59194;width:18040;height:20418" coordorigin="-194,139" coordsize="18039,2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Text Box 2" o:spid="_x0000_s1061" type="#_x0000_t202" style="position:absolute;left:1914;top:139;width:12383;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" stroked="f">
                                              <v:textbox>
                                                <w:txbxContent>
                                                  <w:p w14:paraId="755AA6D3" w14:textId="77777777" w:rsidR="00291CE5" w:rsidRPr="00E45F94" w:rsidRDefault="00291CE5" w:rsidP="00291CE5">
                                                    <w:pPr>
                                                      <w:jc w:val="center"/>
                                                      <w:rPr>
                                                        <w:rFonts w:ascii="Times New Roman" w:eastAsia="Times New Roman" w:hAnsi="Times New Roman" w:cs="Times New Roman"/>
                                                        <w:b/>
                                                      </w:rPr>
                                                    </w:pPr>
                                                    <w:r w:rsidRPr="00E45F94">
                                                      <w:rPr>
                                                        <w:rFonts w:ascii="Times New Roman" w:eastAsia="Times New Roman" w:hAnsi="Times New Roman" w:cs="Times New Roman"/>
                                                        <w:bCs/>
                                                      </w:rPr>
                                                      <w:t>Hypothesis</w:t>
                                                    </w:r>
                                                    <w:r w:rsidRPr="00E45F94">
                                                      <w:rPr>
                                                        <w:rFonts w:ascii="Times New Roman" w:eastAsia="Times New Roman" w:hAnsi="Times New Roman" w:cs="Times New Roman"/>
                                                        <w:b/>
                                                        <w:bCs/>
                                                      </w:rPr>
                                                      <w:t xml:space="preserve"> </w:t>
                                                    </w:r>
                                                  </w:p>
                                                  <w:p w14:paraId="31BEE404" w14:textId="77777777" w:rsidR="00291CE5" w:rsidRPr="00E45F94" w:rsidRDefault="00291CE5" w:rsidP="00291CE5">
                                                    <w:pPr>
                                                      <w:jc w:val="center"/>
                                                      <w:rPr>
                                                        <w:rFonts w:ascii="Times New Roman" w:eastAsia="Times New Roman" w:hAnsi="Times New Roman" w:cs="Times New Roman"/>
                                                        <w:bCs/>
                                                        <w:color w:val="FF0000"/>
                                                      </w:rPr>
                                                    </w:pPr>
                                                    <w:r w:rsidRPr="00E45F94">
                                                      <w:rPr>
                                                        <w:rFonts w:ascii="Times New Roman" w:eastAsia="Times New Roman" w:hAnsi="Times New Roman" w:cs="Times New Roman"/>
                                                        <w:b/>
                                                        <w:color w:val="FF0000"/>
                                                      </w:rPr>
                                                      <w:t>Accepted</w:t>
                                                    </w:r>
                                                  </w:p>
                                                </w:txbxContent>
                                              </v:textbox>
                                            </v:shape>
                                            <v:shape id="Text Box 2" o:spid="_x0000_s1062" type="#_x0000_t202" style="position:absolute;left:-194;top:12249;width:18039;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14:paraId="15288FB5" w14:textId="3957474F" w:rsidR="001F17C5" w:rsidRPr="00F105ED" w:rsidRDefault="001F17C5" w:rsidP="001F17C5">
                                                    <w:pPr>
                                                      <w:jc w:val="center"/>
                                                      <w:rPr>
                                                        <w:rFonts w:ascii="Times New Roman" w:eastAsia="Times New Roman" w:hAnsi="Times New Roman" w:cs="Times New Roman"/>
                                                        <w:b/>
                                                        <w:bCs/>
                                                      </w:rPr>
                                                    </w:pPr>
                                                    <w:r w:rsidRPr="00F105ED">
                                                      <w:rPr>
                                                        <w:rFonts w:ascii="Times New Roman" w:eastAsia="Times New Roman" w:hAnsi="Times New Roman" w:cs="Times New Roman"/>
                                                        <w:bCs/>
                                                      </w:rPr>
                                                      <w:t>Conclusions, Limitations and Implications</w:t>
                                                    </w:r>
                                                    <w:r w:rsidRPr="00F105ED">
                                                      <w:rPr>
                                                        <w:rFonts w:ascii="Times New Roman" w:eastAsia="Times New Roman" w:hAnsi="Times New Roman" w:cs="Times New Roman"/>
                                                        <w:b/>
                                                        <w:bCs/>
                                                      </w:rPr>
                                                      <w:t xml:space="preserve"> </w:t>
                                                    </w:r>
                                                  </w:p>
                                                  <w:p w14:paraId="4DD3ADA3" w14:textId="60478BDD" w:rsidR="00CF0582" w:rsidRPr="00F105ED" w:rsidRDefault="00CF0582" w:rsidP="00CF0582">
                                                    <w:pPr>
                                                      <w:jc w:val="center"/>
                                                      <w:rPr>
                                                        <w:rFonts w:ascii="Times New Roman" w:eastAsia="Times New Roman" w:hAnsi="Times New Roman" w:cs="Times New Roman"/>
                                                        <w:bCs/>
                                                      </w:rPr>
                                                    </w:pPr>
                                                    <w:r w:rsidRPr="00F105ED">
                                                      <w:rPr>
                                                        <w:rFonts w:ascii="Times New Roman" w:eastAsia="Times New Roman" w:hAnsi="Times New Roman" w:cs="Times New Roman"/>
                                                        <w:b/>
                                                      </w:rPr>
                                                      <w:t xml:space="preserve">Chapter </w:t>
                                                    </w:r>
                                                    <w:r>
                                                      <w:rPr>
                                                        <w:rFonts w:ascii="Times New Roman" w:eastAsia="Times New Roman" w:hAnsi="Times New Roman" w:cs="Times New Roman"/>
                                                        <w:b/>
                                                      </w:rPr>
                                                      <w:t>6</w:t>
                                                    </w:r>
                                                  </w:p>
                                                  <w:p w14:paraId="033E2E92" w14:textId="501DCEEC" w:rsidR="00291CE5" w:rsidRPr="00F105ED" w:rsidRDefault="00291CE5" w:rsidP="00291CE5">
                                                    <w:pPr>
                                                      <w:jc w:val="center"/>
                                                      <w:rPr>
                                                        <w:rFonts w:ascii="Times New Roman" w:eastAsia="Times New Roman" w:hAnsi="Times New Roman" w:cs="Times New Roman"/>
                                                        <w:bCs/>
                                                      </w:rPr>
                                                    </w:pPr>
                                                  </w:p>
                                                  <w:p w14:paraId="038D4499" w14:textId="77777777" w:rsidR="00291CE5" w:rsidRPr="00F105ED" w:rsidRDefault="00291CE5" w:rsidP="00291CE5">
                                                    <w:pPr>
                                                      <w:jc w:val="center"/>
                                                      <w:rPr>
                                                        <w:rFonts w:ascii="Times New Roman" w:eastAsia="Times New Roman" w:hAnsi="Times New Roman" w:cs="Times New Roman"/>
                                                        <w:bCs/>
                                                      </w:rPr>
                                                    </w:pPr>
                                                    <w:r w:rsidRPr="00F105ED">
                                                      <w:rPr>
                                                        <w:rFonts w:ascii="Times New Roman" w:eastAsia="Times New Roman" w:hAnsi="Times New Roman" w:cs="Times New Roman"/>
                                                        <w:b/>
                                                        <w:bCs/>
                                                      </w:rPr>
                                                      <w:t xml:space="preserve"> </w:t>
                                                    </w:r>
                                                    <w:r w:rsidRPr="00F105ED">
                                                      <w:rPr>
                                                        <w:rFonts w:ascii="Times New Roman" w:eastAsia="Times New Roman" w:hAnsi="Times New Roman" w:cs="Times New Roman"/>
                                                        <w:b/>
                                                      </w:rPr>
                                                      <w:t>Chapter 6</w:t>
                                                    </w:r>
                                                  </w:p>
                                                </w:txbxContent>
                                              </v:textbox>
                                            </v:shape>
                                          </v:group>
                                        </v:group>
                                      </v:group>
                                    </v:group>
                                  </v:group>
                                </v:group>
                                <v:shape id="Straight Arrow Connector 329" o:spid="_x0000_s1063" type="#_x0000_t32" style="position:absolute;left:24479;top:7492;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" strokecolor="windowText" strokeweight="3pt">
                                  <v:stroke endarrow="block" joinstyle="miter"/>
                                </v:shape>
                              </v:group>
                              <v:shape id="Straight Arrow Connector 330" o:spid="_x0000_s1064" type="#_x0000_t32" style="position:absolute;left:24474;top:28075;width:0;height:3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" strokecolor="windowText" strokeweight="3pt">
                                <v:stroke endarrow="block" joinstyle="miter"/>
                              </v:shape>
                            </v:group>
                          </v:group>
                        </v:group>
                      </v:group>
                      <v:shape id="Straight Arrow Connector 332" o:spid="_x0000_s1065" type="#_x0000_t32" style="position:absolute;left:24227;top:54834;width:19264;height:39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" strokecolor="windowText" strokeweight="3pt">
                        <v:stroke endarrow="block" joinstyle="miter"/>
                      </v:shape>
                      <v:shape id="Straight Arrow Connector 333" o:spid="_x0000_s1066" type="#_x0000_t32" style="position:absolute;left:7853;top:54834;width:16374;height:35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" strokecolor="windowText" strokeweight="3pt">
                        <v:stroke endarrow="block" joinstyle="miter"/>
                      </v:shape>
                    </v:group>
                    <v:shape id="Straight Arrow Connector 30" o:spid="_x0000_s1067" type="#_x0000_t32" style="position:absolute;left:1028;top:25064;width:191;height:37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" strokecolor="#c00000" strokeweight="2.25pt">
                      <v:stroke dashstyle="dashDot" joinstyle="miter"/>
                    </v:shape>
                    <v:shape id="Straight Arrow Connector 39" o:spid="_x0000_s1068" type="#_x0000_t32" style="position:absolute;left:1238;top:25068;width:17335;height: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" strokecolor="#c00000" strokeweight="2.25pt">
                      <v:stroke dashstyle="dashDot" endarrow="open" joinstyle="miter"/>
                    </v:shape>
                  </v:group>
                  <v:shape id="Straight Arrow Connector 337" o:spid="_x0000_s1069" type="#_x0000_t32" style="position:absolute;left:2851;top:62570;width:3448;height:1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" strokecolor="#c00000" strokeweight="2.25pt">
                    <v:stroke dashstyle="dashDot" joinstyle="miter"/>
                  </v:shape>
                </v:group>
                <v:rect id="Rectangle 368" o:spid="_x0000_s1070" style="position:absolute;left:5048;top:53340;width:13506;height:6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" filled="f" strokecolor="windowText" strokeweight="1pt"/>
              </v:group>
            </w:pict>
          </mc:Fallback>
        </mc:AlternateContent>
      </w:r>
      <w:r w:rsidR="00291CE5" w:rsidRPr="00597FFB">
        <w:rPr>
          <w:rFonts w:ascii="Times New Roman" w:eastAsia="Calibri" w:hAnsi="Times New Roman" w:cs="Times New Roman"/>
          <w:b/>
          <w:iCs/>
        </w:rPr>
        <w:t xml:space="preserve">Figure 1. </w:t>
      </w:r>
      <w:bookmarkStart w:id="73" w:name="_Hlk123389774"/>
      <w:r w:rsidR="002F7003" w:rsidRPr="00597FFB">
        <w:rPr>
          <w:rFonts w:ascii="Times New Roman" w:eastAsia="Calibri" w:hAnsi="Times New Roman" w:cs="Times New Roman"/>
          <w:bCs/>
          <w:i/>
        </w:rPr>
        <w:t>Research Process</w:t>
      </w:r>
      <w:bookmarkEnd w:id="73"/>
    </w:p>
    <w:p w14:paraId="772DE58E" w14:textId="7089246E" w:rsidR="00291CE5" w:rsidRPr="00597FFB" w:rsidRDefault="00291CE5" w:rsidP="00291CE5">
      <w:pPr>
        <w:spacing w:before="26" w:after="26" w:line="480" w:lineRule="auto"/>
        <w:ind w:left="1080"/>
        <w:contextualSpacing/>
        <w:rPr>
          <w:rFonts w:ascii="Times New Roman" w:eastAsia="Calibri" w:hAnsi="Times New Roman" w:cs="Times New Roman"/>
          <w:b/>
          <w:bCs/>
          <w:iCs/>
          <w:sz w:val="24"/>
          <w:szCs w:val="24"/>
        </w:rPr>
      </w:pPr>
    </w:p>
    <w:p w14:paraId="36CC781D"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5D28D05E"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01CE8C34"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6BE56980"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5B0D3FB3"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26518BAC"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21681091"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30503E4D"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1172EF96"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015DF848" w14:textId="77777777" w:rsidR="00291CE5" w:rsidRPr="00597FFB" w:rsidRDefault="00291CE5" w:rsidP="00291CE5">
      <w:pPr>
        <w:spacing w:before="26" w:after="26" w:line="480" w:lineRule="auto"/>
        <w:ind w:left="360"/>
        <w:contextualSpacing/>
        <w:rPr>
          <w:rFonts w:ascii="Times New Roman" w:eastAsia="Calibri" w:hAnsi="Times New Roman" w:cs="Times New Roman"/>
          <w:b/>
          <w:bCs/>
          <w:iCs/>
          <w:sz w:val="24"/>
          <w:szCs w:val="24"/>
        </w:rPr>
      </w:pPr>
    </w:p>
    <w:p w14:paraId="0D0A8AC5" w14:textId="77777777" w:rsidR="00291CE5" w:rsidRPr="00597FFB" w:rsidRDefault="00291CE5" w:rsidP="00291CE5">
      <w:pPr>
        <w:spacing w:before="26" w:after="26" w:line="480" w:lineRule="auto"/>
        <w:rPr>
          <w:rFonts w:ascii="Times New Roman" w:eastAsia="Times New Roman" w:hAnsi="Times New Roman" w:cs="Times New Roman"/>
          <w:bCs/>
          <w:sz w:val="24"/>
          <w:szCs w:val="24"/>
        </w:rPr>
      </w:pPr>
    </w:p>
    <w:p w14:paraId="687A6C46" w14:textId="534B9FF8" w:rsidR="00291CE5" w:rsidRPr="00597FFB" w:rsidRDefault="00291CE5" w:rsidP="00291CE5">
      <w:pPr>
        <w:spacing w:before="26" w:after="26" w:line="480" w:lineRule="auto"/>
        <w:rPr>
          <w:rFonts w:ascii="Times New Roman" w:eastAsia="Times New Roman" w:hAnsi="Times New Roman" w:cs="Times New Roman"/>
          <w:bCs/>
          <w:sz w:val="24"/>
          <w:szCs w:val="24"/>
        </w:rPr>
      </w:pPr>
    </w:p>
    <w:p w14:paraId="1744C31D" w14:textId="425F72D8" w:rsidR="00AB0E84" w:rsidRPr="00597FFB" w:rsidRDefault="00AB0E84" w:rsidP="00291CE5">
      <w:pPr>
        <w:spacing w:before="26" w:after="26" w:line="480" w:lineRule="auto"/>
        <w:rPr>
          <w:rFonts w:ascii="Times New Roman" w:eastAsia="Times New Roman" w:hAnsi="Times New Roman" w:cs="Times New Roman"/>
          <w:bCs/>
          <w:sz w:val="24"/>
          <w:szCs w:val="24"/>
        </w:rPr>
      </w:pPr>
    </w:p>
    <w:p w14:paraId="62C59F9C" w14:textId="10B9E26F" w:rsidR="00AB0E84" w:rsidRPr="00597FFB" w:rsidRDefault="00AB0E84" w:rsidP="00291CE5">
      <w:pPr>
        <w:spacing w:before="26" w:after="26" w:line="480" w:lineRule="auto"/>
        <w:rPr>
          <w:rFonts w:ascii="Times New Roman" w:eastAsia="Times New Roman" w:hAnsi="Times New Roman" w:cs="Times New Roman"/>
          <w:bCs/>
          <w:sz w:val="24"/>
          <w:szCs w:val="24"/>
        </w:rPr>
      </w:pPr>
    </w:p>
    <w:p w14:paraId="46307040" w14:textId="4D443A3C" w:rsidR="00AB0E84" w:rsidRPr="00597FFB" w:rsidRDefault="00AB0E84" w:rsidP="00291CE5">
      <w:pPr>
        <w:spacing w:before="26" w:after="26" w:line="480" w:lineRule="auto"/>
        <w:rPr>
          <w:rFonts w:ascii="Times New Roman" w:eastAsia="Times New Roman" w:hAnsi="Times New Roman" w:cs="Times New Roman"/>
          <w:bCs/>
          <w:sz w:val="24"/>
          <w:szCs w:val="24"/>
        </w:rPr>
      </w:pPr>
    </w:p>
    <w:p w14:paraId="571EBC7A" w14:textId="77777777" w:rsidR="00EB3954" w:rsidRPr="00597FFB" w:rsidRDefault="00EB3954" w:rsidP="00DB7797">
      <w:pPr>
        <w:spacing w:before="26" w:after="26" w:line="480" w:lineRule="auto"/>
        <w:jc w:val="both"/>
        <w:rPr>
          <w:rFonts w:ascii="Times New Roman" w:eastAsia="Times New Roman" w:hAnsi="Times New Roman" w:cs="Times New Roman"/>
          <w:bCs/>
          <w:sz w:val="24"/>
          <w:szCs w:val="24"/>
        </w:rPr>
      </w:pPr>
    </w:p>
    <w:p w14:paraId="3C180FCC" w14:textId="77777777" w:rsidR="00745A8D" w:rsidRPr="00597FFB" w:rsidRDefault="00745A8D" w:rsidP="00DB7797">
      <w:pPr>
        <w:spacing w:before="26" w:after="26" w:line="480" w:lineRule="auto"/>
        <w:jc w:val="both"/>
        <w:rPr>
          <w:rFonts w:ascii="Times New Roman" w:eastAsia="Calibri" w:hAnsi="Times New Roman" w:cs="Times New Roman"/>
          <w:bCs/>
          <w:iCs/>
          <w:sz w:val="24"/>
          <w:szCs w:val="24"/>
        </w:rPr>
      </w:pPr>
    </w:p>
    <w:p w14:paraId="3B7113FF" w14:textId="4C465881" w:rsidR="00CD619D" w:rsidRPr="00597FFB" w:rsidRDefault="00CD619D" w:rsidP="00CD619D">
      <w:pPr>
        <w:pStyle w:val="Heading2"/>
        <w:spacing w:line="480" w:lineRule="auto"/>
        <w:rPr>
          <w:rFonts w:asciiTheme="majorBidi" w:hAnsiTheme="majorBidi"/>
          <w:b/>
          <w:bCs/>
          <w:color w:val="000000" w:themeColor="text1"/>
          <w:sz w:val="24"/>
          <w:szCs w:val="24"/>
        </w:rPr>
      </w:pPr>
      <w:bookmarkStart w:id="74" w:name="_Toc127170260"/>
      <w:bookmarkStart w:id="75" w:name="_Hlk57287843"/>
      <w:r w:rsidRPr="00597FFB">
        <w:rPr>
          <w:rFonts w:asciiTheme="majorBidi" w:hAnsiTheme="majorBidi"/>
          <w:b/>
          <w:bCs/>
          <w:color w:val="000000" w:themeColor="text1"/>
          <w:sz w:val="24"/>
          <w:szCs w:val="24"/>
        </w:rPr>
        <w:t>1.9. Organization of the Dissertation</w:t>
      </w:r>
      <w:bookmarkEnd w:id="74"/>
    </w:p>
    <w:p w14:paraId="41A9F2EB" w14:textId="0294636D"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bookmarkStart w:id="76" w:name="_Hlk126046302"/>
      <w:bookmarkEnd w:id="75"/>
      <w:r w:rsidRPr="00597FFB">
        <w:rPr>
          <w:rFonts w:ascii="Times New Roman" w:eastAsia="Calibri" w:hAnsi="Times New Roman" w:cs="Times New Roman"/>
          <w:b/>
          <w:i/>
          <w:sz w:val="24"/>
          <w:szCs w:val="24"/>
        </w:rPr>
        <w:t>Chapter 1</w:t>
      </w:r>
      <w:r w:rsidRPr="00597FFB">
        <w:rPr>
          <w:rFonts w:ascii="Times New Roman" w:eastAsia="Calibri" w:hAnsi="Times New Roman" w:cs="Times New Roman"/>
          <w:bCs/>
          <w:i/>
          <w:sz w:val="24"/>
          <w:szCs w:val="24"/>
        </w:rPr>
        <w:t xml:space="preserve"> –</w:t>
      </w:r>
      <w:r w:rsidR="00CA2676" w:rsidRPr="00597FFB">
        <w:rPr>
          <w:rFonts w:ascii="Times New Roman" w:eastAsia="Calibri" w:hAnsi="Times New Roman" w:cs="Times New Roman"/>
          <w:bCs/>
          <w:i/>
          <w:sz w:val="24"/>
          <w:szCs w:val="24"/>
        </w:rPr>
        <w:t xml:space="preserve"> </w:t>
      </w:r>
      <w:r w:rsidRPr="00597FFB">
        <w:rPr>
          <w:rFonts w:ascii="Times New Roman" w:eastAsia="Calibri" w:hAnsi="Times New Roman" w:cs="Times New Roman"/>
          <w:bCs/>
          <w:i/>
          <w:sz w:val="24"/>
          <w:szCs w:val="24"/>
        </w:rPr>
        <w:t>Introduction.</w:t>
      </w:r>
      <w:r w:rsidRPr="00597FFB">
        <w:rPr>
          <w:rFonts w:ascii="Times New Roman" w:eastAsia="Calibri" w:hAnsi="Times New Roman" w:cs="Times New Roman"/>
          <w:bCs/>
          <w:iCs/>
          <w:sz w:val="24"/>
          <w:szCs w:val="24"/>
        </w:rPr>
        <w:t xml:space="preserve"> The current section introduces the research and the rationale for conducting it. It also provides a brief overview of the structure of the thesis. </w:t>
      </w:r>
    </w:p>
    <w:p w14:paraId="2FD90853" w14:textId="1EFD7A9C"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r w:rsidRPr="00597FFB">
        <w:rPr>
          <w:rFonts w:ascii="Times New Roman" w:eastAsia="Calibri" w:hAnsi="Times New Roman" w:cs="Times New Roman"/>
          <w:b/>
          <w:i/>
          <w:sz w:val="24"/>
          <w:szCs w:val="24"/>
        </w:rPr>
        <w:t>Chapter 2 –</w:t>
      </w:r>
      <w:r w:rsidR="00CA2676" w:rsidRPr="00597FFB">
        <w:rPr>
          <w:rFonts w:ascii="Times New Roman" w:eastAsia="Calibri" w:hAnsi="Times New Roman" w:cs="Times New Roman"/>
          <w:bCs/>
          <w:i/>
          <w:sz w:val="24"/>
          <w:szCs w:val="24"/>
        </w:rPr>
        <w:t xml:space="preserve"> </w:t>
      </w:r>
      <w:r w:rsidRPr="00597FFB">
        <w:rPr>
          <w:rFonts w:ascii="Times New Roman" w:eastAsia="Calibri" w:hAnsi="Times New Roman" w:cs="Times New Roman"/>
          <w:bCs/>
          <w:i/>
          <w:sz w:val="24"/>
          <w:szCs w:val="24"/>
        </w:rPr>
        <w:t>A literature review.</w:t>
      </w:r>
      <w:r w:rsidRPr="00597FFB">
        <w:rPr>
          <w:rFonts w:ascii="Times New Roman" w:eastAsia="Calibri" w:hAnsi="Times New Roman" w:cs="Times New Roman"/>
          <w:bCs/>
          <w:iCs/>
          <w:sz w:val="24"/>
          <w:szCs w:val="24"/>
        </w:rPr>
        <w:t xml:space="preserve"> This section of the thesis examines the current body of knowledge to identify what consumer attitudes are potentially linked to the </w:t>
      </w:r>
      <w:bookmarkStart w:id="77" w:name="_Hlk57128464"/>
      <w:r w:rsidRPr="00597FFB">
        <w:rPr>
          <w:rFonts w:ascii="Times New Roman" w:eastAsia="Calibri" w:hAnsi="Times New Roman" w:cs="Times New Roman"/>
          <w:bCs/>
          <w:iCs/>
          <w:sz w:val="24"/>
          <w:szCs w:val="24"/>
        </w:rPr>
        <w:t>millennial's</w:t>
      </w:r>
      <w:bookmarkEnd w:id="77"/>
      <w:r w:rsidRPr="00597FFB">
        <w:rPr>
          <w:rFonts w:ascii="Times New Roman" w:eastAsia="Calibri" w:hAnsi="Times New Roman" w:cs="Times New Roman"/>
          <w:bCs/>
          <w:iCs/>
          <w:sz w:val="24"/>
          <w:szCs w:val="24"/>
        </w:rPr>
        <w:t xml:space="preserve"> intentions to recycle E-waste.</w:t>
      </w:r>
      <w:r w:rsidR="005B1428" w:rsidRPr="00597FFB">
        <w:rPr>
          <w:rFonts w:ascii="Times New Roman" w:eastAsia="Calibri" w:hAnsi="Times New Roman" w:cs="Times New Roman"/>
          <w:sz w:val="24"/>
          <w:szCs w:val="24"/>
        </w:rPr>
        <w:t xml:space="preserve"> This chapter reviews previous literature about e-waste management and its impacts as well as the behavioral intentions of consumers in general and millennials towards recycling behavior. It is organized into nine sections starting with a brief overview of the circular economy concept with respect to e-waste</w:t>
      </w:r>
      <w:r w:rsidR="00B74A82" w:rsidRPr="00597FFB">
        <w:rPr>
          <w:rFonts w:ascii="Times New Roman" w:eastAsia="Calibri" w:hAnsi="Times New Roman" w:cs="Times New Roman"/>
          <w:sz w:val="24"/>
          <w:szCs w:val="24"/>
        </w:rPr>
        <w:t>.</w:t>
      </w:r>
      <w:r w:rsidRPr="00597FFB">
        <w:rPr>
          <w:rFonts w:ascii="Times New Roman" w:eastAsia="Calibri" w:hAnsi="Times New Roman" w:cs="Times New Roman"/>
          <w:bCs/>
          <w:iCs/>
          <w:sz w:val="24"/>
          <w:szCs w:val="24"/>
        </w:rPr>
        <w:t xml:space="preserve"> It also attempts to identify the underlying factors that may be driving those</w:t>
      </w:r>
      <w:r w:rsidRPr="00597FFB">
        <w:rPr>
          <w:rFonts w:ascii="Calibri" w:eastAsia="Calibri" w:hAnsi="Calibri" w:cs="Arial"/>
        </w:rPr>
        <w:t xml:space="preserve"> </w:t>
      </w:r>
      <w:r w:rsidRPr="00597FFB">
        <w:rPr>
          <w:rFonts w:ascii="Times New Roman" w:eastAsia="Calibri" w:hAnsi="Times New Roman" w:cs="Times New Roman"/>
          <w:bCs/>
          <w:iCs/>
          <w:sz w:val="24"/>
          <w:szCs w:val="24"/>
        </w:rPr>
        <w:t>millennials' attitudes. Using this information, a model is developed that attempts to explain these relationships.</w:t>
      </w:r>
    </w:p>
    <w:p w14:paraId="342121A8" w14:textId="216553CD" w:rsidR="00CB07D0" w:rsidRPr="00597FFB" w:rsidRDefault="00CB07D0" w:rsidP="00CA2676">
      <w:pPr>
        <w:spacing w:before="26" w:after="26" w:line="480" w:lineRule="auto"/>
        <w:ind w:firstLine="720"/>
        <w:jc w:val="both"/>
        <w:rPr>
          <w:rFonts w:ascii="Times New Roman" w:eastAsia="Calibri" w:hAnsi="Times New Roman" w:cs="Times New Roman"/>
          <w:bCs/>
          <w:iCs/>
          <w:color w:val="FF0000"/>
          <w:sz w:val="24"/>
          <w:szCs w:val="24"/>
        </w:rPr>
      </w:pPr>
      <w:r w:rsidRPr="00597FFB">
        <w:rPr>
          <w:rFonts w:ascii="Times New Roman" w:eastAsia="Calibri" w:hAnsi="Times New Roman" w:cs="Times New Roman"/>
          <w:b/>
          <w:i/>
          <w:sz w:val="24"/>
          <w:szCs w:val="24"/>
        </w:rPr>
        <w:t>Chapter 3</w:t>
      </w:r>
      <w:r w:rsidR="00CA2676" w:rsidRPr="00597FFB">
        <w:rPr>
          <w:rFonts w:ascii="Times New Roman" w:eastAsia="Calibri" w:hAnsi="Times New Roman" w:cs="Times New Roman"/>
          <w:b/>
          <w:i/>
          <w:sz w:val="24"/>
          <w:szCs w:val="24"/>
        </w:rPr>
        <w:t xml:space="preserve"> </w:t>
      </w:r>
      <w:r w:rsidRPr="00597FFB">
        <w:rPr>
          <w:rFonts w:ascii="Times New Roman" w:eastAsia="Calibri" w:hAnsi="Times New Roman" w:cs="Times New Roman"/>
          <w:bCs/>
          <w:i/>
          <w:sz w:val="24"/>
          <w:szCs w:val="24"/>
        </w:rPr>
        <w:t xml:space="preserve">– </w:t>
      </w:r>
      <w:r w:rsidR="00CA2676" w:rsidRPr="00597FFB">
        <w:rPr>
          <w:rFonts w:ascii="Times New Roman" w:eastAsia="Calibri" w:hAnsi="Times New Roman" w:cs="Times New Roman"/>
          <w:bCs/>
          <w:i/>
          <w:sz w:val="24"/>
          <w:szCs w:val="24"/>
        </w:rPr>
        <w:t>Theoretical framework.</w:t>
      </w:r>
      <w:r w:rsidR="00CA2676" w:rsidRPr="00597FFB">
        <w:rPr>
          <w:rFonts w:ascii="Times New Roman" w:eastAsia="Calibri" w:hAnsi="Times New Roman" w:cs="Times New Roman"/>
          <w:bCs/>
          <w:iCs/>
          <w:sz w:val="24"/>
          <w:szCs w:val="24"/>
        </w:rPr>
        <w:t xml:space="preserve"> </w:t>
      </w:r>
      <w:r w:rsidR="00CD36DB" w:rsidRPr="00597FFB">
        <w:rPr>
          <w:rFonts w:ascii="Times New Roman" w:eastAsia="Times New Roman" w:hAnsi="Times New Roman" w:cs="Times New Roman"/>
          <w:bCs/>
        </w:rPr>
        <w:t xml:space="preserve">This chapter contains five major sections with section providing </w:t>
      </w:r>
      <w:r w:rsidR="00CD36DB" w:rsidRPr="00597FFB">
        <w:rPr>
          <w:rFonts w:ascii="Times New Roman" w:eastAsia="Times New Roman" w:hAnsi="Times New Roman" w:cs="Times New Roman"/>
          <w:bCs/>
          <w:color w:val="000000" w:themeColor="text1"/>
        </w:rPr>
        <w:t>a brief review of the theories of consumer behavior intention and pro-environmental behavior. In subsection</w:t>
      </w:r>
      <w:r w:rsidR="007F59F4" w:rsidRPr="00597FFB">
        <w:rPr>
          <w:rFonts w:ascii="Times New Roman" w:eastAsia="Times New Roman" w:hAnsi="Times New Roman" w:cs="Times New Roman"/>
          <w:bCs/>
          <w:color w:val="000000" w:themeColor="text1"/>
        </w:rPr>
        <w:t>s:</w:t>
      </w:r>
      <w:r w:rsidR="00CD36DB" w:rsidRPr="00597FFB">
        <w:rPr>
          <w:rFonts w:ascii="Times New Roman" w:eastAsia="Times New Roman" w:hAnsi="Times New Roman" w:cs="Times New Roman"/>
          <w:bCs/>
          <w:color w:val="000000" w:themeColor="text1"/>
        </w:rPr>
        <w:t xml:space="preserve"> the application of the TPB in the prediction of consumer behavioral intention toward e-waste recycling is discussed</w:t>
      </w:r>
      <w:r w:rsidR="007F59F4" w:rsidRPr="00597FFB">
        <w:rPr>
          <w:rFonts w:ascii="Times New Roman" w:eastAsia="Times New Roman" w:hAnsi="Times New Roman" w:cs="Times New Roman"/>
          <w:bCs/>
          <w:color w:val="000000" w:themeColor="text1"/>
        </w:rPr>
        <w:t>,</w:t>
      </w:r>
      <w:r w:rsidR="00CD36DB" w:rsidRPr="00597FFB">
        <w:rPr>
          <w:rFonts w:ascii="Times New Roman" w:eastAsia="Times New Roman" w:hAnsi="Times New Roman" w:cs="Times New Roman"/>
          <w:bCs/>
          <w:color w:val="000000" w:themeColor="text1"/>
        </w:rPr>
        <w:t xml:space="preserve"> discussion of the Norm Activation </w:t>
      </w:r>
      <w:r w:rsidR="00DB40A5" w:rsidRPr="00597FFB">
        <w:rPr>
          <w:rFonts w:ascii="Times New Roman" w:eastAsia="Times New Roman" w:hAnsi="Times New Roman" w:cs="Times New Roman"/>
          <w:bCs/>
          <w:color w:val="000000" w:themeColor="text1"/>
        </w:rPr>
        <w:t>T</w:t>
      </w:r>
      <w:r w:rsidR="00CD36DB" w:rsidRPr="00597FFB">
        <w:rPr>
          <w:rFonts w:ascii="Times New Roman" w:eastAsia="Times New Roman" w:hAnsi="Times New Roman" w:cs="Times New Roman"/>
          <w:bCs/>
          <w:color w:val="000000" w:themeColor="text1"/>
        </w:rPr>
        <w:t>heory (NAT) within the context of consumer e-waste recycling behavior</w:t>
      </w:r>
      <w:r w:rsidR="00DB40A5" w:rsidRPr="00597FFB">
        <w:rPr>
          <w:rFonts w:ascii="Times New Roman" w:eastAsia="Times New Roman" w:hAnsi="Times New Roman" w:cs="Times New Roman"/>
          <w:bCs/>
          <w:color w:val="000000" w:themeColor="text1"/>
        </w:rPr>
        <w:t>, and</w:t>
      </w:r>
      <w:r w:rsidR="00CD36DB" w:rsidRPr="00597FFB">
        <w:rPr>
          <w:rFonts w:ascii="Times New Roman" w:eastAsia="Times New Roman" w:hAnsi="Times New Roman" w:cs="Times New Roman"/>
          <w:bCs/>
          <w:color w:val="000000" w:themeColor="text1"/>
        </w:rPr>
        <w:t xml:space="preserve"> </w:t>
      </w:r>
      <w:r w:rsidR="00DB40A5" w:rsidRPr="00597FFB">
        <w:rPr>
          <w:rFonts w:ascii="Times New Roman" w:eastAsia="Times New Roman" w:hAnsi="Times New Roman" w:cs="Times New Roman"/>
          <w:bCs/>
          <w:color w:val="000000" w:themeColor="text1"/>
        </w:rPr>
        <w:t>t</w:t>
      </w:r>
      <w:r w:rsidR="00CD36DB" w:rsidRPr="00597FFB">
        <w:rPr>
          <w:rFonts w:ascii="Times New Roman" w:eastAsia="Times New Roman" w:hAnsi="Times New Roman" w:cs="Times New Roman"/>
          <w:bCs/>
          <w:color w:val="000000" w:themeColor="text1"/>
        </w:rPr>
        <w:t xml:space="preserve">he review of the Protection Motivation Theory (PMT) along with its extension using factors from other theories including the TPB and the NAT. </w:t>
      </w:r>
      <w:r w:rsidR="002E7AFC" w:rsidRPr="00597FFB">
        <w:rPr>
          <w:rFonts w:ascii="Times New Roman" w:eastAsia="Times New Roman" w:hAnsi="Times New Roman" w:cs="Times New Roman"/>
          <w:bCs/>
          <w:color w:val="000000" w:themeColor="text1"/>
        </w:rPr>
        <w:t>In addition, t</w:t>
      </w:r>
      <w:r w:rsidR="00CD36DB" w:rsidRPr="00597FFB">
        <w:rPr>
          <w:rFonts w:ascii="Times New Roman" w:eastAsia="Times New Roman" w:hAnsi="Times New Roman" w:cs="Times New Roman"/>
          <w:bCs/>
          <w:color w:val="000000" w:themeColor="text1"/>
        </w:rPr>
        <w:t xml:space="preserve">he other factors included from different theories are stimulus that influence behavioral intention and behavior directly or indirectly to aid in the development of the extended TPB framework for this research. </w:t>
      </w:r>
    </w:p>
    <w:p w14:paraId="76150B23" w14:textId="77777777"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r w:rsidRPr="00597FFB">
        <w:rPr>
          <w:rFonts w:ascii="Times New Roman" w:eastAsia="Calibri" w:hAnsi="Times New Roman" w:cs="Times New Roman"/>
          <w:b/>
          <w:i/>
          <w:sz w:val="24"/>
          <w:szCs w:val="24"/>
        </w:rPr>
        <w:t>Chapter 4 –</w:t>
      </w:r>
      <w:r w:rsidRPr="00597FFB">
        <w:rPr>
          <w:rFonts w:ascii="Times New Roman" w:eastAsia="Calibri" w:hAnsi="Times New Roman" w:cs="Times New Roman"/>
          <w:bCs/>
          <w:i/>
          <w:sz w:val="24"/>
          <w:szCs w:val="24"/>
        </w:rPr>
        <w:t xml:space="preserve"> Method</w:t>
      </w:r>
      <w:r w:rsidRPr="00597FFB">
        <w:rPr>
          <w:rFonts w:ascii="Times New Roman" w:eastAsia="Calibri" w:hAnsi="Times New Roman" w:cs="Times New Roman"/>
          <w:b/>
          <w:iCs/>
          <w:sz w:val="24"/>
          <w:szCs w:val="24"/>
        </w:rPr>
        <w:t>.</w:t>
      </w:r>
      <w:r w:rsidRPr="00597FFB">
        <w:rPr>
          <w:rFonts w:ascii="Times New Roman" w:eastAsia="Calibri" w:hAnsi="Times New Roman" w:cs="Times New Roman"/>
          <w:bCs/>
          <w:iCs/>
          <w:sz w:val="24"/>
          <w:szCs w:val="24"/>
        </w:rPr>
        <w:t xml:space="preserve"> Chapter 4 examines the underlying theory adopted for this research and how it forms the basis of the repertory grid (rep grid) and laddering interview techniques used in this research. The chapter explains how these methods work together and how the rep grid method uses determinants influencing millennials' intentions to recycle E-waste.  The various methods of analysis used in the research are also described, and finally, a diagrammatic summary of the interview techniques and analysis methods is provided. </w:t>
      </w:r>
    </w:p>
    <w:p w14:paraId="20592724" w14:textId="17BC2436"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r w:rsidRPr="00597FFB">
        <w:rPr>
          <w:rFonts w:ascii="Times New Roman" w:eastAsia="Calibri" w:hAnsi="Times New Roman" w:cs="Times New Roman"/>
          <w:bCs/>
          <w:iCs/>
          <w:sz w:val="24"/>
          <w:szCs w:val="24"/>
        </w:rPr>
        <w:t xml:space="preserve"> </w:t>
      </w:r>
      <w:r w:rsidRPr="00597FFB">
        <w:rPr>
          <w:rFonts w:ascii="Times New Roman" w:eastAsia="Calibri" w:hAnsi="Times New Roman" w:cs="Times New Roman"/>
          <w:b/>
          <w:i/>
          <w:sz w:val="24"/>
          <w:szCs w:val="24"/>
        </w:rPr>
        <w:t>Chapter 5 –</w:t>
      </w:r>
      <w:r w:rsidRPr="00597FFB">
        <w:rPr>
          <w:rFonts w:ascii="Times New Roman" w:eastAsia="Calibri" w:hAnsi="Times New Roman" w:cs="Times New Roman"/>
          <w:bCs/>
          <w:i/>
          <w:sz w:val="24"/>
          <w:szCs w:val="24"/>
        </w:rPr>
        <w:t xml:space="preserve"> Results</w:t>
      </w:r>
      <w:r w:rsidR="00E77AD8" w:rsidRPr="00597FFB">
        <w:rPr>
          <w:rFonts w:ascii="Times New Roman" w:eastAsia="Calibri" w:hAnsi="Times New Roman" w:cs="Times New Roman"/>
          <w:bCs/>
          <w:i/>
          <w:sz w:val="24"/>
          <w:szCs w:val="24"/>
        </w:rPr>
        <w:t xml:space="preserve"> and Discussion</w:t>
      </w:r>
      <w:r w:rsidRPr="00597FFB">
        <w:rPr>
          <w:rFonts w:ascii="Times New Roman" w:eastAsia="Calibri" w:hAnsi="Times New Roman" w:cs="Times New Roman"/>
          <w:b/>
          <w:iCs/>
          <w:sz w:val="24"/>
          <w:szCs w:val="24"/>
        </w:rPr>
        <w:t>.</w:t>
      </w:r>
      <w:r w:rsidRPr="00597FFB">
        <w:rPr>
          <w:rFonts w:ascii="Times New Roman" w:eastAsia="Calibri" w:hAnsi="Times New Roman" w:cs="Times New Roman"/>
          <w:bCs/>
          <w:iCs/>
          <w:sz w:val="24"/>
          <w:szCs w:val="24"/>
        </w:rPr>
        <w:t xml:space="preserve"> In chapter 5, the results of the research are discussed for a group of millennials. For this part of the analysis, the first part of demographic information is also included to give a sense of how millennials' backgrounds may affect their views. The other part of the analysis section explores the results from the millennials' perspective. It attempts to contrast each participant's results to identify similarities and differences based on their responses. It presents the uses of those results to describe how adjustments were made to the original model, developed during the literature review. It also attempts to identify the relative importance of each of the factors and attitudes presented in the model. At the end of the section, a summary is provided containing both the millennials' demographic information and a summary of the crucial areas that emerged from the analysis.  </w:t>
      </w:r>
    </w:p>
    <w:p w14:paraId="173F5970" w14:textId="423CA43B"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r w:rsidRPr="00597FFB">
        <w:rPr>
          <w:rFonts w:ascii="Times New Roman" w:eastAsia="Calibri" w:hAnsi="Times New Roman" w:cs="Times New Roman"/>
          <w:bCs/>
          <w:iCs/>
          <w:sz w:val="24"/>
          <w:szCs w:val="24"/>
        </w:rPr>
        <w:t xml:space="preserve">In the discussion, the results' implications are discussed with direct reference to both the model's factors and attitudes. It compares the results to other studies and attempts to draw parallels with other researcher's work. Finally, it attempts to discuss how the model fails to account for other potential factors and how those factors may affect the model presented.   </w:t>
      </w:r>
    </w:p>
    <w:p w14:paraId="7456CA7E" w14:textId="77777777" w:rsidR="00CB07D0" w:rsidRPr="00597FFB" w:rsidRDefault="00CB07D0" w:rsidP="00CB07D0">
      <w:pPr>
        <w:spacing w:before="26" w:after="26" w:line="480" w:lineRule="auto"/>
        <w:ind w:firstLine="720"/>
        <w:jc w:val="both"/>
        <w:rPr>
          <w:rFonts w:ascii="Times New Roman" w:eastAsia="Calibri" w:hAnsi="Times New Roman" w:cs="Times New Roman"/>
          <w:bCs/>
          <w:iCs/>
          <w:sz w:val="24"/>
          <w:szCs w:val="24"/>
        </w:rPr>
      </w:pPr>
      <w:r w:rsidRPr="00597FFB">
        <w:rPr>
          <w:rFonts w:ascii="Times New Roman" w:eastAsia="Calibri" w:hAnsi="Times New Roman" w:cs="Times New Roman"/>
          <w:b/>
          <w:i/>
          <w:sz w:val="24"/>
          <w:szCs w:val="24"/>
        </w:rPr>
        <w:t>Chapter 6 –</w:t>
      </w:r>
      <w:r w:rsidRPr="00597FFB">
        <w:rPr>
          <w:rFonts w:ascii="Times New Roman" w:eastAsia="Calibri" w:hAnsi="Times New Roman" w:cs="Times New Roman"/>
          <w:bCs/>
          <w:i/>
          <w:sz w:val="24"/>
          <w:szCs w:val="24"/>
        </w:rPr>
        <w:t xml:space="preserve"> Conclusion.</w:t>
      </w:r>
      <w:r w:rsidRPr="00597FFB">
        <w:rPr>
          <w:rFonts w:ascii="Times New Roman" w:eastAsia="Calibri" w:hAnsi="Times New Roman" w:cs="Times New Roman"/>
          <w:bCs/>
          <w:iCs/>
          <w:sz w:val="24"/>
          <w:szCs w:val="24"/>
        </w:rPr>
        <w:t xml:space="preserve"> In this section, conclusions are drawn, and the implications for both theory and practice are discussed. The limitations of the research are also presented, along with potential areas of exploration for future research.</w:t>
      </w:r>
    </w:p>
    <w:p w14:paraId="45FCBA92" w14:textId="270F94A4" w:rsidR="00703A7E" w:rsidRPr="00597FFB" w:rsidRDefault="002F7003" w:rsidP="00F14236">
      <w:pPr>
        <w:pStyle w:val="Heading2"/>
        <w:spacing w:line="480" w:lineRule="auto"/>
        <w:rPr>
          <w:rFonts w:asciiTheme="majorBidi" w:hAnsiTheme="majorBidi"/>
          <w:b/>
          <w:bCs/>
          <w:color w:val="000000" w:themeColor="text1"/>
          <w:sz w:val="24"/>
          <w:szCs w:val="24"/>
        </w:rPr>
      </w:pPr>
      <w:bookmarkStart w:id="78" w:name="_Toc127170261"/>
      <w:r w:rsidRPr="00597FFB">
        <w:rPr>
          <w:rFonts w:asciiTheme="majorBidi" w:hAnsiTheme="majorBidi"/>
          <w:b/>
          <w:bCs/>
          <w:color w:val="000000" w:themeColor="text1"/>
          <w:sz w:val="24"/>
          <w:szCs w:val="24"/>
        </w:rPr>
        <w:t>1.</w:t>
      </w:r>
      <w:r w:rsidR="00CD619D" w:rsidRPr="00597FFB">
        <w:rPr>
          <w:rFonts w:asciiTheme="majorBidi" w:hAnsiTheme="majorBidi"/>
          <w:b/>
          <w:bCs/>
          <w:color w:val="000000" w:themeColor="text1"/>
          <w:sz w:val="24"/>
          <w:szCs w:val="24"/>
        </w:rPr>
        <w:t>10</w:t>
      </w:r>
      <w:r w:rsidRPr="00597FFB">
        <w:rPr>
          <w:rFonts w:asciiTheme="majorBidi" w:hAnsiTheme="majorBidi"/>
          <w:b/>
          <w:bCs/>
          <w:color w:val="000000" w:themeColor="text1"/>
          <w:sz w:val="24"/>
          <w:szCs w:val="24"/>
        </w:rPr>
        <w:t xml:space="preserve">. Assumptions, Limitations, </w:t>
      </w:r>
      <w:r w:rsidR="00FC7FF9">
        <w:rPr>
          <w:rFonts w:asciiTheme="majorBidi" w:hAnsiTheme="majorBidi"/>
          <w:b/>
          <w:bCs/>
          <w:color w:val="000000" w:themeColor="text1"/>
          <w:sz w:val="24"/>
          <w:szCs w:val="24"/>
        </w:rPr>
        <w:t xml:space="preserve">and </w:t>
      </w:r>
      <w:r w:rsidRPr="00597FFB">
        <w:rPr>
          <w:rFonts w:asciiTheme="majorBidi" w:hAnsiTheme="majorBidi"/>
          <w:b/>
          <w:bCs/>
          <w:color w:val="000000" w:themeColor="text1"/>
          <w:sz w:val="24"/>
          <w:szCs w:val="24"/>
        </w:rPr>
        <w:t>Delimitations</w:t>
      </w:r>
      <w:r w:rsidR="007D28AC" w:rsidRPr="00597FFB">
        <w:rPr>
          <w:rFonts w:asciiTheme="majorBidi" w:hAnsiTheme="majorBidi"/>
          <w:b/>
          <w:bCs/>
          <w:color w:val="000000" w:themeColor="text1"/>
          <w:sz w:val="24"/>
          <w:szCs w:val="24"/>
        </w:rPr>
        <w:t>.</w:t>
      </w:r>
      <w:bookmarkEnd w:id="78"/>
    </w:p>
    <w:bookmarkEnd w:id="76"/>
    <w:p w14:paraId="0AE7E032" w14:textId="1BD27C04" w:rsidR="00697B00" w:rsidRPr="00597FFB" w:rsidRDefault="00697B00" w:rsidP="00A558FE">
      <w:pPr>
        <w:spacing w:before="26" w:after="26" w:line="480" w:lineRule="auto"/>
        <w:ind w:firstLine="720"/>
        <w:rPr>
          <w:rFonts w:ascii="Times New Roman" w:eastAsia="Calibri" w:hAnsi="Times New Roman" w:cs="Times New Roman"/>
          <w:bCs/>
          <w:iCs/>
          <w:color w:val="000000"/>
          <w:sz w:val="24"/>
          <w:szCs w:val="24"/>
        </w:rPr>
      </w:pPr>
      <w:r w:rsidRPr="00597FFB">
        <w:rPr>
          <w:rFonts w:ascii="Times New Roman" w:eastAsia="Calibri" w:hAnsi="Times New Roman" w:cs="Times New Roman"/>
          <w:bCs/>
          <w:iCs/>
          <w:color w:val="000000"/>
          <w:sz w:val="24"/>
          <w:szCs w:val="24"/>
        </w:rPr>
        <w:t>Assumptions are out of a researcher’s control, and without them, a study may be</w:t>
      </w:r>
      <w:r w:rsidR="00EB3954" w:rsidRPr="00597FFB">
        <w:rPr>
          <w:rFonts w:ascii="Times New Roman" w:eastAsia="Calibri" w:hAnsi="Times New Roman" w:cs="Times New Roman"/>
          <w:bCs/>
          <w:iCs/>
          <w:color w:val="000000"/>
          <w:sz w:val="24"/>
          <w:szCs w:val="24"/>
        </w:rPr>
        <w:t xml:space="preserve"> </w:t>
      </w:r>
      <w:r w:rsidRPr="00597FFB">
        <w:rPr>
          <w:rFonts w:ascii="Times New Roman" w:eastAsia="Calibri" w:hAnsi="Times New Roman" w:cs="Times New Roman"/>
          <w:bCs/>
          <w:iCs/>
          <w:color w:val="000000"/>
          <w:sz w:val="24"/>
          <w:szCs w:val="24"/>
        </w:rPr>
        <w:t>irrelevant. Limitations are potential obstacles that are not under the control of a researcher, and delimitations are characteristics that limit the extent and define the boundaries of a study. The assumptions, limitations, and delimitations of the current study are explained below:</w:t>
      </w:r>
    </w:p>
    <w:p w14:paraId="7C9087D2" w14:textId="6DA38474" w:rsidR="00697B00"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
          <w:color w:val="000000"/>
          <w:sz w:val="24"/>
          <w:szCs w:val="24"/>
        </w:rPr>
        <w:t>Assumptions.</w:t>
      </w:r>
      <w:r w:rsidRPr="00597FFB">
        <w:rPr>
          <w:rFonts w:ascii="Times New Roman" w:eastAsia="Calibri" w:hAnsi="Times New Roman" w:cs="Times New Roman"/>
          <w:bCs/>
          <w:iCs/>
          <w:color w:val="000000"/>
          <w:sz w:val="24"/>
          <w:szCs w:val="24"/>
        </w:rPr>
        <w:t xml:space="preserve"> Assumptions are out of a researcher’s control, and without them, </w:t>
      </w:r>
      <w:r w:rsidR="00CC6595" w:rsidRPr="00597FFB">
        <w:rPr>
          <w:rFonts w:ascii="Times New Roman" w:eastAsia="Calibri" w:hAnsi="Times New Roman" w:cs="Times New Roman"/>
          <w:bCs/>
          <w:iCs/>
          <w:color w:val="000000"/>
          <w:sz w:val="24"/>
          <w:szCs w:val="24"/>
        </w:rPr>
        <w:t>a study</w:t>
      </w:r>
      <w:r w:rsidRPr="00597FFB">
        <w:rPr>
          <w:rFonts w:ascii="Times New Roman" w:eastAsia="Calibri" w:hAnsi="Times New Roman" w:cs="Times New Roman"/>
          <w:bCs/>
          <w:iCs/>
          <w:color w:val="000000"/>
          <w:sz w:val="24"/>
          <w:szCs w:val="24"/>
        </w:rPr>
        <w:t xml:space="preserve"> may be irrelevant </w:t>
      </w:r>
      <w:r w:rsidR="00DB7797" w:rsidRPr="00597FFB">
        <w:rPr>
          <w:rFonts w:ascii="Times New Roman" w:eastAsia="Calibri" w:hAnsi="Times New Roman" w:cs="Times New Roman"/>
          <w:bCs/>
          <w:iCs/>
          <w:color w:val="000000"/>
          <w:sz w:val="24"/>
          <w:szCs w:val="24"/>
        </w:rPr>
        <w:fldChar w:fldCharType="begin"/>
      </w:r>
      <w:r w:rsidR="00A51F62" w:rsidRPr="00597FFB">
        <w:rPr>
          <w:rFonts w:ascii="Times New Roman" w:eastAsia="Calibri" w:hAnsi="Times New Roman" w:cs="Times New Roman"/>
          <w:bCs/>
          <w:iCs/>
          <w:color w:val="000000"/>
          <w:sz w:val="24"/>
          <w:szCs w:val="24"/>
        </w:rPr>
        <w:instrText xml:space="preserve"> ADDIN ZOTERO_ITEM CSL_CITATION {"citationID":"a7so0cjmeh","properties":{"formattedCitation":"(Alao et al., 2020a)","plainCitation":"(Alao et al., 2020a)","noteIndex":0},"citationItems":[{"id":2898,"uris":["http://zotero.org/users/local/b6CRLSJH/items/VZDVDK4L"],"itemData":{"id":2898,"type":"article-journal","abstract":"Selection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00DB7797" w:rsidRPr="00597FFB">
        <w:rPr>
          <w:rFonts w:ascii="Times New Roman" w:eastAsia="Calibri" w:hAnsi="Times New Roman" w:cs="Times New Roman"/>
          <w:bCs/>
          <w:iCs/>
          <w:color w:val="000000"/>
          <w:sz w:val="24"/>
          <w:szCs w:val="24"/>
        </w:rPr>
        <w:fldChar w:fldCharType="separate"/>
      </w:r>
      <w:r w:rsidR="00A51F62" w:rsidRPr="00597FFB">
        <w:rPr>
          <w:rFonts w:ascii="Times New Roman" w:hAnsi="Times New Roman" w:cs="Times New Roman"/>
          <w:sz w:val="24"/>
          <w:szCs w:val="24"/>
        </w:rPr>
        <w:t>(Alao et al., 2020a)</w:t>
      </w:r>
      <w:r w:rsidR="00DB7797" w:rsidRPr="00597FFB">
        <w:rPr>
          <w:rFonts w:ascii="Times New Roman" w:eastAsia="Calibri" w:hAnsi="Times New Roman" w:cs="Times New Roman"/>
          <w:bCs/>
          <w:iCs/>
          <w:color w:val="000000"/>
          <w:sz w:val="24"/>
          <w:szCs w:val="24"/>
        </w:rPr>
        <w:fldChar w:fldCharType="end"/>
      </w:r>
      <w:r w:rsidR="00A51F62" w:rsidRPr="00597FFB">
        <w:rPr>
          <w:rFonts w:ascii="Times New Roman" w:eastAsia="Calibri" w:hAnsi="Times New Roman" w:cs="Times New Roman"/>
          <w:bCs/>
          <w:iCs/>
          <w:color w:val="000000"/>
          <w:sz w:val="24"/>
          <w:szCs w:val="24"/>
        </w:rPr>
        <w:t xml:space="preserve">. </w:t>
      </w:r>
      <w:r w:rsidRPr="00597FFB">
        <w:rPr>
          <w:rFonts w:ascii="Times New Roman" w:eastAsia="Calibri" w:hAnsi="Times New Roman" w:cs="Times New Roman"/>
          <w:bCs/>
          <w:iCs/>
          <w:color w:val="000000"/>
          <w:sz w:val="24"/>
          <w:szCs w:val="24"/>
        </w:rPr>
        <w:t>Following were some assumptions for the current study:</w:t>
      </w:r>
    </w:p>
    <w:p w14:paraId="4FB78331" w14:textId="77777777" w:rsidR="00697B00"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Cs/>
          <w:color w:val="000000"/>
          <w:sz w:val="24"/>
          <w:szCs w:val="24"/>
        </w:rPr>
        <w:t>1. Mellinials were expected to respond to the interview questionnaires honestly.</w:t>
      </w:r>
    </w:p>
    <w:p w14:paraId="4E30CB09" w14:textId="46292D60" w:rsidR="00697B00"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Cs/>
          <w:color w:val="000000"/>
          <w:sz w:val="24"/>
          <w:szCs w:val="24"/>
        </w:rPr>
        <w:t xml:space="preserve">2. The decision to participate or not to participate in the study was for the individual to make and no one had no control over that matter, but it was ready to respond to all queries from </w:t>
      </w:r>
      <w:r w:rsidR="00CC6595" w:rsidRPr="00597FFB">
        <w:rPr>
          <w:rFonts w:ascii="Times New Roman" w:eastAsia="Calibri" w:hAnsi="Times New Roman" w:cs="Times New Roman"/>
          <w:bCs/>
          <w:iCs/>
          <w:color w:val="000000"/>
          <w:sz w:val="24"/>
          <w:szCs w:val="24"/>
        </w:rPr>
        <w:t>millennials</w:t>
      </w:r>
      <w:r w:rsidRPr="00597FFB">
        <w:rPr>
          <w:rFonts w:ascii="Times New Roman" w:eastAsia="Calibri" w:hAnsi="Times New Roman" w:cs="Times New Roman"/>
          <w:bCs/>
          <w:iCs/>
          <w:color w:val="000000"/>
          <w:sz w:val="24"/>
          <w:szCs w:val="24"/>
        </w:rPr>
        <w:t xml:space="preserve"> regarding the survey.</w:t>
      </w:r>
    </w:p>
    <w:p w14:paraId="40EA091D" w14:textId="7EE0E752" w:rsidR="00697B00"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
          <w:color w:val="000000"/>
          <w:sz w:val="24"/>
          <w:szCs w:val="24"/>
        </w:rPr>
        <w:t>Limitations.</w:t>
      </w:r>
      <w:r w:rsidRPr="00597FFB">
        <w:rPr>
          <w:rFonts w:ascii="Times New Roman" w:eastAsia="Calibri" w:hAnsi="Times New Roman" w:cs="Times New Roman"/>
          <w:bCs/>
          <w:iCs/>
          <w:color w:val="000000"/>
          <w:sz w:val="24"/>
          <w:szCs w:val="24"/>
        </w:rPr>
        <w:t xml:space="preserve"> Limitations are potential obstacles that were beyond the researcher’s control. Limitations are found in almost everything we do. In the current study there has been a consensus that data mining contributes methodologically to education and research; however, scholars do caution against blind use of data mining in education research </w:t>
      </w:r>
      <w:r w:rsidR="00A51F62" w:rsidRPr="00597FFB">
        <w:rPr>
          <w:rFonts w:ascii="Times New Roman" w:eastAsia="Calibri" w:hAnsi="Times New Roman" w:cs="Times New Roman"/>
          <w:bCs/>
          <w:iCs/>
          <w:color w:val="000000"/>
          <w:sz w:val="24"/>
          <w:szCs w:val="24"/>
        </w:rPr>
        <w:fldChar w:fldCharType="begin"/>
      </w:r>
      <w:r w:rsidR="0044777E" w:rsidRPr="00597FFB">
        <w:rPr>
          <w:rFonts w:ascii="Times New Roman" w:eastAsia="Calibri" w:hAnsi="Times New Roman" w:cs="Times New Roman"/>
          <w:bCs/>
          <w:iCs/>
          <w:color w:val="000000"/>
          <w:sz w:val="24"/>
          <w:szCs w:val="24"/>
        </w:rPr>
        <w:instrText xml:space="preserve"> ADDIN ZOTERO_ITEM CSL_CITATION {"citationID":"arg289fidf","properties":{"formattedCitation":"(Adanu et al., 2020a)","plainCitation":"(Adanu et al., 2020a)","noteIndex":0},"citationItems":[{"id":3726,"uris":["http://zotero.org/users/local/b6CRLSJH/items/F8K4ZZVG"],"itemData":{"id":3726,"type":"article-journal","abstract":"The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A51F62" w:rsidRPr="00597FFB">
        <w:rPr>
          <w:rFonts w:ascii="Times New Roman" w:eastAsia="Calibri" w:hAnsi="Times New Roman" w:cs="Times New Roman"/>
          <w:bCs/>
          <w:iCs/>
          <w:color w:val="000000"/>
          <w:sz w:val="24"/>
          <w:szCs w:val="24"/>
        </w:rPr>
        <w:fldChar w:fldCharType="separate"/>
      </w:r>
      <w:r w:rsidR="0044777E" w:rsidRPr="00597FFB">
        <w:rPr>
          <w:rFonts w:ascii="Times New Roman" w:hAnsi="Times New Roman" w:cs="Times New Roman"/>
          <w:sz w:val="24"/>
          <w:szCs w:val="24"/>
        </w:rPr>
        <w:t>(Adanu et al., 2020a)</w:t>
      </w:r>
      <w:r w:rsidR="00A51F62" w:rsidRPr="00597FFB">
        <w:rPr>
          <w:rFonts w:ascii="Times New Roman" w:eastAsia="Calibri" w:hAnsi="Times New Roman" w:cs="Times New Roman"/>
          <w:bCs/>
          <w:iCs/>
          <w:color w:val="000000"/>
          <w:sz w:val="24"/>
          <w:szCs w:val="24"/>
        </w:rPr>
        <w:fldChar w:fldCharType="end"/>
      </w:r>
      <w:r w:rsidR="0044777E" w:rsidRPr="00597FFB">
        <w:rPr>
          <w:rFonts w:ascii="Times New Roman" w:eastAsia="Calibri" w:hAnsi="Times New Roman" w:cs="Times New Roman"/>
          <w:bCs/>
          <w:iCs/>
          <w:color w:val="000000"/>
          <w:sz w:val="24"/>
          <w:szCs w:val="24"/>
        </w:rPr>
        <w:t>.</w:t>
      </w:r>
    </w:p>
    <w:p w14:paraId="6D6C6623" w14:textId="4BAAC47F" w:rsidR="00697B00"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
          <w:color w:val="000000"/>
          <w:sz w:val="24"/>
          <w:szCs w:val="24"/>
        </w:rPr>
        <w:t>Delimitations.</w:t>
      </w:r>
      <w:r w:rsidRPr="00597FFB">
        <w:rPr>
          <w:rFonts w:ascii="Calibri" w:eastAsia="Calibri" w:hAnsi="Calibri" w:cs="Arial"/>
          <w:color w:val="000000"/>
        </w:rPr>
        <w:t xml:space="preserve"> </w:t>
      </w:r>
      <w:r w:rsidRPr="00597FFB">
        <w:rPr>
          <w:rFonts w:ascii="Times New Roman" w:eastAsia="Calibri" w:hAnsi="Times New Roman" w:cs="Times New Roman"/>
          <w:bCs/>
          <w:iCs/>
          <w:color w:val="000000"/>
          <w:sz w:val="24"/>
          <w:szCs w:val="24"/>
        </w:rPr>
        <w:t xml:space="preserve">The delimitations are the characteristics that limit the extent and define the boundaries of a study. The delimitations are factors under the control of the researcher </w:t>
      </w:r>
      <w:r w:rsidR="00CC6595" w:rsidRPr="00597FFB">
        <w:rPr>
          <w:rFonts w:ascii="Times New Roman" w:eastAsia="Calibri" w:hAnsi="Times New Roman" w:cs="Times New Roman"/>
          <w:bCs/>
          <w:iCs/>
          <w:color w:val="000000"/>
          <w:sz w:val="24"/>
          <w:szCs w:val="24"/>
        </w:rPr>
        <w:t>e.g.,</w:t>
      </w:r>
      <w:r w:rsidRPr="00597FFB">
        <w:rPr>
          <w:rFonts w:ascii="Times New Roman" w:eastAsia="Calibri" w:hAnsi="Times New Roman" w:cs="Times New Roman"/>
          <w:bCs/>
          <w:iCs/>
          <w:color w:val="000000"/>
          <w:sz w:val="24"/>
          <w:szCs w:val="24"/>
        </w:rPr>
        <w:t xml:space="preserve"> research questions and variables of interest were chosen by the researcher </w:t>
      </w:r>
      <w:r w:rsidR="00D01A90" w:rsidRPr="00597FFB">
        <w:rPr>
          <w:rFonts w:ascii="Times New Roman" w:eastAsia="Calibri" w:hAnsi="Times New Roman" w:cs="Times New Roman"/>
          <w:bCs/>
          <w:iCs/>
          <w:color w:val="000000"/>
          <w:sz w:val="24"/>
          <w:szCs w:val="24"/>
        </w:rPr>
        <w:fldChar w:fldCharType="begin"/>
      </w:r>
      <w:r w:rsidR="00862CA8" w:rsidRPr="00597FFB">
        <w:rPr>
          <w:rFonts w:ascii="Times New Roman" w:eastAsia="Calibri" w:hAnsi="Times New Roman" w:cs="Times New Roman"/>
          <w:bCs/>
          <w:iCs/>
          <w:color w:val="000000"/>
          <w:sz w:val="24"/>
          <w:szCs w:val="24"/>
        </w:rPr>
        <w:instrText xml:space="preserve"> ADDIN ZOTERO_ITEM CSL_CITATION {"citationID":"a1po9ptlp8f","properties":{"formattedCitation":"(Abbas &amp; Sa\\uc0\\u287{}san, 2019)","plainCitation":"(Abbas &amp; Sağsan, 2019)","noteIndex":0},"citationItems":[{"id":2991,"uris":["http://zotero.org/users/local/b6CRLSJH/items/M2RJ5ZWJ"],"itemData":{"id":2991,"type":"article-journal","container-title":"Journal of Cleaner Production","DOI":"10.1016/j.jclepro.2019.05.024","ISSN":"09596526","journalAbbreviation":"Journal of Cleaner Production","language":"en","page":"611-620","source":"DOI.org (Crossref)","title":"Impact of knowledge management practices on green innovation and corporate sustainable development: A structural analysis","title-short":"Impact of knowledge management practices on green innovation and corporate sustainable development","volume":"229","author":[{"family":"Abbas","given":"Jawad"},{"family":"Sağsan","given":"Mustafa"}],"issued":{"date-parts":[["2019",8]]}}}],"schema":"https://github.com/citation-style-language/schema/raw/master/csl-citation.json"} </w:instrText>
      </w:r>
      <w:r w:rsidR="00D01A90" w:rsidRPr="00597FFB">
        <w:rPr>
          <w:rFonts w:ascii="Times New Roman" w:eastAsia="Calibri" w:hAnsi="Times New Roman" w:cs="Times New Roman"/>
          <w:bCs/>
          <w:iCs/>
          <w:color w:val="000000"/>
          <w:sz w:val="24"/>
          <w:szCs w:val="24"/>
        </w:rPr>
        <w:fldChar w:fldCharType="separate"/>
      </w:r>
      <w:r w:rsidR="00862CA8" w:rsidRPr="00597FFB">
        <w:rPr>
          <w:rFonts w:ascii="Times New Roman" w:hAnsi="Times New Roman" w:cs="Times New Roman"/>
          <w:sz w:val="24"/>
          <w:szCs w:val="24"/>
        </w:rPr>
        <w:t>(Abbas &amp; Sağsan, 2019)</w:t>
      </w:r>
      <w:r w:rsidR="00D01A90" w:rsidRPr="00597FFB">
        <w:rPr>
          <w:rFonts w:ascii="Times New Roman" w:eastAsia="Calibri" w:hAnsi="Times New Roman" w:cs="Times New Roman"/>
          <w:bCs/>
          <w:iCs/>
          <w:color w:val="000000"/>
          <w:sz w:val="24"/>
          <w:szCs w:val="24"/>
        </w:rPr>
        <w:fldChar w:fldCharType="end"/>
      </w:r>
      <w:r w:rsidR="00862CA8" w:rsidRPr="00597FFB">
        <w:rPr>
          <w:rFonts w:ascii="Times New Roman" w:eastAsia="Calibri" w:hAnsi="Times New Roman" w:cs="Times New Roman"/>
          <w:bCs/>
          <w:iCs/>
          <w:color w:val="000000"/>
          <w:sz w:val="24"/>
          <w:szCs w:val="24"/>
        </w:rPr>
        <w:t xml:space="preserve">. </w:t>
      </w:r>
      <w:r w:rsidRPr="00597FFB">
        <w:rPr>
          <w:rFonts w:ascii="Times New Roman" w:eastAsia="Calibri" w:hAnsi="Times New Roman" w:cs="Times New Roman"/>
          <w:bCs/>
          <w:iCs/>
          <w:color w:val="000000"/>
          <w:sz w:val="24"/>
          <w:szCs w:val="24"/>
        </w:rPr>
        <w:t>The following were some delimitations for the current study:</w:t>
      </w:r>
    </w:p>
    <w:p w14:paraId="5BABE4A0" w14:textId="454679AB" w:rsidR="00563D8B"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Cs/>
          <w:color w:val="000000"/>
          <w:sz w:val="24"/>
          <w:szCs w:val="24"/>
        </w:rPr>
        <w:t xml:space="preserve">1. One delimitation was that this study was done on only one technical college campus. However, there were other community colleges in other parts of the county, and it was not feasibled to visit all the campuses to collect data because of </w:t>
      </w:r>
      <w:r w:rsidR="00CC6595" w:rsidRPr="00597FFB">
        <w:rPr>
          <w:rFonts w:ascii="Times New Roman" w:eastAsia="Calibri" w:hAnsi="Times New Roman" w:cs="Times New Roman"/>
          <w:bCs/>
          <w:iCs/>
          <w:color w:val="000000"/>
          <w:sz w:val="24"/>
          <w:szCs w:val="24"/>
        </w:rPr>
        <w:t>time.</w:t>
      </w:r>
      <w:r w:rsidRPr="00597FFB">
        <w:rPr>
          <w:rFonts w:ascii="Times New Roman" w:eastAsia="Calibri" w:hAnsi="Times New Roman" w:cs="Times New Roman"/>
          <w:bCs/>
          <w:iCs/>
          <w:color w:val="000000"/>
          <w:sz w:val="24"/>
          <w:szCs w:val="24"/>
        </w:rPr>
        <w:t xml:space="preserve"> It was able to decide whether to continue collecting data until the saturation point had been reached and so it determined whether to keep collecting data until the saturation point. Data saturation is when enough data is collected up to the point that there will be no new information available </w:t>
      </w:r>
      <w:r w:rsidR="00862CA8" w:rsidRPr="00597FFB">
        <w:rPr>
          <w:rFonts w:ascii="Times New Roman" w:eastAsia="Calibri" w:hAnsi="Times New Roman" w:cs="Times New Roman"/>
          <w:bCs/>
          <w:iCs/>
          <w:color w:val="000000"/>
          <w:sz w:val="24"/>
          <w:szCs w:val="24"/>
        </w:rPr>
        <w:fldChar w:fldCharType="begin"/>
      </w:r>
      <w:r w:rsidR="00563D8B" w:rsidRPr="00597FFB">
        <w:rPr>
          <w:rFonts w:ascii="Times New Roman" w:eastAsia="Calibri" w:hAnsi="Times New Roman" w:cs="Times New Roman"/>
          <w:bCs/>
          <w:iCs/>
          <w:color w:val="000000"/>
          <w:sz w:val="24"/>
          <w:szCs w:val="24"/>
        </w:rPr>
        <w:instrText xml:space="preserve"> ADDIN ZOTERO_ITEM CSL_CITATION {"citationID":"aslilgn9o3","properties":{"formattedCitation":"(Asibey et al., 2021b)","plainCitation":"(Asibey et al., 2021b)","noteIndex":0},"citationItems":[{"id":3520,"uris":["http://zotero.org/users/local/b6CRLSJH/items/JE7CAD6I"],"itemData":{"id":3520,"type":"article-journal","abstract":"This paper examines urban planners' perspectives on the e-waste conundrum and corresponding urban planning response towards promoting e-waste inclusivity and managing associated impacts. The paper is based on an extensive review of nine urban planning documents and interviews with five environment and/or e-waste related institutions and informal e-waste recyclers at the Agbogbloshie Processing Site in Accra, Ghana. Findings of the paper showed that urban planning has been ineffective in positively shaping Ghana's e-waste sector. Urban planning initiatives on e-waste management have remained reactionary, instead of becoming future-oriented. There is insufficient e-waste related policies and a general lack of focus on e-waste management. Officials reported of logistical and financial constraints, weak agency framework and coordination; a situation which have hampered efforts in employing urban planning as a tool to managing Ghana's e-waste sector. An important entry point is the need to consciously understand, localise and integrate e-waste issues into urban planning efforts. This should be done by recognising the importance of improving awareness on e-waste issues; finding a place for informal e-waste recycling through re-examination of existing planning regimes; and developing a clear and efficient institutional framework for an improved sector and a more sustainable urban environment.","container-title":"Cities","DOI":"10.1016/j.cities.2020.102943","ISSN":"02642751","journalAbbreviation":"Cities","language":"en","page":"102943","source":"DOI.org (Crossref)","title":"Urban planning trends on e-waste management in Ghanaian cities","volume":"108","author":[{"family":"Asibey","given":"Michael Osei"},{"family":"King","given":"Rudith Sylvana"},{"family":"Lykke","given":"Anne Mette"},{"family":"Inkoom","given":"Daniel Kweku Baah"}],"issued":{"date-parts":[["2021",1]]}}}],"schema":"https://github.com/citation-style-language/schema/raw/master/csl-citation.json"} </w:instrText>
      </w:r>
      <w:r w:rsidR="00862CA8" w:rsidRPr="00597FFB">
        <w:rPr>
          <w:rFonts w:ascii="Times New Roman" w:eastAsia="Calibri" w:hAnsi="Times New Roman" w:cs="Times New Roman"/>
          <w:bCs/>
          <w:iCs/>
          <w:color w:val="000000"/>
          <w:sz w:val="24"/>
          <w:szCs w:val="24"/>
        </w:rPr>
        <w:fldChar w:fldCharType="separate"/>
      </w:r>
      <w:r w:rsidR="00563D8B" w:rsidRPr="00597FFB">
        <w:rPr>
          <w:rFonts w:ascii="Times New Roman" w:hAnsi="Times New Roman" w:cs="Times New Roman"/>
          <w:sz w:val="24"/>
          <w:szCs w:val="24"/>
        </w:rPr>
        <w:t>(Asibey et al., 2021b)</w:t>
      </w:r>
      <w:r w:rsidR="00862CA8" w:rsidRPr="00597FFB">
        <w:rPr>
          <w:rFonts w:ascii="Times New Roman" w:eastAsia="Calibri" w:hAnsi="Times New Roman" w:cs="Times New Roman"/>
          <w:bCs/>
          <w:iCs/>
          <w:color w:val="000000"/>
          <w:sz w:val="24"/>
          <w:szCs w:val="24"/>
        </w:rPr>
        <w:fldChar w:fldCharType="end"/>
      </w:r>
      <w:r w:rsidR="00563D8B" w:rsidRPr="00597FFB">
        <w:rPr>
          <w:rFonts w:ascii="Times New Roman" w:eastAsia="Calibri" w:hAnsi="Times New Roman" w:cs="Times New Roman"/>
          <w:bCs/>
          <w:iCs/>
          <w:color w:val="000000"/>
          <w:sz w:val="24"/>
          <w:szCs w:val="24"/>
        </w:rPr>
        <w:t>.</w:t>
      </w:r>
    </w:p>
    <w:p w14:paraId="6FB787EC" w14:textId="49756C3C" w:rsidR="00703A7E" w:rsidRPr="00597FFB" w:rsidRDefault="00697B00" w:rsidP="00A558FE">
      <w:pPr>
        <w:spacing w:before="26" w:after="26" w:line="480" w:lineRule="auto"/>
        <w:ind w:firstLine="720"/>
        <w:jc w:val="both"/>
        <w:rPr>
          <w:rFonts w:ascii="Times New Roman" w:eastAsia="Calibri" w:hAnsi="Times New Roman" w:cs="Times New Roman"/>
          <w:bCs/>
          <w:iCs/>
          <w:color w:val="000000"/>
          <w:sz w:val="24"/>
          <w:szCs w:val="24"/>
        </w:rPr>
      </w:pPr>
      <w:r w:rsidRPr="00597FFB">
        <w:rPr>
          <w:rFonts w:ascii="Times New Roman" w:eastAsia="Calibri" w:hAnsi="Times New Roman" w:cs="Times New Roman"/>
          <w:bCs/>
          <w:iCs/>
          <w:color w:val="000000"/>
          <w:sz w:val="24"/>
          <w:szCs w:val="24"/>
        </w:rPr>
        <w:t>2.</w:t>
      </w:r>
      <w:r w:rsidRPr="00597FFB">
        <w:rPr>
          <w:rFonts w:ascii="Calibri" w:eastAsia="Calibri" w:hAnsi="Calibri" w:cs="Arial"/>
          <w:bCs/>
          <w:color w:val="000000"/>
        </w:rPr>
        <w:t xml:space="preserve"> </w:t>
      </w:r>
      <w:r w:rsidRPr="00597FFB">
        <w:rPr>
          <w:rFonts w:ascii="Times New Roman" w:eastAsia="Calibri" w:hAnsi="Times New Roman" w:cs="Times New Roman"/>
          <w:bCs/>
          <w:iCs/>
          <w:color w:val="000000"/>
          <w:sz w:val="24"/>
          <w:szCs w:val="24"/>
        </w:rPr>
        <w:t xml:space="preserve">Self-administered questionnaires and interviews are advantageous to the research because data collected helps to describe the prevailing practices. Interviews and questionnaires have been used in prior research to examine and uncover peoples’ behaviors and discover deeply rooted problems in their natural settings across numerous disciplines for decades </w:t>
      </w:r>
      <w:r w:rsidR="00CE0FDE" w:rsidRPr="00597FFB">
        <w:rPr>
          <w:rFonts w:ascii="Times New Roman" w:eastAsia="Calibri" w:hAnsi="Times New Roman" w:cs="Times New Roman"/>
          <w:bCs/>
          <w:iCs/>
          <w:color w:val="000000"/>
          <w:sz w:val="24"/>
          <w:szCs w:val="24"/>
        </w:rPr>
        <w:fldChar w:fldCharType="begin"/>
      </w:r>
      <w:r w:rsidR="00D71ACA" w:rsidRPr="00597FFB">
        <w:rPr>
          <w:rFonts w:ascii="Times New Roman" w:eastAsia="Calibri" w:hAnsi="Times New Roman" w:cs="Times New Roman"/>
          <w:bCs/>
          <w:iCs/>
          <w:color w:val="000000"/>
          <w:sz w:val="24"/>
          <w:szCs w:val="24"/>
        </w:rPr>
        <w:instrText xml:space="preserve"> ADDIN ZOTERO_ITEM CSL_CITATION {"citationID":"at9ur31nnh","properties":{"formattedCitation":"(Aidonis et al., 2019b)","plainCitation":"(Aidonis et al., 2019b)","noteIndex":0},"citationItems":[{"id":3966,"uris":["http://zotero.org/users/local/b6CRLSJH/items/3R5BQIDH"],"itemData":{"id":3966,"type":"article-journal","abstract":"Waste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D71ACA" w:rsidRPr="00597FFB">
        <w:rPr>
          <w:rFonts w:ascii="Cambria Math" w:eastAsia="Calibri" w:hAnsi="Cambria Math" w:cs="Cambria Math"/>
          <w:bCs/>
          <w:iCs/>
          <w:color w:val="000000"/>
          <w:sz w:val="24"/>
          <w:szCs w:val="24"/>
        </w:rPr>
        <w:instrText>↵</w:instrText>
      </w:r>
      <w:r w:rsidR="00D71ACA" w:rsidRPr="00597FFB">
        <w:rPr>
          <w:rFonts w:ascii="Times New Roman" w:eastAsia="Calibri" w:hAnsi="Times New Roman" w:cs="Times New Roman"/>
          <w:bCs/>
          <w:iCs/>
          <w:color w:val="000000"/>
          <w:sz w:val="24"/>
          <w:szCs w:val="24"/>
        </w:rPr>
        <w:instrText xml:space="preserve">ectiveness, is required for the integrated WEEE management at a national level.","container-title":"Sustainability","DOI":"10.3390/su11123364","ISSN":"2071-1050","issue":"12","journalAbbreviation":"Sustainability","language":"en","note":"number: 12","page":"3364","source":"DOI.org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CE0FDE" w:rsidRPr="00597FFB">
        <w:rPr>
          <w:rFonts w:ascii="Times New Roman" w:eastAsia="Calibri" w:hAnsi="Times New Roman" w:cs="Times New Roman"/>
          <w:bCs/>
          <w:iCs/>
          <w:color w:val="000000"/>
          <w:sz w:val="24"/>
          <w:szCs w:val="24"/>
        </w:rPr>
        <w:fldChar w:fldCharType="separate"/>
      </w:r>
      <w:r w:rsidR="00D71ACA" w:rsidRPr="00597FFB">
        <w:rPr>
          <w:rFonts w:ascii="Times New Roman" w:hAnsi="Times New Roman" w:cs="Times New Roman"/>
          <w:sz w:val="24"/>
          <w:szCs w:val="24"/>
        </w:rPr>
        <w:t>(Aidonis et al., 2019b)</w:t>
      </w:r>
      <w:r w:rsidR="00CE0FDE" w:rsidRPr="00597FFB">
        <w:rPr>
          <w:rFonts w:ascii="Times New Roman" w:eastAsia="Calibri" w:hAnsi="Times New Roman" w:cs="Times New Roman"/>
          <w:bCs/>
          <w:iCs/>
          <w:color w:val="000000"/>
          <w:sz w:val="24"/>
          <w:szCs w:val="24"/>
        </w:rPr>
        <w:fldChar w:fldCharType="end"/>
      </w:r>
      <w:r w:rsidR="00D71ACA" w:rsidRPr="00597FFB">
        <w:rPr>
          <w:rFonts w:ascii="Times New Roman" w:eastAsia="Calibri" w:hAnsi="Times New Roman" w:cs="Times New Roman"/>
          <w:bCs/>
          <w:iCs/>
          <w:color w:val="000000"/>
          <w:sz w:val="24"/>
          <w:szCs w:val="24"/>
        </w:rPr>
        <w:t>.</w:t>
      </w:r>
    </w:p>
    <w:p w14:paraId="156EF24E" w14:textId="73B8CE39" w:rsidR="00703A7E" w:rsidRPr="00597FFB" w:rsidRDefault="008E25F1" w:rsidP="00005B47">
      <w:pPr>
        <w:pStyle w:val="Heading2"/>
        <w:spacing w:line="480" w:lineRule="auto"/>
        <w:jc w:val="both"/>
        <w:rPr>
          <w:rFonts w:asciiTheme="majorBidi" w:hAnsiTheme="majorBidi"/>
          <w:b/>
          <w:bCs/>
          <w:color w:val="000000" w:themeColor="text1"/>
          <w:sz w:val="24"/>
          <w:szCs w:val="24"/>
        </w:rPr>
      </w:pPr>
      <w:bookmarkStart w:id="79" w:name="_Toc127170262"/>
      <w:r w:rsidRPr="00597FFB">
        <w:rPr>
          <w:rFonts w:asciiTheme="majorBidi" w:hAnsiTheme="majorBidi"/>
          <w:b/>
          <w:bCs/>
          <w:color w:val="000000" w:themeColor="text1"/>
          <w:sz w:val="24"/>
          <w:szCs w:val="24"/>
        </w:rPr>
        <w:t>1.1</w:t>
      </w:r>
      <w:r w:rsidR="00CD619D" w:rsidRPr="00597FFB">
        <w:rPr>
          <w:rFonts w:asciiTheme="majorBidi" w:hAnsiTheme="majorBidi"/>
          <w:b/>
          <w:bCs/>
          <w:color w:val="000000" w:themeColor="text1"/>
          <w:sz w:val="24"/>
          <w:szCs w:val="24"/>
        </w:rPr>
        <w:t>1</w:t>
      </w:r>
      <w:r w:rsidRPr="00597FFB">
        <w:rPr>
          <w:rFonts w:asciiTheme="majorBidi" w:hAnsiTheme="majorBidi"/>
          <w:b/>
          <w:bCs/>
          <w:color w:val="000000" w:themeColor="text1"/>
          <w:sz w:val="24"/>
          <w:szCs w:val="24"/>
        </w:rPr>
        <w:t xml:space="preserve">. Definition </w:t>
      </w:r>
      <w:r w:rsidR="00927F2E">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f Key Terms</w:t>
      </w:r>
      <w:r w:rsidR="007D28AC" w:rsidRPr="00597FFB">
        <w:rPr>
          <w:rFonts w:asciiTheme="majorBidi" w:hAnsiTheme="majorBidi"/>
          <w:b/>
          <w:bCs/>
          <w:color w:val="000000" w:themeColor="text1"/>
          <w:sz w:val="24"/>
          <w:szCs w:val="24"/>
        </w:rPr>
        <w:t>.</w:t>
      </w:r>
      <w:bookmarkEnd w:id="79"/>
    </w:p>
    <w:p w14:paraId="071B3EF6" w14:textId="77777777" w:rsidR="00CB40A2" w:rsidRPr="00597FFB" w:rsidRDefault="00CB40A2" w:rsidP="00A558FE">
      <w:pPr>
        <w:spacing w:after="0" w:line="480" w:lineRule="auto"/>
        <w:ind w:firstLine="720"/>
        <w:jc w:val="both"/>
        <w:rPr>
          <w:rFonts w:ascii="Times New Roman" w:eastAsia="Times New Roman" w:hAnsi="Times New Roman" w:cs="Times New Roman"/>
          <w:bCs/>
          <w:sz w:val="24"/>
          <w:szCs w:val="24"/>
        </w:rPr>
      </w:pPr>
      <w:r w:rsidRPr="00597FFB">
        <w:rPr>
          <w:rFonts w:ascii="Times New Roman" w:eastAsia="Times New Roman" w:hAnsi="Times New Roman" w:cs="Times New Roman"/>
          <w:bCs/>
          <w:sz w:val="24"/>
          <w:szCs w:val="24"/>
        </w:rPr>
        <w:t>The technical terms used in this study have been explained below to breakdown the meanings of the words. It is essential to help the readers to understand the study.</w:t>
      </w:r>
    </w:p>
    <w:p w14:paraId="3B4B19B1" w14:textId="16C5C065"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Attitude toward recycling:</w:t>
      </w:r>
      <w:r w:rsidRPr="00597FFB">
        <w:rPr>
          <w:rFonts w:ascii="Times New Roman" w:eastAsia="Times New Roman" w:hAnsi="Times New Roman" w:cs="Times New Roman"/>
          <w:bCs/>
          <w:sz w:val="24"/>
          <w:szCs w:val="24"/>
        </w:rPr>
        <w:t xml:space="preserve"> </w:t>
      </w:r>
      <w:r w:rsidR="00AC7EEE" w:rsidRPr="00597FFB">
        <w:rPr>
          <w:rFonts w:ascii="Times New Roman" w:eastAsia="Times New Roman" w:hAnsi="Times New Roman" w:cs="Times New Roman"/>
          <w:bCs/>
          <w:sz w:val="24"/>
          <w:szCs w:val="24"/>
        </w:rPr>
        <w:t>Derived from</w:t>
      </w:r>
      <w:r w:rsidRPr="00597FFB">
        <w:rPr>
          <w:rFonts w:ascii="Times New Roman" w:eastAsia="Times New Roman" w:hAnsi="Times New Roman" w:cs="Times New Roman"/>
          <w:bCs/>
          <w:sz w:val="24"/>
          <w:szCs w:val="24"/>
        </w:rPr>
        <w:t xml:space="preserve"> Fishbein and Ajzen (1975), attitude toward recycling </w:t>
      </w:r>
      <w:r w:rsidR="00AC7EEE" w:rsidRPr="00597FFB">
        <w:rPr>
          <w:rFonts w:ascii="Times New Roman" w:eastAsia="Times New Roman" w:hAnsi="Times New Roman" w:cs="Times New Roman"/>
          <w:bCs/>
          <w:sz w:val="24"/>
          <w:szCs w:val="24"/>
        </w:rPr>
        <w:t>is</w:t>
      </w:r>
      <w:r w:rsidRPr="00597FFB">
        <w:rPr>
          <w:rFonts w:ascii="Times New Roman" w:eastAsia="Times New Roman" w:hAnsi="Times New Roman" w:cs="Times New Roman"/>
          <w:bCs/>
          <w:sz w:val="24"/>
          <w:szCs w:val="24"/>
        </w:rPr>
        <w:t xml:space="preserve"> the </w:t>
      </w:r>
      <w:r w:rsidRPr="00597FFB">
        <w:rPr>
          <w:rFonts w:ascii="Times New Roman" w:eastAsia="Calibri" w:hAnsi="Times New Roman" w:cs="Times New Roman"/>
          <w:iCs/>
          <w:sz w:val="24"/>
          <w:szCs w:val="24"/>
        </w:rPr>
        <w:t>millennials'</w:t>
      </w:r>
      <w:r w:rsidRPr="00597FFB">
        <w:rPr>
          <w:rFonts w:ascii="Times New Roman" w:eastAsia="Times New Roman" w:hAnsi="Times New Roman" w:cs="Times New Roman"/>
          <w:bCs/>
          <w:sz w:val="24"/>
          <w:szCs w:val="24"/>
        </w:rPr>
        <w:t xml:space="preserve"> positive or negative evaluations of recycling. </w:t>
      </w:r>
    </w:p>
    <w:p w14:paraId="4B25693A" w14:textId="4B65898D" w:rsidR="00CB40A2" w:rsidRPr="00597FFB" w:rsidRDefault="00CB40A2" w:rsidP="00A558FE">
      <w:pPr>
        <w:spacing w:after="0" w:line="480" w:lineRule="auto"/>
        <w:jc w:val="both"/>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 xml:space="preserve">Awareness: </w:t>
      </w:r>
      <w:r w:rsidRPr="00597FFB">
        <w:rPr>
          <w:rFonts w:ascii="Times New Roman" w:eastAsia="Times New Roman" w:hAnsi="Times New Roman" w:cs="Times New Roman"/>
          <w:bCs/>
          <w:sz w:val="24"/>
          <w:szCs w:val="24"/>
        </w:rPr>
        <w:t xml:space="preserve">Knowledge that something exists or understanding of the situation or subject at the present time </w:t>
      </w:r>
      <w:r w:rsidR="00563D8B" w:rsidRPr="00597FFB">
        <w:rPr>
          <w:rFonts w:ascii="Times New Roman" w:eastAsia="Times New Roman" w:hAnsi="Times New Roman" w:cs="Times New Roman"/>
          <w:bCs/>
          <w:sz w:val="24"/>
          <w:szCs w:val="24"/>
        </w:rPr>
        <w:fldChar w:fldCharType="begin"/>
      </w:r>
      <w:r w:rsidR="00D71ACA" w:rsidRPr="00597FFB">
        <w:rPr>
          <w:rFonts w:ascii="Times New Roman" w:eastAsia="Times New Roman" w:hAnsi="Times New Roman" w:cs="Times New Roman"/>
          <w:bCs/>
          <w:sz w:val="24"/>
          <w:szCs w:val="24"/>
        </w:rPr>
        <w:instrText xml:space="preserve"> ADDIN ZOTERO_ITEM CSL_CITATION {"citationID":"a1u008cfsoo","properties":{"formattedCitation":"(Bimir, 2020b)","plainCitation":"(Bimir, 2020b)","noteIndex":0},"citationItems":[{"id":3720,"uris":["http://zotero.org/users/local/b6CRLSJH/items/CJ5KTVD6"],"itemData":{"id":3720,"type":"article-journal","abstract":"African countries are among the prime destinations of electronic waste (e-waste) also called Waste of Electrical and Electronic Equipment (WEEE), and have been challenged with the management of its environmental and health impacts. This paper was carried out to understand the e-waste sector and policy responses in selected African countries. Data for the study were generated from sources; such as policy documents, legislations and literature. Findings show that the import of WEEE is on rising in Africa while landfill and incineration continued to be widely used handling approaches. Countries studied lack WEEE specific national policies and stringent policy instruments to enforce proper collection and recycling systems. Despite the start-ups in emerging recycling operations, a major gap is that informal e-waste actors dominate the e-waste chain from collection to material extraction and refurbish activities through rudimentary tools that cannot detect toxic elements. Tackling the problem demands integrated multi-actor interventions with multiple stakeholders to reduce WEEE inflow on one hand, and ramping up safe recycling capacity on the other hand.","container-title":"Journal of the Air &amp; Waste Management Association","DOI":"10.1080/10962247.2020.1769769","ISSN":"1096-2247, 2162-2906","issue":"7","journalAbbreviation":"Journal of the Air &amp; Waste Management Association","language":"en","note":"number: 7","page":"659-669","source":"DOI.org (Crossref)","title":"Revisiting e-waste management practices in selected African countries","volume":"70","author":[{"family":"Bimir","given":"Mathias Nigatu"}],"issued":{"date-parts":[["2020",7,2]]}}}],"schema":"https://github.com/citation-style-language/schema/raw/master/csl-citation.json"} </w:instrText>
      </w:r>
      <w:r w:rsidR="00563D8B" w:rsidRPr="00597FFB">
        <w:rPr>
          <w:rFonts w:ascii="Times New Roman" w:eastAsia="Times New Roman" w:hAnsi="Times New Roman" w:cs="Times New Roman"/>
          <w:bCs/>
          <w:sz w:val="24"/>
          <w:szCs w:val="24"/>
        </w:rPr>
        <w:fldChar w:fldCharType="separate"/>
      </w:r>
      <w:r w:rsidR="00D71ACA" w:rsidRPr="00597FFB">
        <w:rPr>
          <w:rFonts w:ascii="Times New Roman" w:hAnsi="Times New Roman" w:cs="Times New Roman"/>
          <w:sz w:val="24"/>
          <w:szCs w:val="24"/>
        </w:rPr>
        <w:t>(Bimir, 2020b)</w:t>
      </w:r>
      <w:r w:rsidR="00563D8B" w:rsidRPr="00597FFB">
        <w:rPr>
          <w:rFonts w:ascii="Times New Roman" w:eastAsia="Times New Roman" w:hAnsi="Times New Roman" w:cs="Times New Roman"/>
          <w:bCs/>
          <w:sz w:val="24"/>
          <w:szCs w:val="24"/>
        </w:rPr>
        <w:fldChar w:fldCharType="end"/>
      </w:r>
    </w:p>
    <w:p w14:paraId="7542AC4F" w14:textId="750BDC6A"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Behavioral belief about recycling</w:t>
      </w:r>
      <w:r w:rsidRPr="00597FFB">
        <w:rPr>
          <w:rFonts w:ascii="Times New Roman" w:eastAsia="Times New Roman" w:hAnsi="Times New Roman" w:cs="Times New Roman"/>
          <w:bCs/>
          <w:sz w:val="24"/>
          <w:szCs w:val="24"/>
        </w:rPr>
        <w:t xml:space="preserve">: </w:t>
      </w:r>
      <w:r w:rsidR="003538E8" w:rsidRPr="00597FFB">
        <w:rPr>
          <w:rFonts w:ascii="Times New Roman" w:eastAsia="Times New Roman" w:hAnsi="Times New Roman" w:cs="Times New Roman"/>
          <w:bCs/>
          <w:sz w:val="24"/>
          <w:szCs w:val="24"/>
        </w:rPr>
        <w:t xml:space="preserve">Adopted from </w:t>
      </w:r>
      <w:r w:rsidRPr="00597FFB">
        <w:rPr>
          <w:rFonts w:ascii="Times New Roman" w:eastAsia="Times New Roman" w:hAnsi="Times New Roman" w:cs="Times New Roman"/>
          <w:bCs/>
          <w:sz w:val="24"/>
          <w:szCs w:val="24"/>
        </w:rPr>
        <w:t>Fishbein and Ajzen</w:t>
      </w:r>
      <w:r w:rsidR="003538E8"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 (1975)</w:t>
      </w:r>
      <w:r w:rsidR="003538E8" w:rsidRPr="00597FFB">
        <w:rPr>
          <w:rFonts w:ascii="Times New Roman" w:eastAsia="Times New Roman" w:hAnsi="Times New Roman" w:cs="Times New Roman"/>
          <w:bCs/>
          <w:sz w:val="24"/>
          <w:szCs w:val="24"/>
        </w:rPr>
        <w:t xml:space="preserve"> definition</w:t>
      </w:r>
      <w:r w:rsidRPr="00597FFB">
        <w:rPr>
          <w:rFonts w:ascii="Times New Roman" w:eastAsia="Times New Roman" w:hAnsi="Times New Roman" w:cs="Times New Roman"/>
          <w:bCs/>
          <w:sz w:val="24"/>
          <w:szCs w:val="24"/>
        </w:rPr>
        <w:t xml:space="preserve">, </w:t>
      </w:r>
      <w:r w:rsidR="003538E8" w:rsidRPr="00597FFB">
        <w:rPr>
          <w:rFonts w:ascii="Times New Roman" w:eastAsia="Times New Roman" w:hAnsi="Times New Roman" w:cs="Times New Roman"/>
          <w:bCs/>
          <w:sz w:val="24"/>
          <w:szCs w:val="24"/>
        </w:rPr>
        <w:t>it is</w:t>
      </w:r>
      <w:r w:rsidRPr="00597FFB">
        <w:rPr>
          <w:rFonts w:ascii="Times New Roman" w:eastAsia="Times New Roman" w:hAnsi="Times New Roman" w:cs="Times New Roman"/>
          <w:bCs/>
          <w:sz w:val="24"/>
          <w:szCs w:val="24"/>
        </w:rPr>
        <w:t xml:space="preserve"> the </w:t>
      </w:r>
      <w:r w:rsidRPr="00597FFB">
        <w:rPr>
          <w:rFonts w:ascii="Times New Roman" w:eastAsia="Calibri" w:hAnsi="Times New Roman" w:cs="Times New Roman"/>
          <w:iCs/>
          <w:sz w:val="24"/>
          <w:szCs w:val="24"/>
        </w:rPr>
        <w:t>millennials</w:t>
      </w:r>
      <w:r w:rsidRPr="00597FFB">
        <w:rPr>
          <w:rFonts w:ascii="Times New Roman" w:eastAsia="Times New Roman" w:hAnsi="Times New Roman" w:cs="Times New Roman"/>
          <w:bCs/>
          <w:sz w:val="24"/>
          <w:szCs w:val="24"/>
        </w:rPr>
        <w:t xml:space="preserve">' beliefs about the consequences of recycling. </w:t>
      </w:r>
    </w:p>
    <w:p w14:paraId="19D95587" w14:textId="3C56C893"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Belief:</w:t>
      </w:r>
      <w:r w:rsidRPr="00597FFB">
        <w:rPr>
          <w:rFonts w:ascii="Times New Roman" w:eastAsia="Times New Roman" w:hAnsi="Times New Roman" w:cs="Times New Roman"/>
          <w:bCs/>
          <w:sz w:val="24"/>
          <w:szCs w:val="24"/>
        </w:rPr>
        <w:t xml:space="preserve"> It is defined as a personal idea </w:t>
      </w:r>
      <w:r w:rsidR="003538E8" w:rsidRPr="00597FFB">
        <w:rPr>
          <w:rFonts w:ascii="Times New Roman" w:eastAsia="Times New Roman" w:hAnsi="Times New Roman" w:cs="Times New Roman"/>
          <w:bCs/>
          <w:sz w:val="24"/>
          <w:szCs w:val="24"/>
        </w:rPr>
        <w:t>concerning</w:t>
      </w:r>
      <w:r w:rsidRPr="00597FFB">
        <w:rPr>
          <w:rFonts w:ascii="Times New Roman" w:eastAsia="Times New Roman" w:hAnsi="Times New Roman" w:cs="Times New Roman"/>
          <w:bCs/>
          <w:sz w:val="24"/>
          <w:szCs w:val="24"/>
        </w:rPr>
        <w:t xml:space="preserve"> things </w:t>
      </w:r>
      <w:r w:rsidR="003538E8" w:rsidRPr="00597FFB">
        <w:rPr>
          <w:rFonts w:ascii="Times New Roman" w:eastAsia="Times New Roman" w:hAnsi="Times New Roman" w:cs="Times New Roman"/>
          <w:bCs/>
          <w:sz w:val="24"/>
          <w:szCs w:val="24"/>
        </w:rPr>
        <w:t>including</w:t>
      </w:r>
      <w:r w:rsidRPr="00597FFB">
        <w:rPr>
          <w:rFonts w:ascii="Times New Roman" w:eastAsia="Times New Roman" w:hAnsi="Times New Roman" w:cs="Times New Roman"/>
          <w:bCs/>
          <w:sz w:val="24"/>
          <w:szCs w:val="24"/>
        </w:rPr>
        <w:t xml:space="preserve"> </w:t>
      </w:r>
      <w:r w:rsidR="003538E8" w:rsidRPr="00597FFB">
        <w:rPr>
          <w:rFonts w:ascii="Times New Roman" w:eastAsia="Times New Roman" w:hAnsi="Times New Roman" w:cs="Times New Roman"/>
          <w:bCs/>
          <w:sz w:val="24"/>
          <w:szCs w:val="24"/>
        </w:rPr>
        <w:t xml:space="preserve">an attribute, object, </w:t>
      </w:r>
      <w:r w:rsidRPr="00597FFB">
        <w:rPr>
          <w:rFonts w:ascii="Times New Roman" w:eastAsia="Times New Roman" w:hAnsi="Times New Roman" w:cs="Times New Roman"/>
          <w:bCs/>
          <w:sz w:val="24"/>
          <w:szCs w:val="24"/>
        </w:rPr>
        <w:t xml:space="preserve">establishment, </w:t>
      </w:r>
      <w:r w:rsidR="003538E8" w:rsidRPr="00597FFB">
        <w:rPr>
          <w:rFonts w:ascii="Times New Roman" w:eastAsia="Times New Roman" w:hAnsi="Times New Roman" w:cs="Times New Roman"/>
          <w:bCs/>
          <w:sz w:val="24"/>
          <w:szCs w:val="24"/>
        </w:rPr>
        <w:t xml:space="preserve">issue, </w:t>
      </w:r>
      <w:r w:rsidRPr="00597FFB">
        <w:rPr>
          <w:rFonts w:ascii="Times New Roman" w:eastAsia="Times New Roman" w:hAnsi="Times New Roman" w:cs="Times New Roman"/>
          <w:bCs/>
          <w:sz w:val="24"/>
          <w:szCs w:val="24"/>
        </w:rPr>
        <w:t xml:space="preserve">and about </w:t>
      </w:r>
      <w:r w:rsidR="003538E8" w:rsidRPr="00597FFB">
        <w:rPr>
          <w:rFonts w:ascii="Times New Roman" w:eastAsia="Times New Roman" w:hAnsi="Times New Roman" w:cs="Times New Roman"/>
          <w:bCs/>
          <w:sz w:val="24"/>
          <w:szCs w:val="24"/>
        </w:rPr>
        <w:t xml:space="preserve">a group of people or </w:t>
      </w:r>
      <w:r w:rsidRPr="00597FFB">
        <w:rPr>
          <w:rFonts w:ascii="Times New Roman" w:eastAsia="Times New Roman" w:hAnsi="Times New Roman" w:cs="Times New Roman"/>
          <w:bCs/>
          <w:sz w:val="24"/>
          <w:szCs w:val="24"/>
        </w:rPr>
        <w:t>an individual (Fishbein &amp; Ajzen, 1975).</w:t>
      </w:r>
    </w:p>
    <w:p w14:paraId="41B2D537" w14:textId="3134D591"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Circular economy:</w:t>
      </w:r>
      <w:r w:rsidRPr="00597FFB">
        <w:rPr>
          <w:rFonts w:ascii="Times New Roman" w:eastAsia="Times New Roman" w:hAnsi="Times New Roman" w:cs="Times New Roman"/>
          <w:bCs/>
          <w:sz w:val="24"/>
          <w:szCs w:val="24"/>
        </w:rPr>
        <w:t xml:space="preserve"> This is explained by the European Commission (EC) as an economy where the value of products, materials, and resources is maintained in the marketplace for as long as possible, and the generation of waste minimized </w:t>
      </w:r>
      <w:r w:rsidR="00173BF9" w:rsidRPr="00597FFB">
        <w:rPr>
          <w:rFonts w:ascii="Times New Roman" w:eastAsia="Times New Roman" w:hAnsi="Times New Roman" w:cs="Times New Roman"/>
          <w:bCs/>
          <w:color w:val="000000"/>
          <w:sz w:val="24"/>
          <w:szCs w:val="24"/>
        </w:rPr>
        <w:fldChar w:fldCharType="begin"/>
      </w:r>
      <w:r w:rsidR="00173BF9" w:rsidRPr="00597FFB">
        <w:rPr>
          <w:rFonts w:ascii="Times New Roman" w:eastAsia="Times New Roman" w:hAnsi="Times New Roman" w:cs="Times New Roman"/>
          <w:bCs/>
          <w:color w:val="000000"/>
          <w:sz w:val="24"/>
          <w:szCs w:val="24"/>
        </w:rPr>
        <w:instrText xml:space="preserve"> ADDIN ZOTERO_ITEM CSL_CITATION {"citationID":"a15uj0urb33","properties":{"formattedCitation":"(Barua, 2021b)","plainCitation":"(Barua, 2021b)","noteIndex":0},"citationItems":[{"id":3004,"uris":["http://zotero.org/users/local/b6CRLSJH/items/QYFTMFFI"],"itemData":{"id":3004,"type":"article-journal","abstract":"Purpose\n              Total quality management (TQM) and knowledge management (KM) are two similar and complementary management philosophies synergistic combinations that can form a cycle of improvement and development. This paper aims to investigate the impact of TQM factors on knowledge creation in the organizations of Bangladesh.\n            \n            \n              Design/methodology/approach\n              A list of TQM factors was identified through reviewing the relevant literature. Knowledge creation was analyzed through the framework proposed by Nonaka and Takeuchi (1995). Data were collected through a self-administered questionnaire survey among 450 top and mid-level managers of the organizations. A quantitative research approach, namely, structural equation modeling (SEM) was used in the study. The data were analyzed in SmartPLS 3.\n            \n            \n              Findings\n              From the study, it is found that a positive and significant relationship exists between leadership, employee empowerment, benchmarking, customer focus and information technology with the knowledge creation process and four knowledge conversion modes. In contrast, a negative and significant relationship has been found between employee training and continuous improvement with the knowledge creation process and three knowledge conversion modes.\n            \n            \n              Research limitations/implications\n              Previous researches in Bangladesh empirically validated the effect of TQM on organizational performance, competitive advantage, financial performance, market performance and productivity. But, no such study was undertaken to empirically validate the effect of TQM on knowledge creation process for organizations of Bangladesh. Here, the study has a unique contribution. The empirical support for the hypotheses to explain and predict the contribution of the TQM in promoting knowledge creation.\n            \n            \n              Practical implications\n              The findings highlight the role of leadership practices. Organizational leadership needs to focus more on following issues: gathering required knowledge from the superior sources; transforming prevailing knowledge into a meaningful format to perform activities in better and innovative ways; employing opinions from experiences; facilitating mechanism for employees to update their knowledge; creating a virtual network; implementing customer relationship management system and providing tools and technologies to employees for performing KM activities more efficiently. On the other hand, negative effect of employee training and continuous improvement on knowledge creation sheds light on understanding the reasons for this kind of relationship and formulating effective strategies to resolve problems inside the organizations. In this regard, employees need to be well equipped through regular and appropriate training. Also, employees need to use problem-solving approach to identify problems inside the organizational system thereby availing opportunities for continuous improvement.\n            \n            \n              Originality/value\n              This study was conducted to identify factors that enable knowledge creation in organizations from developing countries like Bangladesh. TQM has been adopted in many organizations. But, its effect was mostly measured to determine its impact on improving organizational performance or competitiveness or identifying its critical success factors of implementation. Hence, this study sheds light on identifying the effect of TQM from a new perspective.","container-title":"The TQM Journal","DOI":"10.1108/TQM-06-2020-0145","ISSN":"1754-2731","issue":"ahead-of-print","journalAbbreviation":"TQM","language":"en","note":"number: ahead-of-print","source":"DOI.org (Crossref)","title":"Impact of total quality management factors on knowledge creation in the organizations of Bangladesh","URL":"https://www.emerald.com/insight/content/doi/10.1108/TQM-06-2020-0145/full/html","volume":"ahead-of-print","author":[{"family":"Barua","given":"Bikash"}],"accessed":{"date-parts":[["2021",5,21]]},"issued":{"date-parts":[["2021",1,13]]}}}],"schema":"https://github.com/citation-style-language/schema/raw/master/csl-citation.json"} </w:instrText>
      </w:r>
      <w:r w:rsidR="00173BF9" w:rsidRPr="00597FFB">
        <w:rPr>
          <w:rFonts w:ascii="Times New Roman" w:eastAsia="Times New Roman" w:hAnsi="Times New Roman" w:cs="Times New Roman"/>
          <w:bCs/>
          <w:color w:val="000000"/>
          <w:sz w:val="24"/>
          <w:szCs w:val="24"/>
        </w:rPr>
        <w:fldChar w:fldCharType="separate"/>
      </w:r>
      <w:r w:rsidR="00173BF9" w:rsidRPr="00597FFB">
        <w:rPr>
          <w:rFonts w:ascii="Times New Roman" w:hAnsi="Times New Roman" w:cs="Times New Roman"/>
          <w:sz w:val="24"/>
          <w:szCs w:val="24"/>
        </w:rPr>
        <w:t>(Barua, 2021b)</w:t>
      </w:r>
      <w:r w:rsidR="00173BF9" w:rsidRPr="00597FFB">
        <w:rPr>
          <w:rFonts w:ascii="Times New Roman" w:eastAsia="Times New Roman" w:hAnsi="Times New Roman" w:cs="Times New Roman"/>
          <w:bCs/>
          <w:color w:val="000000"/>
          <w:sz w:val="24"/>
          <w:szCs w:val="24"/>
        </w:rPr>
        <w:fldChar w:fldCharType="end"/>
      </w:r>
      <w:r w:rsidR="00173BF9" w:rsidRPr="00597FFB">
        <w:rPr>
          <w:rFonts w:ascii="Times New Roman" w:eastAsia="Times New Roman" w:hAnsi="Times New Roman" w:cs="Times New Roman"/>
          <w:bCs/>
          <w:color w:val="000000"/>
          <w:sz w:val="24"/>
          <w:szCs w:val="24"/>
        </w:rPr>
        <w:t>.</w:t>
      </w:r>
    </w:p>
    <w:p w14:paraId="04AA692A" w14:textId="1BBAB1DD"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Contextual factors:</w:t>
      </w:r>
      <w:r w:rsidRPr="00597FFB">
        <w:rPr>
          <w:rFonts w:ascii="Times New Roman" w:eastAsia="Times New Roman" w:hAnsi="Times New Roman" w:cs="Times New Roman"/>
          <w:bCs/>
          <w:sz w:val="24"/>
          <w:szCs w:val="24"/>
        </w:rPr>
        <w:t xml:space="preserve"> Contextual factors such as attitude to the environment is a tendency expressed by evaluating the natural environment with some degree of likes and dislikes </w:t>
      </w:r>
      <w:r w:rsidR="00173BF9" w:rsidRPr="00597FFB">
        <w:rPr>
          <w:rFonts w:ascii="Times New Roman" w:eastAsia="Times New Roman" w:hAnsi="Times New Roman" w:cs="Times New Roman"/>
          <w:bCs/>
          <w:color w:val="000000"/>
          <w:sz w:val="24"/>
          <w:szCs w:val="24"/>
        </w:rPr>
        <w:fldChar w:fldCharType="begin"/>
      </w:r>
      <w:r w:rsidR="00173BF9" w:rsidRPr="00597FFB">
        <w:rPr>
          <w:rFonts w:ascii="Times New Roman" w:eastAsia="Times New Roman" w:hAnsi="Times New Roman" w:cs="Times New Roman"/>
          <w:bCs/>
          <w:color w:val="000000"/>
          <w:sz w:val="24"/>
          <w:szCs w:val="24"/>
        </w:rPr>
        <w:instrText xml:space="preserve"> ADDIN ZOTERO_ITEM CSL_CITATION {"citationID":"a2ggnb7llgb","properties":{"formattedCitation":"(Adanu et al., 2020c)","plainCitation":"(Adanu et al., 2020c)","noteIndex":0},"citationItems":[{"id":3262,"uris":["http://zotero.org/users/local/b6CRLSJH/items/QLJ88TT6"],"itemData":{"id":3262,"type":"article-journal","abstract":"The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173BF9" w:rsidRPr="00597FFB">
        <w:rPr>
          <w:rFonts w:ascii="Times New Roman" w:eastAsia="Times New Roman" w:hAnsi="Times New Roman" w:cs="Times New Roman"/>
          <w:bCs/>
          <w:color w:val="000000"/>
          <w:sz w:val="24"/>
          <w:szCs w:val="24"/>
        </w:rPr>
        <w:fldChar w:fldCharType="separate"/>
      </w:r>
      <w:r w:rsidR="00173BF9" w:rsidRPr="00597FFB">
        <w:rPr>
          <w:rFonts w:ascii="Times New Roman" w:hAnsi="Times New Roman" w:cs="Times New Roman"/>
          <w:sz w:val="24"/>
          <w:szCs w:val="24"/>
        </w:rPr>
        <w:t>(Adanu et al., 2020c)</w:t>
      </w:r>
      <w:r w:rsidR="00173BF9" w:rsidRPr="00597FFB">
        <w:rPr>
          <w:rFonts w:ascii="Times New Roman" w:eastAsia="Times New Roman" w:hAnsi="Times New Roman" w:cs="Times New Roman"/>
          <w:bCs/>
          <w:color w:val="000000"/>
          <w:sz w:val="24"/>
          <w:szCs w:val="24"/>
        </w:rPr>
        <w:fldChar w:fldCharType="end"/>
      </w:r>
      <w:r w:rsidR="00173BF9" w:rsidRPr="00597FFB">
        <w:rPr>
          <w:rFonts w:ascii="Times New Roman" w:eastAsia="Times New Roman" w:hAnsi="Times New Roman" w:cs="Times New Roman"/>
          <w:bCs/>
          <w:color w:val="000000"/>
          <w:sz w:val="24"/>
          <w:szCs w:val="24"/>
        </w:rPr>
        <w:t>.</w:t>
      </w:r>
    </w:p>
    <w:p w14:paraId="18911CFE" w14:textId="60246171"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Control belief about recycling:</w:t>
      </w:r>
      <w:r w:rsidRPr="00597FFB">
        <w:rPr>
          <w:rFonts w:ascii="Times New Roman" w:eastAsia="Times New Roman" w:hAnsi="Times New Roman" w:cs="Times New Roman"/>
          <w:bCs/>
          <w:sz w:val="24"/>
          <w:szCs w:val="24"/>
        </w:rPr>
        <w:t xml:space="preserve"> </w:t>
      </w:r>
      <w:r w:rsidR="003538E8" w:rsidRPr="00597FFB">
        <w:rPr>
          <w:rFonts w:ascii="Times New Roman" w:eastAsia="Times New Roman" w:hAnsi="Times New Roman" w:cs="Times New Roman"/>
          <w:bCs/>
          <w:sz w:val="24"/>
          <w:szCs w:val="24"/>
        </w:rPr>
        <w:t xml:space="preserve">Drawn from Ajzen (1991), </w:t>
      </w:r>
      <w:r w:rsidRPr="00597FFB">
        <w:rPr>
          <w:rFonts w:ascii="Times New Roman" w:eastAsia="Calibri" w:hAnsi="Times New Roman" w:cs="Times New Roman"/>
          <w:iCs/>
          <w:sz w:val="24"/>
          <w:szCs w:val="24"/>
        </w:rPr>
        <w:t>millennials</w:t>
      </w:r>
      <w:r w:rsidRPr="00597FFB">
        <w:rPr>
          <w:rFonts w:ascii="Times New Roman" w:eastAsia="Times New Roman" w:hAnsi="Times New Roman" w:cs="Times New Roman"/>
          <w:bCs/>
          <w:sz w:val="24"/>
          <w:szCs w:val="24"/>
        </w:rPr>
        <w:t xml:space="preserve">' beliefs </w:t>
      </w:r>
      <w:r w:rsidR="003538E8" w:rsidRPr="00597FFB">
        <w:rPr>
          <w:rFonts w:ascii="Times New Roman" w:eastAsia="Times New Roman" w:hAnsi="Times New Roman" w:cs="Times New Roman"/>
          <w:bCs/>
          <w:sz w:val="24"/>
          <w:szCs w:val="24"/>
        </w:rPr>
        <w:t>concerning</w:t>
      </w:r>
      <w:r w:rsidRPr="00597FFB">
        <w:rPr>
          <w:rFonts w:ascii="Times New Roman" w:eastAsia="Times New Roman" w:hAnsi="Times New Roman" w:cs="Times New Roman"/>
          <w:bCs/>
          <w:sz w:val="24"/>
          <w:szCs w:val="24"/>
        </w:rPr>
        <w:t xml:space="preserve"> the essential </w:t>
      </w:r>
      <w:r w:rsidR="00A54DB9" w:rsidRPr="00597FFB">
        <w:rPr>
          <w:rFonts w:ascii="Times New Roman" w:eastAsia="Times New Roman" w:hAnsi="Times New Roman" w:cs="Times New Roman"/>
          <w:bCs/>
          <w:sz w:val="24"/>
          <w:szCs w:val="24"/>
        </w:rPr>
        <w:t xml:space="preserve">recycling </w:t>
      </w:r>
      <w:r w:rsidRPr="00597FFB">
        <w:rPr>
          <w:rFonts w:ascii="Times New Roman" w:eastAsia="Times New Roman" w:hAnsi="Times New Roman" w:cs="Times New Roman"/>
          <w:bCs/>
          <w:sz w:val="24"/>
          <w:szCs w:val="24"/>
        </w:rPr>
        <w:t xml:space="preserve">parameters.  </w:t>
      </w:r>
    </w:p>
    <w:p w14:paraId="1212009C" w14:textId="29450236"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Convenience:</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The</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magnitude</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of perceived expediency</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to engage</w:t>
      </w:r>
      <w:r w:rsidRPr="00597FFB">
        <w:rPr>
          <w:rFonts w:ascii="Times New Roman" w:eastAsia="Times New Roman" w:hAnsi="Times New Roman" w:cs="Times New Roman"/>
          <w:bCs/>
          <w:sz w:val="24"/>
          <w:szCs w:val="24"/>
        </w:rPr>
        <w:t xml:space="preserve"> in a</w:t>
      </w:r>
      <w:r w:rsidR="0060202D" w:rsidRPr="00597FFB">
        <w:rPr>
          <w:rFonts w:ascii="Times New Roman" w:eastAsia="Times New Roman" w:hAnsi="Times New Roman" w:cs="Times New Roman"/>
          <w:bCs/>
          <w:sz w:val="24"/>
          <w:szCs w:val="24"/>
        </w:rPr>
        <w:t xml:space="preserve"> given</w:t>
      </w:r>
      <w:r w:rsidRPr="00597FFB">
        <w:rPr>
          <w:rFonts w:ascii="Times New Roman" w:eastAsia="Times New Roman" w:hAnsi="Times New Roman" w:cs="Times New Roman"/>
          <w:bCs/>
          <w:sz w:val="24"/>
          <w:szCs w:val="24"/>
        </w:rPr>
        <w:t xml:space="preserve"> behavior (Ajzen, 1991). </w:t>
      </w:r>
      <w:r w:rsidR="0060202D" w:rsidRPr="00597FFB">
        <w:rPr>
          <w:rFonts w:ascii="Times New Roman" w:eastAsia="Times New Roman" w:hAnsi="Times New Roman" w:cs="Times New Roman"/>
          <w:bCs/>
          <w:sz w:val="24"/>
          <w:szCs w:val="24"/>
        </w:rPr>
        <w:t>Thus</w:t>
      </w:r>
      <w:r w:rsidRPr="00597FFB">
        <w:rPr>
          <w:rFonts w:ascii="Times New Roman" w:eastAsia="Times New Roman" w:hAnsi="Times New Roman" w:cs="Times New Roman"/>
          <w:bCs/>
          <w:sz w:val="24"/>
          <w:szCs w:val="24"/>
        </w:rPr>
        <w:t xml:space="preserve">, the convenience of recycling </w:t>
      </w:r>
      <w:r w:rsidR="0060202D" w:rsidRPr="00597FFB">
        <w:rPr>
          <w:rFonts w:ascii="Times New Roman" w:eastAsia="Times New Roman" w:hAnsi="Times New Roman" w:cs="Times New Roman"/>
          <w:bCs/>
          <w:sz w:val="24"/>
          <w:szCs w:val="24"/>
        </w:rPr>
        <w:t>is</w:t>
      </w:r>
      <w:r w:rsidRPr="00597FFB">
        <w:rPr>
          <w:rFonts w:ascii="Times New Roman" w:eastAsia="Times New Roman" w:hAnsi="Times New Roman" w:cs="Times New Roman"/>
          <w:bCs/>
          <w:sz w:val="24"/>
          <w:szCs w:val="24"/>
        </w:rPr>
        <w:t xml:space="preserve"> the </w:t>
      </w:r>
      <w:r w:rsidRPr="00597FFB">
        <w:rPr>
          <w:rFonts w:ascii="Times New Roman" w:eastAsia="Calibri" w:hAnsi="Times New Roman" w:cs="Times New Roman"/>
          <w:iCs/>
          <w:sz w:val="24"/>
          <w:szCs w:val="24"/>
        </w:rPr>
        <w:t>millennials</w:t>
      </w:r>
      <w:r w:rsidRPr="00597FFB">
        <w:rPr>
          <w:rFonts w:ascii="Times New Roman" w:eastAsia="Times New Roman" w:hAnsi="Times New Roman" w:cs="Times New Roman"/>
          <w:bCs/>
          <w:sz w:val="24"/>
          <w:szCs w:val="24"/>
        </w:rPr>
        <w:t xml:space="preserve">' belief about how convenient it is for them to recycle </w:t>
      </w:r>
      <w:r w:rsidR="00173BF9"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{"citationID":"a2isl1ip754","properties":{"formattedCitation":"(Ananno et al., 2021a)","plainCitation":"(Ananno et al., 2021a)","noteIndex":0},"citationItems":[{"id":3428,"uris":["http://zotero.org/users/local/b6CRLSJH/items/5JTQZCBW"],"itemData":{"id":3428,"type":"article-journal","abstract":"This paper aims to establish consumer’s perception of electric waste recycling and management on a national scale in Bangladesh. The attitude, willingness to pay (WTP) and consumers’ behaviour were explored by con­ ducting a questionnaire-based survey. The conclusions are based on 915 valid responses out of 2000 online survey invitations. Interestingly, 37.9% of the respondents indicated that they would accept to pay for electronic waste recycling. Analysis also shows that the preferred WTP would cover 5–10% of the recycling cost. Factors like environmental awareness, monthly income, and education level affect the consumers’ WTP. Nevertheless, most of the participants believe that the Government should share the recycling cost. The study suggests that ewaste recycling can be stimulated by promoting environmental awareness, educating the public about the benefits of recycling e-waste, and making e-waste recycling more convenient. However, additional measures will likely be needed to tackle the e-waste problem. Thus, support for environmental education is imperative in order to promote environmental awareness and increase the WTP of consumers. The study outlines key characteristics of consumer-focused e-waste management archetypes and proposes an effective road map for Bangladesh.","container-title":"Journal of Environmental Management","DOI":"10.1016/j.jenvman.2021.111943","ISSN":"03014797","journalAbbreviation":"Journal of Environmental Management","language":"en","page":"111943","source":"DOI.org (Crossref)","title":"Survey and analysis of consumers’ behaviour for electronic waste management in Bangladesh","volume":"282","author":[{"family":"Ananno","given":"Anan Ashrabi"},{"family":"Masud","given":"Mahadi Hasan"},{"family":"Dabnichki","given":"Peter"},{"family":"Mahjabeen","given":"Mosarrat"},{"family":"Chowdhury","given":"Sami Ahbab"}],"issued":{"date-parts":[["2021",3]]}}}],"schema":"https://github.com/citation-style-language/schema/raw/master/csl-citation.json"} </w:instrText>
      </w:r>
      <w:r w:rsidR="00173BF9"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szCs w:val="24"/>
        </w:rPr>
        <w:t>(Ananno et al., 2021a)</w:t>
      </w:r>
      <w:r w:rsidR="00173BF9" w:rsidRPr="00597FFB">
        <w:rPr>
          <w:rFonts w:ascii="Times New Roman" w:eastAsia="Times New Roman" w:hAnsi="Times New Roman" w:cs="Times New Roman"/>
          <w:bCs/>
          <w:sz w:val="24"/>
          <w:szCs w:val="24"/>
        </w:rPr>
        <w:fldChar w:fldCharType="end"/>
      </w:r>
      <w:r w:rsidR="00173BF9" w:rsidRPr="00597FFB">
        <w:rPr>
          <w:rFonts w:ascii="Times New Roman" w:eastAsia="Times New Roman" w:hAnsi="Times New Roman" w:cs="Times New Roman"/>
          <w:bCs/>
          <w:sz w:val="24"/>
          <w:szCs w:val="24"/>
        </w:rPr>
        <w:t>.</w:t>
      </w:r>
      <w:r w:rsidRPr="00597FFB">
        <w:rPr>
          <w:rFonts w:ascii="Times New Roman" w:eastAsia="Times New Roman" w:hAnsi="Times New Roman" w:cs="Times New Roman"/>
          <w:bCs/>
          <w:sz w:val="24"/>
          <w:szCs w:val="24"/>
        </w:rPr>
        <w:t xml:space="preserve"> </w:t>
      </w:r>
    </w:p>
    <w:p w14:paraId="74C07D73" w14:textId="6E33D421" w:rsidR="00173BF9" w:rsidRPr="00597FFB" w:rsidRDefault="00CB40A2" w:rsidP="00A558FE">
      <w:pPr>
        <w:spacing w:after="0" w:line="480" w:lineRule="auto"/>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
          <w:color w:val="000000"/>
          <w:sz w:val="24"/>
          <w:szCs w:val="24"/>
        </w:rPr>
        <w:t>Consumer recycling Behavior:</w:t>
      </w:r>
      <w:r w:rsidRPr="00597FFB">
        <w:rPr>
          <w:rFonts w:ascii="Times New Roman" w:eastAsia="Times New Roman" w:hAnsi="Times New Roman" w:cs="Times New Roman"/>
          <w:bCs/>
          <w:color w:val="000000"/>
          <w:sz w:val="24"/>
          <w:szCs w:val="24"/>
        </w:rPr>
        <w:t xml:space="preserve"> E-waste disposal behavior refers to the post- phase in which consumers dispose of their E-waste, recycle, or reuse them </w:t>
      </w:r>
      <w:r w:rsidR="00173BF9" w:rsidRPr="00597FFB">
        <w:rPr>
          <w:rFonts w:ascii="Times New Roman" w:eastAsia="Times New Roman" w:hAnsi="Times New Roman" w:cs="Times New Roman"/>
          <w:bCs/>
          <w:color w:val="000000"/>
          <w:sz w:val="24"/>
          <w:szCs w:val="24"/>
        </w:rPr>
        <w:fldChar w:fldCharType="begin"/>
      </w:r>
      <w:r w:rsidR="00173BF9" w:rsidRPr="00597FFB">
        <w:rPr>
          <w:rFonts w:ascii="Times New Roman" w:eastAsia="Times New Roman" w:hAnsi="Times New Roman" w:cs="Times New Roman"/>
          <w:bCs/>
          <w:color w:val="000000"/>
          <w:sz w:val="24"/>
          <w:szCs w:val="24"/>
        </w:rPr>
        <w:instrText xml:space="preserve"> ADDIN ZOTERO_ITEM CSL_CITATION {"citationID":"aobkugsmb9","properties":{"formattedCitation":"(Bimir, 2020b)","plainCitation":"(Bimir, 2020b)","noteIndex":0},"citationItems":[{"id":3720,"uris":["http://zotero.org/users/local/b6CRLSJH/items/CJ5KTVD6"],"itemData":{"id":3720,"type":"article-journal","abstract":"African countries are among the prime destinations of electronic waste (e-waste) also called Waste of Electrical and Electronic Equipment (WEEE), and have been challenged with the management of its environmental and health impacts. This paper was carried out to understand the e-waste sector and policy responses in selected African countries. Data for the study were generated from sources; such as policy documents, legislations and literature. Findings show that the import of WEEE is on rising in Africa while landfill and incineration continued to be widely used handling approaches. Countries studied lack WEEE specific national policies and stringent policy instruments to enforce proper collection and recycling systems. Despite the start-ups in emerging recycling operations, a major gap is that informal e-waste actors dominate the e-waste chain from collection to material extraction and refurbish activities through rudimentary tools that cannot detect toxic elements. Tackling the problem demands integrated multi-actor interventions with multiple stakeholders to reduce WEEE inflow on one hand, and ramping up safe recycling capacity on the other hand.","container-title":"Journal of the Air &amp; Waste Management Association","DOI":"10.1080/10962247.2020.1769769","ISSN":"1096-2247, 2162-2906","issue":"7","journalAbbreviation":"Journal of the Air &amp; Waste Management Association","language":"en","note":"number: 7","page":"659-669","source":"DOI.org (Crossref)","title":"Revisiting e-waste management practices in selected African countries","volume":"70","author":[{"family":"Bimir","given":"Mathias Nigatu"}],"issued":{"date-parts":[["2020",7,2]]}}}],"schema":"https://github.com/citation-style-language/schema/raw/master/csl-citation.json"} </w:instrText>
      </w:r>
      <w:r w:rsidR="00173BF9" w:rsidRPr="00597FFB">
        <w:rPr>
          <w:rFonts w:ascii="Times New Roman" w:eastAsia="Times New Roman" w:hAnsi="Times New Roman" w:cs="Times New Roman"/>
          <w:bCs/>
          <w:color w:val="000000"/>
          <w:sz w:val="24"/>
          <w:szCs w:val="24"/>
        </w:rPr>
        <w:fldChar w:fldCharType="separate"/>
      </w:r>
      <w:r w:rsidR="00173BF9" w:rsidRPr="00597FFB">
        <w:rPr>
          <w:rFonts w:ascii="Times New Roman" w:hAnsi="Times New Roman" w:cs="Times New Roman"/>
          <w:sz w:val="24"/>
          <w:szCs w:val="24"/>
        </w:rPr>
        <w:t>(Bimir, 2020b)</w:t>
      </w:r>
      <w:r w:rsidR="00173BF9" w:rsidRPr="00597FFB">
        <w:rPr>
          <w:rFonts w:ascii="Times New Roman" w:eastAsia="Times New Roman" w:hAnsi="Times New Roman" w:cs="Times New Roman"/>
          <w:bCs/>
          <w:color w:val="000000"/>
          <w:sz w:val="24"/>
          <w:szCs w:val="24"/>
        </w:rPr>
        <w:fldChar w:fldCharType="end"/>
      </w:r>
      <w:r w:rsidR="00173BF9" w:rsidRPr="00597FFB">
        <w:rPr>
          <w:rFonts w:ascii="Times New Roman" w:eastAsia="Times New Roman" w:hAnsi="Times New Roman" w:cs="Times New Roman"/>
          <w:bCs/>
          <w:color w:val="000000"/>
          <w:sz w:val="24"/>
          <w:szCs w:val="24"/>
        </w:rPr>
        <w:t>.</w:t>
      </w:r>
    </w:p>
    <w:p w14:paraId="500D9C06" w14:textId="1E887A17" w:rsidR="00CB40A2" w:rsidRPr="00597FFB" w:rsidRDefault="00CB40A2" w:rsidP="00A558FE">
      <w:pPr>
        <w:spacing w:after="0" w:line="480" w:lineRule="auto"/>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
          <w:color w:val="000000"/>
          <w:sz w:val="24"/>
          <w:szCs w:val="24"/>
        </w:rPr>
        <w:t>Environmental knowledge:</w:t>
      </w:r>
      <w:r w:rsidRPr="00597FFB">
        <w:rPr>
          <w:rFonts w:ascii="Times New Roman" w:eastAsia="Times New Roman" w:hAnsi="Times New Roman" w:cs="Times New Roman"/>
          <w:bCs/>
          <w:color w:val="000000"/>
          <w:sz w:val="24"/>
          <w:szCs w:val="24"/>
        </w:rPr>
        <w:t xml:space="preserve"> This refers to the ability to identify concepts, </w:t>
      </w:r>
    </w:p>
    <w:p w14:paraId="349A7C8C" w14:textId="3ECDF0D5" w:rsidR="00173BF9" w:rsidRPr="00597FFB" w:rsidRDefault="00CB40A2" w:rsidP="00A558FE">
      <w:pPr>
        <w:spacing w:after="0" w:line="480" w:lineRule="auto"/>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symbols, and behaviors related to environmental protection </w:t>
      </w:r>
      <w:bookmarkStart w:id="80" w:name="_Hlk57110978"/>
      <w:r w:rsidR="00173BF9" w:rsidRPr="00597FFB">
        <w:rPr>
          <w:rFonts w:ascii="Times New Roman" w:eastAsia="Times New Roman" w:hAnsi="Times New Roman" w:cs="Times New Roman"/>
          <w:bCs/>
          <w:color w:val="000000"/>
          <w:sz w:val="24"/>
          <w:szCs w:val="24"/>
        </w:rPr>
        <w:fldChar w:fldCharType="begin"/>
      </w:r>
      <w:r w:rsidR="00173BF9" w:rsidRPr="00597FFB">
        <w:rPr>
          <w:rFonts w:ascii="Times New Roman" w:eastAsia="Times New Roman" w:hAnsi="Times New Roman" w:cs="Times New Roman"/>
          <w:bCs/>
          <w:color w:val="000000"/>
          <w:sz w:val="24"/>
          <w:szCs w:val="24"/>
        </w:rPr>
        <w:instrText xml:space="preserve"> ADDIN ZOTERO_ITEM CSL_CITATION {"citationID":"a28k9n1c5ot","properties":{"formattedCitation":"(Alofan et al., 2020b)","plainCitation":"(Alofan et al., 2020b)","noteIndex":0},"citationItems":[{"id":1391,"uris":["http://zotero.org/users/local/b6CRLSJH/items/XNTIVDLL"],"itemData":{"id":1391,"type":"article-journal","container-title":"Journal of Business Research","DOI":"10.1016/j.jbusres.2019.11.037","ISSN":"01482963","journalAbbreviation":"Journal of Business Research","language":"en","page":"184-199","source":"DOI.org (Crossref)","title":"National cultural distance, organizational culture, and adaptation of management innovations in foreign subsidiaries: A fuzzy set analysis of TQM implementation in Saudi Arabia","title-short":"National cultural distance, organizational culture, and adaptation of management innovations in foreign subsidiaries","volume":"109","author":[{"family":"Alofan","given":"Fahad"},{"family":"Chen","given":"Stephen"},{"family":"Tan","given":"Hao"}],"issued":{"date-parts":[["2020",3]]}}}],"schema":"https://github.com/citation-style-language/schema/raw/master/csl-citation.json"} </w:instrText>
      </w:r>
      <w:r w:rsidR="00173BF9" w:rsidRPr="00597FFB">
        <w:rPr>
          <w:rFonts w:ascii="Times New Roman" w:eastAsia="Times New Roman" w:hAnsi="Times New Roman" w:cs="Times New Roman"/>
          <w:bCs/>
          <w:color w:val="000000"/>
          <w:sz w:val="24"/>
          <w:szCs w:val="24"/>
        </w:rPr>
        <w:fldChar w:fldCharType="separate"/>
      </w:r>
      <w:r w:rsidR="00173BF9" w:rsidRPr="00597FFB">
        <w:rPr>
          <w:rFonts w:ascii="Times New Roman" w:hAnsi="Times New Roman" w:cs="Times New Roman"/>
          <w:sz w:val="24"/>
          <w:szCs w:val="24"/>
        </w:rPr>
        <w:t>(Alofan et al., 2020b)</w:t>
      </w:r>
      <w:r w:rsidR="00173BF9" w:rsidRPr="00597FFB">
        <w:rPr>
          <w:rFonts w:ascii="Times New Roman" w:eastAsia="Times New Roman" w:hAnsi="Times New Roman" w:cs="Times New Roman"/>
          <w:bCs/>
          <w:color w:val="000000"/>
          <w:sz w:val="24"/>
          <w:szCs w:val="24"/>
        </w:rPr>
        <w:fldChar w:fldCharType="end"/>
      </w:r>
      <w:r w:rsidR="00173BF9" w:rsidRPr="00597FFB">
        <w:rPr>
          <w:rFonts w:ascii="Times New Roman" w:eastAsia="Times New Roman" w:hAnsi="Times New Roman" w:cs="Times New Roman"/>
          <w:bCs/>
          <w:color w:val="000000"/>
          <w:sz w:val="24"/>
          <w:szCs w:val="24"/>
        </w:rPr>
        <w:t>.</w:t>
      </w:r>
    </w:p>
    <w:p w14:paraId="678F0A19" w14:textId="40C533AC" w:rsidR="00173BF9" w:rsidRPr="00597FFB" w:rsidRDefault="00CB40A2" w:rsidP="00A558FE">
      <w:pPr>
        <w:spacing w:after="0" w:line="480" w:lineRule="auto"/>
        <w:jc w:val="both"/>
        <w:rPr>
          <w:rFonts w:ascii="Times New Roman" w:eastAsia="Calibri" w:hAnsi="Times New Roman" w:cs="Times New Roman"/>
          <w:iCs/>
          <w:color w:val="000000"/>
          <w:sz w:val="24"/>
          <w:szCs w:val="24"/>
        </w:rPr>
      </w:pPr>
      <w:r w:rsidRPr="00597FFB">
        <w:rPr>
          <w:rFonts w:ascii="Times New Roman" w:eastAsia="Calibri" w:hAnsi="Times New Roman" w:cs="Times New Roman"/>
          <w:b/>
          <w:bCs/>
          <w:iCs/>
          <w:color w:val="000000"/>
          <w:sz w:val="24"/>
          <w:szCs w:val="24"/>
        </w:rPr>
        <w:t xml:space="preserve">Extended Producer Responsibility: </w:t>
      </w:r>
      <w:r w:rsidRPr="00597FFB">
        <w:rPr>
          <w:rFonts w:ascii="Times New Roman" w:eastAsia="Calibri" w:hAnsi="Times New Roman" w:cs="Times New Roman"/>
          <w:iCs/>
          <w:color w:val="000000"/>
          <w:sz w:val="24"/>
          <w:szCs w:val="24"/>
        </w:rPr>
        <w:t xml:space="preserve">Is a policy approach under which producers are given a significant responsibility, financial and/or physical, for the treatment or disposal of post-consumer products. Assigning such responsibility could in principle provide incentives to prevent wastes at the source, promote product design for the environment and support the achievement of public recycling and materials management goals </w:t>
      </w:r>
      <w:r w:rsidR="00B35F6C" w:rsidRPr="00597FFB">
        <w:rPr>
          <w:rFonts w:ascii="Times New Roman" w:eastAsia="Calibri" w:hAnsi="Times New Roman" w:cs="Times New Roman"/>
          <w:iCs/>
          <w:color w:val="000000"/>
          <w:sz w:val="24"/>
          <w:szCs w:val="24"/>
        </w:rPr>
        <w:fldChar w:fldCharType="begin"/>
      </w:r>
      <w:r w:rsidR="00173BF9" w:rsidRPr="00597FFB">
        <w:rPr>
          <w:rFonts w:ascii="Times New Roman" w:eastAsia="Calibri" w:hAnsi="Times New Roman" w:cs="Times New Roman"/>
          <w:iCs/>
          <w:color w:val="000000"/>
          <w:sz w:val="24"/>
          <w:szCs w:val="24"/>
        </w:rPr>
        <w:instrText xml:space="preserve"> ADDIN ZOTERO_ITEM CSL_CITATION {"citationID":"a18oi04t9gm","properties":{"formattedCitation":"(Adanu et al., 2020a)","plainCitation":"(Adanu et al., 2020a)","noteIndex":0},"citationItems":[{"id":3726,"uris":["http://zotero.org/users/local/b6CRLSJH/items/F8K4ZZVG"],"itemData":{"id":3726,"type":"article-journal","abstract":"The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management.","container-title":"Heliyon","DOI":"10.1016/j.heliyon.2020.e04548","ISSN":"24058440","issue":"8","journalAbbreviation":"Heliyon","language":"en","note":"number: 8","page":"e04548","source":"DOI.org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00B35F6C" w:rsidRPr="00597FFB">
        <w:rPr>
          <w:rFonts w:ascii="Times New Roman" w:eastAsia="Calibri" w:hAnsi="Times New Roman" w:cs="Times New Roman"/>
          <w:iCs/>
          <w:color w:val="000000"/>
          <w:sz w:val="24"/>
          <w:szCs w:val="24"/>
        </w:rPr>
        <w:fldChar w:fldCharType="separate"/>
      </w:r>
      <w:r w:rsidR="00173BF9" w:rsidRPr="00597FFB">
        <w:rPr>
          <w:rFonts w:ascii="Times New Roman" w:hAnsi="Times New Roman" w:cs="Times New Roman"/>
          <w:sz w:val="24"/>
          <w:szCs w:val="24"/>
        </w:rPr>
        <w:t>(Adanu et al., 2020a)</w:t>
      </w:r>
      <w:r w:rsidR="00B35F6C" w:rsidRPr="00597FFB">
        <w:rPr>
          <w:rFonts w:ascii="Times New Roman" w:eastAsia="Calibri" w:hAnsi="Times New Roman" w:cs="Times New Roman"/>
          <w:iCs/>
          <w:color w:val="000000"/>
          <w:sz w:val="24"/>
          <w:szCs w:val="24"/>
        </w:rPr>
        <w:fldChar w:fldCharType="end"/>
      </w:r>
      <w:r w:rsidR="00173BF9" w:rsidRPr="00597FFB">
        <w:rPr>
          <w:rFonts w:ascii="Times New Roman" w:eastAsia="Calibri" w:hAnsi="Times New Roman" w:cs="Times New Roman"/>
          <w:iCs/>
          <w:color w:val="000000"/>
          <w:sz w:val="24"/>
          <w:szCs w:val="24"/>
        </w:rPr>
        <w:t>.</w:t>
      </w:r>
    </w:p>
    <w:p w14:paraId="016F7C44" w14:textId="13AD5C50" w:rsidR="00B35F6C" w:rsidRPr="00597FFB" w:rsidRDefault="00CB40A2" w:rsidP="00A558FE">
      <w:pPr>
        <w:spacing w:after="0" w:line="480" w:lineRule="auto"/>
        <w:jc w:val="both"/>
        <w:rPr>
          <w:rFonts w:ascii="Times New Roman" w:eastAsia="Calibri" w:hAnsi="Times New Roman" w:cs="Times New Roman"/>
          <w:iCs/>
          <w:color w:val="000000"/>
          <w:sz w:val="24"/>
          <w:szCs w:val="24"/>
        </w:rPr>
      </w:pPr>
      <w:r w:rsidRPr="00597FFB">
        <w:rPr>
          <w:rFonts w:ascii="Times New Roman" w:eastAsia="Calibri" w:hAnsi="Times New Roman" w:cs="Times New Roman"/>
          <w:b/>
          <w:bCs/>
          <w:iCs/>
          <w:color w:val="000000"/>
          <w:sz w:val="24"/>
          <w:szCs w:val="24"/>
        </w:rPr>
        <w:t>E-waste refers to an end-of-life</w:t>
      </w:r>
      <w:r w:rsidRPr="00597FFB">
        <w:rPr>
          <w:rFonts w:ascii="Times New Roman" w:eastAsia="Calibri" w:hAnsi="Times New Roman" w:cs="Times New Roman"/>
          <w:iCs/>
          <w:color w:val="000000"/>
          <w:sz w:val="24"/>
          <w:szCs w:val="24"/>
        </w:rPr>
        <w:t xml:space="preserve"> electrical and electronic product such as a household appliance (Xu &amp; Yeh, 2017).</w:t>
      </w:r>
      <w:bookmarkStart w:id="81" w:name="_Hlk57125154"/>
      <w:r w:rsidRPr="00597FFB">
        <w:rPr>
          <w:rFonts w:ascii="Calibri" w:eastAsia="Calibri" w:hAnsi="Calibri" w:cs="Arial"/>
        </w:rPr>
        <w:t xml:space="preserve"> </w:t>
      </w:r>
      <w:r w:rsidRPr="00597FFB">
        <w:rPr>
          <w:rFonts w:ascii="Times New Roman" w:eastAsia="Calibri" w:hAnsi="Times New Roman" w:cs="Times New Roman"/>
          <w:iCs/>
          <w:color w:val="000000"/>
          <w:sz w:val="24"/>
          <w:szCs w:val="24"/>
        </w:rPr>
        <w:t xml:space="preserve">Although there is no standard definition for WEEE as yet in Lesotho, the European Union (EU) Directive defines “Electrical or electronic equipment waste as all components, sub-assemblies and consumables, which are part of the product at the time of discarding </w:t>
      </w:r>
      <w:r w:rsidR="00B35F6C" w:rsidRPr="00597FFB">
        <w:rPr>
          <w:rFonts w:ascii="Times New Roman" w:eastAsia="Calibri" w:hAnsi="Times New Roman" w:cs="Times New Roman"/>
          <w:iCs/>
          <w:color w:val="000000"/>
          <w:sz w:val="24"/>
          <w:szCs w:val="24"/>
        </w:rPr>
        <w:fldChar w:fldCharType="begin"/>
      </w:r>
      <w:r w:rsidR="00173BF9" w:rsidRPr="00597FFB">
        <w:rPr>
          <w:rFonts w:ascii="Times New Roman" w:eastAsia="Calibri" w:hAnsi="Times New Roman" w:cs="Times New Roman"/>
          <w:iCs/>
          <w:color w:val="000000"/>
          <w:sz w:val="24"/>
          <w:szCs w:val="24"/>
        </w:rPr>
        <w:instrText xml:space="preserve"> ADDIN ZOTERO_ITEM CSL_CITATION {"citationID":"a2n1efjpnma","properties":{"formattedCitation":"(Blose et al., 2020)","plainCitation":"(Blose et al., 2020)","noteIndex":0},"citationItems":[{"id":4157,"uris":["http://zotero.org/users/local/b6CRLSJH/items/ZVKJLWPF"],"itemData":{"id":4157,"type":"article-journal","container-title":"Journal of International Consumer Marketing","DOI":"10.1080/08961530.2019.1618776","ISSN":"0896-1530, 1528-7068","issue":"1","journalAbbreviation":"Journal of International Consumer Marketing","language":"en","page":"33-46","source":"DOI.org (Crossref)","title":"Exploring Young U.S. and Chinese Consumers’ Motivations to Recycle","volume":"32","author":[{"family":"Blose","given":"Julia E."},{"family":"Mack","given":"Rhonda W."},{"family":"Pitts","given":"Robert E."},{"family":"Xie","given":"Henry Y."}],"issued":{"date-parts":[["2020",1,1]]}}}],"schema":"https://github.com/citation-style-language/schema/raw/master/csl-citation.json"} </w:instrText>
      </w:r>
      <w:r w:rsidR="00B35F6C" w:rsidRPr="00597FFB">
        <w:rPr>
          <w:rFonts w:ascii="Times New Roman" w:eastAsia="Calibri" w:hAnsi="Times New Roman" w:cs="Times New Roman"/>
          <w:iCs/>
          <w:color w:val="000000"/>
          <w:sz w:val="24"/>
          <w:szCs w:val="24"/>
        </w:rPr>
        <w:fldChar w:fldCharType="separate"/>
      </w:r>
      <w:r w:rsidR="00173BF9" w:rsidRPr="00597FFB">
        <w:rPr>
          <w:rFonts w:ascii="Times New Roman" w:hAnsi="Times New Roman" w:cs="Times New Roman"/>
          <w:sz w:val="24"/>
          <w:szCs w:val="24"/>
        </w:rPr>
        <w:t>(Blose et al., 2020)</w:t>
      </w:r>
      <w:r w:rsidR="00B35F6C" w:rsidRPr="00597FFB">
        <w:rPr>
          <w:rFonts w:ascii="Times New Roman" w:eastAsia="Calibri" w:hAnsi="Times New Roman" w:cs="Times New Roman"/>
          <w:iCs/>
          <w:color w:val="000000"/>
          <w:sz w:val="24"/>
          <w:szCs w:val="24"/>
        </w:rPr>
        <w:fldChar w:fldCharType="end"/>
      </w:r>
      <w:r w:rsidR="00B35F6C" w:rsidRPr="00597FFB">
        <w:rPr>
          <w:rFonts w:ascii="Times New Roman" w:eastAsia="Calibri" w:hAnsi="Times New Roman" w:cs="Times New Roman"/>
          <w:iCs/>
          <w:color w:val="000000"/>
          <w:sz w:val="24"/>
          <w:szCs w:val="24"/>
        </w:rPr>
        <w:t>.</w:t>
      </w:r>
    </w:p>
    <w:p w14:paraId="3E5C54C0" w14:textId="3893FA66" w:rsidR="00CB40A2" w:rsidRPr="00597FFB" w:rsidRDefault="00CB40A2" w:rsidP="00A558FE">
      <w:pPr>
        <w:spacing w:after="0" w:line="480" w:lineRule="auto"/>
        <w:jc w:val="both"/>
        <w:rPr>
          <w:rFonts w:ascii="Times New Roman" w:eastAsia="Calibri" w:hAnsi="Times New Roman" w:cs="Times New Roman"/>
          <w:iCs/>
          <w:color w:val="000000"/>
          <w:sz w:val="24"/>
          <w:szCs w:val="24"/>
        </w:rPr>
      </w:pPr>
      <w:r w:rsidRPr="00597FFB">
        <w:rPr>
          <w:rFonts w:ascii="Times New Roman" w:eastAsia="Calibri" w:hAnsi="Times New Roman" w:cs="Times New Roman"/>
          <w:b/>
          <w:bCs/>
          <w:iCs/>
          <w:color w:val="000000"/>
          <w:sz w:val="24"/>
          <w:szCs w:val="24"/>
        </w:rPr>
        <w:t>Knowledge</w:t>
      </w:r>
      <w:r w:rsidRPr="00597FFB">
        <w:rPr>
          <w:rFonts w:ascii="Times New Roman" w:eastAsia="Calibri" w:hAnsi="Times New Roman" w:cs="Times New Roman"/>
          <w:iCs/>
          <w:color w:val="000000"/>
          <w:sz w:val="24"/>
          <w:szCs w:val="24"/>
        </w:rPr>
        <w:t>:</w:t>
      </w:r>
      <w:r w:rsidRPr="00597FFB">
        <w:rPr>
          <w:rFonts w:ascii="Calibri" w:eastAsia="Calibri" w:hAnsi="Calibri" w:cs="Arial"/>
        </w:rPr>
        <w:t xml:space="preserve"> </w:t>
      </w:r>
      <w:r w:rsidRPr="00597FFB">
        <w:rPr>
          <w:rFonts w:ascii="Times New Roman" w:eastAsia="Calibri" w:hAnsi="Times New Roman" w:cs="Times New Roman"/>
          <w:iCs/>
          <w:color w:val="000000"/>
          <w:sz w:val="24"/>
          <w:szCs w:val="24"/>
        </w:rPr>
        <w:t xml:space="preserve">Facts, information, and skills acquired through experience or education </w:t>
      </w:r>
      <w:r w:rsidR="00B35F6C" w:rsidRPr="00597FFB">
        <w:rPr>
          <w:rFonts w:ascii="Times New Roman" w:eastAsia="Calibri" w:hAnsi="Times New Roman" w:cs="Times New Roman"/>
          <w:iCs/>
          <w:color w:val="000000"/>
          <w:sz w:val="24"/>
          <w:szCs w:val="24"/>
        </w:rPr>
        <w:fldChar w:fldCharType="begin"/>
      </w:r>
      <w:r w:rsidR="00173BF9" w:rsidRPr="00597FFB">
        <w:rPr>
          <w:rFonts w:ascii="Times New Roman" w:eastAsia="Calibri" w:hAnsi="Times New Roman" w:cs="Times New Roman"/>
          <w:iCs/>
          <w:color w:val="000000"/>
          <w:sz w:val="24"/>
          <w:szCs w:val="24"/>
        </w:rPr>
        <w:instrText xml:space="preserve"> ADDIN ZOTERO_ITEM CSL_CITATION {"citationID":"a6pj90khuh","properties":{"formattedCitation":"(A. Ali et al., 2020)","plainCitation":"(A. Ali et al., 2020)","noteIndex":0},"citationItems":[{"id":4276,"uris":["http://zotero.org/users/local/b6CRLSJH/items/LBH5LSFZ"],"itemData":{"id":4276,"type":"article-journal","container-title":"Journal of Food Products Marketing","DOI":"10.1080/10454446.2020.1846148","ISSN":"1045-4446, 1540-4102","issue":"9","journalAbbreviation":"Journal of Food Products Marketing","language":"en","page":"581-599","source":"DOI.org (Crossref)","title":"The Moderating Role of Individualism/Collectivism and Materialism: An Application of the Theory of Planned Behavior (TPB) in Halal Food Purchasing","title-short":"The Moderating Role of Individualism/Collectivism and Materialism","volume":"26","author":[{"family":"Ali","given":"Afzaal"},{"family":"Sherwani","given":"Mehkar"},{"family":"Ali","given":"Adnan"},{"family":"Ali","given":"Zeeshan"},{"family":"Sherwani","given":"Shahid"}],"issued":{"date-parts":[["2020",11,21]]}}}],"schema":"https://github.com/citation-style-language/schema/raw/master/csl-citation.json"} </w:instrText>
      </w:r>
      <w:r w:rsidR="00B35F6C" w:rsidRPr="00597FFB">
        <w:rPr>
          <w:rFonts w:ascii="Times New Roman" w:eastAsia="Calibri" w:hAnsi="Times New Roman" w:cs="Times New Roman"/>
          <w:iCs/>
          <w:color w:val="000000"/>
          <w:sz w:val="24"/>
          <w:szCs w:val="24"/>
        </w:rPr>
        <w:fldChar w:fldCharType="separate"/>
      </w:r>
      <w:r w:rsidR="00173BF9" w:rsidRPr="00597FFB">
        <w:rPr>
          <w:rFonts w:ascii="Times New Roman" w:hAnsi="Times New Roman" w:cs="Times New Roman"/>
          <w:sz w:val="24"/>
          <w:szCs w:val="24"/>
        </w:rPr>
        <w:t>(A. Ali et al., 2020)</w:t>
      </w:r>
      <w:r w:rsidR="00B35F6C" w:rsidRPr="00597FFB">
        <w:rPr>
          <w:rFonts w:ascii="Times New Roman" w:eastAsia="Calibri" w:hAnsi="Times New Roman" w:cs="Times New Roman"/>
          <w:iCs/>
          <w:color w:val="000000"/>
          <w:sz w:val="24"/>
          <w:szCs w:val="24"/>
        </w:rPr>
        <w:fldChar w:fldCharType="end"/>
      </w:r>
      <w:r w:rsidR="00B35F6C" w:rsidRPr="00597FFB">
        <w:rPr>
          <w:rFonts w:ascii="Times New Roman" w:eastAsia="Calibri" w:hAnsi="Times New Roman" w:cs="Times New Roman"/>
          <w:iCs/>
          <w:color w:val="000000"/>
          <w:sz w:val="24"/>
          <w:szCs w:val="24"/>
        </w:rPr>
        <w:t>.</w:t>
      </w:r>
    </w:p>
    <w:p w14:paraId="5E5EE157" w14:textId="17EAF68F" w:rsidR="00B35F6C"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Calibri" w:hAnsi="Times New Roman" w:cs="Times New Roman"/>
          <w:b/>
          <w:bCs/>
          <w:iCs/>
          <w:color w:val="000000"/>
          <w:sz w:val="24"/>
          <w:szCs w:val="24"/>
        </w:rPr>
        <w:t>Millennials</w:t>
      </w:r>
      <w:bookmarkEnd w:id="80"/>
      <w:bookmarkEnd w:id="81"/>
      <w:r w:rsidRPr="00597FFB">
        <w:rPr>
          <w:rFonts w:ascii="Times New Roman" w:eastAsia="Times New Roman" w:hAnsi="Times New Roman" w:cs="Times New Roman"/>
          <w:b/>
          <w:sz w:val="24"/>
          <w:szCs w:val="24"/>
        </w:rPr>
        <w:t>:</w:t>
      </w:r>
      <w:r w:rsidRPr="00597FFB">
        <w:rPr>
          <w:rFonts w:ascii="Times New Roman" w:eastAsia="Times New Roman" w:hAnsi="Times New Roman" w:cs="Times New Roman"/>
          <w:bCs/>
          <w:sz w:val="24"/>
          <w:szCs w:val="24"/>
        </w:rPr>
        <w:t xml:space="preserve"> The term </w:t>
      </w:r>
      <w:r w:rsidRPr="00597FFB">
        <w:rPr>
          <w:rFonts w:ascii="Times New Roman" w:eastAsia="Times New Roman" w:hAnsi="Times New Roman" w:cs="Times New Roman"/>
          <w:iCs/>
          <w:sz w:val="24"/>
          <w:szCs w:val="24"/>
        </w:rPr>
        <w:t>millennials</w:t>
      </w:r>
      <w:r w:rsidRPr="00597FFB">
        <w:rPr>
          <w:rFonts w:ascii="Times New Roman" w:eastAsia="Times New Roman" w:hAnsi="Times New Roman" w:cs="Times New Roman"/>
          <w:sz w:val="24"/>
          <w:szCs w:val="24"/>
        </w:rPr>
        <w:t xml:space="preserve"> </w:t>
      </w:r>
      <w:r w:rsidRPr="00597FFB">
        <w:rPr>
          <w:rFonts w:ascii="Times New Roman" w:eastAsia="Times New Roman" w:hAnsi="Times New Roman" w:cs="Times New Roman"/>
          <w:bCs/>
          <w:sz w:val="24"/>
          <w:szCs w:val="24"/>
        </w:rPr>
        <w:t xml:space="preserve">comprise consumers who are born between 1980 and 2000. They are considered the born green generation </w:t>
      </w:r>
      <w:r w:rsidR="00B35F6C" w:rsidRPr="00597FFB">
        <w:rPr>
          <w:rFonts w:ascii="Times New Roman" w:eastAsia="Times New Roman" w:hAnsi="Times New Roman" w:cs="Times New Roman"/>
          <w:bCs/>
          <w:sz w:val="24"/>
          <w:szCs w:val="24"/>
        </w:rPr>
        <w:fldChar w:fldCharType="begin"/>
      </w:r>
      <w:r w:rsidR="00173BF9" w:rsidRPr="00597FFB">
        <w:rPr>
          <w:rFonts w:ascii="Times New Roman" w:eastAsia="Times New Roman" w:hAnsi="Times New Roman" w:cs="Times New Roman"/>
          <w:bCs/>
          <w:sz w:val="24"/>
          <w:szCs w:val="24"/>
        </w:rPr>
        <w:instrText xml:space="preserve"> ADDIN ZOTERO_ITEM CSL_CITATION {"citationID":"amm8u2hvi8","properties":{"formattedCitation":"(A. Islam et al., 2020)","plainCitation":"(A. Islam et al., 2020)","noteIndex":0},"citationItems":[{"id":2390,"uris":["http://zotero.org/users/local/b6CRLSJH/items/7H2J2LTM"],"itemData":{"id":2390,"type":"article-journal","abstract":"For the rapid growth of population electrical and electronics equipment waste are generated 20 to 50 million tones in world-wide. Half a tonne of e-waste creates by the resident of advanced country in every year. E-waste contains different toxic substances including metals, plastics and refractory oxides which are hazardous or risky for our environment and human wellbeing, thus e-waste management is an essential. Hence, this review outlined the global status of e-waste and its current progress on management worldwide. An exhaustive survey of literature was made on the latest technological approaches in noble and base metals recovery from waste printed circuit boards (PCBs) of electrical and electronic equipment. An emphasis was given to review the most important features of existing industrial routes associated with the metal recovery systems from PCBs. The discussions of green technologies as alternatives of conventional approaches to obtain precious metals from e-waste were overviewed. The application of microbial bioleaching approaches in the extraction metals from e-waste was highlighted. Finally, the concern for the challenges and barriers associated with the e-waste management process in Bangladesh was outlined.","container-title":"Journal of Cleaner Production","DOI":"10.1016/j.jclepro.2019.118815","ISSN":"09596526","journalAbbreviation":"Journal of Cleaner Production","language":"en","page":"118815","source":"DOI.org (Crossref)","title":"Advances in sustainable approaches to recover metals from e-waste-A review","volume":"244","author":[{"family":"Islam","given":"Aminul"},{"family":"Ahmed","given":"Tofayal"},{"family":"Awual","given":"Md. Rabiul"},{"family":"Rahman","given":"Aminur"},{"family":"Sultana","given":"Monira"},{"family":"Aziz","given":"Azrina Abd"},{"family":"Monir","given":"Minhaj Uddin"},{"family":"Teo","given":"Siow Hwa"},{"family":"Hasan","given":"Mehedi"}],"issued":{"date-parts":[["2020",1]]}}}],"schema":"https://github.com/citation-style-language/schema/raw/master/csl-citation.json"}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173BF9" w:rsidRPr="00597FFB">
        <w:rPr>
          <w:rFonts w:ascii="Times New Roman" w:hAnsi="Times New Roman" w:cs="Times New Roman"/>
          <w:sz w:val="24"/>
          <w:szCs w:val="24"/>
        </w:rPr>
        <w:t>(A. Islam et al., 2020)</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w:t>
      </w:r>
    </w:p>
    <w:p w14:paraId="710284AF" w14:textId="0A111AF4"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Municipal solid waste:</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A</w:t>
      </w:r>
      <w:r w:rsidRPr="00597FFB">
        <w:rPr>
          <w:rFonts w:ascii="Times New Roman" w:eastAsia="Times New Roman" w:hAnsi="Times New Roman" w:cs="Times New Roman"/>
          <w:bCs/>
          <w:sz w:val="24"/>
          <w:szCs w:val="24"/>
        </w:rPr>
        <w:t xml:space="preserve"> household waste </w:t>
      </w:r>
      <w:r w:rsidR="0060202D" w:rsidRPr="00597FFB">
        <w:rPr>
          <w:rFonts w:ascii="Times New Roman" w:eastAsia="Times New Roman" w:hAnsi="Times New Roman" w:cs="Times New Roman"/>
          <w:bCs/>
          <w:sz w:val="24"/>
          <w:szCs w:val="24"/>
        </w:rPr>
        <w:t>that originates from household level</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due to</w:t>
      </w:r>
      <w:r w:rsidRPr="00597FFB">
        <w:rPr>
          <w:rFonts w:ascii="Times New Roman" w:eastAsia="Times New Roman" w:hAnsi="Times New Roman" w:cs="Times New Roman"/>
          <w:bCs/>
          <w:sz w:val="24"/>
          <w:szCs w:val="24"/>
        </w:rPr>
        <w:t xml:space="preserve"> domestic activity </w:t>
      </w:r>
      <w:r w:rsidR="0060202D" w:rsidRPr="00597FFB">
        <w:rPr>
          <w:rFonts w:ascii="Times New Roman" w:eastAsia="Times New Roman" w:hAnsi="Times New Roman" w:cs="Times New Roman"/>
          <w:bCs/>
          <w:sz w:val="24"/>
          <w:szCs w:val="24"/>
        </w:rPr>
        <w:t>at</w:t>
      </w:r>
      <w:r w:rsidRPr="00597FFB">
        <w:rPr>
          <w:rFonts w:ascii="Times New Roman" w:eastAsia="Times New Roman" w:hAnsi="Times New Roman" w:cs="Times New Roman"/>
          <w:bCs/>
          <w:sz w:val="24"/>
          <w:szCs w:val="24"/>
        </w:rPr>
        <w:t xml:space="preserve"> households</w:t>
      </w:r>
      <w:r w:rsidR="0060202D" w:rsidRPr="00597FFB">
        <w:rPr>
          <w:rFonts w:ascii="Times New Roman" w:eastAsia="Times New Roman" w:hAnsi="Times New Roman" w:cs="Times New Roman"/>
          <w:bCs/>
          <w:sz w:val="24"/>
          <w:szCs w:val="24"/>
        </w:rPr>
        <w:t>’ level</w:t>
      </w:r>
      <w:r w:rsidRPr="00597FFB">
        <w:rPr>
          <w:rFonts w:ascii="Times New Roman" w:eastAsia="Times New Roman" w:hAnsi="Times New Roman" w:cs="Times New Roman"/>
          <w:bCs/>
          <w:sz w:val="24"/>
          <w:szCs w:val="24"/>
        </w:rPr>
        <w:t xml:space="preserve">) and </w:t>
      </w:r>
      <w:r w:rsidR="0060202D" w:rsidRPr="00597FFB">
        <w:rPr>
          <w:rFonts w:ascii="Times New Roman" w:eastAsia="Times New Roman" w:hAnsi="Times New Roman" w:cs="Times New Roman"/>
          <w:bCs/>
          <w:sz w:val="24"/>
          <w:szCs w:val="24"/>
        </w:rPr>
        <w:t>related</w:t>
      </w:r>
      <w:r w:rsidRPr="00597FFB">
        <w:rPr>
          <w:rFonts w:ascii="Times New Roman" w:eastAsia="Times New Roman" w:hAnsi="Times New Roman" w:cs="Times New Roman"/>
          <w:bCs/>
          <w:sz w:val="24"/>
          <w:szCs w:val="24"/>
        </w:rPr>
        <w:t xml:space="preserve"> waste </w:t>
      </w:r>
      <w:r w:rsidR="0060202D" w:rsidRPr="00597FFB">
        <w:rPr>
          <w:rFonts w:ascii="Times New Roman" w:eastAsia="Times New Roman" w:hAnsi="Times New Roman" w:cs="Times New Roman"/>
          <w:bCs/>
          <w:sz w:val="24"/>
          <w:szCs w:val="24"/>
        </w:rPr>
        <w:t xml:space="preserve">generated by office buildings, </w:t>
      </w:r>
      <w:r w:rsidRPr="00597FFB">
        <w:rPr>
          <w:rFonts w:ascii="Times New Roman" w:eastAsia="Times New Roman" w:hAnsi="Times New Roman" w:cs="Times New Roman"/>
          <w:bCs/>
          <w:sz w:val="24"/>
          <w:szCs w:val="24"/>
        </w:rPr>
        <w:t xml:space="preserve">small commercial activities, institutions such as </w:t>
      </w:r>
      <w:r w:rsidR="0060202D" w:rsidRPr="00597FFB">
        <w:rPr>
          <w:rFonts w:ascii="Times New Roman" w:eastAsia="Times New Roman" w:hAnsi="Times New Roman" w:cs="Times New Roman"/>
          <w:bCs/>
          <w:sz w:val="24"/>
          <w:szCs w:val="24"/>
        </w:rPr>
        <w:t xml:space="preserve">government buildings </w:t>
      </w:r>
      <w:r w:rsidRPr="00597FFB">
        <w:rPr>
          <w:rFonts w:ascii="Times New Roman" w:eastAsia="Times New Roman" w:hAnsi="Times New Roman" w:cs="Times New Roman"/>
          <w:bCs/>
          <w:sz w:val="24"/>
          <w:szCs w:val="24"/>
        </w:rPr>
        <w:t>and</w:t>
      </w:r>
      <w:r w:rsidR="0060202D" w:rsidRPr="00597FFB">
        <w:rPr>
          <w:rFonts w:ascii="Times New Roman" w:eastAsia="Times New Roman" w:hAnsi="Times New Roman" w:cs="Times New Roman"/>
          <w:bCs/>
          <w:sz w:val="24"/>
          <w:szCs w:val="24"/>
        </w:rPr>
        <w:t xml:space="preserve"> schools</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as well as</w:t>
      </w:r>
      <w:r w:rsidRPr="00597FFB">
        <w:rPr>
          <w:rFonts w:ascii="Times New Roman" w:eastAsia="Times New Roman" w:hAnsi="Times New Roman" w:cs="Times New Roman"/>
          <w:bCs/>
          <w:sz w:val="24"/>
          <w:szCs w:val="24"/>
        </w:rPr>
        <w:t xml:space="preserve"> small businesses that </w:t>
      </w:r>
      <w:r w:rsidR="0060202D" w:rsidRPr="00597FFB">
        <w:rPr>
          <w:rFonts w:ascii="Times New Roman" w:eastAsia="Times New Roman" w:hAnsi="Times New Roman" w:cs="Times New Roman"/>
          <w:bCs/>
          <w:sz w:val="24"/>
          <w:szCs w:val="24"/>
        </w:rPr>
        <w:t xml:space="preserve">dispose of </w:t>
      </w:r>
      <w:r w:rsidRPr="00597FFB">
        <w:rPr>
          <w:rFonts w:ascii="Times New Roman" w:eastAsia="Times New Roman" w:hAnsi="Times New Roman" w:cs="Times New Roman"/>
          <w:bCs/>
          <w:sz w:val="24"/>
          <w:szCs w:val="24"/>
        </w:rPr>
        <w:t xml:space="preserve">or </w:t>
      </w:r>
      <w:r w:rsidR="0060202D" w:rsidRPr="00597FFB">
        <w:rPr>
          <w:rFonts w:ascii="Times New Roman" w:eastAsia="Times New Roman" w:hAnsi="Times New Roman" w:cs="Times New Roman"/>
          <w:bCs/>
          <w:sz w:val="24"/>
          <w:szCs w:val="24"/>
        </w:rPr>
        <w:t xml:space="preserve">treat </w:t>
      </w:r>
      <w:r w:rsidRPr="00597FFB">
        <w:rPr>
          <w:rFonts w:ascii="Times New Roman" w:eastAsia="Times New Roman" w:hAnsi="Times New Roman" w:cs="Times New Roman"/>
          <w:bCs/>
          <w:sz w:val="24"/>
          <w:szCs w:val="24"/>
        </w:rPr>
        <w:t xml:space="preserve">waste at the same facilities used for </w:t>
      </w:r>
      <w:r w:rsidR="0060202D" w:rsidRPr="00597FFB">
        <w:rPr>
          <w:rFonts w:ascii="Times New Roman" w:eastAsia="Times New Roman" w:hAnsi="Times New Roman" w:cs="Times New Roman"/>
          <w:bCs/>
          <w:sz w:val="24"/>
          <w:szCs w:val="24"/>
        </w:rPr>
        <w:t xml:space="preserve">waste </w:t>
      </w:r>
      <w:r w:rsidRPr="00597FFB">
        <w:rPr>
          <w:rFonts w:ascii="Times New Roman" w:eastAsia="Times New Roman" w:hAnsi="Times New Roman" w:cs="Times New Roman"/>
          <w:bCs/>
          <w:sz w:val="24"/>
          <w:szCs w:val="24"/>
        </w:rPr>
        <w:t>collected</w:t>
      </w:r>
      <w:r w:rsidR="0060202D" w:rsidRPr="00597FFB">
        <w:rPr>
          <w:rFonts w:ascii="Times New Roman" w:eastAsia="Times New Roman" w:hAnsi="Times New Roman" w:cs="Times New Roman"/>
          <w:bCs/>
          <w:sz w:val="24"/>
          <w:szCs w:val="24"/>
        </w:rPr>
        <w:t xml:space="preserve"> at municipal level</w:t>
      </w:r>
      <w:r w:rsidRPr="00597FFB">
        <w:rPr>
          <w:rFonts w:ascii="Times New Roman" w:eastAsia="Times New Roman" w:hAnsi="Times New Roman" w:cs="Times New Roman"/>
          <w:bCs/>
          <w:sz w:val="24"/>
          <w:szCs w:val="24"/>
        </w:rPr>
        <w:t xml:space="preserve">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{"citationID":"a1if2vqjrco","properties":{"formattedCitation":"(Al Bloushi et al., 2020b)","plainCitation":"(Al Bloushi et al., 2020b)","noteIndex":0},"citationItems":[{"id":4551,"uris":["http://zotero.org/users/local/b6CRLSJH/items/WQEWAYW9"],"itemData":{"id":4551,"type":"article-journal","abstract":"Learning outcomes\n              To examine and create an ideal pathway model that can implement aiming to change the current improper practices in managing municipal solid waste (MSW) to sustainable practices. To acquire a better understanding of public participation and community culture helps in achieving the aim of reducing the amount of waste generation, sending less waste to landfill sites and encouraging the reuse and recycling of materials instead. To help students whom the awareness in the community regarding the importance of protecting the environment and acting in a civilization way has increased. To improve the MSW sustainability practices and enhance the waste sustainability practices together with energy and material conservation. To have more extensive knowledge and awareness of issues in waste management and some of the dilemmas managers of strategic and operations face.\n            \n            \n              Case overview/synopsis\n              Abu Dhabi’s center of waste management is known as Tadweer is a governmental entity under the Abu Dhabi Executive Council. Tadweer is responsible for managing every MSWs includes collecting, transferring, segregating, treating, recycling, reusing and tracking all kinds of wastes. CEO of Tadweer Dr Salem Alkabi called his team that manages various departments such as strategy, operations, projects and licensing. The meeting was to discuss Tadweer’s future directing and strategy for mismanagement of solid waste dumping into landﬁlls in Abu Dhabi. Dumping in landfills is the main challenge Tadweer faced. Mr. Abdulrahman Albloushi’s strategy and business development executive director of Tadweer highlighted to Alkaabi how Tadweer could improve the waste management practices to make it more sustainable. Furthermore, assisting the center gets more benefit from the waste s instead of losing this valuable waste into landfills. Consequently, Mr. Abdulrahman must grapple with some difficult questions: how much the effectiveness in collecting waste from where it generated and removing it out-of-sight?\n            \n            \n              Complexity academic level\n              This case study is designed for undergraduate and postgraduate students, and executive MBA students of business management programs, especially for waste management, environmental management and strategic management courses.\n            \n            \n              Supplementary materials\n              Teaching Notes are available upon request.\n            \n            \n              Subject code\n              CSS 4: Environmental management.","container-title":"Emerald Emerging Markets Case Studies","DOI":"10.1108/EEMCS-08-2019-0210","ISSN":"2045-0621","issue":"2","journalAbbreviation":"EEMCS","language":"en","page":"1-26","source":"DOI.org (Crossref)","title":"Tadweer: improving municipal solid waste sustainability practices","title-short":"Tadweer","volume":"10","author":[{"family":"Al Bloushi","given":"Badreya Gharib"},{"family":"Ahmad","given":"Syed Zamberi"},{"family":"Bani Mfarrej","given":"Manar Fawzi"}],"issued":{"date-parts":[["2020",4,29]]}}}],"schema":"https://github.com/citation-style-language/schema/raw/master/csl-citation.json"}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(Al Bloushi et al., 2020b)</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w:t>
      </w:r>
    </w:p>
    <w:p w14:paraId="08A91C66" w14:textId="05C00956"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Moral norm:</w:t>
      </w:r>
      <w:r w:rsidRPr="00597FFB">
        <w:rPr>
          <w:rFonts w:ascii="Times New Roman" w:eastAsia="Times New Roman" w:hAnsi="Times New Roman" w:cs="Times New Roman"/>
          <w:bCs/>
          <w:sz w:val="24"/>
          <w:szCs w:val="24"/>
        </w:rPr>
        <w:t xml:space="preserve"> </w:t>
      </w:r>
      <w:r w:rsidR="0060202D" w:rsidRPr="00597FFB">
        <w:rPr>
          <w:rFonts w:ascii="Times New Roman" w:eastAsia="Times New Roman" w:hAnsi="Times New Roman" w:cs="Times New Roman"/>
          <w:bCs/>
          <w:sz w:val="24"/>
          <w:szCs w:val="24"/>
        </w:rPr>
        <w:t xml:space="preserve">A person’s </w:t>
      </w:r>
      <w:r w:rsidRPr="00597FFB">
        <w:rPr>
          <w:rFonts w:ascii="Times New Roman" w:eastAsia="Times New Roman" w:hAnsi="Times New Roman" w:cs="Times New Roman"/>
          <w:bCs/>
          <w:sz w:val="24"/>
          <w:szCs w:val="24"/>
        </w:rPr>
        <w:t xml:space="preserve">own beliefs and </w:t>
      </w:r>
      <w:r w:rsidR="001814B3" w:rsidRPr="00597FFB">
        <w:rPr>
          <w:rFonts w:ascii="Times New Roman" w:eastAsia="Times New Roman" w:hAnsi="Times New Roman" w:cs="Times New Roman"/>
          <w:bCs/>
          <w:sz w:val="24"/>
          <w:szCs w:val="24"/>
        </w:rPr>
        <w:t>urge to</w:t>
      </w:r>
      <w:r w:rsidRPr="00597FFB">
        <w:rPr>
          <w:rFonts w:ascii="Times New Roman" w:eastAsia="Times New Roman" w:hAnsi="Times New Roman" w:cs="Times New Roman"/>
          <w:bCs/>
          <w:sz w:val="24"/>
          <w:szCs w:val="24"/>
        </w:rPr>
        <w:t xml:space="preserve"> </w:t>
      </w:r>
      <w:r w:rsidR="001814B3" w:rsidRPr="00597FFB">
        <w:rPr>
          <w:rFonts w:ascii="Times New Roman" w:eastAsia="Times New Roman" w:hAnsi="Times New Roman" w:cs="Times New Roman"/>
          <w:bCs/>
          <w:sz w:val="24"/>
          <w:szCs w:val="24"/>
        </w:rPr>
        <w:t>exhibit</w:t>
      </w:r>
      <w:r w:rsidRPr="00597FFB">
        <w:rPr>
          <w:rFonts w:ascii="Times New Roman" w:eastAsia="Times New Roman" w:hAnsi="Times New Roman" w:cs="Times New Roman"/>
          <w:bCs/>
          <w:sz w:val="24"/>
          <w:szCs w:val="24"/>
        </w:rPr>
        <w:t xml:space="preserve"> a </w:t>
      </w:r>
      <w:r w:rsidR="0060202D" w:rsidRPr="00597FFB">
        <w:rPr>
          <w:rFonts w:ascii="Times New Roman" w:eastAsia="Times New Roman" w:hAnsi="Times New Roman" w:cs="Times New Roman"/>
          <w:bCs/>
          <w:sz w:val="24"/>
          <w:szCs w:val="24"/>
        </w:rPr>
        <w:t>particular</w:t>
      </w:r>
      <w:r w:rsidRPr="00597FFB">
        <w:rPr>
          <w:rFonts w:ascii="Times New Roman" w:eastAsia="Times New Roman" w:hAnsi="Times New Roman" w:cs="Times New Roman"/>
          <w:bCs/>
          <w:sz w:val="24"/>
          <w:szCs w:val="24"/>
        </w:rPr>
        <w:t xml:space="preserve"> behavior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{"citationID":"a26ou9bcdro","properties":{"formattedCitation":"(Aidonis et al., 2019a)","plainCitation":"(Aidonis et al., 2019a)","noteIndex":0},"citationItems":[{"id":2624,"uris":["http://zotero.org/users/local/b6CRLSJH/items/JL4KQPN7"],"itemData":{"id":2624,"type":"article-journal","abstract":"Waste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B35F6C" w:rsidRPr="00597FFB">
        <w:rPr>
          <w:rFonts w:ascii="Cambria Math" w:eastAsia="Times New Roman" w:hAnsi="Cambria Math" w:cs="Cambria Math"/>
          <w:bCs/>
          <w:sz w:val="24"/>
          <w:szCs w:val="24"/>
        </w:rPr>
        <w:instrText>↵</w:instrText>
      </w:r>
      <w:r w:rsidR="00B35F6C" w:rsidRPr="00597FFB">
        <w:rPr>
          <w:rFonts w:ascii="Times New Roman" w:eastAsia="Times New Roman" w:hAnsi="Times New Roman" w:cs="Times New Roman"/>
          <w:bCs/>
          <w:sz w:val="24"/>
          <w:szCs w:val="24"/>
        </w:rPr>
        <w:instrText xml:space="preserve">ectiveness, is required for the integrated WEEE management at a national level.","container-title":"Sustainability","DOI":"10.3390/su11123364","ISSN":"2071-1050","issue":"12","journalAbbreviation":"Sustainability","language":"en","page":"3364","source":"DOI.org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(Aidonis et al., 2019a)</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w:t>
      </w:r>
    </w:p>
    <w:p w14:paraId="5AB31B0B" w14:textId="4CCA8F52"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Normative belief about recycling:</w:t>
      </w:r>
      <w:r w:rsidRPr="00597FFB">
        <w:rPr>
          <w:rFonts w:ascii="Times New Roman" w:eastAsia="Times New Roman" w:hAnsi="Times New Roman" w:cs="Times New Roman"/>
          <w:bCs/>
          <w:sz w:val="24"/>
          <w:szCs w:val="24"/>
        </w:rPr>
        <w:t xml:space="preserve"> </w:t>
      </w:r>
      <w:r w:rsidR="00C81014" w:rsidRPr="00597FFB">
        <w:rPr>
          <w:rFonts w:ascii="Times New Roman" w:eastAsia="Times New Roman" w:hAnsi="Times New Roman" w:cs="Times New Roman"/>
          <w:bCs/>
          <w:sz w:val="24"/>
          <w:szCs w:val="24"/>
        </w:rPr>
        <w:t>Based on</w:t>
      </w:r>
      <w:r w:rsidRPr="00597FFB">
        <w:rPr>
          <w:rFonts w:ascii="Times New Roman" w:eastAsia="Times New Roman" w:hAnsi="Times New Roman" w:cs="Times New Roman"/>
          <w:bCs/>
          <w:sz w:val="24"/>
          <w:szCs w:val="24"/>
        </w:rPr>
        <w:t xml:space="preserve"> Fishbein and Ajzen (1975), </w:t>
      </w:r>
      <w:r w:rsidR="00C81014" w:rsidRPr="00597FFB">
        <w:rPr>
          <w:rFonts w:ascii="Times New Roman" w:eastAsia="Times New Roman" w:hAnsi="Times New Roman" w:cs="Times New Roman"/>
          <w:bCs/>
          <w:sz w:val="24"/>
          <w:szCs w:val="24"/>
        </w:rPr>
        <w:t>this</w:t>
      </w:r>
      <w:r w:rsidRPr="00597FFB">
        <w:rPr>
          <w:rFonts w:ascii="Times New Roman" w:eastAsia="Times New Roman" w:hAnsi="Times New Roman" w:cs="Times New Roman"/>
          <w:bCs/>
          <w:sz w:val="24"/>
          <w:szCs w:val="24"/>
        </w:rPr>
        <w:t xml:space="preserve"> refers to the </w:t>
      </w:r>
      <w:r w:rsidRPr="00597FFB">
        <w:rPr>
          <w:rFonts w:ascii="Times New Roman" w:eastAsia="Times New Roman" w:hAnsi="Times New Roman" w:cs="Times New Roman"/>
          <w:bCs/>
          <w:iCs/>
          <w:sz w:val="24"/>
          <w:szCs w:val="24"/>
        </w:rPr>
        <w:t xml:space="preserve">millennial's </w:t>
      </w:r>
      <w:r w:rsidRPr="00597FFB">
        <w:rPr>
          <w:rFonts w:ascii="Times New Roman" w:eastAsia="Times New Roman" w:hAnsi="Times New Roman" w:cs="Times New Roman"/>
          <w:bCs/>
          <w:sz w:val="24"/>
          <w:szCs w:val="24"/>
        </w:rPr>
        <w:t xml:space="preserve">beliefs </w:t>
      </w:r>
      <w:r w:rsidR="00C81014" w:rsidRPr="00597FFB">
        <w:rPr>
          <w:rFonts w:ascii="Times New Roman" w:eastAsia="Times New Roman" w:hAnsi="Times New Roman" w:cs="Times New Roman"/>
          <w:bCs/>
          <w:sz w:val="24"/>
          <w:szCs w:val="24"/>
        </w:rPr>
        <w:t>related to</w:t>
      </w:r>
      <w:r w:rsidRPr="00597FFB">
        <w:rPr>
          <w:rFonts w:ascii="Times New Roman" w:eastAsia="Times New Roman" w:hAnsi="Times New Roman" w:cs="Times New Roman"/>
          <w:bCs/>
          <w:sz w:val="24"/>
          <w:szCs w:val="24"/>
        </w:rPr>
        <w:t xml:space="preserve"> </w:t>
      </w:r>
      <w:r w:rsidR="00C81014" w:rsidRPr="00597FFB">
        <w:rPr>
          <w:rFonts w:ascii="Times New Roman" w:eastAsia="Times New Roman" w:hAnsi="Times New Roman" w:cs="Times New Roman"/>
          <w:bCs/>
          <w:sz w:val="24"/>
          <w:szCs w:val="24"/>
        </w:rPr>
        <w:t xml:space="preserve">disapproval </w:t>
      </w:r>
      <w:r w:rsidRPr="00597FFB">
        <w:rPr>
          <w:rFonts w:ascii="Times New Roman" w:eastAsia="Times New Roman" w:hAnsi="Times New Roman" w:cs="Times New Roman"/>
          <w:bCs/>
          <w:sz w:val="24"/>
          <w:szCs w:val="24"/>
        </w:rPr>
        <w:t xml:space="preserve">or </w:t>
      </w:r>
      <w:r w:rsidR="00C81014" w:rsidRPr="00597FFB">
        <w:rPr>
          <w:rFonts w:ascii="Times New Roman" w:eastAsia="Times New Roman" w:hAnsi="Times New Roman" w:cs="Times New Roman"/>
          <w:bCs/>
          <w:sz w:val="24"/>
          <w:szCs w:val="24"/>
        </w:rPr>
        <w:t xml:space="preserve">approval </w:t>
      </w:r>
      <w:r w:rsidRPr="00597FFB">
        <w:rPr>
          <w:rFonts w:ascii="Times New Roman" w:eastAsia="Times New Roman" w:hAnsi="Times New Roman" w:cs="Times New Roman"/>
          <w:bCs/>
          <w:sz w:val="24"/>
          <w:szCs w:val="24"/>
        </w:rPr>
        <w:t>of significant other</w:t>
      </w:r>
      <w:r w:rsidR="00C81014"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 regarding recycling. </w:t>
      </w:r>
    </w:p>
    <w:p w14:paraId="2421525C" w14:textId="19593044"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Past recycling behavior:</w:t>
      </w:r>
      <w:r w:rsidRPr="00597FFB">
        <w:rPr>
          <w:rFonts w:ascii="Times New Roman" w:eastAsia="Times New Roman" w:hAnsi="Times New Roman" w:cs="Times New Roman"/>
          <w:bCs/>
          <w:sz w:val="24"/>
          <w:szCs w:val="24"/>
        </w:rPr>
        <w:t xml:space="preserve"> It is defined in this study as recycling behavior which took place throughout the last </w:t>
      </w:r>
      <w:r w:rsidR="008E4583" w:rsidRPr="00597FFB">
        <w:rPr>
          <w:rFonts w:ascii="Times New Roman" w:eastAsia="Times New Roman" w:hAnsi="Times New Roman" w:cs="Times New Roman"/>
          <w:bCs/>
          <w:sz w:val="24"/>
          <w:szCs w:val="24"/>
        </w:rPr>
        <w:t>year.</w:t>
      </w:r>
    </w:p>
    <w:p w14:paraId="2D615356" w14:textId="56A9216F"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Perceived behavioral control over recycling:</w:t>
      </w:r>
      <w:r w:rsidRPr="00597FFB">
        <w:rPr>
          <w:rFonts w:ascii="Times New Roman" w:eastAsia="Times New Roman" w:hAnsi="Times New Roman" w:cs="Times New Roman"/>
          <w:bCs/>
          <w:sz w:val="24"/>
          <w:szCs w:val="24"/>
        </w:rPr>
        <w:t xml:space="preserve"> </w:t>
      </w:r>
      <w:r w:rsidR="00C81014" w:rsidRPr="00597FFB">
        <w:rPr>
          <w:rFonts w:ascii="Times New Roman" w:eastAsia="Times New Roman" w:hAnsi="Times New Roman" w:cs="Times New Roman"/>
          <w:bCs/>
          <w:sz w:val="24"/>
          <w:szCs w:val="24"/>
        </w:rPr>
        <w:t>Given</w:t>
      </w:r>
      <w:r w:rsidRPr="00597FFB">
        <w:rPr>
          <w:rFonts w:ascii="Times New Roman" w:eastAsia="Times New Roman" w:hAnsi="Times New Roman" w:cs="Times New Roman"/>
          <w:bCs/>
          <w:sz w:val="24"/>
          <w:szCs w:val="24"/>
        </w:rPr>
        <w:t xml:space="preserve"> Ajzen</w:t>
      </w:r>
      <w:r w:rsidR="00C81014"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 (1991)</w:t>
      </w:r>
      <w:r w:rsidR="00C81014" w:rsidRPr="00597FFB">
        <w:rPr>
          <w:rFonts w:ascii="Times New Roman" w:eastAsia="Times New Roman" w:hAnsi="Times New Roman" w:cs="Times New Roman"/>
          <w:bCs/>
          <w:sz w:val="24"/>
          <w:szCs w:val="24"/>
        </w:rPr>
        <w:t xml:space="preserve"> definition</w:t>
      </w:r>
      <w:r w:rsidRPr="00597FFB">
        <w:rPr>
          <w:rFonts w:ascii="Times New Roman" w:eastAsia="Times New Roman" w:hAnsi="Times New Roman" w:cs="Times New Roman"/>
          <w:bCs/>
          <w:sz w:val="24"/>
          <w:szCs w:val="24"/>
        </w:rPr>
        <w:t xml:space="preserve">, perceived behavioral control over recycling refers </w:t>
      </w:r>
      <w:r w:rsidR="00C81014" w:rsidRPr="00597FFB">
        <w:rPr>
          <w:rFonts w:ascii="Times New Roman" w:eastAsia="Times New Roman" w:hAnsi="Times New Roman" w:cs="Times New Roman"/>
          <w:bCs/>
          <w:sz w:val="24"/>
          <w:szCs w:val="24"/>
        </w:rPr>
        <w:t xml:space="preserve">is </w:t>
      </w:r>
      <w:r w:rsidRPr="00597FFB">
        <w:rPr>
          <w:rFonts w:ascii="Times New Roman" w:eastAsia="Times New Roman" w:hAnsi="Times New Roman" w:cs="Times New Roman"/>
          <w:bCs/>
          <w:sz w:val="24"/>
          <w:szCs w:val="24"/>
        </w:rPr>
        <w:t xml:space="preserve">the </w:t>
      </w:r>
      <w:r w:rsidR="00C81014" w:rsidRPr="00597FFB">
        <w:rPr>
          <w:rFonts w:ascii="Times New Roman" w:eastAsia="Times New Roman" w:hAnsi="Times New Roman" w:cs="Times New Roman"/>
          <w:bCs/>
          <w:sz w:val="24"/>
          <w:szCs w:val="24"/>
        </w:rPr>
        <w:t xml:space="preserve">perceived recycling </w:t>
      </w:r>
      <w:r w:rsidRPr="00597FFB">
        <w:rPr>
          <w:rFonts w:ascii="Times New Roman" w:eastAsia="Times New Roman" w:hAnsi="Times New Roman" w:cs="Times New Roman"/>
          <w:bCs/>
          <w:sz w:val="24"/>
          <w:szCs w:val="24"/>
        </w:rPr>
        <w:t xml:space="preserve">ease or difficulty by the </w:t>
      </w:r>
      <w:r w:rsidRPr="00597FFB">
        <w:rPr>
          <w:rFonts w:ascii="Times New Roman" w:eastAsia="Times New Roman" w:hAnsi="Times New Roman" w:cs="Times New Roman"/>
          <w:bCs/>
          <w:iCs/>
          <w:sz w:val="24"/>
          <w:szCs w:val="24"/>
        </w:rPr>
        <w:t>millennials</w:t>
      </w:r>
      <w:r w:rsidRPr="00597FFB">
        <w:rPr>
          <w:rFonts w:ascii="Times New Roman" w:eastAsia="Times New Roman" w:hAnsi="Times New Roman" w:cs="Times New Roman"/>
          <w:bCs/>
          <w:sz w:val="24"/>
          <w:szCs w:val="24"/>
        </w:rPr>
        <w:t xml:space="preserve">.  </w:t>
      </w:r>
    </w:p>
    <w:p w14:paraId="34E83772" w14:textId="405E8E14" w:rsidR="00B35F6C" w:rsidRPr="00597FFB" w:rsidRDefault="00CB40A2" w:rsidP="00A558FE">
      <w:pPr>
        <w:spacing w:after="0" w:line="480" w:lineRule="auto"/>
        <w:jc w:val="both"/>
        <w:rPr>
          <w:rFonts w:ascii="Times New Roman" w:eastAsia="Calibri" w:hAnsi="Times New Roman" w:cs="Times New Roman"/>
          <w:iCs/>
          <w:color w:val="000000"/>
          <w:sz w:val="24"/>
          <w:szCs w:val="24"/>
        </w:rPr>
      </w:pPr>
      <w:r w:rsidRPr="00597FFB">
        <w:rPr>
          <w:rFonts w:ascii="Times New Roman" w:eastAsia="Calibri" w:hAnsi="Times New Roman" w:cs="Times New Roman"/>
          <w:b/>
          <w:bCs/>
          <w:iCs/>
          <w:color w:val="000000"/>
          <w:sz w:val="24"/>
          <w:szCs w:val="24"/>
        </w:rPr>
        <w:t>Practices:</w:t>
      </w:r>
      <w:r w:rsidRPr="00597FFB">
        <w:rPr>
          <w:rFonts w:ascii="Calibri" w:eastAsia="Calibri" w:hAnsi="Calibri" w:cs="Arial"/>
        </w:rPr>
        <w:t xml:space="preserve"> </w:t>
      </w:r>
      <w:r w:rsidRPr="00597FFB">
        <w:rPr>
          <w:rFonts w:ascii="Times New Roman" w:eastAsia="Calibri" w:hAnsi="Times New Roman" w:cs="Times New Roman"/>
          <w:iCs/>
          <w:color w:val="000000"/>
          <w:sz w:val="24"/>
          <w:szCs w:val="24"/>
        </w:rPr>
        <w:t xml:space="preserve">A habitual or customary action or way of doing something </w:t>
      </w:r>
      <w:r w:rsidR="00B35F6C" w:rsidRPr="00597FFB">
        <w:rPr>
          <w:rFonts w:ascii="Times New Roman" w:eastAsia="Calibri" w:hAnsi="Times New Roman" w:cs="Times New Roman"/>
          <w:iCs/>
          <w:color w:val="000000"/>
          <w:sz w:val="24"/>
          <w:szCs w:val="24"/>
        </w:rPr>
        <w:fldChar w:fldCharType="begin"/>
      </w:r>
      <w:r w:rsidR="00B35F6C" w:rsidRPr="00597FFB">
        <w:rPr>
          <w:rFonts w:ascii="Times New Roman" w:eastAsia="Calibri" w:hAnsi="Times New Roman" w:cs="Times New Roman"/>
          <w:iCs/>
          <w:color w:val="000000"/>
          <w:sz w:val="24"/>
          <w:szCs w:val="24"/>
        </w:rPr>
        <w:instrText xml:space="preserve"> ADDIN ZOTERO_ITEM CSL_CITATION {"citationID":"a2odveufq52","properties":{"formattedCitation":"(AL-Dabbagh, 2020a)","plainCitation":"(AL-Dabbagh, 2020a)","noteIndex":0},"citationItems":[{"id":2933,"uris":["http://zotero.org/users/local/b6CRLSJH/items/GSAT3N9W"],"itemData":{"id":2933,"type":"chapter","container-title":"Renewable Energy and Sustainable Buildings","event-place":"Cham","ISBN":"978-3-030-18487-2","language":"en","note":"collection-title: Innovative Renewable Energy\nDOI: 10.1007/978-3-030-18488-9_17","page":"221-233","publisher":"Springer International Publishing","publisher-place":"Cham","source":"DOI.org (Crossref)","title":"Toward Green Building and Eco-cities in the UAE","URL":"http://link.springer.com/10.1007/978-3-030-18488-9_17","author":[{"family":"AL-Dabbagh","given":"Riadh H."}],"editor":[{"family":"Sayigh","given":"Ali"}],"accessed":{"date-parts":[["2021",4,16]]},"issued":{"date-parts":[["2020"]]}}}],"schema":"https://github.com/citation-style-language/schema/raw/master/csl-citation.json"} </w:instrText>
      </w:r>
      <w:r w:rsidR="00B35F6C" w:rsidRPr="00597FFB">
        <w:rPr>
          <w:rFonts w:ascii="Times New Roman" w:eastAsia="Calibri" w:hAnsi="Times New Roman" w:cs="Times New Roman"/>
          <w:iCs/>
          <w:color w:val="000000"/>
          <w:sz w:val="24"/>
          <w:szCs w:val="24"/>
        </w:rPr>
        <w:fldChar w:fldCharType="separate"/>
      </w:r>
      <w:r w:rsidR="00B35F6C" w:rsidRPr="00597FFB">
        <w:rPr>
          <w:rFonts w:ascii="Times New Roman" w:hAnsi="Times New Roman" w:cs="Times New Roman"/>
          <w:sz w:val="24"/>
          <w:szCs w:val="24"/>
        </w:rPr>
        <w:t>(AL-Dabbagh, 2020a)</w:t>
      </w:r>
      <w:r w:rsidR="00B35F6C" w:rsidRPr="00597FFB">
        <w:rPr>
          <w:rFonts w:ascii="Times New Roman" w:eastAsia="Calibri" w:hAnsi="Times New Roman" w:cs="Times New Roman"/>
          <w:iCs/>
          <w:color w:val="000000"/>
          <w:sz w:val="24"/>
          <w:szCs w:val="24"/>
        </w:rPr>
        <w:fldChar w:fldCharType="end"/>
      </w:r>
      <w:r w:rsidR="00B35F6C" w:rsidRPr="00597FFB">
        <w:rPr>
          <w:rFonts w:ascii="Times New Roman" w:eastAsia="Calibri" w:hAnsi="Times New Roman" w:cs="Times New Roman"/>
          <w:iCs/>
          <w:color w:val="000000"/>
          <w:sz w:val="24"/>
          <w:szCs w:val="24"/>
        </w:rPr>
        <w:t>.</w:t>
      </w:r>
    </w:p>
    <w:p w14:paraId="2DCFAF50" w14:textId="64845650"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Pro-environmental behavior</w:t>
      </w:r>
      <w:r w:rsidR="00C81014" w:rsidRPr="00597FFB">
        <w:rPr>
          <w:rFonts w:ascii="Times New Roman" w:eastAsia="Times New Roman" w:hAnsi="Times New Roman" w:cs="Times New Roman"/>
          <w:b/>
          <w:sz w:val="24"/>
          <w:szCs w:val="24"/>
        </w:rPr>
        <w:t>:</w:t>
      </w:r>
      <w:r w:rsidRPr="00597FFB">
        <w:rPr>
          <w:rFonts w:ascii="Times New Roman" w:eastAsia="Times New Roman" w:hAnsi="Times New Roman" w:cs="Times New Roman"/>
          <w:bCs/>
          <w:sz w:val="24"/>
          <w:szCs w:val="24"/>
        </w:rPr>
        <w:t xml:space="preserve"> </w:t>
      </w:r>
      <w:r w:rsidR="00C81014" w:rsidRPr="00597FFB">
        <w:rPr>
          <w:rFonts w:ascii="Times New Roman" w:eastAsia="Times New Roman" w:hAnsi="Times New Roman" w:cs="Times New Roman"/>
          <w:bCs/>
          <w:sz w:val="24"/>
          <w:szCs w:val="24"/>
        </w:rPr>
        <w:t>Concerns</w:t>
      </w:r>
      <w:r w:rsidRPr="00597FFB">
        <w:rPr>
          <w:rFonts w:ascii="Times New Roman" w:eastAsia="Times New Roman" w:hAnsi="Times New Roman" w:cs="Times New Roman"/>
          <w:bCs/>
          <w:sz w:val="24"/>
          <w:szCs w:val="24"/>
        </w:rPr>
        <w:t xml:space="preserve"> behaviors that </w:t>
      </w:r>
      <w:r w:rsidR="00C81014" w:rsidRPr="00597FFB">
        <w:rPr>
          <w:rFonts w:ascii="Times New Roman" w:eastAsia="Times New Roman" w:hAnsi="Times New Roman" w:cs="Times New Roman"/>
          <w:bCs/>
          <w:sz w:val="24"/>
          <w:szCs w:val="24"/>
        </w:rPr>
        <w:t>cause</w:t>
      </w:r>
      <w:r w:rsidRPr="00597FFB">
        <w:rPr>
          <w:rFonts w:ascii="Times New Roman" w:eastAsia="Times New Roman" w:hAnsi="Times New Roman" w:cs="Times New Roman"/>
          <w:bCs/>
          <w:sz w:val="24"/>
          <w:szCs w:val="24"/>
        </w:rPr>
        <w:t xml:space="preserve"> the </w:t>
      </w:r>
      <w:r w:rsidR="00C81014" w:rsidRPr="00597FFB">
        <w:rPr>
          <w:rFonts w:ascii="Times New Roman" w:eastAsia="Times New Roman" w:hAnsi="Times New Roman" w:cs="Times New Roman"/>
          <w:bCs/>
          <w:sz w:val="24"/>
          <w:szCs w:val="24"/>
        </w:rPr>
        <w:t>lowest</w:t>
      </w:r>
      <w:r w:rsidRPr="00597FFB">
        <w:rPr>
          <w:rFonts w:ascii="Times New Roman" w:eastAsia="Times New Roman" w:hAnsi="Times New Roman" w:cs="Times New Roman"/>
          <w:bCs/>
          <w:sz w:val="24"/>
          <w:szCs w:val="24"/>
        </w:rPr>
        <w:t xml:space="preserve"> </w:t>
      </w:r>
      <w:r w:rsidR="00C81014" w:rsidRPr="00597FFB">
        <w:rPr>
          <w:rFonts w:ascii="Times New Roman" w:eastAsia="Times New Roman" w:hAnsi="Times New Roman" w:cs="Times New Roman"/>
          <w:bCs/>
          <w:sz w:val="24"/>
          <w:szCs w:val="24"/>
        </w:rPr>
        <w:t xml:space="preserve">danger </w:t>
      </w:r>
      <w:r w:rsidRPr="00597FFB">
        <w:rPr>
          <w:rFonts w:ascii="Times New Roman" w:eastAsia="Times New Roman" w:hAnsi="Times New Roman" w:cs="Times New Roman"/>
          <w:bCs/>
          <w:sz w:val="24"/>
          <w:szCs w:val="24"/>
        </w:rPr>
        <w:t xml:space="preserve">level to the natural environment or even </w:t>
      </w:r>
      <w:r w:rsidR="00C81014" w:rsidRPr="00597FFB">
        <w:rPr>
          <w:rFonts w:ascii="Times New Roman" w:eastAsia="Times New Roman" w:hAnsi="Times New Roman" w:cs="Times New Roman"/>
          <w:bCs/>
          <w:sz w:val="24"/>
          <w:szCs w:val="24"/>
        </w:rPr>
        <w:t>take care of</w:t>
      </w:r>
      <w:r w:rsidRPr="00597FFB">
        <w:rPr>
          <w:rFonts w:ascii="Times New Roman" w:eastAsia="Times New Roman" w:hAnsi="Times New Roman" w:cs="Times New Roman"/>
          <w:bCs/>
          <w:sz w:val="24"/>
          <w:szCs w:val="24"/>
        </w:rPr>
        <w:t xml:space="preserve"> its well-being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{"citationID":"a4i2casp30","properties":{"formattedCitation":"(Ajzen, 1985)","plainCitation":"(Ajzen, 1985)","noteIndex":0},"citationItems":[{"id":2939,"uris":["http://zotero.org/users/local/b6CRLSJH/items/RSYP7D2W"],"itemData":{"id":2939,"type":"chapter","container-title":"Action Control","event-place":"Berlin, Heidelberg","ISBN":"978-3-642-69748-7","language":"en","note":"DOI: 10.1007/978-3-642-69746-3_2","page":"11-39","publisher":"Springer Berlin Heidelberg","publisher-place":"Berlin, Heidelberg","source":"DOI.org (Crossref)","title":"From Intentions to Actions: A Theory of Planned Behavior","title-short":"From Intentions to Actions","URL":"http://link.springer.com/10.1007/978-3-642-69746-3_2","author":[{"family":"Ajzen","given":"Icek"}],"editor":[{"family":"Kuhl","given":"Julius"},{"family":"Beckmann","given":"Jürgen"}],"accessed":{"date-parts":[["2021",4,16]]},"issued":{"date-parts":[["1985"]]}}}],"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(Ajzen, 1985)</w:t>
      </w:r>
      <w:r w:rsidR="00B35F6C" w:rsidRPr="00597FFB">
        <w:rPr>
          <w:rFonts w:ascii="Times New Roman" w:eastAsia="Times New Roman" w:hAnsi="Times New Roman" w:cs="Times New Roman"/>
          <w:bCs/>
          <w:sz w:val="24"/>
          <w:szCs w:val="24"/>
        </w:rPr>
        <w:fldChar w:fldCharType="end"/>
      </w:r>
      <w:r w:rsidRPr="00597FFB">
        <w:rPr>
          <w:rFonts w:ascii="Times New Roman" w:eastAsia="Times New Roman" w:hAnsi="Times New Roman" w:cs="Times New Roman"/>
          <w:bCs/>
          <w:sz w:val="24"/>
          <w:szCs w:val="24"/>
        </w:rPr>
        <w:t xml:space="preserve">. This study of pro-environmental behavior and sustainable behavior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{"citationID":"a12n9aehilm","properties":{"formattedCitation":"(M. Aboelmaged, 2021d)","plainCitation":"(M. Aboelmaged, 2021d)","dontUpdate":true,"noteIndex":0},"citationItems":[{"id":2372,"uris":["http://zotero.org/users/local/b6CRLSJH/items/ZZAVGBL5"],"itemData":{"id":2372,"type":"article-journal","abstract":"This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(Aboelmaged, 2021d)</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 xml:space="preserve"> </w:t>
      </w:r>
      <w:r w:rsidRPr="00597FFB">
        <w:rPr>
          <w:rFonts w:ascii="Times New Roman" w:eastAsia="Times New Roman" w:hAnsi="Times New Roman" w:cs="Times New Roman"/>
          <w:bCs/>
          <w:sz w:val="24"/>
          <w:szCs w:val="24"/>
        </w:rPr>
        <w:t xml:space="preserve">have been interchangeable.   </w:t>
      </w:r>
    </w:p>
    <w:p w14:paraId="13854FC1" w14:textId="7B84C9B6"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Recycling:</w:t>
      </w:r>
      <w:r w:rsidRPr="00597FFB">
        <w:rPr>
          <w:rFonts w:ascii="Times New Roman" w:eastAsia="Times New Roman" w:hAnsi="Times New Roman" w:cs="Times New Roman"/>
          <w:bCs/>
          <w:sz w:val="24"/>
          <w:szCs w:val="24"/>
        </w:rPr>
        <w:t xml:space="preserve"> </w:t>
      </w:r>
      <w:r w:rsidR="006F3C6E" w:rsidRPr="00597FFB">
        <w:rPr>
          <w:rFonts w:ascii="Times New Roman" w:eastAsia="Times New Roman" w:hAnsi="Times New Roman" w:cs="Times New Roman"/>
          <w:bCs/>
          <w:sz w:val="24"/>
          <w:szCs w:val="24"/>
        </w:rPr>
        <w:t>It is</w:t>
      </w:r>
      <w:r w:rsidRPr="00597FFB">
        <w:rPr>
          <w:rFonts w:ascii="Times New Roman" w:eastAsia="Times New Roman" w:hAnsi="Times New Roman" w:cs="Times New Roman"/>
          <w:bCs/>
          <w:sz w:val="24"/>
          <w:szCs w:val="24"/>
        </w:rPr>
        <w:t xml:space="preserve"> the </w:t>
      </w:r>
      <w:r w:rsidR="006F3C6E" w:rsidRPr="00597FFB">
        <w:rPr>
          <w:rFonts w:ascii="Times New Roman" w:eastAsia="Times New Roman" w:hAnsi="Times New Roman" w:cs="Times New Roman"/>
          <w:bCs/>
          <w:sz w:val="24"/>
          <w:szCs w:val="24"/>
        </w:rPr>
        <w:t>correct</w:t>
      </w:r>
      <w:r w:rsidRPr="00597FFB">
        <w:rPr>
          <w:rFonts w:ascii="Times New Roman" w:eastAsia="Times New Roman" w:hAnsi="Times New Roman" w:cs="Times New Roman"/>
          <w:bCs/>
          <w:sz w:val="24"/>
          <w:szCs w:val="24"/>
        </w:rPr>
        <w:t xml:space="preserve"> way of collected waste </w:t>
      </w:r>
      <w:r w:rsidR="006F3C6E" w:rsidRPr="00597FFB">
        <w:rPr>
          <w:rFonts w:ascii="Times New Roman" w:eastAsia="Times New Roman" w:hAnsi="Times New Roman" w:cs="Times New Roman"/>
          <w:bCs/>
          <w:sz w:val="24"/>
          <w:szCs w:val="24"/>
        </w:rPr>
        <w:t xml:space="preserve">disintegration </w:t>
      </w:r>
      <w:r w:rsidRPr="00597FFB">
        <w:rPr>
          <w:rFonts w:ascii="Times New Roman" w:eastAsia="Times New Roman" w:hAnsi="Times New Roman" w:cs="Times New Roman"/>
          <w:bCs/>
          <w:sz w:val="24"/>
          <w:szCs w:val="24"/>
        </w:rPr>
        <w:t xml:space="preserve">into raw materials </w:t>
      </w:r>
      <w:r w:rsidR="001C619D" w:rsidRPr="00597FFB">
        <w:rPr>
          <w:rFonts w:ascii="Times New Roman" w:eastAsia="Times New Roman" w:hAnsi="Times New Roman" w:cs="Times New Roman"/>
          <w:bCs/>
          <w:sz w:val="24"/>
          <w:szCs w:val="24"/>
        </w:rPr>
        <w:t>for production of</w:t>
      </w:r>
      <w:r w:rsidRPr="00597FFB">
        <w:rPr>
          <w:rFonts w:ascii="Times New Roman" w:eastAsia="Times New Roman" w:hAnsi="Times New Roman" w:cs="Times New Roman"/>
          <w:bCs/>
          <w:sz w:val="24"/>
          <w:szCs w:val="24"/>
        </w:rPr>
        <w:t xml:space="preserve"> new products, </w:t>
      </w:r>
      <w:r w:rsidR="001C619D" w:rsidRPr="00597FFB">
        <w:rPr>
          <w:rFonts w:ascii="Times New Roman" w:eastAsia="Times New Roman" w:hAnsi="Times New Roman" w:cs="Times New Roman"/>
          <w:bCs/>
          <w:sz w:val="24"/>
          <w:szCs w:val="24"/>
        </w:rPr>
        <w:t xml:space="preserve">to reduce E-waste that ends up in landfills, and </w:t>
      </w:r>
      <w:r w:rsidRPr="00597FFB">
        <w:rPr>
          <w:rFonts w:ascii="Times New Roman" w:eastAsia="Times New Roman" w:hAnsi="Times New Roman" w:cs="Times New Roman"/>
          <w:bCs/>
          <w:sz w:val="24"/>
          <w:szCs w:val="24"/>
        </w:rPr>
        <w:t xml:space="preserve">to </w:t>
      </w:r>
      <w:r w:rsidR="001C619D" w:rsidRPr="00597FFB">
        <w:rPr>
          <w:rFonts w:ascii="Times New Roman" w:eastAsia="Times New Roman" w:hAnsi="Times New Roman" w:cs="Times New Roman"/>
          <w:bCs/>
          <w:sz w:val="24"/>
          <w:szCs w:val="24"/>
        </w:rPr>
        <w:t xml:space="preserve">potentially </w:t>
      </w:r>
      <w:r w:rsidRPr="00597FFB">
        <w:rPr>
          <w:rFonts w:ascii="Times New Roman" w:eastAsia="Times New Roman" w:hAnsi="Times New Roman" w:cs="Times New Roman"/>
          <w:bCs/>
          <w:sz w:val="24"/>
          <w:szCs w:val="24"/>
        </w:rPr>
        <w:t xml:space="preserve">conserve </w:t>
      </w:r>
      <w:r w:rsidR="001C619D" w:rsidRPr="00597FFB">
        <w:rPr>
          <w:rFonts w:ascii="Times New Roman" w:eastAsia="Times New Roman" w:hAnsi="Times New Roman" w:cs="Times New Roman"/>
          <w:bCs/>
          <w:sz w:val="24"/>
          <w:szCs w:val="24"/>
        </w:rPr>
        <w:t>useful</w:t>
      </w:r>
      <w:r w:rsidRPr="00597FFB">
        <w:rPr>
          <w:rFonts w:ascii="Times New Roman" w:eastAsia="Times New Roman" w:hAnsi="Times New Roman" w:cs="Times New Roman"/>
          <w:bCs/>
          <w:sz w:val="24"/>
          <w:szCs w:val="24"/>
        </w:rPr>
        <w:t xml:space="preserve"> resources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{"citationID":"a1k4hqaehh7","properties":{"formattedCitation":"(Abbas &amp; Sa\\uc0\\u287{}san, 2019)","plainCitation":"(Abbas &amp; Sağsan, 2019)","noteIndex":0},"citationItems":[{"id":2991,"uris":["http://zotero.org/users/local/b6CRLSJH/items/M2RJ5ZWJ"],"itemData":{"id":2991,"type":"article-journal","container-title":"Journal of Cleaner Production","DOI":"10.1016/j.jclepro.2019.05.024","ISSN":"09596526","journalAbbreviation":"Journal of Cleaner Production","language":"en","page":"611-620","source":"DOI.org (Crossref)","title":"Impact of knowledge management practices on green innovation and corporate sustainable development: A structural analysis","title-short":"Impact of knowledge management practices on green innovation and corporate sustainable development","volume":"229","author":[{"family":"Abbas","given":"Jawad"},{"family":"Sağsan","given":"Mustafa"}],"issued":{"date-parts":[["2019",8]]}}}],"schema":"https://github.com/citation-style-language/schema/raw/master/csl-citation.json"}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(Abbas &amp; Sağsan, 2019)</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w:t>
      </w:r>
    </w:p>
    <w:p w14:paraId="7C5161B9" w14:textId="2D27E89E"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Recycling intention:</w:t>
      </w:r>
      <w:r w:rsidRPr="00597FFB">
        <w:rPr>
          <w:rFonts w:ascii="Times New Roman" w:eastAsia="Times New Roman" w:hAnsi="Times New Roman" w:cs="Times New Roman"/>
          <w:bCs/>
          <w:sz w:val="24"/>
          <w:szCs w:val="24"/>
        </w:rPr>
        <w:t xml:space="preserve"> </w:t>
      </w:r>
      <w:r w:rsidR="00156CAB" w:rsidRPr="00597FFB">
        <w:rPr>
          <w:rFonts w:ascii="Times New Roman" w:eastAsia="Times New Roman" w:hAnsi="Times New Roman" w:cs="Times New Roman"/>
          <w:bCs/>
          <w:sz w:val="24"/>
          <w:szCs w:val="24"/>
        </w:rPr>
        <w:t>Considering</w:t>
      </w:r>
      <w:r w:rsidRPr="00597FFB">
        <w:rPr>
          <w:rFonts w:ascii="Times New Roman" w:eastAsia="Times New Roman" w:hAnsi="Times New Roman" w:cs="Times New Roman"/>
          <w:bCs/>
          <w:sz w:val="24"/>
          <w:szCs w:val="24"/>
        </w:rPr>
        <w:t xml:space="preserve"> </w:t>
      </w:r>
      <w:r w:rsidR="00156CAB" w:rsidRPr="00597FFB">
        <w:rPr>
          <w:rFonts w:ascii="Times New Roman" w:eastAsia="Times New Roman" w:hAnsi="Times New Roman" w:cs="Times New Roman"/>
          <w:bCs/>
          <w:sz w:val="24"/>
          <w:szCs w:val="24"/>
        </w:rPr>
        <w:t xml:space="preserve">Ajzen’s (1991) </w:t>
      </w:r>
      <w:r w:rsidRPr="00597FFB">
        <w:rPr>
          <w:rFonts w:ascii="Times New Roman" w:eastAsia="Times New Roman" w:hAnsi="Times New Roman" w:cs="Times New Roman"/>
          <w:bCs/>
          <w:sz w:val="24"/>
          <w:szCs w:val="24"/>
        </w:rPr>
        <w:t xml:space="preserve">definition of intention, recycling intention </w:t>
      </w:r>
      <w:r w:rsidR="00156CAB" w:rsidRPr="00597FFB">
        <w:rPr>
          <w:rFonts w:ascii="Times New Roman" w:eastAsia="Times New Roman" w:hAnsi="Times New Roman" w:cs="Times New Roman"/>
          <w:bCs/>
          <w:sz w:val="24"/>
          <w:szCs w:val="24"/>
        </w:rPr>
        <w:t>in this study is understood to mean</w:t>
      </w:r>
      <w:r w:rsidRPr="00597FFB">
        <w:rPr>
          <w:rFonts w:ascii="Times New Roman" w:eastAsia="Times New Roman" w:hAnsi="Times New Roman" w:cs="Times New Roman"/>
          <w:bCs/>
          <w:sz w:val="24"/>
          <w:szCs w:val="24"/>
        </w:rPr>
        <w:t xml:space="preserve"> to the </w:t>
      </w:r>
      <w:r w:rsidR="00156CAB" w:rsidRPr="00597FFB">
        <w:rPr>
          <w:rFonts w:ascii="Times New Roman" w:eastAsia="Times New Roman" w:hAnsi="Times New Roman" w:cs="Times New Roman"/>
          <w:bCs/>
          <w:sz w:val="24"/>
          <w:szCs w:val="24"/>
        </w:rPr>
        <w:t>possibility</w:t>
      </w:r>
      <w:r w:rsidRPr="00597FFB">
        <w:rPr>
          <w:rFonts w:ascii="Times New Roman" w:eastAsia="Times New Roman" w:hAnsi="Times New Roman" w:cs="Times New Roman"/>
          <w:bCs/>
          <w:sz w:val="24"/>
          <w:szCs w:val="24"/>
        </w:rPr>
        <w:t xml:space="preserve"> of recycling </w:t>
      </w:r>
      <w:r w:rsidR="00156CAB" w:rsidRPr="00597FFB">
        <w:rPr>
          <w:rFonts w:ascii="Times New Roman" w:eastAsia="Times New Roman" w:hAnsi="Times New Roman" w:cs="Times New Roman"/>
          <w:bCs/>
          <w:sz w:val="24"/>
          <w:szCs w:val="24"/>
        </w:rPr>
        <w:t xml:space="preserve">based on UAE </w:t>
      </w:r>
      <w:r w:rsidRPr="00597FFB">
        <w:rPr>
          <w:rFonts w:ascii="Times New Roman" w:eastAsia="Times New Roman" w:hAnsi="Times New Roman" w:cs="Times New Roman"/>
          <w:bCs/>
          <w:iCs/>
          <w:sz w:val="24"/>
          <w:szCs w:val="24"/>
        </w:rPr>
        <w:t>millennials</w:t>
      </w:r>
      <w:r w:rsidR="00156CAB" w:rsidRPr="00597FFB">
        <w:rPr>
          <w:rFonts w:ascii="Times New Roman" w:eastAsia="Times New Roman" w:hAnsi="Times New Roman" w:cs="Times New Roman"/>
          <w:bCs/>
          <w:iCs/>
          <w:sz w:val="24"/>
          <w:szCs w:val="24"/>
        </w:rPr>
        <w:t>’ evaluation</w:t>
      </w:r>
      <w:r w:rsidRPr="00597FFB">
        <w:rPr>
          <w:rFonts w:ascii="Times New Roman" w:eastAsia="Times New Roman" w:hAnsi="Times New Roman" w:cs="Times New Roman"/>
          <w:bCs/>
          <w:sz w:val="24"/>
          <w:szCs w:val="24"/>
        </w:rPr>
        <w:t xml:space="preserve">.  </w:t>
      </w:r>
    </w:p>
    <w:p w14:paraId="591EE267" w14:textId="035A23F0" w:rsidR="00CB40A2" w:rsidRPr="00597FFB" w:rsidRDefault="00CB40A2" w:rsidP="00A558FE">
      <w:pPr>
        <w:spacing w:after="0" w:line="480" w:lineRule="auto"/>
        <w:jc w:val="both"/>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Subjective recycling norm:</w:t>
      </w:r>
      <w:r w:rsidRPr="00597FFB">
        <w:rPr>
          <w:rFonts w:ascii="Times New Roman" w:eastAsia="Times New Roman" w:hAnsi="Times New Roman" w:cs="Times New Roman"/>
          <w:bCs/>
          <w:sz w:val="24"/>
          <w:szCs w:val="24"/>
        </w:rPr>
        <w:t xml:space="preserve"> </w:t>
      </w:r>
      <w:r w:rsidR="00156CAB" w:rsidRPr="00597FFB">
        <w:rPr>
          <w:rFonts w:ascii="Times New Roman" w:eastAsia="Times New Roman" w:hAnsi="Times New Roman" w:cs="Times New Roman"/>
          <w:bCs/>
          <w:sz w:val="24"/>
          <w:szCs w:val="24"/>
        </w:rPr>
        <w:t>Adapting</w:t>
      </w:r>
      <w:r w:rsidRPr="00597FFB">
        <w:rPr>
          <w:rFonts w:ascii="Times New Roman" w:eastAsia="Times New Roman" w:hAnsi="Times New Roman" w:cs="Times New Roman"/>
          <w:bCs/>
          <w:sz w:val="24"/>
          <w:szCs w:val="24"/>
        </w:rPr>
        <w:t xml:space="preserve"> Ajzen</w:t>
      </w:r>
      <w:r w:rsidR="00156CAB" w:rsidRPr="00597FFB">
        <w:rPr>
          <w:rFonts w:ascii="Times New Roman" w:eastAsia="Times New Roman" w:hAnsi="Times New Roman" w:cs="Times New Roman"/>
          <w:bCs/>
          <w:sz w:val="24"/>
          <w:szCs w:val="24"/>
        </w:rPr>
        <w:t>’s</w:t>
      </w:r>
      <w:r w:rsidRPr="00597FFB">
        <w:rPr>
          <w:rFonts w:ascii="Times New Roman" w:eastAsia="Times New Roman" w:hAnsi="Times New Roman" w:cs="Times New Roman"/>
          <w:bCs/>
          <w:sz w:val="24"/>
          <w:szCs w:val="24"/>
        </w:rPr>
        <w:t xml:space="preserve"> (1991)</w:t>
      </w:r>
      <w:r w:rsidR="00156CAB" w:rsidRPr="00597FFB">
        <w:rPr>
          <w:rFonts w:ascii="Times New Roman" w:eastAsia="Times New Roman" w:hAnsi="Times New Roman" w:cs="Times New Roman"/>
          <w:bCs/>
          <w:sz w:val="24"/>
          <w:szCs w:val="24"/>
        </w:rPr>
        <w:t xml:space="preserve"> definition</w:t>
      </w:r>
      <w:r w:rsidRPr="00597FFB">
        <w:rPr>
          <w:rFonts w:ascii="Times New Roman" w:eastAsia="Times New Roman" w:hAnsi="Times New Roman" w:cs="Times New Roman"/>
          <w:bCs/>
          <w:sz w:val="24"/>
          <w:szCs w:val="24"/>
        </w:rPr>
        <w:t xml:space="preserve">, subjective recycling norm refers to the </w:t>
      </w:r>
      <w:r w:rsidR="00776FA8" w:rsidRPr="00597FFB">
        <w:rPr>
          <w:rFonts w:ascii="Times New Roman" w:eastAsia="Times New Roman" w:hAnsi="Times New Roman" w:cs="Times New Roman"/>
          <w:bCs/>
          <w:sz w:val="24"/>
          <w:szCs w:val="24"/>
        </w:rPr>
        <w:t xml:space="preserve">social pressure </w:t>
      </w:r>
      <w:r w:rsidRPr="00597FFB">
        <w:rPr>
          <w:rFonts w:ascii="Times New Roman" w:eastAsia="Times New Roman" w:hAnsi="Times New Roman" w:cs="Times New Roman"/>
          <w:bCs/>
          <w:sz w:val="24"/>
          <w:szCs w:val="24"/>
        </w:rPr>
        <w:t>millennials</w:t>
      </w:r>
      <w:r w:rsidR="00776FA8" w:rsidRPr="00597FFB">
        <w:rPr>
          <w:rFonts w:ascii="Times New Roman" w:eastAsia="Times New Roman" w:hAnsi="Times New Roman" w:cs="Times New Roman"/>
          <w:bCs/>
          <w:sz w:val="24"/>
          <w:szCs w:val="24"/>
        </w:rPr>
        <w:t xml:space="preserve"> encounter</w:t>
      </w:r>
      <w:r w:rsidRPr="00597FFB">
        <w:rPr>
          <w:rFonts w:ascii="Times New Roman" w:eastAsia="Times New Roman" w:hAnsi="Times New Roman" w:cs="Times New Roman"/>
          <w:bCs/>
          <w:sz w:val="24"/>
          <w:szCs w:val="24"/>
        </w:rPr>
        <w:t xml:space="preserve"> concerning recycling.  </w:t>
      </w:r>
    </w:p>
    <w:p w14:paraId="10E06E59" w14:textId="3F566635" w:rsidR="00CB40A2" w:rsidRPr="00597FFB" w:rsidRDefault="00CB40A2" w:rsidP="00A558FE">
      <w:pPr>
        <w:spacing w:after="0" w:line="480" w:lineRule="auto"/>
        <w:jc w:val="both"/>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 xml:space="preserve">Sustainability: </w:t>
      </w:r>
      <w:r w:rsidRPr="00597FFB">
        <w:rPr>
          <w:rFonts w:ascii="Times New Roman" w:eastAsia="Times New Roman" w:hAnsi="Times New Roman" w:cs="Times New Roman"/>
          <w:bCs/>
          <w:sz w:val="24"/>
          <w:szCs w:val="24"/>
        </w:rPr>
        <w:t xml:space="preserve">The rate at which pollution, harvesting of natural resources can be </w:t>
      </w:r>
      <w:r w:rsidRPr="00597FFB">
        <w:rPr>
          <w:rFonts w:ascii="Times New Roman" w:eastAsia="Times New Roman" w:hAnsi="Times New Roman" w:cs="Times New Roman"/>
          <w:bCs/>
          <w:color w:val="000000"/>
          <w:sz w:val="24"/>
          <w:szCs w:val="24"/>
        </w:rPr>
        <w:t xml:space="preserve">maintained </w:t>
      </w:r>
      <w:r w:rsidR="00B35F6C" w:rsidRPr="00597FFB">
        <w:rPr>
          <w:rFonts w:ascii="Times New Roman" w:eastAsia="Times New Roman" w:hAnsi="Times New Roman" w:cs="Times New Roman"/>
          <w:bCs/>
          <w:sz w:val="24"/>
          <w:szCs w:val="24"/>
        </w:rPr>
        <w:t xml:space="preserve">(Ananno et al., 2021).  </w:t>
      </w:r>
    </w:p>
    <w:p w14:paraId="0CF61983" w14:textId="4E14409D"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Sustainable development:</w:t>
      </w:r>
      <w:r w:rsidRPr="00597FFB">
        <w:rPr>
          <w:rFonts w:ascii="Times New Roman" w:eastAsia="Times New Roman" w:hAnsi="Times New Roman" w:cs="Times New Roman"/>
          <w:bCs/>
          <w:sz w:val="24"/>
          <w:szCs w:val="24"/>
        </w:rPr>
        <w:t xml:space="preserve"> </w:t>
      </w:r>
      <w:r w:rsidR="00776FA8" w:rsidRPr="00597FFB">
        <w:rPr>
          <w:rFonts w:ascii="Times New Roman" w:eastAsia="Times New Roman" w:hAnsi="Times New Roman" w:cs="Times New Roman"/>
          <w:bCs/>
          <w:sz w:val="24"/>
          <w:szCs w:val="24"/>
        </w:rPr>
        <w:t>“</w:t>
      </w:r>
      <w:r w:rsidR="00782398" w:rsidRPr="00597FFB">
        <w:rPr>
          <w:rFonts w:ascii="Times New Roman" w:eastAsia="Times New Roman" w:hAnsi="Times New Roman" w:cs="Times New Roman"/>
          <w:bCs/>
          <w:sz w:val="24"/>
          <w:szCs w:val="24"/>
        </w:rPr>
        <w:t>D</w:t>
      </w:r>
      <w:r w:rsidRPr="00597FFB">
        <w:rPr>
          <w:rFonts w:ascii="Times New Roman" w:eastAsia="Times New Roman" w:hAnsi="Times New Roman" w:cs="Times New Roman"/>
          <w:bCs/>
          <w:sz w:val="24"/>
          <w:szCs w:val="24"/>
        </w:rPr>
        <w:t>evelopment that meets the needs of the present without compromising the ability of future generations to meet their needs</w:t>
      </w:r>
      <w:r w:rsidR="00782398" w:rsidRPr="00597FFB">
        <w:rPr>
          <w:rFonts w:ascii="Times New Roman" w:eastAsia="Times New Roman" w:hAnsi="Times New Roman" w:cs="Times New Roman"/>
          <w:bCs/>
          <w:sz w:val="24"/>
          <w:szCs w:val="24"/>
        </w:rPr>
        <w:t>”</w:t>
      </w:r>
      <w:r w:rsidRPr="00597FFB">
        <w:rPr>
          <w:rFonts w:ascii="Times New Roman" w:eastAsia="Times New Roman" w:hAnsi="Times New Roman" w:cs="Times New Roman"/>
          <w:bCs/>
          <w:sz w:val="24"/>
          <w:szCs w:val="24"/>
        </w:rPr>
        <w:t xml:space="preserve"> (</w:t>
      </w:r>
      <w:r w:rsidR="00F70485" w:rsidRPr="00597FFB">
        <w:rPr>
          <w:rFonts w:ascii="Times New Roman" w:eastAsia="Times New Roman" w:hAnsi="Times New Roman" w:cs="Times New Roman"/>
          <w:bCs/>
          <w:sz w:val="24"/>
          <w:szCs w:val="24"/>
        </w:rPr>
        <w:t>Brundtland, 1987, para 49</w:t>
      </w:r>
      <w:r w:rsidRPr="00597FFB">
        <w:rPr>
          <w:rFonts w:ascii="Times New Roman" w:eastAsia="Times New Roman" w:hAnsi="Times New Roman" w:cs="Times New Roman"/>
          <w:bCs/>
          <w:sz w:val="24"/>
          <w:szCs w:val="24"/>
        </w:rPr>
        <w:t xml:space="preserve">).  </w:t>
      </w:r>
    </w:p>
    <w:p w14:paraId="583D6D83" w14:textId="0DFC7797" w:rsidR="00CB40A2" w:rsidRPr="00597FFB" w:rsidRDefault="00CB40A2" w:rsidP="00A558FE">
      <w:pPr>
        <w:spacing w:after="0" w:line="480" w:lineRule="auto"/>
        <w:jc w:val="both"/>
        <w:rPr>
          <w:rFonts w:ascii="Times New Roman" w:eastAsia="Times New Roman" w:hAnsi="Times New Roman" w:cs="Times New Roman"/>
          <w:b/>
          <w:sz w:val="24"/>
          <w:szCs w:val="24"/>
        </w:rPr>
      </w:pPr>
      <w:r w:rsidRPr="00597FFB">
        <w:rPr>
          <w:rFonts w:ascii="Times New Roman" w:eastAsia="Times New Roman" w:hAnsi="Times New Roman" w:cs="Times New Roman"/>
          <w:b/>
          <w:sz w:val="24"/>
          <w:szCs w:val="24"/>
        </w:rPr>
        <w:t xml:space="preserve">Sustainable waste management: </w:t>
      </w:r>
      <w:r w:rsidRPr="00597FFB">
        <w:rPr>
          <w:rFonts w:ascii="Times New Roman" w:eastAsia="Times New Roman" w:hAnsi="Times New Roman" w:cs="Times New Roman"/>
          <w:bCs/>
          <w:sz w:val="24"/>
          <w:szCs w:val="24"/>
        </w:rPr>
        <w:t xml:space="preserve"> A systematic management of the wastes</w:t>
      </w:r>
      <w:r w:rsidRPr="00597FFB">
        <w:rPr>
          <w:rFonts w:ascii="Times New Roman" w:eastAsia="Times New Roman" w:hAnsi="Times New Roman" w:cs="Times New Roman"/>
          <w:bCs/>
          <w:color w:val="000000"/>
          <w:sz w:val="24"/>
          <w:szCs w:val="24"/>
        </w:rPr>
        <w:t xml:space="preserve"> (</w:t>
      </w:r>
      <w:r w:rsidR="00B35F6C" w:rsidRPr="00597FFB">
        <w:rPr>
          <w:rFonts w:ascii="Times New Roman" w:eastAsia="Times New Roman" w:hAnsi="Times New Roman" w:cs="Times New Roman"/>
          <w:bCs/>
          <w:color w:val="000000"/>
          <w:sz w:val="24"/>
          <w:szCs w:val="24"/>
        </w:rPr>
        <w:t>Arian et al.</w:t>
      </w:r>
      <w:r w:rsidRPr="00597FFB">
        <w:rPr>
          <w:rFonts w:ascii="Times New Roman" w:eastAsia="Times New Roman" w:hAnsi="Times New Roman" w:cs="Times New Roman"/>
          <w:bCs/>
          <w:color w:val="000000"/>
          <w:sz w:val="24"/>
          <w:szCs w:val="24"/>
        </w:rPr>
        <w:t>, 20</w:t>
      </w:r>
      <w:r w:rsidR="00B35F6C" w:rsidRPr="00597FFB">
        <w:rPr>
          <w:rFonts w:ascii="Times New Roman" w:eastAsia="Times New Roman" w:hAnsi="Times New Roman" w:cs="Times New Roman"/>
          <w:bCs/>
          <w:color w:val="000000"/>
          <w:sz w:val="24"/>
          <w:szCs w:val="24"/>
        </w:rPr>
        <w:t>20</w:t>
      </w:r>
      <w:r w:rsidRPr="00597FFB">
        <w:rPr>
          <w:rFonts w:ascii="Times New Roman" w:eastAsia="Times New Roman" w:hAnsi="Times New Roman" w:cs="Times New Roman"/>
          <w:bCs/>
          <w:color w:val="000000"/>
          <w:sz w:val="24"/>
          <w:szCs w:val="24"/>
        </w:rPr>
        <w:t>).</w:t>
      </w:r>
    </w:p>
    <w:p w14:paraId="479F19E6" w14:textId="46FBA626" w:rsidR="00CB40A2" w:rsidRPr="00597FFB" w:rsidRDefault="00CB40A2" w:rsidP="00A558FE">
      <w:pPr>
        <w:spacing w:after="0" w:line="480" w:lineRule="auto"/>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
          <w:color w:val="000000"/>
          <w:sz w:val="24"/>
          <w:szCs w:val="24"/>
        </w:rPr>
        <w:t>Theory of planned behavior:</w:t>
      </w:r>
      <w:r w:rsidRPr="00597FFB">
        <w:rPr>
          <w:rFonts w:ascii="Times New Roman" w:eastAsia="Times New Roman" w:hAnsi="Times New Roman" w:cs="Times New Roman"/>
          <w:bCs/>
          <w:color w:val="000000"/>
          <w:sz w:val="24"/>
          <w:szCs w:val="24"/>
        </w:rPr>
        <w:t xml:space="preserve"> E-waste recycling is a certified system that enabling consumers to drop off their no longer wanted E-waste for recycling or reuse purposes (</w:t>
      </w:r>
      <w:r w:rsidR="00B35F6C" w:rsidRPr="00597FFB">
        <w:rPr>
          <w:rFonts w:ascii="Times New Roman" w:eastAsia="Times New Roman" w:hAnsi="Times New Roman" w:cs="Times New Roman"/>
          <w:bCs/>
          <w:color w:val="000000"/>
          <w:sz w:val="24"/>
          <w:szCs w:val="24"/>
        </w:rPr>
        <w:t>Ajzen, 1991).</w:t>
      </w:r>
      <w:r w:rsidRPr="00597FFB">
        <w:rPr>
          <w:rFonts w:ascii="Times New Roman" w:eastAsia="Times New Roman" w:hAnsi="Times New Roman" w:cs="Times New Roman"/>
          <w:bCs/>
          <w:color w:val="000000"/>
          <w:sz w:val="24"/>
          <w:szCs w:val="24"/>
        </w:rPr>
        <w:t xml:space="preserve"> </w:t>
      </w:r>
    </w:p>
    <w:p w14:paraId="3DB16831" w14:textId="5A8C1AB7" w:rsidR="00CB40A2" w:rsidRPr="00597FFB" w:rsidRDefault="00CB40A2" w:rsidP="00A558FE">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Waste:</w:t>
      </w:r>
      <w:r w:rsidRPr="00597FFB">
        <w:rPr>
          <w:rFonts w:ascii="Times New Roman" w:eastAsia="Times New Roman" w:hAnsi="Times New Roman" w:cs="Times New Roman"/>
          <w:bCs/>
          <w:sz w:val="24"/>
          <w:szCs w:val="24"/>
        </w:rPr>
        <w:t xml:space="preserve"> Waste </w:t>
      </w:r>
      <w:r w:rsidR="000D4EC3" w:rsidRPr="00597FFB">
        <w:rPr>
          <w:rFonts w:ascii="Times New Roman" w:eastAsia="Times New Roman" w:hAnsi="Times New Roman" w:cs="Times New Roman"/>
          <w:bCs/>
          <w:sz w:val="24"/>
          <w:szCs w:val="24"/>
        </w:rPr>
        <w:t>refers to all materials that are discarded</w:t>
      </w:r>
      <w:r w:rsidRPr="00597FFB">
        <w:rPr>
          <w:rFonts w:ascii="Times New Roman" w:eastAsia="Times New Roman" w:hAnsi="Times New Roman" w:cs="Times New Roman"/>
          <w:bCs/>
          <w:sz w:val="24"/>
          <w:szCs w:val="24"/>
        </w:rPr>
        <w:t xml:space="preserve"> from </w:t>
      </w:r>
      <w:r w:rsidR="000D4EC3" w:rsidRPr="00597FFB">
        <w:rPr>
          <w:rFonts w:ascii="Times New Roman" w:eastAsia="Times New Roman" w:hAnsi="Times New Roman" w:cs="Times New Roman"/>
          <w:bCs/>
          <w:sz w:val="24"/>
          <w:szCs w:val="24"/>
        </w:rPr>
        <w:t xml:space="preserve">commercial facilities </w:t>
      </w:r>
      <w:r w:rsidRPr="00597FFB">
        <w:rPr>
          <w:rFonts w:ascii="Times New Roman" w:eastAsia="Times New Roman" w:hAnsi="Times New Roman" w:cs="Times New Roman"/>
          <w:bCs/>
          <w:sz w:val="24"/>
          <w:szCs w:val="24"/>
        </w:rPr>
        <w:t xml:space="preserve">and </w:t>
      </w:r>
      <w:r w:rsidR="000D4EC3" w:rsidRPr="00597FFB">
        <w:rPr>
          <w:rFonts w:ascii="Times New Roman" w:eastAsia="Times New Roman" w:hAnsi="Times New Roman" w:cs="Times New Roman"/>
          <w:bCs/>
          <w:sz w:val="24"/>
          <w:szCs w:val="24"/>
        </w:rPr>
        <w:t xml:space="preserve">households </w:t>
      </w:r>
      <w:r w:rsidRPr="00597FFB">
        <w:rPr>
          <w:rFonts w:ascii="Times New Roman" w:eastAsia="Times New Roman" w:hAnsi="Times New Roman" w:cs="Times New Roman"/>
          <w:bCs/>
          <w:sz w:val="24"/>
          <w:szCs w:val="24"/>
        </w:rPr>
        <w:t xml:space="preserve">and </w:t>
      </w:r>
      <w:r w:rsidR="000D4EC3" w:rsidRPr="00597FFB">
        <w:rPr>
          <w:rFonts w:ascii="Times New Roman" w:eastAsia="Times New Roman" w:hAnsi="Times New Roman" w:cs="Times New Roman"/>
          <w:bCs/>
          <w:sz w:val="24"/>
          <w:szCs w:val="24"/>
        </w:rPr>
        <w:t>collected</w:t>
      </w:r>
      <w:r w:rsidRPr="00597FFB">
        <w:rPr>
          <w:rFonts w:ascii="Times New Roman" w:eastAsia="Times New Roman" w:hAnsi="Times New Roman" w:cs="Times New Roman"/>
          <w:bCs/>
          <w:sz w:val="24"/>
          <w:szCs w:val="24"/>
        </w:rPr>
        <w:t xml:space="preserve"> by local </w:t>
      </w:r>
      <w:r w:rsidR="000D4EC3" w:rsidRPr="00597FFB">
        <w:rPr>
          <w:rFonts w:ascii="Times New Roman" w:eastAsia="Times New Roman" w:hAnsi="Times New Roman" w:cs="Times New Roman"/>
          <w:bCs/>
          <w:sz w:val="24"/>
          <w:szCs w:val="24"/>
        </w:rPr>
        <w:t>authorities</w:t>
      </w:r>
      <w:r w:rsidRPr="00597FFB">
        <w:rPr>
          <w:rFonts w:ascii="Times New Roman" w:eastAsia="Times New Roman" w:hAnsi="Times New Roman" w:cs="Times New Roman"/>
          <w:bCs/>
          <w:sz w:val="24"/>
          <w:szCs w:val="24"/>
        </w:rPr>
        <w:t xml:space="preserve"> </w:t>
      </w:r>
      <w:r w:rsidR="00B35F6C" w:rsidRPr="00597FFB">
        <w:rPr>
          <w:rFonts w:ascii="Times New Roman" w:eastAsia="Times New Roman" w:hAnsi="Times New Roman" w:cs="Times New Roman"/>
          <w:bCs/>
          <w:sz w:val="24"/>
          <w:szCs w:val="24"/>
        </w:rPr>
        <w:fldChar w:fldCharType="begin"/>
      </w:r>
      <w:r w:rsidR="00B35F6C" w:rsidRPr="00597FFB">
        <w:rPr>
          <w:rFonts w:ascii="Times New Roman" w:eastAsia="Times New Roman" w:hAnsi="Times New Roman" w:cs="Times New Roman"/>
          <w:bCs/>
          <w:sz w:val="24"/>
          <w:szCs w:val="24"/>
        </w:rPr>
        <w:instrText xml:space="preserve"> ADDIN ZOTERO_ITEM CSL_CITATION {"citationID":"a1ktmtkmgr4","properties":{"formattedCitation":"(Afroz et al., 2017)","plainCitation":"(Afroz et al., 2017)","noteIndex":0},"citationItems":[{"id":4228,"uris":["http://zotero.org/users/local/b6CRLSJH/items/7YZ3N33N"],"itemData":{"id":4228,"type":"article-journal","container-title":"Environmental Science and Pollution Research","DOI":"10.1007/s11356-016-7942-0","ISSN":"0944-1344, 1614-7499","issue":"3","journalAbbreviation":"Environ Sci Pollut Res","language":"en","page":"2304-2315","source":"DOI.org (Crossref)","title":"The knowledge, awareness, attitude and motivational analysis of plastic waste and household perspective in Malaysia","volume":"24","author":[{"family":"Afroz","given":"Rafia"},{"family":"Rahman","given":"Ataur"},{"family":"Masud","given":"Muhammad Mehedi"},{"family":"Akhtar","given":"Rulia"}],"issued":{"date-parts":[["2017",1]]}}}],"schema":"https://github.com/citation-style-language/schema/raw/master/csl-citation.json"} </w:instrText>
      </w:r>
      <w:r w:rsidR="00B35F6C" w:rsidRPr="00597FFB">
        <w:rPr>
          <w:rFonts w:ascii="Times New Roman" w:eastAsia="Times New Roman" w:hAnsi="Times New Roman" w:cs="Times New Roman"/>
          <w:bCs/>
          <w:sz w:val="24"/>
          <w:szCs w:val="24"/>
        </w:rPr>
        <w:fldChar w:fldCharType="separate"/>
      </w:r>
      <w:r w:rsidR="00B35F6C" w:rsidRPr="00597FFB">
        <w:rPr>
          <w:rFonts w:ascii="Times New Roman" w:hAnsi="Times New Roman" w:cs="Times New Roman"/>
          <w:sz w:val="24"/>
          <w:szCs w:val="24"/>
        </w:rPr>
        <w:t>(Afroz et al., 2017)</w:t>
      </w:r>
      <w:r w:rsidR="00B35F6C" w:rsidRPr="00597FFB">
        <w:rPr>
          <w:rFonts w:ascii="Times New Roman" w:eastAsia="Times New Roman" w:hAnsi="Times New Roman" w:cs="Times New Roman"/>
          <w:bCs/>
          <w:sz w:val="24"/>
          <w:szCs w:val="24"/>
        </w:rPr>
        <w:fldChar w:fldCharType="end"/>
      </w:r>
      <w:r w:rsidR="00B35F6C" w:rsidRPr="00597FFB">
        <w:rPr>
          <w:rFonts w:ascii="Times New Roman" w:eastAsia="Times New Roman" w:hAnsi="Times New Roman" w:cs="Times New Roman"/>
          <w:bCs/>
          <w:sz w:val="24"/>
          <w:szCs w:val="24"/>
        </w:rPr>
        <w:t>.</w:t>
      </w:r>
    </w:p>
    <w:p w14:paraId="2AB318CB" w14:textId="5CA02068" w:rsidR="00CD619D" w:rsidRPr="00597FFB" w:rsidRDefault="00CB40A2" w:rsidP="00CD619D">
      <w:pPr>
        <w:spacing w:after="0" w:line="480" w:lineRule="auto"/>
        <w:jc w:val="both"/>
        <w:rPr>
          <w:rFonts w:ascii="Times New Roman" w:eastAsia="Times New Roman" w:hAnsi="Times New Roman" w:cs="Times New Roman"/>
          <w:bCs/>
          <w:sz w:val="24"/>
          <w:szCs w:val="24"/>
        </w:rPr>
      </w:pPr>
      <w:r w:rsidRPr="00597FFB">
        <w:rPr>
          <w:rFonts w:ascii="Times New Roman" w:eastAsia="Times New Roman" w:hAnsi="Times New Roman" w:cs="Times New Roman"/>
          <w:b/>
          <w:sz w:val="24"/>
          <w:szCs w:val="24"/>
        </w:rPr>
        <w:t>Willingness</w:t>
      </w:r>
      <w:r w:rsidRPr="00597FFB">
        <w:rPr>
          <w:rFonts w:ascii="Times New Roman" w:eastAsia="Times New Roman" w:hAnsi="Times New Roman" w:cs="Times New Roman"/>
          <w:bCs/>
          <w:sz w:val="24"/>
          <w:szCs w:val="24"/>
        </w:rPr>
        <w:t xml:space="preserve">: The quality or the state of being prepared to do something (Lexico, 2020). </w:t>
      </w:r>
    </w:p>
    <w:p w14:paraId="33CAFE1C" w14:textId="3C70566D" w:rsidR="00CD619D" w:rsidRPr="00597FFB" w:rsidRDefault="00CD619D" w:rsidP="00CD619D">
      <w:pPr>
        <w:pStyle w:val="Heading2"/>
        <w:rPr>
          <w:rFonts w:asciiTheme="majorBidi" w:hAnsiTheme="majorBidi"/>
          <w:b/>
          <w:bCs/>
          <w:color w:val="000000" w:themeColor="text1"/>
          <w:sz w:val="24"/>
          <w:szCs w:val="24"/>
        </w:rPr>
      </w:pPr>
      <w:bookmarkStart w:id="82" w:name="_Toc127170263"/>
      <w:r w:rsidRPr="00597FFB">
        <w:rPr>
          <w:rFonts w:asciiTheme="majorBidi" w:hAnsiTheme="majorBidi"/>
          <w:b/>
          <w:bCs/>
          <w:color w:val="000000" w:themeColor="text1"/>
          <w:sz w:val="24"/>
          <w:szCs w:val="24"/>
        </w:rPr>
        <w:t>1.12. Chapter Summary</w:t>
      </w:r>
      <w:bookmarkEnd w:id="82"/>
    </w:p>
    <w:p w14:paraId="0D835443" w14:textId="77777777" w:rsidR="00CD619D" w:rsidRPr="00597FFB" w:rsidRDefault="00CD619D" w:rsidP="00CD619D"/>
    <w:p w14:paraId="4B5671CF" w14:textId="25B0E4F2" w:rsidR="00A75D4B" w:rsidRPr="00597FFB" w:rsidRDefault="00CD619D" w:rsidP="00056BFC">
      <w:pPr>
        <w:spacing w:before="26" w:after="26" w:line="480" w:lineRule="auto"/>
        <w:ind w:firstLine="720"/>
        <w:jc w:val="both"/>
        <w:rPr>
          <w:rFonts w:ascii="Times New Roman" w:eastAsia="Times New Roman" w:hAnsi="Times New Roman" w:cs="Times New Roman"/>
          <w:bCs/>
          <w:color w:val="000000"/>
          <w:sz w:val="24"/>
          <w:szCs w:val="24"/>
        </w:rPr>
      </w:pPr>
      <w:r w:rsidRPr="00597FFB">
        <w:rPr>
          <w:rFonts w:ascii="Times New Roman" w:eastAsia="Times New Roman" w:hAnsi="Times New Roman" w:cs="Times New Roman"/>
          <w:bCs/>
          <w:color w:val="000000"/>
          <w:sz w:val="24"/>
          <w:szCs w:val="24"/>
        </w:rPr>
        <w:t xml:space="preserve">Chapter 1 introduced the problem's context, which concerns the UAE's millennials intention behavior factors influencing E-waste recycling. The issues involved in such waste are presented, leading to the research problem, research objectives, and questions. The study's significance follows this, and the chapter is completed with a brief explanation of the thesis contents. The next chapter moves to the literature review, including the research context, which concerns E-waste recycling behavior intentions and its influencing factors. Also, have millennials as consumers and their relationships with the technologies, UAE's millennials Attitude-Intention Gap, historical backgrounds of TPB and NAM theories in the context of recycling, and research’s proposed model with the structured hypothesis.  The literature review also seeks to address research questions. </w:t>
      </w:r>
    </w:p>
    <w:p w14:paraId="34D417CF" w14:textId="6B14C5E0" w:rsidR="00CB40A2" w:rsidRPr="00597FFB" w:rsidRDefault="008E4583" w:rsidP="00CB40A2">
      <w:pPr>
        <w:autoSpaceDE w:val="0"/>
        <w:autoSpaceDN w:val="0"/>
        <w:adjustRightInd w:val="0"/>
        <w:spacing w:after="0" w:line="276" w:lineRule="auto"/>
        <w:rPr>
          <w:rFonts w:ascii="Times New Roman" w:eastAsia="Calibri" w:hAnsi="Times New Roman" w:cs="Times New Roman"/>
        </w:rPr>
      </w:pPr>
      <w:r w:rsidRPr="00597FFB">
        <w:rPr>
          <w:rFonts w:ascii="Times New Roman" w:eastAsia="Calibri" w:hAnsi="Times New Roman" w:cs="Times New Roman"/>
          <w:b/>
          <w:bCs/>
        </w:rPr>
        <w:t xml:space="preserve">Table 7: </w:t>
      </w:r>
      <w:bookmarkStart w:id="83" w:name="_Hlk123389984"/>
      <w:r w:rsidRPr="00597FFB">
        <w:rPr>
          <w:rFonts w:ascii="Times New Roman" w:eastAsia="Calibri" w:hAnsi="Times New Roman" w:cs="Times New Roman"/>
          <w:i/>
          <w:iCs/>
        </w:rPr>
        <w:t>Research Timeline.</w:t>
      </w:r>
      <w:bookmarkEnd w:id="83"/>
    </w:p>
    <w:tbl>
      <w:tblPr>
        <w:tblpPr w:leftFromText="180" w:rightFromText="180" w:vertAnchor="text" w:horzAnchor="margin" w:tblpXSpec="center" w:tblpY="191"/>
        <w:tblW w:w="5000" w:type="pct"/>
        <w:tblCellMar>
          <w:left w:w="0" w:type="dxa"/>
          <w:right w:w="0" w:type="dxa"/>
        </w:tblCellMar>
        <w:tblLook w:val="04A0" w:firstRow="1" w:lastRow="0" w:firstColumn="1" w:lastColumn="0" w:noHBand="0" w:noVBand="1"/>
      </w:tblPr>
      <w:tblGrid>
        <w:gridCol w:w="1948"/>
        <w:gridCol w:w="328"/>
        <w:gridCol w:w="361"/>
        <w:gridCol w:w="361"/>
        <w:gridCol w:w="361"/>
        <w:gridCol w:w="10"/>
        <w:gridCol w:w="284"/>
        <w:gridCol w:w="328"/>
        <w:gridCol w:w="394"/>
        <w:gridCol w:w="361"/>
        <w:gridCol w:w="394"/>
        <w:gridCol w:w="294"/>
        <w:gridCol w:w="294"/>
        <w:gridCol w:w="361"/>
        <w:gridCol w:w="328"/>
        <w:gridCol w:w="361"/>
        <w:gridCol w:w="361"/>
        <w:gridCol w:w="440"/>
      </w:tblGrid>
      <w:tr w:rsidR="00CB40A2" w:rsidRPr="00597FFB" w14:paraId="1494D309" w14:textId="77777777" w:rsidTr="00936CED">
        <w:trPr>
          <w:trHeight w:val="778"/>
        </w:trPr>
        <w:tc>
          <w:tcPr>
            <w:tcW w:w="1332" w:type="pct"/>
            <w:vMerge w:val="restart"/>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47A23026"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Task</w:t>
            </w:r>
          </w:p>
        </w:tc>
        <w:tc>
          <w:tcPr>
            <w:tcW w:w="895" w:type="pct"/>
            <w:gridSpan w:val="5"/>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341DF460" w14:textId="77777777" w:rsidR="00CB40A2" w:rsidRPr="00597FFB" w:rsidRDefault="00CB40A2" w:rsidP="008059EC">
            <w:pPr>
              <w:spacing w:after="0" w:line="360" w:lineRule="auto"/>
              <w:jc w:val="center"/>
              <w:rPr>
                <w:rFonts w:ascii="Times New Roman" w:eastAsia="Times New Roman" w:hAnsi="Times New Roman" w:cs="Times New Roman"/>
              </w:rPr>
            </w:pPr>
            <w:r w:rsidRPr="00597FFB">
              <w:rPr>
                <w:rFonts w:ascii="Times New Roman" w:eastAsia="Times New Roman" w:hAnsi="Times New Roman" w:cs="Times New Roman"/>
                <w:b/>
                <w:bCs/>
                <w:color w:val="FFFFFF"/>
                <w:kern w:val="24"/>
              </w:rPr>
              <w:t>2021</w:t>
            </w:r>
          </w:p>
        </w:tc>
        <w:tc>
          <w:tcPr>
            <w:tcW w:w="2773" w:type="pct"/>
            <w:gridSpan w:val="12"/>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7C34E728" w14:textId="77777777" w:rsidR="00CB40A2" w:rsidRPr="00597FFB" w:rsidRDefault="00CB40A2" w:rsidP="008059EC">
            <w:pPr>
              <w:spacing w:after="0" w:line="360" w:lineRule="auto"/>
              <w:jc w:val="center"/>
              <w:rPr>
                <w:rFonts w:ascii="Times New Roman" w:eastAsia="Times New Roman" w:hAnsi="Times New Roman" w:cs="Times New Roman"/>
              </w:rPr>
            </w:pPr>
            <w:r w:rsidRPr="00597FFB">
              <w:rPr>
                <w:rFonts w:ascii="Times New Roman" w:eastAsia="Times New Roman" w:hAnsi="Times New Roman" w:cs="Times New Roman"/>
                <w:b/>
                <w:bCs/>
                <w:color w:val="FFFFFF"/>
                <w:kern w:val="24"/>
              </w:rPr>
              <w:t>2022</w:t>
            </w:r>
          </w:p>
        </w:tc>
      </w:tr>
      <w:tr w:rsidR="00936CED" w:rsidRPr="00597FFB" w14:paraId="4C2766AA" w14:textId="77777777" w:rsidTr="00936CED">
        <w:trPr>
          <w:trHeight w:val="454"/>
        </w:trPr>
        <w:tc>
          <w:tcPr>
            <w:tcW w:w="1332" w:type="pct"/>
            <w:vMerge/>
            <w:tcBorders>
              <w:top w:val="single" w:sz="8" w:space="0" w:color="FFFFFF"/>
              <w:left w:val="single" w:sz="8" w:space="0" w:color="FFFFFF"/>
              <w:bottom w:val="single" w:sz="24" w:space="0" w:color="FFFFFF"/>
              <w:right w:val="single" w:sz="8" w:space="0" w:color="FFFFFF"/>
            </w:tcBorders>
            <w:vAlign w:val="center"/>
            <w:hideMark/>
          </w:tcPr>
          <w:p w14:paraId="2C70AA28" w14:textId="77777777" w:rsidR="00CB40A2" w:rsidRPr="00597FFB" w:rsidRDefault="00CB40A2" w:rsidP="00DE6FF3">
            <w:pPr>
              <w:spacing w:line="256" w:lineRule="auto"/>
              <w:rPr>
                <w:rFonts w:ascii="Times New Roman" w:eastAsia="Calibri" w:hAnsi="Times New Roman" w:cs="Times New Roman"/>
              </w:rPr>
            </w:pPr>
          </w:p>
        </w:tc>
        <w:tc>
          <w:tcPr>
            <w:tcW w:w="177" w:type="pct"/>
            <w:tcBorders>
              <w:top w:val="single" w:sz="24" w:space="0" w:color="FFFFFF"/>
              <w:left w:val="single" w:sz="24"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93C889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S</w:t>
            </w:r>
          </w:p>
        </w:tc>
        <w:tc>
          <w:tcPr>
            <w:tcW w:w="207"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251BED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O</w:t>
            </w:r>
          </w:p>
        </w:tc>
        <w:tc>
          <w:tcPr>
            <w:tcW w:w="266"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512DC7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N</w:t>
            </w:r>
          </w:p>
        </w:tc>
        <w:tc>
          <w:tcPr>
            <w:tcW w:w="236"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FA0174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D</w:t>
            </w:r>
          </w:p>
        </w:tc>
        <w:tc>
          <w:tcPr>
            <w:tcW w:w="266" w:type="pct"/>
            <w:gridSpan w:val="2"/>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BA996B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J</w:t>
            </w:r>
          </w:p>
        </w:tc>
        <w:tc>
          <w:tcPr>
            <w:tcW w:w="177"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407025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F</w:t>
            </w:r>
          </w:p>
        </w:tc>
        <w:tc>
          <w:tcPr>
            <w:tcW w:w="177"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BF13E4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M</w:t>
            </w:r>
          </w:p>
        </w:tc>
        <w:tc>
          <w:tcPr>
            <w:tcW w:w="236"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0EF545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A</w:t>
            </w:r>
          </w:p>
        </w:tc>
        <w:tc>
          <w:tcPr>
            <w:tcW w:w="207"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883043D"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M</w:t>
            </w:r>
          </w:p>
        </w:tc>
        <w:tc>
          <w:tcPr>
            <w:tcW w:w="236"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5467D5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J</w:t>
            </w:r>
          </w:p>
        </w:tc>
        <w:tc>
          <w:tcPr>
            <w:tcW w:w="183"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C42482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J</w:t>
            </w:r>
          </w:p>
        </w:tc>
        <w:tc>
          <w:tcPr>
            <w:tcW w:w="179"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5D6845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A</w:t>
            </w:r>
          </w:p>
        </w:tc>
        <w:tc>
          <w:tcPr>
            <w:tcW w:w="288" w:type="pct"/>
            <w:tcBorders>
              <w:top w:val="single" w:sz="24" w:space="0" w:color="FFFFFF"/>
              <w:left w:val="single" w:sz="24"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1A0C43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S</w:t>
            </w:r>
          </w:p>
        </w:tc>
        <w:tc>
          <w:tcPr>
            <w:tcW w:w="207"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F94696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O</w:t>
            </w:r>
          </w:p>
        </w:tc>
        <w:tc>
          <w:tcPr>
            <w:tcW w:w="266"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B9CF5E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N</w:t>
            </w:r>
          </w:p>
        </w:tc>
        <w:tc>
          <w:tcPr>
            <w:tcW w:w="360" w:type="pct"/>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F9181A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D</w:t>
            </w:r>
          </w:p>
        </w:tc>
      </w:tr>
      <w:tr w:rsidR="00936CED" w:rsidRPr="00597FFB" w14:paraId="49B6F67C" w14:textId="77777777" w:rsidTr="00936CED">
        <w:trPr>
          <w:trHeight w:val="778"/>
        </w:trPr>
        <w:tc>
          <w:tcPr>
            <w:tcW w:w="1332" w:type="pct"/>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vAlign w:val="center"/>
            <w:hideMark/>
          </w:tcPr>
          <w:p w14:paraId="1E9A6BCA"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Dissertation Proposal (four month)</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525EAAB" w14:textId="77777777" w:rsidR="00CB40A2" w:rsidRPr="00597FFB" w:rsidRDefault="00CB40A2" w:rsidP="00CB40A2">
            <w:pPr>
              <w:spacing w:line="256" w:lineRule="auto"/>
              <w:rPr>
                <w:rFonts w:ascii="Times New Roman" w:eastAsia="Calibri"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AA8642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916472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40832" behindDoc="0" locked="0" layoutInCell="1" allowOverlap="1" wp14:anchorId="46F5D5C0" wp14:editId="03EE198D">
                      <wp:simplePos x="0" y="0"/>
                      <wp:positionH relativeFrom="column">
                        <wp:posOffset>-488315</wp:posOffset>
                      </wp:positionH>
                      <wp:positionV relativeFrom="paragraph">
                        <wp:posOffset>130810</wp:posOffset>
                      </wp:positionV>
                      <wp:extent cx="987425" cy="231775"/>
                      <wp:effectExtent l="0" t="0" r="3175" b="0"/>
                      <wp:wrapNone/>
                      <wp:docPr id="33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425" cy="231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261956E6"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5D5C0" id="Rectangle 338" o:spid="_x0000_s1071" style="position:absolute;left:0;text-align:left;margin-left:-38.45pt;margin-top:10.3pt;width:77.75pt;height:1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" fillcolor="#4472c4" strokecolor="#2f528f" strokeweight="1pt">
                      <v:path arrowok="t"/>
                      <v:textbox>
                        <w:txbxContent>
                          <w:p w14:paraId="261956E6" w14:textId="77777777" w:rsidR="00CB40A2" w:rsidRDefault="00CB40A2" w:rsidP="00CB40A2"/>
                        </w:txbxContent>
                      </v:textbox>
                    </v:rect>
                  </w:pict>
                </mc:Fallback>
              </mc:AlternateContent>
            </w: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6B4F5C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74636ED"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BB5F53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E8C438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606522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B8A750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9B8D66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306EC9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BB014C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D1A1D0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DD7EC8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F9AF61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6DF25B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r>
      <w:tr w:rsidR="00936CED" w:rsidRPr="00597FFB" w14:paraId="77D84B6E"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vAlign w:val="center"/>
            <w:hideMark/>
          </w:tcPr>
          <w:p w14:paraId="0B1AC971"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Scale Development (Two months)</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DAEB817" w14:textId="77777777" w:rsidR="00CB40A2" w:rsidRPr="00597FFB" w:rsidRDefault="00CB40A2" w:rsidP="00CB40A2">
            <w:pPr>
              <w:spacing w:line="256" w:lineRule="auto"/>
              <w:rPr>
                <w:rFonts w:ascii="Times New Roman" w:eastAsia="Calibri"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2D8FB2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9272AB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E9E360D"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68C517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47CB0AE6" wp14:editId="7F1FC2EA">
                      <wp:simplePos x="0" y="0"/>
                      <wp:positionH relativeFrom="column">
                        <wp:posOffset>-9525</wp:posOffset>
                      </wp:positionH>
                      <wp:positionV relativeFrom="paragraph">
                        <wp:posOffset>114300</wp:posOffset>
                      </wp:positionV>
                      <wp:extent cx="402590" cy="182245"/>
                      <wp:effectExtent l="0" t="0" r="0" b="8255"/>
                      <wp:wrapNone/>
                      <wp:docPr id="33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182245"/>
                              </a:xfrm>
                              <a:prstGeom prst="rect">
                                <a:avLst/>
                              </a:prstGeom>
                              <a:solidFill>
                                <a:srgbClr val="4472C4"/>
                              </a:solidFill>
                              <a:ln w="12700" cap="flat" cmpd="sng" algn="ctr">
                                <a:solidFill>
                                  <a:srgbClr val="4472C4">
                                    <a:shade val="50000"/>
                                  </a:srgbClr>
                                </a:solidFill>
                                <a:prstDash val="solid"/>
                                <a:miter lim="800000"/>
                              </a:ln>
                              <a:effectLst/>
                            </wps:spPr>
                            <wps:txbx>
                              <w:txbxContent>
                                <w:p w14:paraId="3527850E"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0AE6" id="Rectangle 339" o:spid="_x0000_s1072" style="position:absolute;left:0;text-align:left;margin-left:-.75pt;margin-top:9pt;width:31.7pt;height:14.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" fillcolor="#4472c4" strokecolor="#2f528f" strokeweight="1pt">
                      <v:path arrowok="t"/>
                      <v:textbox>
                        <w:txbxContent>
                          <w:p w14:paraId="3527850E" w14:textId="77777777" w:rsidR="00CB40A2" w:rsidRDefault="00CB40A2" w:rsidP="00CB40A2"/>
                        </w:txbxContent>
                      </v:textbox>
                    </v:rect>
                  </w:pict>
                </mc:Fallback>
              </mc:AlternateContent>
            </w:r>
            <w:r w:rsidRPr="00597FFB">
              <w:rPr>
                <w:rFonts w:ascii="Times New Roman" w:eastAsia="Times New Roman" w:hAnsi="Times New Roman" w:cs="Times New Roman"/>
                <w:color w:val="000000"/>
                <w:kern w:val="24"/>
                <w:sz w:val="20"/>
                <w:szCs w:val="20"/>
              </w:rPr>
              <w:t> </w:t>
            </w:r>
            <w:r w:rsidRPr="00597FFB">
              <w:rPr>
                <w:rFonts w:ascii="Calibri" w:eastAsia="Calibri" w:hAnsi="Calibri" w:cs="Arial"/>
                <w:noProof/>
              </w:rPr>
              <w:t xml:space="preserve">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01DF34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80BF69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DFEDC7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55D69A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BAACEA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2C6FC9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6D411F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0C292B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38349B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036D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934C0E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r>
      <w:tr w:rsidR="00936CED" w:rsidRPr="00597FFB" w14:paraId="5ED09AF6"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vAlign w:val="center"/>
            <w:hideMark/>
          </w:tcPr>
          <w:p w14:paraId="3FD2B71E" w14:textId="77777777" w:rsidR="00CB40A2" w:rsidRPr="00597FFB" w:rsidRDefault="00CB40A2" w:rsidP="00DE6FF3">
            <w:pPr>
              <w:spacing w:after="0" w:line="360" w:lineRule="auto"/>
              <w:rPr>
                <w:rFonts w:ascii="Times New Roman" w:eastAsia="Times New Roman" w:hAnsi="Times New Roman" w:cs="Times New Roman"/>
                <w:b/>
                <w:bCs/>
                <w:kern w:val="24"/>
              </w:rPr>
            </w:pPr>
            <w:r w:rsidRPr="00597FFB">
              <w:rPr>
                <w:rFonts w:ascii="Times New Roman" w:eastAsia="Times New Roman" w:hAnsi="Times New Roman" w:cs="Times New Roman"/>
                <w:b/>
                <w:bCs/>
                <w:kern w:val="24"/>
              </w:rPr>
              <w:t>Publication (subject to acceptance)</w:t>
            </w:r>
          </w:p>
          <w:p w14:paraId="11C7D2FE" w14:textId="77777777" w:rsidR="00CB40A2" w:rsidRPr="00597FFB" w:rsidRDefault="00CB40A2" w:rsidP="00DE6FF3">
            <w:pPr>
              <w:spacing w:after="0" w:line="360" w:lineRule="auto"/>
              <w:rPr>
                <w:rFonts w:ascii="Times New Roman" w:eastAsia="Times New Roman" w:hAnsi="Times New Roman" w:cs="Times New Roman"/>
              </w:rPr>
            </w:pP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9F60CA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F4F325D" w14:textId="77777777" w:rsidR="00CB40A2" w:rsidRPr="00597FFB" w:rsidRDefault="00CB40A2" w:rsidP="00CB40A2">
            <w:pPr>
              <w:spacing w:line="256" w:lineRule="auto"/>
              <w:rPr>
                <w:rFonts w:ascii="Times New Roman" w:eastAsia="Calibri" w:hAnsi="Times New Roman" w:cs="Times New Roman"/>
                <w:sz w:val="20"/>
                <w:szCs w:val="20"/>
              </w:rPr>
            </w:pP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C4BE44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38784" behindDoc="0" locked="0" layoutInCell="1" allowOverlap="1" wp14:anchorId="3A1CB283" wp14:editId="308F48F1">
                      <wp:simplePos x="0" y="0"/>
                      <wp:positionH relativeFrom="column">
                        <wp:posOffset>-353695</wp:posOffset>
                      </wp:positionH>
                      <wp:positionV relativeFrom="paragraph">
                        <wp:posOffset>232410</wp:posOffset>
                      </wp:positionV>
                      <wp:extent cx="1207135" cy="194945"/>
                      <wp:effectExtent l="0" t="0" r="0" b="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7135" cy="194945"/>
                              </a:xfrm>
                              <a:prstGeom prst="rect">
                                <a:avLst/>
                              </a:prstGeom>
                              <a:solidFill>
                                <a:srgbClr val="ED7D31">
                                  <a:lumMod val="40000"/>
                                  <a:lumOff val="60000"/>
                                </a:srgbClr>
                              </a:solidFill>
                              <a:ln w="12700" cap="flat" cmpd="sng" algn="ctr">
                                <a:solidFill>
                                  <a:srgbClr val="4472C4">
                                    <a:shade val="50000"/>
                                  </a:srgbClr>
                                </a:solidFill>
                                <a:prstDash val="dash"/>
                                <a:miter lim="800000"/>
                              </a:ln>
                              <a:effectLst/>
                            </wps:spPr>
                            <wps:txbx>
                              <w:txbxContent>
                                <w:p w14:paraId="48283936"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CB283" id="Rectangle 340" o:spid="_x0000_s1073" style="position:absolute;left:0;text-align:left;margin-left:-27.85pt;margin-top:18.3pt;width:95.05pt;height:15.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" fillcolor="#f8cbad" strokecolor="#2f528f" strokeweight="1pt">
                      <v:stroke dashstyle="dash"/>
                      <v:path arrowok="t"/>
                      <v:textbox>
                        <w:txbxContent>
                          <w:p w14:paraId="48283936" w14:textId="77777777" w:rsidR="00CB40A2" w:rsidRDefault="00CB40A2" w:rsidP="00CB40A2"/>
                        </w:txbxContent>
                      </v:textbox>
                    </v:rect>
                  </w:pict>
                </mc:Fallback>
              </mc:AlternateContent>
            </w: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680CD4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65129E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2C1C42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E8F1DA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3726C4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7B1F33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0CC104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r w:rsidRPr="00597FFB">
              <w:rPr>
                <w:rFonts w:ascii="Calibri" w:eastAsia="Calibri" w:hAnsi="Calibri" w:cs="Arial"/>
                <w:noProof/>
              </w:rPr>
              <w:t xml:space="preserve"> </w:t>
            </w:r>
          </w:p>
        </w:tc>
        <w:tc>
          <w:tcPr>
            <w:tcW w:w="183"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F99F77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0B88C5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2ECD13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2228B6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24C0F7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AFA490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r>
      <w:tr w:rsidR="00936CED" w:rsidRPr="00597FFB" w14:paraId="1798F482"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vAlign w:val="center"/>
            <w:hideMark/>
          </w:tcPr>
          <w:p w14:paraId="03D5AE28" w14:textId="77777777" w:rsidR="00CB40A2" w:rsidRPr="00597FFB" w:rsidRDefault="00CB40A2" w:rsidP="00DE6FF3">
            <w:pPr>
              <w:spacing w:after="0" w:line="360" w:lineRule="auto"/>
              <w:rPr>
                <w:rFonts w:ascii="Times New Roman" w:eastAsia="Times New Roman" w:hAnsi="Times New Roman" w:cs="Times New Roman"/>
                <w:b/>
                <w:bCs/>
                <w:kern w:val="24"/>
              </w:rPr>
            </w:pPr>
            <w:r w:rsidRPr="00597FFB">
              <w:rPr>
                <w:rFonts w:ascii="Times New Roman" w:eastAsia="Times New Roman" w:hAnsi="Times New Roman" w:cs="Times New Roman"/>
                <w:b/>
                <w:bCs/>
                <w:kern w:val="24"/>
              </w:rPr>
              <w:t>Diss. Write up &amp; preparation (ten months)</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786DF6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C34D54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1E69F05" w14:textId="77777777" w:rsidR="00CB40A2" w:rsidRPr="00597FFB" w:rsidRDefault="00CB40A2" w:rsidP="00CB40A2">
            <w:pPr>
              <w:spacing w:line="256" w:lineRule="auto"/>
              <w:rPr>
                <w:rFonts w:ascii="Times New Roman" w:eastAsia="Calibri" w:hAnsi="Times New Roman" w:cs="Times New Roman"/>
                <w:sz w:val="20"/>
                <w:szCs w:val="20"/>
              </w:rPr>
            </w:pP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76F4C5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3CFC6E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50E289F" w14:textId="11C1CC54" w:rsidR="00CB40A2" w:rsidRPr="00597FFB" w:rsidRDefault="00936CED"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46976" behindDoc="0" locked="0" layoutInCell="1" allowOverlap="1" wp14:anchorId="4D0C8D20" wp14:editId="532B232C">
                      <wp:simplePos x="0" y="0"/>
                      <wp:positionH relativeFrom="column">
                        <wp:posOffset>-290830</wp:posOffset>
                      </wp:positionH>
                      <wp:positionV relativeFrom="paragraph">
                        <wp:posOffset>199390</wp:posOffset>
                      </wp:positionV>
                      <wp:extent cx="987425" cy="170180"/>
                      <wp:effectExtent l="0" t="0" r="3175" b="1270"/>
                      <wp:wrapNone/>
                      <wp:docPr id="34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425" cy="170180"/>
                              </a:xfrm>
                              <a:prstGeom prst="rect">
                                <a:avLst/>
                              </a:prstGeom>
                              <a:solidFill>
                                <a:srgbClr val="4472C4"/>
                              </a:solidFill>
                              <a:ln w="12700" cap="flat" cmpd="sng" algn="ctr">
                                <a:solidFill>
                                  <a:srgbClr val="4472C4">
                                    <a:shade val="50000"/>
                                  </a:srgbClr>
                                </a:solidFill>
                                <a:prstDash val="solid"/>
                                <a:miter lim="800000"/>
                              </a:ln>
                              <a:effectLst/>
                            </wps:spPr>
                            <wps:txbx>
                              <w:txbxContent>
                                <w:p w14:paraId="6D15B497"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C8D20" id="Rectangle 342" o:spid="_x0000_s1074" style="position:absolute;left:0;text-align:left;margin-left:-22.9pt;margin-top:15.7pt;width:77.75pt;height:13.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" fillcolor="#4472c4" strokecolor="#2f528f" strokeweight="1pt">
                      <v:path arrowok="t"/>
                      <v:textbox>
                        <w:txbxContent>
                          <w:p w14:paraId="6D15B497" w14:textId="77777777" w:rsidR="00CB40A2" w:rsidRDefault="00CB40A2" w:rsidP="00CB40A2"/>
                        </w:txbxContent>
                      </v:textbox>
                    </v:rect>
                  </w:pict>
                </mc:Fallback>
              </mc:AlternateContent>
            </w:r>
            <w:r w:rsidR="00CB40A2"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B38FEC2" w14:textId="1BE79D5E"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492054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0E18CD3" w14:textId="42DAEEE5"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7E4432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AF2355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8F45D0F" w14:textId="223CE6D8"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1A2F338" w14:textId="52C85B80" w:rsidR="00CB40A2" w:rsidRPr="00597FFB" w:rsidRDefault="00936CED"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44928" behindDoc="0" locked="0" layoutInCell="1" allowOverlap="1" wp14:anchorId="675CD047" wp14:editId="0675E561">
                      <wp:simplePos x="0" y="0"/>
                      <wp:positionH relativeFrom="column">
                        <wp:posOffset>-798195</wp:posOffset>
                      </wp:positionH>
                      <wp:positionV relativeFrom="paragraph">
                        <wp:posOffset>208915</wp:posOffset>
                      </wp:positionV>
                      <wp:extent cx="1548130" cy="194310"/>
                      <wp:effectExtent l="0" t="0" r="0" b="0"/>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130" cy="194310"/>
                              </a:xfrm>
                              <a:prstGeom prst="rect">
                                <a:avLst/>
                              </a:prstGeom>
                              <a:solidFill>
                                <a:srgbClr val="ED7D31">
                                  <a:lumMod val="40000"/>
                                  <a:lumOff val="60000"/>
                                </a:srgbClr>
                              </a:solidFill>
                              <a:ln w="12700" cap="flat" cmpd="sng" algn="ctr">
                                <a:solidFill>
                                  <a:srgbClr val="4472C4">
                                    <a:shade val="50000"/>
                                  </a:srgbClr>
                                </a:solidFill>
                                <a:prstDash val="dash"/>
                                <a:miter lim="800000"/>
                              </a:ln>
                              <a:effectLst/>
                            </wps:spPr>
                            <wps:txbx>
                              <w:txbxContent>
                                <w:p w14:paraId="4A279F43" w14:textId="77777777" w:rsidR="00CB40A2" w:rsidRDefault="00CB40A2" w:rsidP="00CB40A2">
                                  <w:pPr>
                                    <w:jc w:val="center"/>
                                  </w:pPr>
                                  <w: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CD047" id="Rectangle 341" o:spid="_x0000_s1075" style="position:absolute;left:0;text-align:left;margin-left:-62.85pt;margin-top:16.45pt;width:121.9pt;height:15.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" fillcolor="#f8cbad" strokecolor="#2f528f" strokeweight="1pt">
                      <v:stroke dashstyle="dash"/>
                      <v:path arrowok="t"/>
                      <v:textbox>
                        <w:txbxContent>
                          <w:p w14:paraId="4A279F43" w14:textId="77777777" w:rsidR="00CB40A2" w:rsidRDefault="00CB40A2" w:rsidP="00CB40A2">
                            <w:pPr>
                              <w:jc w:val="center"/>
                            </w:pPr>
                            <w:r>
                              <w:t xml:space="preserve"> </w:t>
                            </w:r>
                          </w:p>
                        </w:txbxContent>
                      </v:textbox>
                    </v:rect>
                  </w:pict>
                </mc:Fallback>
              </mc:AlternateContent>
            </w:r>
            <w:r w:rsidR="00CB40A2"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359A554" w14:textId="6F70B436"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128564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p>
        </w:tc>
        <w:tc>
          <w:tcPr>
            <w:tcW w:w="360"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38244D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r w:rsidRPr="00597FFB">
              <w:rPr>
                <w:rFonts w:ascii="Calibri" w:eastAsia="Calibri" w:hAnsi="Calibri" w:cs="Arial"/>
                <w:noProof/>
              </w:rPr>
              <w:t xml:space="preserve"> </w:t>
            </w:r>
          </w:p>
        </w:tc>
      </w:tr>
      <w:tr w:rsidR="00936CED" w:rsidRPr="00597FFB" w14:paraId="6257FCFD"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vAlign w:val="center"/>
            <w:hideMark/>
          </w:tcPr>
          <w:p w14:paraId="61E8DC5E"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Data Collection (Two months)</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D5AE461" w14:textId="77777777" w:rsidR="00CB40A2" w:rsidRPr="00597FFB" w:rsidRDefault="00CB40A2" w:rsidP="00CB40A2">
            <w:pPr>
              <w:spacing w:line="256" w:lineRule="auto"/>
              <w:rPr>
                <w:rFonts w:ascii="Times New Roman" w:eastAsia="Calibri"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2F83C1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826634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3BB464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282EC9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3BAAFBF" w14:textId="77777777" w:rsidR="00CB40A2" w:rsidRPr="00597FFB" w:rsidRDefault="00CB40A2" w:rsidP="00CB40A2">
            <w:pPr>
              <w:spacing w:line="256" w:lineRule="auto"/>
              <w:rPr>
                <w:rFonts w:ascii="Times New Roman" w:eastAsia="Calibri" w:hAnsi="Times New Roman" w:cs="Times New Roman"/>
                <w:sz w:val="20"/>
                <w:szCs w:val="20"/>
              </w:rPr>
            </w:pP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BF5254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6A2F38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4661FE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CE26C7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5679D7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30FE93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471E14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FDC50E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49024" behindDoc="0" locked="0" layoutInCell="1" allowOverlap="1" wp14:anchorId="06E7B6A9" wp14:editId="62C3AC3F">
                      <wp:simplePos x="0" y="0"/>
                      <wp:positionH relativeFrom="column">
                        <wp:posOffset>-407670</wp:posOffset>
                      </wp:positionH>
                      <wp:positionV relativeFrom="paragraph">
                        <wp:posOffset>194945</wp:posOffset>
                      </wp:positionV>
                      <wp:extent cx="499745" cy="158750"/>
                      <wp:effectExtent l="0" t="0" r="0" b="0"/>
                      <wp:wrapNone/>
                      <wp:docPr id="34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745" cy="158750"/>
                              </a:xfrm>
                              <a:prstGeom prst="rect">
                                <a:avLst/>
                              </a:prstGeom>
                              <a:solidFill>
                                <a:srgbClr val="4472C4"/>
                              </a:solidFill>
                              <a:ln w="12700" cap="flat" cmpd="sng" algn="ctr">
                                <a:solidFill>
                                  <a:srgbClr val="4472C4">
                                    <a:shade val="50000"/>
                                  </a:srgbClr>
                                </a:solidFill>
                                <a:prstDash val="solid"/>
                                <a:miter lim="800000"/>
                              </a:ln>
                              <a:effectLst/>
                            </wps:spPr>
                            <wps:txbx>
                              <w:txbxContent>
                                <w:p w14:paraId="74BDEA3B"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7B6A9" id="Rectangle 343" o:spid="_x0000_s1076" style="position:absolute;left:0;text-align:left;margin-left:-32.1pt;margin-top:15.35pt;width:39.35pt;height: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" fillcolor="#4472c4" strokecolor="#2f528f" strokeweight="1pt">
                      <v:path arrowok="t"/>
                      <v:textbox>
                        <w:txbxContent>
                          <w:p w14:paraId="74BDEA3B" w14:textId="77777777" w:rsidR="00CB40A2" w:rsidRDefault="00CB40A2" w:rsidP="00CB40A2"/>
                        </w:txbxContent>
                      </v:textbox>
                    </v:rect>
                  </w:pict>
                </mc:Fallback>
              </mc:AlternateContent>
            </w: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217E41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9970998" w14:textId="77777777" w:rsidR="00CB40A2" w:rsidRPr="00597FFB" w:rsidRDefault="00CB40A2" w:rsidP="00CB40A2">
            <w:pPr>
              <w:spacing w:line="256" w:lineRule="auto"/>
              <w:rPr>
                <w:rFonts w:ascii="Times New Roman" w:eastAsia="Calibri" w:hAnsi="Times New Roman" w:cs="Times New Roman"/>
                <w:sz w:val="20"/>
                <w:szCs w:val="20"/>
              </w:rPr>
            </w:pPr>
            <w:r w:rsidRPr="00597FFB">
              <w:rPr>
                <w:rFonts w:ascii="Times New Roman" w:eastAsia="Calibri" w:hAnsi="Times New Roman" w:cs="Times New Roman"/>
                <w:color w:val="000000"/>
                <w:kern w:val="24"/>
                <w:sz w:val="20"/>
                <w:szCs w:val="20"/>
              </w:rPr>
              <w:t> </w:t>
            </w:r>
          </w:p>
        </w:tc>
      </w:tr>
      <w:tr w:rsidR="00936CED" w:rsidRPr="00597FFB" w14:paraId="44CECB1B"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914E8C" w14:textId="77777777" w:rsidR="00CB40A2" w:rsidRPr="00597FFB" w:rsidRDefault="00CB40A2" w:rsidP="00DE6FF3">
            <w:pPr>
              <w:spacing w:after="0" w:line="360" w:lineRule="auto"/>
              <w:rPr>
                <w:rFonts w:ascii="Times New Roman" w:eastAsia="Times New Roman" w:hAnsi="Times New Roman" w:cs="Times New Roman"/>
                <w:b/>
                <w:bCs/>
                <w:kern w:val="24"/>
              </w:rPr>
            </w:pPr>
            <w:r w:rsidRPr="00597FFB">
              <w:rPr>
                <w:rFonts w:ascii="Times New Roman" w:eastAsia="Times New Roman" w:hAnsi="Times New Roman" w:cs="Times New Roman"/>
                <w:b/>
                <w:bCs/>
                <w:kern w:val="24"/>
              </w:rPr>
              <w:t>Data Analysis (Two weeks)</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57F4C7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FA64C5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9CCC71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FFF348C"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C8F9B4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C43CF8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07D2962" w14:textId="77777777" w:rsidR="00CB40A2" w:rsidRPr="00597FFB" w:rsidRDefault="00CB40A2" w:rsidP="00CB40A2">
            <w:pPr>
              <w:spacing w:line="256" w:lineRule="auto"/>
              <w:rPr>
                <w:rFonts w:ascii="Times New Roman" w:eastAsia="Calibri" w:hAnsi="Times New Roman" w:cs="Times New Roman"/>
                <w:sz w:val="20"/>
                <w:szCs w:val="20"/>
              </w:rPr>
            </w:pP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CA98F6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FEF7DD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1BAB07D"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2118506"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5291A4F"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4E32E7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A79E53E" w14:textId="77777777" w:rsidR="00CB40A2" w:rsidRPr="00597FFB" w:rsidRDefault="00CB40A2" w:rsidP="00CB40A2">
            <w:pPr>
              <w:spacing w:line="256" w:lineRule="auto"/>
              <w:rPr>
                <w:rFonts w:ascii="Times New Roman" w:eastAsia="Calibri" w:hAnsi="Times New Roman" w:cs="Times New Roman"/>
                <w:sz w:val="20"/>
                <w:szCs w:val="20"/>
              </w:rPr>
            </w:pPr>
            <w:r w:rsidRPr="00597FFB">
              <w:rPr>
                <w:rFonts w:ascii="Calibri" w:eastAsia="Calibri" w:hAnsi="Calibri" w:cs="Arial"/>
                <w:noProof/>
              </w:rPr>
              <mc:AlternateContent>
                <mc:Choice Requires="wps">
                  <w:drawing>
                    <wp:anchor distT="0" distB="0" distL="114300" distR="114300" simplePos="0" relativeHeight="251651072" behindDoc="0" locked="0" layoutInCell="1" allowOverlap="1" wp14:anchorId="67252E8A" wp14:editId="07B3C92A">
                      <wp:simplePos x="0" y="0"/>
                      <wp:positionH relativeFrom="column">
                        <wp:posOffset>28575</wp:posOffset>
                      </wp:positionH>
                      <wp:positionV relativeFrom="paragraph">
                        <wp:posOffset>153035</wp:posOffset>
                      </wp:positionV>
                      <wp:extent cx="274320" cy="182880"/>
                      <wp:effectExtent l="0" t="0" r="0" b="7620"/>
                      <wp:wrapNone/>
                      <wp:docPr id="34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182880"/>
                              </a:xfrm>
                              <a:prstGeom prst="rect">
                                <a:avLst/>
                              </a:prstGeom>
                              <a:solidFill>
                                <a:srgbClr val="4472C4"/>
                              </a:solidFill>
                              <a:ln w="12700" cap="flat" cmpd="sng" algn="ctr">
                                <a:solidFill>
                                  <a:srgbClr val="4472C4">
                                    <a:shade val="50000"/>
                                  </a:srgbClr>
                                </a:solidFill>
                                <a:prstDash val="solid"/>
                                <a:miter lim="800000"/>
                              </a:ln>
                              <a:effectLst/>
                            </wps:spPr>
                            <wps:txbx>
                              <w:txbxContent>
                                <w:p w14:paraId="34CFD07F"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252E8A" id="Rectangle 344" o:spid="_x0000_s1077" style="position:absolute;margin-left:2.25pt;margin-top:12.05pt;width:21.6pt;height:1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" fillcolor="#4472c4" strokecolor="#2f528f" strokeweight="1pt">
                      <v:path arrowok="t"/>
                      <v:textbox>
                        <w:txbxContent>
                          <w:p w14:paraId="34CFD07F" w14:textId="77777777" w:rsidR="00CB40A2" w:rsidRDefault="00CB40A2" w:rsidP="00CB40A2"/>
                        </w:txbxContent>
                      </v:textbox>
                    </v:rect>
                  </w:pict>
                </mc:Fallback>
              </mc:AlternateContent>
            </w:r>
            <w:r w:rsidRPr="00597FFB">
              <w:rPr>
                <w:rFonts w:ascii="Times New Roman" w:eastAsia="Calibri"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15C51D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DBC888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r>
      <w:tr w:rsidR="00936CED" w:rsidRPr="00597FFB" w14:paraId="62479DDC" w14:textId="77777777" w:rsidTr="00936CED">
        <w:trPr>
          <w:trHeight w:val="778"/>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52B4D5"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Diss. review &amp; arrangement (one month)</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BF02A0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789B997" w14:textId="77777777" w:rsidR="00CB40A2" w:rsidRPr="00597FFB" w:rsidRDefault="00CB40A2" w:rsidP="00CB40A2">
            <w:pPr>
              <w:spacing w:line="256" w:lineRule="auto"/>
              <w:rPr>
                <w:rFonts w:ascii="Times New Roman" w:eastAsia="Calibri" w:hAnsi="Times New Roman" w:cs="Times New Roman"/>
                <w:sz w:val="20"/>
                <w:szCs w:val="20"/>
              </w:rPr>
            </w:pP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9A1CEA4"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F813BED"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E4BE7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16C1DD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C0D069"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F08452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B51D06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CB57E4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9B92DDF" w14:textId="22352042"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1D94D731" wp14:editId="4A68306B">
                      <wp:simplePos x="0" y="0"/>
                      <wp:positionH relativeFrom="column">
                        <wp:posOffset>-943610</wp:posOffset>
                      </wp:positionH>
                      <wp:positionV relativeFrom="paragraph">
                        <wp:posOffset>172085</wp:posOffset>
                      </wp:positionV>
                      <wp:extent cx="987425" cy="170180"/>
                      <wp:effectExtent l="0" t="0" r="3175" b="1270"/>
                      <wp:wrapNone/>
                      <wp:docPr id="34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425" cy="170180"/>
                              </a:xfrm>
                              <a:prstGeom prst="rect">
                                <a:avLst/>
                              </a:prstGeom>
                              <a:solidFill>
                                <a:srgbClr val="4472C4"/>
                              </a:solidFill>
                              <a:ln w="12700" cap="flat" cmpd="sng" algn="ctr">
                                <a:solidFill>
                                  <a:srgbClr val="4472C4">
                                    <a:shade val="50000"/>
                                  </a:srgbClr>
                                </a:solidFill>
                                <a:prstDash val="solid"/>
                                <a:miter lim="800000"/>
                              </a:ln>
                              <a:effectLst/>
                            </wps:spPr>
                            <wps:txbx>
                              <w:txbxContent>
                                <w:p w14:paraId="42C52E10"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D731" id="Rectangle 346" o:spid="_x0000_s1078" style="position:absolute;left:0;text-align:left;margin-left:-74.3pt;margin-top:13.55pt;width:77.75pt;height: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" fillcolor="#4472c4" strokecolor="#2f528f" strokeweight="1pt">
                      <v:path arrowok="t"/>
                      <v:textbox>
                        <w:txbxContent>
                          <w:p w14:paraId="42C52E10" w14:textId="77777777" w:rsidR="00CB40A2" w:rsidRDefault="00CB40A2" w:rsidP="00CB40A2"/>
                        </w:txbxContent>
                      </v:textbox>
                    </v:rect>
                  </w:pict>
                </mc:Fallback>
              </mc:AlternateContent>
            </w: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021AEEF" w14:textId="3488E4E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740E875" w14:textId="1DC69EAB"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0229DF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1378FA" w14:textId="02C24C23" w:rsidR="00CB40A2" w:rsidRPr="00597FFB" w:rsidRDefault="00936CED" w:rsidP="00CB40A2">
            <w:pPr>
              <w:spacing w:line="256" w:lineRule="auto"/>
              <w:rPr>
                <w:rFonts w:ascii="Times New Roman" w:eastAsia="Calibri"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352EF87D" wp14:editId="0B4C1532">
                      <wp:simplePos x="0" y="0"/>
                      <wp:positionH relativeFrom="column">
                        <wp:posOffset>-1198880</wp:posOffset>
                      </wp:positionH>
                      <wp:positionV relativeFrom="paragraph">
                        <wp:posOffset>147955</wp:posOffset>
                      </wp:positionV>
                      <wp:extent cx="1548130" cy="193675"/>
                      <wp:effectExtent l="0" t="0" r="0" b="0"/>
                      <wp:wrapNone/>
                      <wp:docPr id="345"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8130" cy="193675"/>
                              </a:xfrm>
                              <a:prstGeom prst="rect">
                                <a:avLst/>
                              </a:prstGeom>
                              <a:solidFill>
                                <a:srgbClr val="ED7D31">
                                  <a:lumMod val="40000"/>
                                  <a:lumOff val="60000"/>
                                </a:srgbClr>
                              </a:solidFill>
                              <a:ln w="12700" cap="flat" cmpd="sng" algn="ctr">
                                <a:solidFill>
                                  <a:srgbClr val="4472C4">
                                    <a:shade val="50000"/>
                                  </a:srgbClr>
                                </a:solidFill>
                                <a:prstDash val="dash"/>
                                <a:miter lim="800000"/>
                              </a:ln>
                              <a:effectLst/>
                            </wps:spPr>
                            <wps:txbx>
                              <w:txbxContent>
                                <w:p w14:paraId="237E63BE" w14:textId="77777777" w:rsidR="00CB40A2" w:rsidRDefault="00CB40A2" w:rsidP="00CB40A2">
                                  <w:pPr>
                                    <w:jc w:val="center"/>
                                  </w:pPr>
                                  <w: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EF87D" id="Rectangle 345" o:spid="_x0000_s1079" style="position:absolute;margin-left:-94.4pt;margin-top:11.65pt;width:121.9pt;height:1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" fillcolor="#f8cbad" strokecolor="#2f528f" strokeweight="1pt">
                      <v:stroke dashstyle="dash"/>
                      <v:path arrowok="t"/>
                      <v:textbox>
                        <w:txbxContent>
                          <w:p w14:paraId="237E63BE" w14:textId="77777777" w:rsidR="00CB40A2" w:rsidRDefault="00CB40A2" w:rsidP="00CB40A2">
                            <w:pPr>
                              <w:jc w:val="center"/>
                            </w:pPr>
                            <w:r>
                              <w:t xml:space="preserve"> </w:t>
                            </w:r>
                          </w:p>
                        </w:txbxContent>
                      </v:textbox>
                    </v:rect>
                  </w:pict>
                </mc:Fallback>
              </mc:AlternateContent>
            </w:r>
          </w:p>
        </w:tc>
        <w:tc>
          <w:tcPr>
            <w:tcW w:w="360" w:type="pct"/>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515040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r>
      <w:tr w:rsidR="00936CED" w:rsidRPr="00597FFB" w14:paraId="6EB841C7" w14:textId="77777777" w:rsidTr="00936CED">
        <w:trPr>
          <w:trHeight w:val="1516"/>
        </w:trPr>
        <w:tc>
          <w:tcPr>
            <w:tcW w:w="1332" w:type="pct"/>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707FF8A8" w14:textId="77777777" w:rsidR="00CB40A2" w:rsidRPr="00597FFB" w:rsidRDefault="00CB40A2" w:rsidP="00DE6FF3">
            <w:pPr>
              <w:spacing w:after="0" w:line="360" w:lineRule="auto"/>
              <w:rPr>
                <w:rFonts w:ascii="Times New Roman" w:eastAsia="Times New Roman" w:hAnsi="Times New Roman" w:cs="Times New Roman"/>
              </w:rPr>
            </w:pPr>
            <w:r w:rsidRPr="00597FFB">
              <w:rPr>
                <w:rFonts w:ascii="Times New Roman" w:eastAsia="Times New Roman" w:hAnsi="Times New Roman" w:cs="Times New Roman"/>
                <w:b/>
                <w:bCs/>
                <w:kern w:val="24"/>
              </w:rPr>
              <w:t>Diss. Submission &amp; final defense (upon publication acceptance)</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87328E8"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4F5516D" w14:textId="77777777" w:rsidR="00CB40A2" w:rsidRPr="00597FFB" w:rsidRDefault="00CB40A2" w:rsidP="00CB40A2">
            <w:pPr>
              <w:spacing w:line="256" w:lineRule="auto"/>
              <w:rPr>
                <w:rFonts w:ascii="Times New Roman" w:eastAsia="Calibri" w:hAnsi="Times New Roman" w:cs="Times New Roman"/>
                <w:sz w:val="20"/>
                <w:szCs w:val="20"/>
              </w:rPr>
            </w:pP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241BA43"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E9352F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gridSpan w:val="2"/>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4E2912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2E7FB61"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8A3B37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B29E142"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0B37DD0" w14:textId="1A468395"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3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0EE706E"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83"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65BD39A"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179"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BD171CB"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88"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D075117"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07"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CBE98C0"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266"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6F6DCD5" w14:textId="77777777" w:rsidR="00CB40A2" w:rsidRPr="00597FFB" w:rsidRDefault="00CB40A2" w:rsidP="00CB40A2">
            <w:pPr>
              <w:spacing w:after="0" w:line="360" w:lineRule="auto"/>
              <w:jc w:val="both"/>
              <w:rPr>
                <w:rFonts w:ascii="Times New Roman" w:eastAsia="Times New Roman" w:hAnsi="Times New Roman" w:cs="Times New Roman"/>
                <w:sz w:val="20"/>
                <w:szCs w:val="20"/>
              </w:rPr>
            </w:pPr>
            <w:r w:rsidRPr="00597FFB">
              <w:rPr>
                <w:rFonts w:ascii="Times New Roman" w:eastAsia="Times New Roman" w:hAnsi="Times New Roman" w:cs="Times New Roman"/>
                <w:color w:val="000000"/>
                <w:kern w:val="24"/>
                <w:sz w:val="20"/>
                <w:szCs w:val="20"/>
              </w:rPr>
              <w:t> </w:t>
            </w:r>
          </w:p>
        </w:tc>
        <w:tc>
          <w:tcPr>
            <w:tcW w:w="360" w:type="pct"/>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782C479" w14:textId="1E32A4AD" w:rsidR="00CB40A2" w:rsidRPr="00597FFB" w:rsidRDefault="00936CED" w:rsidP="00CB40A2">
            <w:pPr>
              <w:spacing w:line="256" w:lineRule="auto"/>
              <w:rPr>
                <w:rFonts w:ascii="Times New Roman" w:eastAsia="Calibri" w:hAnsi="Times New Roman" w:cs="Times New Roman"/>
                <w:sz w:val="20"/>
                <w:szCs w:val="20"/>
              </w:rPr>
            </w:pPr>
            <w:r w:rsidRPr="00597FFB">
              <w:rPr>
                <w:rFonts w:ascii="Times New Roman" w:eastAsia="Times New Roman" w:hAnsi="Times New Roman" w:cs="Times New Roman"/>
                <w:noProof/>
                <w:sz w:val="24"/>
                <w:szCs w:val="24"/>
              </w:rPr>
              <mc:AlternateContent>
                <mc:Choice Requires="wps">
                  <w:drawing>
                    <wp:anchor distT="0" distB="0" distL="114300" distR="114300" simplePos="0" relativeHeight="251636736" behindDoc="0" locked="0" layoutInCell="1" allowOverlap="1" wp14:anchorId="71039EAD" wp14:editId="6BEF65F6">
                      <wp:simplePos x="0" y="0"/>
                      <wp:positionH relativeFrom="column">
                        <wp:posOffset>-582295</wp:posOffset>
                      </wp:positionH>
                      <wp:positionV relativeFrom="paragraph">
                        <wp:posOffset>315595</wp:posOffset>
                      </wp:positionV>
                      <wp:extent cx="803910" cy="255905"/>
                      <wp:effectExtent l="0" t="0" r="0" b="0"/>
                      <wp:wrapNone/>
                      <wp:docPr id="34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255905"/>
                              </a:xfrm>
                              <a:prstGeom prst="rect">
                                <a:avLst/>
                              </a:prstGeom>
                              <a:solidFill>
                                <a:srgbClr val="ED7D31">
                                  <a:lumMod val="40000"/>
                                  <a:lumOff val="60000"/>
                                </a:srgbClr>
                              </a:solidFill>
                              <a:ln w="12700" cap="flat" cmpd="sng" algn="ctr">
                                <a:solidFill>
                                  <a:srgbClr val="4472C4">
                                    <a:shade val="50000"/>
                                  </a:srgbClr>
                                </a:solidFill>
                                <a:prstDash val="dash"/>
                                <a:miter lim="800000"/>
                              </a:ln>
                              <a:effectLst/>
                            </wps:spPr>
                            <wps:txbx>
                              <w:txbxContent>
                                <w:p w14:paraId="218504F0" w14:textId="77777777" w:rsidR="00CB40A2" w:rsidRDefault="00CB40A2" w:rsidP="00CB40A2"/>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39EAD" id="Rectangle 347" o:spid="_x0000_s1080" style="position:absolute;margin-left:-45.85pt;margin-top:24.85pt;width:63.3pt;height:20.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" fillcolor="#f8cbad" strokecolor="#2f528f" strokeweight="1pt">
                      <v:stroke dashstyle="dash"/>
                      <v:path arrowok="t"/>
                      <v:textbox>
                        <w:txbxContent>
                          <w:p w14:paraId="218504F0" w14:textId="77777777" w:rsidR="00CB40A2" w:rsidRDefault="00CB40A2" w:rsidP="00CB40A2"/>
                        </w:txbxContent>
                      </v:textbox>
                    </v:rect>
                  </w:pict>
                </mc:Fallback>
              </mc:AlternateContent>
            </w:r>
          </w:p>
        </w:tc>
      </w:tr>
    </w:tbl>
    <w:p w14:paraId="2D28865F" w14:textId="77777777" w:rsidR="00B820C6" w:rsidRPr="00597FFB" w:rsidRDefault="00B820C6" w:rsidP="00703A7E">
      <w:pPr>
        <w:spacing w:line="480" w:lineRule="auto"/>
        <w:jc w:val="both"/>
        <w:rPr>
          <w:rFonts w:ascii="Times New Roman" w:hAnsi="Times New Roman" w:cs="Times New Roman"/>
          <w:sz w:val="24"/>
          <w:szCs w:val="24"/>
        </w:rPr>
      </w:pPr>
    </w:p>
    <w:p w14:paraId="38C8CCA0" w14:textId="77777777" w:rsidR="00785E9D" w:rsidRPr="00597FFB" w:rsidRDefault="00785E9D" w:rsidP="005B0EE6">
      <w:pPr>
        <w:spacing w:line="480" w:lineRule="auto"/>
        <w:jc w:val="both"/>
        <w:rPr>
          <w:rFonts w:ascii="Times New Roman" w:hAnsi="Times New Roman" w:cs="Times New Roman"/>
          <w:sz w:val="24"/>
          <w:szCs w:val="24"/>
        </w:rPr>
        <w:sectPr w:rsidR="00785E9D" w:rsidRPr="00597FFB" w:rsidSect="0049120E">
          <w:pgSz w:w="11909" w:h="16834" w:code="9"/>
          <w:pgMar w:top="1800" w:right="2160" w:bottom="1800" w:left="2160" w:header="720" w:footer="720" w:gutter="0"/>
          <w:lnNumType w:countBy="1" w:restart="continuous"/>
          <w:pgNumType w:start="1" w:chapStyle="1"/>
          <w:cols w:space="720"/>
          <w:docGrid w:linePitch="360"/>
        </w:sectPr>
      </w:pPr>
    </w:p>
    <w:p w14:paraId="10CE2716" w14:textId="30730C61" w:rsidR="005B70A1" w:rsidRPr="00597FFB" w:rsidRDefault="005B70A1" w:rsidP="005B70A1">
      <w:pPr>
        <w:pStyle w:val="Heading1"/>
        <w:jc w:val="center"/>
        <w:rPr>
          <w:rFonts w:asciiTheme="majorBidi" w:hAnsiTheme="majorBidi"/>
          <w:b/>
          <w:bCs/>
          <w:color w:val="000000" w:themeColor="text1"/>
          <w:sz w:val="28"/>
          <w:szCs w:val="28"/>
        </w:rPr>
      </w:pPr>
      <w:bookmarkStart w:id="84" w:name="_Toc127170264"/>
      <w:bookmarkStart w:id="85" w:name="_Hlk123707918"/>
      <w:r w:rsidRPr="00597FFB">
        <w:rPr>
          <w:rFonts w:asciiTheme="majorBidi" w:hAnsiTheme="majorBidi"/>
          <w:b/>
          <w:bCs/>
          <w:color w:val="000000" w:themeColor="text1"/>
          <w:sz w:val="28"/>
          <w:szCs w:val="28"/>
        </w:rPr>
        <w:t>CHAPTER 2</w:t>
      </w:r>
      <w:bookmarkEnd w:id="84"/>
    </w:p>
    <w:p w14:paraId="31C01609" w14:textId="6C36FEE7" w:rsidR="0019602E" w:rsidRPr="00597FFB" w:rsidRDefault="0019602E" w:rsidP="0019602E">
      <w:pPr>
        <w:pStyle w:val="Heading1"/>
        <w:jc w:val="center"/>
        <w:rPr>
          <w:rFonts w:asciiTheme="majorBidi" w:hAnsiTheme="majorBidi"/>
          <w:b/>
          <w:bCs/>
          <w:color w:val="000000" w:themeColor="text1"/>
          <w:sz w:val="26"/>
          <w:szCs w:val="26"/>
        </w:rPr>
      </w:pPr>
      <w:bookmarkStart w:id="86" w:name="_Toc127170265"/>
      <w:bookmarkStart w:id="87" w:name="_Hlk123707939"/>
      <w:bookmarkEnd w:id="85"/>
      <w:r w:rsidRPr="00597FFB">
        <w:rPr>
          <w:rFonts w:asciiTheme="majorBidi" w:hAnsiTheme="majorBidi"/>
          <w:b/>
          <w:bCs/>
          <w:color w:val="000000" w:themeColor="text1"/>
          <w:sz w:val="26"/>
          <w:szCs w:val="26"/>
        </w:rPr>
        <w:t xml:space="preserve">Literature </w:t>
      </w:r>
      <w:r w:rsidR="003C4CA7" w:rsidRPr="00597FFB">
        <w:rPr>
          <w:rFonts w:asciiTheme="majorBidi" w:hAnsiTheme="majorBidi"/>
          <w:b/>
          <w:bCs/>
          <w:color w:val="000000" w:themeColor="text1"/>
          <w:sz w:val="26"/>
          <w:szCs w:val="26"/>
        </w:rPr>
        <w:t>Review</w:t>
      </w:r>
      <w:bookmarkEnd w:id="86"/>
    </w:p>
    <w:bookmarkEnd w:id="87"/>
    <w:p w14:paraId="7B6D81C4" w14:textId="77777777" w:rsidR="009B1C69" w:rsidRPr="00597FFB" w:rsidRDefault="009B1C69" w:rsidP="001653FA">
      <w:pPr>
        <w:spacing w:line="480" w:lineRule="auto"/>
        <w:jc w:val="center"/>
        <w:rPr>
          <w:rFonts w:ascii="Times New Roman" w:eastAsia="Times New Roman" w:hAnsi="Times New Roman" w:cs="Times New Roman"/>
          <w:b/>
          <w:sz w:val="28"/>
          <w:szCs w:val="28"/>
        </w:rPr>
      </w:pPr>
    </w:p>
    <w:p w14:paraId="5AC56C95" w14:textId="77777777" w:rsidR="001653FA" w:rsidRPr="00597FFB" w:rsidRDefault="001653FA" w:rsidP="001653FA">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"We cannot solve our problems with the same thinking we used when we created them." (Albert Einstein, physicist)</w:t>
      </w:r>
    </w:p>
    <w:p w14:paraId="32470D07" w14:textId="66D4062C" w:rsidR="0003140E" w:rsidRPr="00597FFB" w:rsidRDefault="0003140E" w:rsidP="00A558FE">
      <w:pPr>
        <w:spacing w:before="26" w:after="26" w:line="480" w:lineRule="auto"/>
        <w:rPr>
          <w:rFonts w:asciiTheme="majorBidi" w:eastAsiaTheme="minorHAnsi" w:hAnsiTheme="majorBidi" w:cstheme="majorBidi"/>
          <w:b/>
          <w:bCs/>
          <w:sz w:val="24"/>
          <w:szCs w:val="24"/>
        </w:rPr>
      </w:pPr>
    </w:p>
    <w:p w14:paraId="6EFDC656" w14:textId="4EC06204" w:rsidR="009B1A73" w:rsidRPr="00597FFB" w:rsidRDefault="00E652E2" w:rsidP="007509C4">
      <w:pPr>
        <w:pStyle w:val="Heading2"/>
        <w:spacing w:line="480" w:lineRule="auto"/>
        <w:rPr>
          <w:rFonts w:asciiTheme="majorBidi" w:hAnsiTheme="majorBidi"/>
          <w:b/>
          <w:bCs/>
          <w:color w:val="000000" w:themeColor="text1"/>
          <w:sz w:val="24"/>
          <w:szCs w:val="24"/>
        </w:rPr>
      </w:pPr>
      <w:bookmarkStart w:id="88" w:name="_Toc127170266"/>
      <w:r w:rsidRPr="00597FFB">
        <w:rPr>
          <w:rFonts w:asciiTheme="majorBidi" w:hAnsiTheme="majorBidi"/>
          <w:b/>
          <w:bCs/>
          <w:color w:val="000000" w:themeColor="text1"/>
          <w:sz w:val="24"/>
          <w:szCs w:val="24"/>
        </w:rPr>
        <w:t xml:space="preserve">2.0. </w:t>
      </w:r>
      <w:r w:rsidR="009B1A73" w:rsidRPr="00597FFB">
        <w:rPr>
          <w:rFonts w:asciiTheme="majorBidi" w:hAnsiTheme="majorBidi"/>
          <w:b/>
          <w:bCs/>
          <w:color w:val="000000" w:themeColor="text1"/>
          <w:sz w:val="24"/>
          <w:szCs w:val="24"/>
        </w:rPr>
        <w:t>Introduction</w:t>
      </w:r>
      <w:r w:rsidR="007509C4" w:rsidRPr="00597FFB">
        <w:rPr>
          <w:rFonts w:asciiTheme="majorBidi" w:hAnsiTheme="majorBidi"/>
          <w:b/>
          <w:bCs/>
          <w:color w:val="000000" w:themeColor="text1"/>
          <w:sz w:val="24"/>
          <w:szCs w:val="24"/>
        </w:rPr>
        <w:t>.</w:t>
      </w:r>
      <w:bookmarkEnd w:id="88"/>
    </w:p>
    <w:p w14:paraId="1E893CFA" w14:textId="40A8AE78" w:rsidR="0003140E" w:rsidRPr="00597FFB" w:rsidRDefault="0003140E" w:rsidP="00A558FE">
      <w:pPr>
        <w:spacing w:line="480" w:lineRule="auto"/>
        <w:ind w:firstLine="36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In the previous chapter, the background of the topic on e-waste recycling and consumer behavior was provided and this culminated in the definition of the research problem in section 1.1. In section 1.2, the theoretical basis for this research that draws from </w:t>
      </w:r>
      <w:r w:rsidR="009C79F3" w:rsidRPr="00597FFB">
        <w:rPr>
          <w:rFonts w:ascii="Times New Roman" w:eastAsia="Calibri" w:hAnsi="Times New Roman" w:cs="Times New Roman"/>
          <w:color w:val="000000" w:themeColor="text1"/>
          <w:sz w:val="24"/>
          <w:szCs w:val="24"/>
        </w:rPr>
        <w:t>T</w:t>
      </w:r>
      <w:r w:rsidRPr="00597FFB">
        <w:rPr>
          <w:rFonts w:ascii="Times New Roman" w:eastAsia="Calibri" w:hAnsi="Times New Roman" w:cs="Times New Roman"/>
          <w:color w:val="000000" w:themeColor="text1"/>
          <w:sz w:val="24"/>
          <w:szCs w:val="24"/>
        </w:rPr>
        <w:t xml:space="preserve">he </w:t>
      </w:r>
      <w:r w:rsidR="009C79F3" w:rsidRPr="00597FFB">
        <w:rPr>
          <w:rFonts w:ascii="Times New Roman" w:eastAsia="Calibri" w:hAnsi="Times New Roman" w:cs="Times New Roman"/>
          <w:color w:val="000000" w:themeColor="text1"/>
          <w:sz w:val="24"/>
          <w:szCs w:val="24"/>
        </w:rPr>
        <w:t>Theory of Planned Behavior (</w:t>
      </w:r>
      <w:r w:rsidRPr="00597FFB">
        <w:rPr>
          <w:rFonts w:ascii="Times New Roman" w:eastAsia="Calibri" w:hAnsi="Times New Roman" w:cs="Times New Roman"/>
          <w:color w:val="000000" w:themeColor="text1"/>
          <w:sz w:val="24"/>
          <w:szCs w:val="24"/>
        </w:rPr>
        <w:t>TPB</w:t>
      </w:r>
      <w:r w:rsidR="009C79F3" w:rsidRPr="00597FFB">
        <w:rPr>
          <w:rFonts w:ascii="Times New Roman" w:eastAsia="Calibri" w:hAnsi="Times New Roman" w:cs="Times New Roman"/>
          <w:color w:val="000000" w:themeColor="text1"/>
          <w:sz w:val="24"/>
          <w:szCs w:val="24"/>
        </w:rPr>
        <w:t>)</w:t>
      </w:r>
      <w:r w:rsidRPr="00597FFB">
        <w:rPr>
          <w:rFonts w:ascii="Times New Roman" w:eastAsia="Calibri" w:hAnsi="Times New Roman" w:cs="Times New Roman"/>
          <w:color w:val="000000" w:themeColor="text1"/>
          <w:sz w:val="24"/>
          <w:szCs w:val="24"/>
        </w:rPr>
        <w:t xml:space="preserve"> (Ajzen, 1991; Ajzen, 1985)</w:t>
      </w:r>
      <w:r w:rsidR="00452A1D" w:rsidRPr="00597FFB">
        <w:rPr>
          <w:rFonts w:ascii="Times New Roman" w:eastAsia="Calibri" w:hAnsi="Times New Roman" w:cs="Times New Roman"/>
          <w:color w:val="000000" w:themeColor="text1"/>
          <w:sz w:val="24"/>
          <w:szCs w:val="24"/>
        </w:rPr>
        <w:t>,</w:t>
      </w:r>
      <w:r w:rsidRPr="00597FFB">
        <w:rPr>
          <w:rFonts w:ascii="Times New Roman" w:eastAsia="Calibri" w:hAnsi="Times New Roman" w:cs="Times New Roman"/>
          <w:color w:val="000000" w:themeColor="text1"/>
          <w:sz w:val="24"/>
          <w:szCs w:val="24"/>
        </w:rPr>
        <w:t xml:space="preserve"> the </w:t>
      </w:r>
      <w:r w:rsidR="009C79F3" w:rsidRPr="00597FFB">
        <w:rPr>
          <w:rFonts w:ascii="Times New Roman" w:eastAsia="Calibri" w:hAnsi="Times New Roman" w:cs="Times New Roman"/>
          <w:color w:val="000000" w:themeColor="text1"/>
          <w:sz w:val="24"/>
          <w:szCs w:val="24"/>
        </w:rPr>
        <w:t>Norm Activation Theory (</w:t>
      </w:r>
      <w:r w:rsidRPr="00597FFB">
        <w:rPr>
          <w:rFonts w:ascii="Times New Roman" w:eastAsia="Calibri" w:hAnsi="Times New Roman" w:cs="Times New Roman"/>
          <w:color w:val="000000" w:themeColor="text1"/>
          <w:sz w:val="24"/>
          <w:szCs w:val="24"/>
        </w:rPr>
        <w:t>NA</w:t>
      </w:r>
      <w:r w:rsidR="009C79F3" w:rsidRPr="00597FFB">
        <w:rPr>
          <w:rFonts w:ascii="Times New Roman" w:eastAsia="Calibri" w:hAnsi="Times New Roman" w:cs="Times New Roman"/>
          <w:color w:val="000000" w:themeColor="text1"/>
          <w:sz w:val="24"/>
          <w:szCs w:val="24"/>
        </w:rPr>
        <w:t xml:space="preserve">T) </w:t>
      </w:r>
      <w:r w:rsidRPr="00597FFB">
        <w:rPr>
          <w:rFonts w:ascii="Times New Roman" w:eastAsia="Calibri" w:hAnsi="Times New Roman" w:cs="Times New Roman"/>
          <w:color w:val="000000" w:themeColor="text1"/>
          <w:sz w:val="24"/>
          <w:szCs w:val="24"/>
        </w:rPr>
        <w:t>(Ellemers &amp; van Nunspeet, 2020)</w:t>
      </w:r>
      <w:r w:rsidR="00452A1D" w:rsidRPr="00597FFB">
        <w:rPr>
          <w:rFonts w:ascii="Times New Roman" w:eastAsia="Calibri" w:hAnsi="Times New Roman" w:cs="Times New Roman"/>
          <w:color w:val="000000" w:themeColor="text1"/>
          <w:sz w:val="24"/>
          <w:szCs w:val="24"/>
        </w:rPr>
        <w:t xml:space="preserve">, and </w:t>
      </w:r>
      <w:r w:rsidR="005F771E" w:rsidRPr="00597FFB">
        <w:rPr>
          <w:rFonts w:ascii="Times New Roman" w:eastAsia="Calibri" w:hAnsi="Times New Roman" w:cs="Times New Roman"/>
          <w:color w:val="000000" w:themeColor="text1"/>
          <w:sz w:val="24"/>
          <w:szCs w:val="24"/>
        </w:rPr>
        <w:t>the Protection Motivation Theory (PMT)</w:t>
      </w:r>
      <w:r w:rsidR="005554F4" w:rsidRPr="00597FFB">
        <w:rPr>
          <w:rFonts w:ascii="Times New Roman" w:hAnsi="Times New Roman" w:cs="Times New Roman"/>
          <w:color w:val="000000" w:themeColor="text1"/>
        </w:rPr>
        <w:t xml:space="preserve"> (Rogers, 1975) </w:t>
      </w:r>
      <w:r w:rsidR="005F771E" w:rsidRPr="00597FFB">
        <w:rPr>
          <w:rFonts w:ascii="Times New Roman" w:eastAsia="Calibri" w:hAnsi="Times New Roman" w:cs="Times New Roman"/>
          <w:color w:val="000000" w:themeColor="text1"/>
          <w:sz w:val="24"/>
          <w:szCs w:val="24"/>
        </w:rPr>
        <w:t xml:space="preserve"> </w:t>
      </w:r>
      <w:r w:rsidRPr="00597FFB">
        <w:rPr>
          <w:rFonts w:ascii="Times New Roman" w:eastAsia="Calibri" w:hAnsi="Times New Roman" w:cs="Times New Roman"/>
          <w:color w:val="000000" w:themeColor="text1"/>
          <w:sz w:val="24"/>
          <w:szCs w:val="24"/>
        </w:rPr>
        <w:t xml:space="preserve"> </w:t>
      </w:r>
      <w:r w:rsidR="005F771E" w:rsidRPr="00597FFB">
        <w:rPr>
          <w:rFonts w:ascii="Times New Roman" w:eastAsia="Calibri" w:hAnsi="Times New Roman" w:cs="Times New Roman"/>
          <w:color w:val="000000" w:themeColor="text1"/>
          <w:sz w:val="24"/>
          <w:szCs w:val="24"/>
        </w:rPr>
        <w:t>were</w:t>
      </w:r>
      <w:r w:rsidRPr="00597FFB">
        <w:rPr>
          <w:rFonts w:ascii="Times New Roman" w:eastAsia="Calibri" w:hAnsi="Times New Roman" w:cs="Times New Roman"/>
          <w:color w:val="000000" w:themeColor="text1"/>
          <w:sz w:val="24"/>
          <w:szCs w:val="24"/>
        </w:rPr>
        <w:t xml:space="preserve"> explained. This was followed by the identification of the problem stateme</w:t>
      </w:r>
      <w:r w:rsidR="00705F98" w:rsidRPr="00597FFB">
        <w:rPr>
          <w:rFonts w:ascii="Times New Roman" w:eastAsia="Calibri" w:hAnsi="Times New Roman" w:cs="Times New Roman"/>
          <w:color w:val="000000" w:themeColor="text1"/>
          <w:sz w:val="24"/>
          <w:szCs w:val="24"/>
        </w:rPr>
        <w:t>nt</w:t>
      </w:r>
      <w:r w:rsidRPr="00597FFB">
        <w:rPr>
          <w:rFonts w:ascii="Times New Roman" w:eastAsia="Calibri" w:hAnsi="Times New Roman" w:cs="Times New Roman"/>
          <w:color w:val="000000" w:themeColor="text1"/>
          <w:sz w:val="24"/>
          <w:szCs w:val="24"/>
        </w:rPr>
        <w:t xml:space="preserve"> in section 1.3 and the disclosure of the purpose of this study in section 1.4. Subsequently, the research questions and objectives were outlined in section 1.5 while the significance of this study and the definition of the key terms followed in sections 1.6 and 1.7 respectively. In section 1.8, the overall structure of this research was explained. The research process involved in the execution of this research appeared in section 1.9 and was succeeded by a detailed section of the dissertation chapter-by-chapter arrangement in section 1.10. The chapter was summarized in section 1.11 where the signposting of the second chapter also appeared.</w:t>
      </w:r>
    </w:p>
    <w:p w14:paraId="5082DF7C" w14:textId="1D3DCA47" w:rsidR="00173BF9" w:rsidRPr="00597FFB" w:rsidRDefault="0003140E" w:rsidP="007509C4">
      <w:pPr>
        <w:spacing w:line="480" w:lineRule="auto"/>
        <w:ind w:firstLine="36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Since the purpose of this research is to investigate </w:t>
      </w:r>
      <w:r w:rsidRPr="00597FFB">
        <w:rPr>
          <w:rFonts w:ascii="Times New Roman" w:eastAsiaTheme="minorHAnsi" w:hAnsi="Times New Roman" w:cs="Times New Roman"/>
          <w:iCs/>
          <w:color w:val="000000" w:themeColor="text1"/>
          <w:sz w:val="24"/>
          <w:szCs w:val="24"/>
          <w:lang w:val="en-GB"/>
        </w:rPr>
        <w:t xml:space="preserve">millennials' attitudes and </w:t>
      </w:r>
      <w:r w:rsidR="00890EE8" w:rsidRPr="00597FFB">
        <w:rPr>
          <w:rFonts w:ascii="Times New Roman" w:eastAsiaTheme="minorHAnsi" w:hAnsi="Times New Roman" w:cs="Times New Roman"/>
          <w:iCs/>
          <w:color w:val="000000" w:themeColor="text1"/>
          <w:sz w:val="24"/>
          <w:szCs w:val="24"/>
          <w:lang w:val="en-GB"/>
        </w:rPr>
        <w:t>behavioral</w:t>
      </w:r>
      <w:r w:rsidRPr="00597FFB">
        <w:rPr>
          <w:rFonts w:ascii="Times New Roman" w:eastAsiaTheme="minorHAnsi" w:hAnsi="Times New Roman" w:cs="Times New Roman"/>
          <w:iCs/>
          <w:color w:val="000000" w:themeColor="text1"/>
          <w:sz w:val="24"/>
          <w:szCs w:val="24"/>
          <w:lang w:val="en-GB"/>
        </w:rPr>
        <w:t xml:space="preserve"> intention for recycling E-waste in UAE,</w:t>
      </w:r>
      <w:r w:rsidRPr="00597FFB">
        <w:rPr>
          <w:rFonts w:ascii="Times New Roman" w:eastAsia="Calibri" w:hAnsi="Times New Roman" w:cs="Times New Roman"/>
          <w:color w:val="000000" w:themeColor="text1"/>
          <w:sz w:val="24"/>
          <w:szCs w:val="24"/>
        </w:rPr>
        <w:t xml:space="preserve"> this chapter </w:t>
      </w:r>
      <w:r w:rsidR="001714DA" w:rsidRPr="00597FFB">
        <w:rPr>
          <w:rFonts w:ascii="Times New Roman" w:eastAsia="Calibri" w:hAnsi="Times New Roman" w:cs="Times New Roman"/>
          <w:color w:val="000000" w:themeColor="text1"/>
          <w:sz w:val="24"/>
          <w:szCs w:val="24"/>
        </w:rPr>
        <w:t xml:space="preserve">is a </w:t>
      </w:r>
      <w:r w:rsidRPr="00597FFB">
        <w:rPr>
          <w:rFonts w:ascii="Times New Roman" w:eastAsia="Calibri" w:hAnsi="Times New Roman" w:cs="Times New Roman"/>
          <w:color w:val="000000" w:themeColor="text1"/>
          <w:sz w:val="24"/>
          <w:szCs w:val="24"/>
        </w:rPr>
        <w:t>review</w:t>
      </w:r>
      <w:r w:rsidR="001714DA" w:rsidRPr="00597FFB">
        <w:rPr>
          <w:rFonts w:ascii="Times New Roman" w:eastAsia="Calibri" w:hAnsi="Times New Roman" w:cs="Times New Roman"/>
          <w:color w:val="000000" w:themeColor="text1"/>
          <w:sz w:val="24"/>
          <w:szCs w:val="24"/>
        </w:rPr>
        <w:t xml:space="preserve"> of </w:t>
      </w:r>
      <w:r w:rsidRPr="00597FFB">
        <w:rPr>
          <w:rFonts w:ascii="Times New Roman" w:eastAsia="Calibri" w:hAnsi="Times New Roman" w:cs="Times New Roman"/>
          <w:color w:val="000000" w:themeColor="text1"/>
          <w:sz w:val="24"/>
          <w:szCs w:val="24"/>
        </w:rPr>
        <w:t xml:space="preserve">previous literature about </w:t>
      </w:r>
      <w:r w:rsidR="000D4EC3" w:rsidRPr="00597FFB">
        <w:rPr>
          <w:rFonts w:ascii="Times New Roman" w:eastAsia="Calibri" w:hAnsi="Times New Roman" w:cs="Times New Roman"/>
          <w:color w:val="000000" w:themeColor="text1"/>
          <w:sz w:val="24"/>
          <w:szCs w:val="24"/>
        </w:rPr>
        <w:t>EWM</w:t>
      </w:r>
      <w:r w:rsidRPr="00597FFB">
        <w:rPr>
          <w:rFonts w:ascii="Times New Roman" w:eastAsia="Calibri" w:hAnsi="Times New Roman" w:cs="Times New Roman"/>
          <w:color w:val="000000" w:themeColor="text1"/>
          <w:sz w:val="24"/>
          <w:szCs w:val="24"/>
        </w:rPr>
        <w:t xml:space="preserve"> and its </w:t>
      </w:r>
      <w:r w:rsidR="008C0A44" w:rsidRPr="00597FFB">
        <w:rPr>
          <w:rFonts w:ascii="Times New Roman" w:eastAsia="Calibri" w:hAnsi="Times New Roman" w:cs="Times New Roman"/>
          <w:color w:val="000000" w:themeColor="text1"/>
          <w:sz w:val="24"/>
          <w:szCs w:val="24"/>
        </w:rPr>
        <w:t>effects</w:t>
      </w:r>
      <w:r w:rsidRPr="00597FFB">
        <w:rPr>
          <w:rFonts w:ascii="Times New Roman" w:eastAsia="Calibri" w:hAnsi="Times New Roman" w:cs="Times New Roman"/>
          <w:color w:val="000000" w:themeColor="text1"/>
          <w:sz w:val="24"/>
          <w:szCs w:val="24"/>
        </w:rPr>
        <w:t xml:space="preserve"> as well as the behavioral intentions of consumers in general and millennials towards recycling behavior. It is organized into nine sections starting with a brief overview of the circular economy concept with respect to e-waste in section 2.2. An exploration of the factors </w:t>
      </w:r>
      <w:r w:rsidR="008C0A44" w:rsidRPr="00597FFB">
        <w:rPr>
          <w:rFonts w:ascii="Times New Roman" w:eastAsia="Calibri" w:hAnsi="Times New Roman" w:cs="Times New Roman"/>
          <w:color w:val="000000" w:themeColor="text1"/>
          <w:sz w:val="24"/>
          <w:szCs w:val="24"/>
        </w:rPr>
        <w:t>contributing</w:t>
      </w:r>
      <w:r w:rsidRPr="00597FFB">
        <w:rPr>
          <w:rFonts w:ascii="Times New Roman" w:eastAsia="Calibri" w:hAnsi="Times New Roman" w:cs="Times New Roman"/>
          <w:color w:val="000000" w:themeColor="text1"/>
          <w:sz w:val="24"/>
          <w:szCs w:val="24"/>
        </w:rPr>
        <w:t xml:space="preserve"> to growing </w:t>
      </w:r>
      <w:r w:rsidR="001714DA" w:rsidRPr="00597FFB">
        <w:rPr>
          <w:rFonts w:ascii="Times New Roman" w:eastAsia="Calibri" w:hAnsi="Times New Roman" w:cs="Times New Roman"/>
          <w:color w:val="000000" w:themeColor="text1"/>
          <w:sz w:val="24"/>
          <w:szCs w:val="24"/>
        </w:rPr>
        <w:t>volumes of E</w:t>
      </w:r>
      <w:r w:rsidRPr="00597FFB">
        <w:rPr>
          <w:rFonts w:ascii="Times New Roman" w:eastAsia="Calibri" w:hAnsi="Times New Roman" w:cs="Times New Roman"/>
          <w:color w:val="000000" w:themeColor="text1"/>
          <w:sz w:val="24"/>
          <w:szCs w:val="24"/>
        </w:rPr>
        <w:t xml:space="preserve">-waste worldwide in section 2.3. Section 2.4 contains a review of these factors from a lifecycle perspective in the context of </w:t>
      </w:r>
      <w:r w:rsidR="008C0A44" w:rsidRPr="00597FFB">
        <w:rPr>
          <w:rFonts w:ascii="Times New Roman" w:eastAsia="Calibri" w:hAnsi="Times New Roman" w:cs="Times New Roman"/>
          <w:color w:val="000000" w:themeColor="text1"/>
          <w:sz w:val="24"/>
          <w:szCs w:val="24"/>
        </w:rPr>
        <w:t>EWM</w:t>
      </w:r>
      <w:r w:rsidRPr="00597FFB">
        <w:rPr>
          <w:rFonts w:ascii="Times New Roman" w:eastAsia="Calibri" w:hAnsi="Times New Roman" w:cs="Times New Roman"/>
          <w:color w:val="000000" w:themeColor="text1"/>
          <w:sz w:val="24"/>
          <w:szCs w:val="24"/>
        </w:rPr>
        <w:t>. The best practices in developed countries are also discussed along with highlighting the current practices used in developing countries including in the UAE. A discussion about the processes used in e-waste disposal including municipal waste, informal, and formal disposal approaches follows in section 2.5. Section 2.6 contains literature about e-waste recycling (EWR) and precedes the section 2.7, which is about consumer recycling behavior and the internal and external factors that influence such behavior. In section 2.8, the focus of the literature reviewed narrows down to millennials as the target population of this study with respect to their technology consumption and the gap between attitude and intention to recycle or contribute to e-waste reduction. Section 2.9 of this chapter provides a summary of the review is presented and the gaps in the literature identified.</w:t>
      </w:r>
      <w:bookmarkStart w:id="89" w:name="_Hlk73884508"/>
    </w:p>
    <w:p w14:paraId="7A86DFCD" w14:textId="1F1427FA" w:rsidR="0003140E" w:rsidRPr="00597FFB" w:rsidRDefault="00F36340" w:rsidP="00A558FE">
      <w:pPr>
        <w:spacing w:after="0" w:line="480" w:lineRule="auto"/>
        <w:contextualSpacing/>
        <w:jc w:val="both"/>
        <w:outlineLvl w:val="1"/>
        <w:rPr>
          <w:rFonts w:ascii="Times New Roman" w:eastAsia="Calibri" w:hAnsi="Times New Roman" w:cs="Times New Roman"/>
          <w:b/>
          <w:bCs/>
          <w:color w:val="000000" w:themeColor="text1"/>
          <w:sz w:val="24"/>
          <w:szCs w:val="24"/>
        </w:rPr>
      </w:pPr>
      <w:bookmarkStart w:id="90" w:name="_Toc127170267"/>
      <w:r w:rsidRPr="00597FFB">
        <w:rPr>
          <w:rFonts w:ascii="Times New Roman" w:eastAsia="Calibri" w:hAnsi="Times New Roman" w:cs="Times New Roman"/>
          <w:b/>
          <w:bCs/>
          <w:color w:val="000000" w:themeColor="text1"/>
          <w:sz w:val="24"/>
          <w:szCs w:val="24"/>
        </w:rPr>
        <w:t xml:space="preserve">2.1. </w:t>
      </w:r>
      <w:r w:rsidR="0003140E" w:rsidRPr="00597FFB">
        <w:rPr>
          <w:rFonts w:ascii="Times New Roman" w:eastAsia="Calibri" w:hAnsi="Times New Roman" w:cs="Times New Roman"/>
          <w:b/>
          <w:bCs/>
          <w:color w:val="000000" w:themeColor="text1"/>
          <w:sz w:val="24"/>
          <w:szCs w:val="24"/>
        </w:rPr>
        <w:t>E</w:t>
      </w:r>
      <w:r w:rsidRPr="00597FFB">
        <w:rPr>
          <w:rFonts w:ascii="Times New Roman" w:eastAsia="Calibri" w:hAnsi="Times New Roman" w:cs="Times New Roman"/>
          <w:b/>
          <w:bCs/>
          <w:color w:val="000000" w:themeColor="text1"/>
          <w:sz w:val="24"/>
          <w:szCs w:val="24"/>
        </w:rPr>
        <w:t>-</w:t>
      </w:r>
      <w:r w:rsidR="004811CE">
        <w:rPr>
          <w:rFonts w:ascii="Times New Roman" w:eastAsia="Calibri" w:hAnsi="Times New Roman" w:cs="Times New Roman"/>
          <w:b/>
          <w:bCs/>
          <w:color w:val="000000" w:themeColor="text1"/>
          <w:sz w:val="24"/>
          <w:szCs w:val="24"/>
        </w:rPr>
        <w:t>w</w:t>
      </w:r>
      <w:r w:rsidRPr="00597FFB">
        <w:rPr>
          <w:rFonts w:ascii="Times New Roman" w:eastAsia="Calibri" w:hAnsi="Times New Roman" w:cs="Times New Roman"/>
          <w:b/>
          <w:bCs/>
          <w:color w:val="000000" w:themeColor="text1"/>
          <w:sz w:val="24"/>
          <w:szCs w:val="24"/>
        </w:rPr>
        <w:t xml:space="preserve">aste </w:t>
      </w:r>
      <w:r w:rsidR="00173BF9" w:rsidRPr="00597FFB">
        <w:rPr>
          <w:rFonts w:ascii="Times New Roman" w:eastAsia="Calibri" w:hAnsi="Times New Roman" w:cs="Times New Roman"/>
          <w:b/>
          <w:bCs/>
          <w:color w:val="000000" w:themeColor="text1"/>
          <w:sz w:val="24"/>
          <w:szCs w:val="24"/>
        </w:rPr>
        <w:t>a</w:t>
      </w:r>
      <w:r w:rsidRPr="00597FFB">
        <w:rPr>
          <w:rFonts w:ascii="Times New Roman" w:eastAsia="Calibri" w:hAnsi="Times New Roman" w:cs="Times New Roman"/>
          <w:b/>
          <w:bCs/>
          <w:color w:val="000000" w:themeColor="text1"/>
          <w:sz w:val="24"/>
          <w:szCs w:val="24"/>
        </w:rPr>
        <w:t xml:space="preserve">nd </w:t>
      </w:r>
      <w:r w:rsidR="0003140E" w:rsidRPr="00597FFB">
        <w:rPr>
          <w:rFonts w:ascii="Times New Roman" w:eastAsia="Calibri" w:hAnsi="Times New Roman" w:cs="Times New Roman"/>
          <w:b/>
          <w:bCs/>
          <w:color w:val="000000" w:themeColor="text1"/>
          <w:sz w:val="24"/>
          <w:szCs w:val="24"/>
        </w:rPr>
        <w:t>Circular Economy Concept</w:t>
      </w:r>
      <w:r w:rsidR="007D28AC" w:rsidRPr="00597FFB">
        <w:rPr>
          <w:rFonts w:ascii="Times New Roman" w:eastAsia="Calibri" w:hAnsi="Times New Roman" w:cs="Times New Roman"/>
          <w:b/>
          <w:bCs/>
          <w:color w:val="000000" w:themeColor="text1"/>
          <w:sz w:val="24"/>
          <w:szCs w:val="24"/>
        </w:rPr>
        <w:t>.</w:t>
      </w:r>
      <w:bookmarkEnd w:id="90"/>
    </w:p>
    <w:p w14:paraId="2344BE30" w14:textId="63723B2F"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Recently, the circular economy concept has been gaining scholarly attention as a considerably relevant approach to addressing the problem of e-waste and has been linked to consumer behavior towards e-waste recycling </w:t>
      </w:r>
      <w:sdt>
        <w:sdtPr>
          <w:rPr>
            <w:rFonts w:ascii="Times New Roman" w:eastAsiaTheme="minorHAnsi" w:hAnsi="Times New Roman" w:cs="Times New Roman"/>
            <w:color w:val="000000" w:themeColor="text1"/>
            <w:sz w:val="24"/>
            <w:szCs w:val="24"/>
          </w:rPr>
          <w:id w:val="-1088224025"/>
          <w:citation/>
        </w:sdtPr>
        <w:sdtContent>
          <w:r w:rsidRPr="00597FFB">
            <w:rPr>
              <w:rFonts w:ascii="Times New Roman" w:eastAsiaTheme="minorHAnsi" w:hAnsi="Times New Roman" w:cs="Times New Roman"/>
              <w:color w:val="000000" w:themeColor="text1"/>
              <w:sz w:val="24"/>
              <w:szCs w:val="24"/>
            </w:rPr>
            <w:fldChar w:fldCharType="begin"/>
          </w:r>
          <w:r w:rsidRPr="00597FFB">
            <w:rPr>
              <w:rFonts w:ascii="Times New Roman" w:eastAsiaTheme="minorHAnsi" w:hAnsi="Times New Roman" w:cs="Times New Roman"/>
              <w:color w:val="000000" w:themeColor="text1"/>
              <w:sz w:val="24"/>
              <w:szCs w:val="24"/>
            </w:rPr>
            <w:instrText xml:space="preserve"> CITATION Par20 \l 1033 </w:instrText>
          </w:r>
          <w:r w:rsidRPr="00597FFB">
            <w:rPr>
              <w:rFonts w:ascii="Times New Roman" w:eastAsiaTheme="minorHAnsi" w:hAnsi="Times New Roman" w:cs="Times New Roman"/>
              <w:color w:val="000000" w:themeColor="text1"/>
              <w:sz w:val="24"/>
              <w:szCs w:val="24"/>
            </w:rPr>
            <w:fldChar w:fldCharType="separate"/>
          </w:r>
          <w:r w:rsidR="00F82F75" w:rsidRPr="00597FFB">
            <w:rPr>
              <w:rFonts w:ascii="Times New Roman" w:eastAsiaTheme="minorHAnsi" w:hAnsi="Times New Roman" w:cs="Times New Roman"/>
              <w:noProof/>
              <w:color w:val="000000" w:themeColor="text1"/>
              <w:sz w:val="24"/>
              <w:szCs w:val="24"/>
            </w:rPr>
            <w:t>(Parajuly, Fitzpatrick, Muldoon, &amp; Kuehr, 2020)</w:t>
          </w:r>
          <w:r w:rsidRPr="00597FFB">
            <w:rPr>
              <w:rFonts w:ascii="Times New Roman" w:eastAsiaTheme="minorHAnsi" w:hAnsi="Times New Roman" w:cs="Times New Roman"/>
              <w:color w:val="000000" w:themeColor="text1"/>
              <w:sz w:val="24"/>
              <w:szCs w:val="24"/>
            </w:rPr>
            <w:fldChar w:fldCharType="end"/>
          </w:r>
        </w:sdtContent>
      </w:sdt>
      <w:r w:rsidRPr="00597FFB">
        <w:rPr>
          <w:rFonts w:ascii="Times New Roman" w:eastAsiaTheme="minorHAnsi" w:hAnsi="Times New Roman" w:cs="Times New Roman"/>
          <w:color w:val="000000" w:themeColor="text1"/>
          <w:sz w:val="24"/>
          <w:szCs w:val="24"/>
        </w:rPr>
        <w:t xml:space="preserve">. The aim of circular economy entails designing out waste by optimizing materials and products cycles by keeping them at their optimal value and utility. This is achieved with the aid of renewable and cleaner technologies, innovative models of business, and supportive policies </w:t>
      </w:r>
      <w:sdt>
        <w:sdtPr>
          <w:rPr>
            <w:rFonts w:ascii="Times New Roman" w:eastAsiaTheme="minorHAnsi" w:hAnsi="Times New Roman" w:cs="Times New Roman"/>
            <w:color w:val="000000" w:themeColor="text1"/>
            <w:sz w:val="24"/>
            <w:szCs w:val="24"/>
          </w:rPr>
          <w:id w:val="1044877010"/>
          <w:citation/>
        </w:sdtPr>
        <w:sdtContent>
          <w:r w:rsidRPr="00597FFB">
            <w:rPr>
              <w:rFonts w:ascii="Times New Roman" w:eastAsiaTheme="minorHAnsi" w:hAnsi="Times New Roman" w:cs="Times New Roman"/>
              <w:color w:val="000000" w:themeColor="text1"/>
              <w:sz w:val="24"/>
              <w:szCs w:val="24"/>
            </w:rPr>
            <w:fldChar w:fldCharType="begin"/>
          </w:r>
          <w:r w:rsidRPr="00597FFB">
            <w:rPr>
              <w:rFonts w:ascii="Times New Roman" w:eastAsiaTheme="minorHAnsi" w:hAnsi="Times New Roman" w:cs="Times New Roman"/>
              <w:color w:val="000000" w:themeColor="text1"/>
              <w:sz w:val="24"/>
              <w:szCs w:val="24"/>
            </w:rPr>
            <w:instrText xml:space="preserve"> CITATION Ghi16 \l 1033 </w:instrText>
          </w:r>
          <w:r w:rsidRPr="00597FFB">
            <w:rPr>
              <w:rFonts w:ascii="Times New Roman" w:eastAsiaTheme="minorHAnsi" w:hAnsi="Times New Roman" w:cs="Times New Roman"/>
              <w:color w:val="000000" w:themeColor="text1"/>
              <w:sz w:val="24"/>
              <w:szCs w:val="24"/>
            </w:rPr>
            <w:fldChar w:fldCharType="separate"/>
          </w:r>
          <w:r w:rsidR="00F82F75" w:rsidRPr="00597FFB">
            <w:rPr>
              <w:rFonts w:ascii="Times New Roman" w:eastAsiaTheme="minorHAnsi" w:hAnsi="Times New Roman" w:cs="Times New Roman"/>
              <w:noProof/>
              <w:color w:val="000000" w:themeColor="text1"/>
              <w:sz w:val="24"/>
              <w:szCs w:val="24"/>
            </w:rPr>
            <w:t>(Ghisellini, Cialani, &amp; Ulgiati, 2016)</w:t>
          </w:r>
          <w:r w:rsidRPr="00597FFB">
            <w:rPr>
              <w:rFonts w:ascii="Times New Roman" w:eastAsiaTheme="minorHAnsi" w:hAnsi="Times New Roman" w:cs="Times New Roman"/>
              <w:color w:val="000000" w:themeColor="text1"/>
              <w:sz w:val="24"/>
              <w:szCs w:val="24"/>
            </w:rPr>
            <w:fldChar w:fldCharType="end"/>
          </w:r>
        </w:sdtContent>
      </w:sdt>
      <w:r w:rsidRPr="00597FFB">
        <w:rPr>
          <w:rFonts w:ascii="Times New Roman" w:eastAsiaTheme="minorHAnsi" w:hAnsi="Times New Roman" w:cs="Times New Roman"/>
          <w:color w:val="000000" w:themeColor="text1"/>
          <w:sz w:val="24"/>
          <w:szCs w:val="24"/>
        </w:rPr>
        <w:t xml:space="preserve">. Parajuly et al. (2020) consolidated the circular economy’s techno-economic and behavioral elements that could induce behavioral change. </w:t>
      </w:r>
    </w:p>
    <w:p w14:paraId="03F6AD61" w14:textId="0993FB00" w:rsidR="008059EC"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The behavioral aspects include intrinsic and extrinsic attributes. The techno-economic aspects include sustainable product designs and business models. In terms of the interventions, they include information campaigns, economic incentives, development of behavioral insights, and stricter regulations (Parajuly et al., 2020). as shown in Figure 2</w:t>
      </w:r>
      <w:r w:rsidR="008F759B" w:rsidRPr="00597FFB">
        <w:rPr>
          <w:rFonts w:ascii="Times New Roman" w:eastAsiaTheme="minorHAns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below. In this </w:t>
      </w:r>
      <w:r w:rsidR="006666DF" w:rsidRPr="00597FFB">
        <w:rPr>
          <w:rFonts w:ascii="Times New Roman" w:eastAsiaTheme="minorHAnsi" w:hAnsi="Times New Roman" w:cs="Times New Roman"/>
          <w:color w:val="000000" w:themeColor="text1"/>
          <w:sz w:val="24"/>
          <w:szCs w:val="24"/>
        </w:rPr>
        <w:t>Figure,</w:t>
      </w:r>
      <w:r w:rsidRPr="00597FFB">
        <w:rPr>
          <w:rFonts w:ascii="Times New Roman" w:eastAsiaTheme="minorHAnsi" w:hAnsi="Times New Roman" w:cs="Times New Roman"/>
          <w:color w:val="000000" w:themeColor="text1"/>
          <w:sz w:val="24"/>
          <w:szCs w:val="24"/>
        </w:rPr>
        <w:t xml:space="preserve"> the technocentric comprising product design and business models as well as the intrinsic and extrinsic behavioral elements of the circular economy are shown. In addition, possible interventions that could promote the realization of a circular economy including the use of economic incentives, running of information campaigns, ensuring enforcement of stricter waste-</w:t>
      </w:r>
      <w:r w:rsidR="009444DD" w:rsidRPr="00597FFB">
        <w:rPr>
          <w:rFonts w:ascii="Times New Roman" w:eastAsiaTheme="minorHAnsi" w:hAnsi="Times New Roman" w:cs="Times New Roman"/>
          <w:color w:val="000000" w:themeColor="text1"/>
          <w:sz w:val="24"/>
          <w:szCs w:val="24"/>
        </w:rPr>
        <w:t>handling</w:t>
      </w:r>
      <w:r w:rsidRPr="00597FFB">
        <w:rPr>
          <w:rFonts w:ascii="Times New Roman" w:eastAsiaTheme="minorHAnsi" w:hAnsi="Times New Roman" w:cs="Times New Roman"/>
          <w:color w:val="000000" w:themeColor="text1"/>
          <w:sz w:val="24"/>
          <w:szCs w:val="24"/>
        </w:rPr>
        <w:t xml:space="preserve"> regulations, and behavioral insights are illustrated. The behavioral and technocentric aspects as well as the interventions are essential to understanding the potential avenues through which an e-waste circular economy can be achieved.</w:t>
      </w:r>
    </w:p>
    <w:p w14:paraId="1AA8CBDA" w14:textId="2C4E58D2" w:rsidR="0003140E" w:rsidRPr="00597FFB" w:rsidRDefault="0003140E" w:rsidP="0003140E">
      <w:pPr>
        <w:keepNext/>
        <w:spacing w:after="200" w:line="240" w:lineRule="auto"/>
        <w:ind w:left="1170" w:hanging="1170"/>
        <w:rPr>
          <w:rFonts w:ascii="Times New Roman" w:eastAsiaTheme="minorHAnsi" w:hAnsi="Times New Roman" w:cs="Times New Roman"/>
          <w:color w:val="000000" w:themeColor="text1"/>
          <w:u w:val="single"/>
        </w:rPr>
      </w:pPr>
      <w:r w:rsidRPr="00597FFB">
        <w:rPr>
          <w:rFonts w:ascii="Times New Roman" w:eastAsiaTheme="minorHAnsi" w:hAnsi="Times New Roman" w:cs="Times New Roman"/>
          <w:b/>
          <w:bCs/>
          <w:color w:val="000000" w:themeColor="text1"/>
        </w:rPr>
        <w:t>Figure 2:</w:t>
      </w:r>
      <w:r w:rsidRPr="00597FFB">
        <w:rPr>
          <w:rFonts w:ascii="Times New Roman" w:eastAsiaTheme="minorHAnsi" w:hAnsi="Times New Roman" w:cs="Times New Roman"/>
          <w:color w:val="000000" w:themeColor="text1"/>
        </w:rPr>
        <w:t xml:space="preserve"> </w:t>
      </w:r>
      <w:r w:rsidRPr="00597FFB">
        <w:rPr>
          <w:rFonts w:ascii="Times New Roman" w:eastAsiaTheme="minorHAnsi" w:hAnsi="Times New Roman" w:cs="Times New Roman"/>
          <w:i/>
          <w:iCs/>
          <w:color w:val="000000" w:themeColor="text1"/>
        </w:rPr>
        <w:t xml:space="preserve">Circular </w:t>
      </w:r>
      <w:r w:rsidR="00F36340" w:rsidRPr="00597FFB">
        <w:rPr>
          <w:rFonts w:ascii="Times New Roman" w:eastAsiaTheme="minorHAnsi" w:hAnsi="Times New Roman" w:cs="Times New Roman"/>
          <w:i/>
          <w:iCs/>
          <w:color w:val="000000" w:themeColor="text1"/>
        </w:rPr>
        <w:t xml:space="preserve">Economy's Technocentric </w:t>
      </w:r>
      <w:r w:rsidR="00173BF9" w:rsidRPr="00597FFB">
        <w:rPr>
          <w:rFonts w:ascii="Times New Roman" w:eastAsiaTheme="minorHAnsi" w:hAnsi="Times New Roman" w:cs="Times New Roman"/>
          <w:i/>
          <w:iCs/>
          <w:color w:val="000000" w:themeColor="text1"/>
        </w:rPr>
        <w:t>a</w:t>
      </w:r>
      <w:r w:rsidR="00F36340" w:rsidRPr="00597FFB">
        <w:rPr>
          <w:rFonts w:ascii="Times New Roman" w:eastAsiaTheme="minorHAnsi" w:hAnsi="Times New Roman" w:cs="Times New Roman"/>
          <w:i/>
          <w:iCs/>
          <w:color w:val="000000" w:themeColor="text1"/>
        </w:rPr>
        <w:t xml:space="preserve">nd Behavioral Elements </w:t>
      </w:r>
      <w:r w:rsidR="00173BF9" w:rsidRPr="00597FFB">
        <w:rPr>
          <w:rFonts w:ascii="Times New Roman" w:eastAsiaTheme="minorHAnsi" w:hAnsi="Times New Roman" w:cs="Times New Roman"/>
          <w:i/>
          <w:iCs/>
          <w:color w:val="000000" w:themeColor="text1"/>
        </w:rPr>
        <w:t>a</w:t>
      </w:r>
      <w:r w:rsidR="00F36340" w:rsidRPr="00597FFB">
        <w:rPr>
          <w:rFonts w:ascii="Times New Roman" w:eastAsiaTheme="minorHAnsi" w:hAnsi="Times New Roman" w:cs="Times New Roman"/>
          <w:i/>
          <w:iCs/>
          <w:color w:val="000000" w:themeColor="text1"/>
        </w:rPr>
        <w:t xml:space="preserve">nd Possible Tools </w:t>
      </w:r>
      <w:r w:rsidR="00173BF9" w:rsidRPr="00597FFB">
        <w:rPr>
          <w:rFonts w:ascii="Times New Roman" w:eastAsiaTheme="minorHAnsi" w:hAnsi="Times New Roman" w:cs="Times New Roman"/>
          <w:i/>
          <w:iCs/>
          <w:color w:val="000000" w:themeColor="text1"/>
        </w:rPr>
        <w:t>f</w:t>
      </w:r>
      <w:r w:rsidR="00F36340" w:rsidRPr="00597FFB">
        <w:rPr>
          <w:rFonts w:ascii="Times New Roman" w:eastAsiaTheme="minorHAnsi" w:hAnsi="Times New Roman" w:cs="Times New Roman"/>
          <w:i/>
          <w:iCs/>
          <w:color w:val="000000" w:themeColor="text1"/>
        </w:rPr>
        <w:t>or Behavioral Change Intervention</w:t>
      </w:r>
    </w:p>
    <w:p w14:paraId="58A12B9B" w14:textId="167D2F56" w:rsidR="0003140E" w:rsidRPr="00597FFB" w:rsidRDefault="0003140E" w:rsidP="0003140E">
      <w:pPr>
        <w:spacing w:after="0" w:line="240" w:lineRule="auto"/>
        <w:jc w:val="center"/>
        <w:rPr>
          <w:rFonts w:ascii="Times New Roman" w:eastAsiaTheme="minorHAnsi" w:hAnsi="Times New Roman" w:cs="Times New Roman"/>
          <w:color w:val="000000" w:themeColor="text1"/>
          <w:sz w:val="24"/>
          <w:szCs w:val="24"/>
        </w:rPr>
      </w:pPr>
      <w:r w:rsidRPr="00597FFB">
        <w:rPr>
          <w:rFonts w:eastAsiaTheme="minorHAnsi"/>
          <w:noProof/>
          <w:color w:val="000000" w:themeColor="text1"/>
          <w:lang w:val="en-GB"/>
        </w:rPr>
        <w:drawing>
          <wp:inline distT="0" distB="0" distL="0" distR="0" wp14:anchorId="2F277771" wp14:editId="5B8DC2F8">
            <wp:extent cx="5007935" cy="3172448"/>
            <wp:effectExtent l="0" t="0" r="254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13155" cy="3175755"/>
                    </a:xfrm>
                    <a:prstGeom prst="rect">
                      <a:avLst/>
                    </a:prstGeom>
                  </pic:spPr>
                </pic:pic>
              </a:graphicData>
            </a:graphic>
          </wp:inline>
        </w:drawing>
      </w:r>
    </w:p>
    <w:p w14:paraId="3833FF07" w14:textId="4ABD7E62" w:rsidR="00A75D4B" w:rsidRPr="00597FFB" w:rsidRDefault="0003140E" w:rsidP="00E441C1">
      <w:pPr>
        <w:spacing w:after="0" w:line="480" w:lineRule="auto"/>
        <w:jc w:val="both"/>
        <w:rPr>
          <w:rFonts w:ascii="Times New Roman" w:eastAsiaTheme="minorHAnsi" w:hAnsi="Times New Roman" w:cs="Times New Roman"/>
          <w:i/>
          <w:iCs/>
          <w:color w:val="000000" w:themeColor="text1"/>
          <w:sz w:val="20"/>
          <w:szCs w:val="20"/>
        </w:rPr>
      </w:pPr>
      <w:r w:rsidRPr="00597FFB">
        <w:rPr>
          <w:rFonts w:ascii="Times New Roman" w:eastAsiaTheme="minorHAnsi" w:hAnsi="Times New Roman" w:cs="Times New Roman"/>
          <w:i/>
          <w:iCs/>
          <w:color w:val="000000" w:themeColor="text1"/>
          <w:sz w:val="20"/>
          <w:szCs w:val="20"/>
        </w:rPr>
        <w:t>Source: Parajuly et al. (2020, p. 16)</w:t>
      </w:r>
      <w:r w:rsidR="00A75D4B" w:rsidRPr="00597FFB">
        <w:rPr>
          <w:rFonts w:ascii="Times New Roman" w:eastAsiaTheme="minorHAnsi" w:hAnsi="Times New Roman" w:cs="Times New Roman"/>
          <w:i/>
          <w:iCs/>
          <w:color w:val="000000" w:themeColor="text1"/>
          <w:sz w:val="20"/>
          <w:szCs w:val="20"/>
        </w:rPr>
        <w:t>.</w:t>
      </w:r>
    </w:p>
    <w:p w14:paraId="4146BA1E" w14:textId="24B3A56F" w:rsidR="00DE17C3" w:rsidRPr="00597FFB" w:rsidRDefault="00F36340" w:rsidP="00A558FE">
      <w:pPr>
        <w:pStyle w:val="Heading2"/>
        <w:spacing w:line="480" w:lineRule="auto"/>
        <w:rPr>
          <w:rFonts w:asciiTheme="majorBidi" w:hAnsiTheme="majorBidi"/>
          <w:b/>
          <w:bCs/>
          <w:color w:val="000000" w:themeColor="text1"/>
          <w:sz w:val="24"/>
          <w:szCs w:val="24"/>
        </w:rPr>
      </w:pPr>
      <w:bookmarkStart w:id="91" w:name="_Toc127170268"/>
      <w:r w:rsidRPr="00597FFB">
        <w:rPr>
          <w:rFonts w:asciiTheme="majorBidi" w:hAnsiTheme="majorBidi"/>
          <w:b/>
          <w:bCs/>
          <w:color w:val="000000" w:themeColor="text1"/>
          <w:sz w:val="24"/>
          <w:szCs w:val="24"/>
        </w:rPr>
        <w:t xml:space="preserve">2.2. </w:t>
      </w:r>
      <w:r w:rsidR="00DE17C3" w:rsidRPr="00597FFB">
        <w:rPr>
          <w:rFonts w:asciiTheme="majorBidi" w:hAnsiTheme="majorBidi"/>
          <w:b/>
          <w:bCs/>
          <w:color w:val="000000" w:themeColor="text1"/>
          <w:sz w:val="24"/>
          <w:szCs w:val="24"/>
        </w:rPr>
        <w:t xml:space="preserve">Contributing Factors </w:t>
      </w:r>
      <w:r w:rsidR="00173BF9" w:rsidRPr="00597FFB">
        <w:rPr>
          <w:rFonts w:asciiTheme="majorBidi" w:hAnsiTheme="majorBidi"/>
          <w:b/>
          <w:bCs/>
          <w:color w:val="000000" w:themeColor="text1"/>
          <w:sz w:val="24"/>
          <w:szCs w:val="24"/>
        </w:rPr>
        <w:t>t</w:t>
      </w:r>
      <w:r w:rsidRPr="00597FFB">
        <w:rPr>
          <w:rFonts w:asciiTheme="majorBidi" w:hAnsiTheme="majorBidi"/>
          <w:b/>
          <w:bCs/>
          <w:color w:val="000000" w:themeColor="text1"/>
          <w:sz w:val="24"/>
          <w:szCs w:val="24"/>
        </w:rPr>
        <w:t xml:space="preserve">o </w:t>
      </w:r>
      <w:r w:rsidR="00DE17C3" w:rsidRPr="00597FFB">
        <w:rPr>
          <w:rFonts w:asciiTheme="majorBidi" w:hAnsiTheme="majorBidi"/>
          <w:b/>
          <w:bCs/>
          <w:color w:val="000000" w:themeColor="text1"/>
          <w:sz w:val="24"/>
          <w:szCs w:val="24"/>
        </w:rPr>
        <w:t>E</w:t>
      </w:r>
      <w:r w:rsidRPr="00597FFB">
        <w:rPr>
          <w:rFonts w:asciiTheme="majorBidi" w:hAnsiTheme="majorBidi"/>
          <w:b/>
          <w:bCs/>
          <w:color w:val="000000" w:themeColor="text1"/>
          <w:sz w:val="24"/>
          <w:szCs w:val="24"/>
        </w:rPr>
        <w:t>-</w:t>
      </w:r>
      <w:r w:rsidR="00A82BD9">
        <w:rPr>
          <w:rFonts w:asciiTheme="majorBidi" w:hAnsiTheme="majorBidi"/>
          <w:b/>
          <w:bCs/>
          <w:color w:val="000000" w:themeColor="text1"/>
          <w:sz w:val="24"/>
          <w:szCs w:val="24"/>
        </w:rPr>
        <w:t>w</w:t>
      </w:r>
      <w:r w:rsidRPr="00597FFB">
        <w:rPr>
          <w:rFonts w:asciiTheme="majorBidi" w:hAnsiTheme="majorBidi"/>
          <w:b/>
          <w:bCs/>
          <w:color w:val="000000" w:themeColor="text1"/>
          <w:sz w:val="24"/>
          <w:szCs w:val="24"/>
        </w:rPr>
        <w:t>aste</w:t>
      </w:r>
      <w:r w:rsidR="007D28AC" w:rsidRPr="00597FFB">
        <w:rPr>
          <w:rFonts w:asciiTheme="majorBidi" w:hAnsiTheme="majorBidi"/>
          <w:b/>
          <w:bCs/>
          <w:color w:val="000000" w:themeColor="text1"/>
          <w:sz w:val="24"/>
          <w:szCs w:val="24"/>
        </w:rPr>
        <w:t>.</w:t>
      </w:r>
      <w:bookmarkEnd w:id="91"/>
    </w:p>
    <w:p w14:paraId="04CF2E1E" w14:textId="4673E7EE" w:rsidR="00D50DDB" w:rsidRPr="00597FFB" w:rsidRDefault="0003140E" w:rsidP="00A75D4B">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To </w:t>
      </w:r>
      <w:r w:rsidR="008C0A44" w:rsidRPr="00597FFB">
        <w:rPr>
          <w:rFonts w:ascii="Times New Roman" w:eastAsia="Calibri" w:hAnsi="Times New Roman" w:cs="Times New Roman"/>
          <w:color w:val="000000" w:themeColor="text1"/>
          <w:sz w:val="24"/>
          <w:szCs w:val="24"/>
        </w:rPr>
        <w:t>evaluate</w:t>
      </w:r>
      <w:r w:rsidRPr="00597FFB">
        <w:rPr>
          <w:rFonts w:ascii="Times New Roman" w:eastAsia="Calibri" w:hAnsi="Times New Roman" w:cs="Times New Roman"/>
          <w:color w:val="000000" w:themeColor="text1"/>
          <w:sz w:val="24"/>
          <w:szCs w:val="24"/>
        </w:rPr>
        <w:t xml:space="preserve"> the </w:t>
      </w:r>
      <w:r w:rsidR="008C0A44" w:rsidRPr="00597FFB">
        <w:rPr>
          <w:rFonts w:ascii="Times New Roman" w:eastAsia="Calibri" w:hAnsi="Times New Roman" w:cs="Times New Roman"/>
          <w:color w:val="000000" w:themeColor="text1"/>
          <w:sz w:val="24"/>
          <w:szCs w:val="24"/>
        </w:rPr>
        <w:t>effects</w:t>
      </w:r>
      <w:r w:rsidRPr="00597FFB">
        <w:rPr>
          <w:rFonts w:ascii="Times New Roman" w:eastAsia="Calibri" w:hAnsi="Times New Roman" w:cs="Times New Roman"/>
          <w:color w:val="000000" w:themeColor="text1"/>
          <w:sz w:val="24"/>
          <w:szCs w:val="24"/>
        </w:rPr>
        <w:t xml:space="preserve"> </w:t>
      </w:r>
      <w:r w:rsidR="008C0A44" w:rsidRPr="00597FFB">
        <w:rPr>
          <w:rFonts w:ascii="Times New Roman" w:eastAsia="Calibri" w:hAnsi="Times New Roman" w:cs="Times New Roman"/>
          <w:color w:val="000000" w:themeColor="text1"/>
          <w:sz w:val="24"/>
          <w:szCs w:val="24"/>
        </w:rPr>
        <w:t>related to</w:t>
      </w:r>
      <w:r w:rsidRPr="00597FFB">
        <w:rPr>
          <w:rFonts w:ascii="Times New Roman" w:eastAsia="Calibri" w:hAnsi="Times New Roman" w:cs="Times New Roman"/>
          <w:color w:val="000000" w:themeColor="text1"/>
          <w:sz w:val="24"/>
          <w:szCs w:val="24"/>
        </w:rPr>
        <w:t xml:space="preserve"> EWM, e-waste disposal, recycling, and consumer behavior, review</w:t>
      </w:r>
      <w:r w:rsidR="008C0A44" w:rsidRPr="00597FFB">
        <w:rPr>
          <w:rFonts w:ascii="Times New Roman" w:eastAsia="Calibri" w:hAnsi="Times New Roman" w:cs="Times New Roman"/>
          <w:color w:val="000000" w:themeColor="text1"/>
          <w:sz w:val="24"/>
          <w:szCs w:val="24"/>
        </w:rPr>
        <w:t>ing</w:t>
      </w:r>
      <w:r w:rsidRPr="00597FFB">
        <w:rPr>
          <w:rFonts w:ascii="Times New Roman" w:eastAsia="Calibri" w:hAnsi="Times New Roman" w:cs="Times New Roman"/>
          <w:color w:val="000000" w:themeColor="text1"/>
          <w:sz w:val="24"/>
          <w:szCs w:val="24"/>
        </w:rPr>
        <w:t xml:space="preserve"> and understand</w:t>
      </w:r>
      <w:r w:rsidR="008C0A44" w:rsidRPr="00597FFB">
        <w:rPr>
          <w:rFonts w:ascii="Times New Roman" w:eastAsia="Calibri" w:hAnsi="Times New Roman" w:cs="Times New Roman"/>
          <w:color w:val="000000" w:themeColor="text1"/>
          <w:sz w:val="24"/>
          <w:szCs w:val="24"/>
        </w:rPr>
        <w:t>ing</w:t>
      </w:r>
      <w:r w:rsidRPr="00597FFB">
        <w:rPr>
          <w:rFonts w:ascii="Times New Roman" w:eastAsia="Calibri" w:hAnsi="Times New Roman" w:cs="Times New Roman"/>
          <w:color w:val="000000" w:themeColor="text1"/>
          <w:sz w:val="24"/>
          <w:szCs w:val="24"/>
        </w:rPr>
        <w:t xml:space="preserve"> the factors causing the </w:t>
      </w:r>
      <w:r w:rsidR="008C0A44" w:rsidRPr="00597FFB">
        <w:rPr>
          <w:rFonts w:ascii="Times New Roman" w:eastAsia="Calibri" w:hAnsi="Times New Roman" w:cs="Times New Roman"/>
          <w:color w:val="000000" w:themeColor="text1"/>
          <w:sz w:val="24"/>
          <w:szCs w:val="24"/>
        </w:rPr>
        <w:t xml:space="preserve">E-waste </w:t>
      </w:r>
      <w:r w:rsidRPr="00597FFB">
        <w:rPr>
          <w:rFonts w:ascii="Times New Roman" w:eastAsia="Calibri" w:hAnsi="Times New Roman" w:cs="Times New Roman"/>
          <w:color w:val="000000" w:themeColor="text1"/>
          <w:sz w:val="24"/>
          <w:szCs w:val="24"/>
        </w:rPr>
        <w:t xml:space="preserve">surge. </w:t>
      </w:r>
      <w:r w:rsidR="008C0A44" w:rsidRPr="00597FFB">
        <w:rPr>
          <w:rFonts w:ascii="Times New Roman" w:eastAsiaTheme="minorHAnsi" w:hAnsi="Times New Roman" w:cs="Times New Roman"/>
          <w:color w:val="000000" w:themeColor="text1"/>
          <w:sz w:val="24"/>
        </w:rPr>
        <w:t xml:space="preserve">Borthakur and Govind (2017) contested that </w:t>
      </w:r>
      <w:r w:rsidR="008C0A44" w:rsidRPr="00597FFB">
        <w:rPr>
          <w:rFonts w:ascii="Times New Roman" w:eastAsia="Calibri" w:hAnsi="Times New Roman" w:cs="Times New Roman"/>
          <w:color w:val="000000" w:themeColor="text1"/>
          <w:sz w:val="24"/>
          <w:szCs w:val="24"/>
        </w:rPr>
        <w:t>s</w:t>
      </w:r>
      <w:r w:rsidRPr="00597FFB">
        <w:rPr>
          <w:rFonts w:ascii="Times New Roman" w:eastAsia="Calibri" w:hAnsi="Times New Roman" w:cs="Times New Roman"/>
          <w:color w:val="000000" w:themeColor="text1"/>
          <w:sz w:val="24"/>
          <w:szCs w:val="24"/>
        </w:rPr>
        <w:t xml:space="preserve">everal factors contribute to e-waste, such as </w:t>
      </w:r>
      <w:r w:rsidR="008C0A44" w:rsidRPr="00597FFB">
        <w:rPr>
          <w:rFonts w:ascii="Times New Roman" w:eastAsia="Calibri" w:hAnsi="Times New Roman" w:cs="Times New Roman"/>
          <w:color w:val="000000" w:themeColor="text1"/>
          <w:sz w:val="24"/>
          <w:szCs w:val="24"/>
        </w:rPr>
        <w:t>rapid technological</w:t>
      </w:r>
      <w:r w:rsidRPr="00597FFB">
        <w:rPr>
          <w:rFonts w:ascii="Times New Roman" w:eastAsia="Calibri" w:hAnsi="Times New Roman" w:cs="Times New Roman"/>
          <w:color w:val="000000" w:themeColor="text1"/>
          <w:sz w:val="24"/>
          <w:szCs w:val="24"/>
        </w:rPr>
        <w:t xml:space="preserve"> advancement, </w:t>
      </w:r>
      <w:r w:rsidR="008C0A44" w:rsidRPr="00597FFB">
        <w:rPr>
          <w:rFonts w:ascii="Times New Roman" w:eastAsia="Calibri" w:hAnsi="Times New Roman" w:cs="Times New Roman"/>
          <w:color w:val="000000" w:themeColor="text1"/>
          <w:sz w:val="24"/>
          <w:szCs w:val="24"/>
        </w:rPr>
        <w:t xml:space="preserve">strong incentives, </w:t>
      </w:r>
      <w:r w:rsidRPr="00597FFB">
        <w:rPr>
          <w:rFonts w:ascii="Times New Roman" w:eastAsia="Calibri" w:hAnsi="Times New Roman" w:cs="Times New Roman"/>
          <w:color w:val="000000" w:themeColor="text1"/>
          <w:sz w:val="24"/>
          <w:szCs w:val="24"/>
        </w:rPr>
        <w:t xml:space="preserve">consumer demands, and </w:t>
      </w:r>
      <w:r w:rsidR="008C0A44" w:rsidRPr="00597FFB">
        <w:rPr>
          <w:rFonts w:ascii="Times New Roman" w:eastAsia="Calibri" w:hAnsi="Times New Roman" w:cs="Times New Roman"/>
          <w:color w:val="000000" w:themeColor="text1"/>
          <w:sz w:val="24"/>
          <w:szCs w:val="24"/>
        </w:rPr>
        <w:t xml:space="preserve">attitudes </w:t>
      </w:r>
      <w:r w:rsidRPr="00597FFB">
        <w:rPr>
          <w:rFonts w:ascii="Times New Roman" w:eastAsia="Calibri" w:hAnsi="Times New Roman" w:cs="Times New Roman"/>
          <w:color w:val="000000" w:themeColor="text1"/>
          <w:sz w:val="24"/>
          <w:szCs w:val="24"/>
        </w:rPr>
        <w:t xml:space="preserve">for consumption that reduce </w:t>
      </w:r>
      <w:r w:rsidR="008C0A44" w:rsidRPr="00597FFB">
        <w:rPr>
          <w:rFonts w:ascii="Times New Roman" w:eastAsia="Calibri" w:hAnsi="Times New Roman" w:cs="Times New Roman"/>
          <w:color w:val="000000" w:themeColor="text1"/>
          <w:sz w:val="24"/>
          <w:szCs w:val="24"/>
        </w:rPr>
        <w:t>electronic device’s</w:t>
      </w:r>
      <w:r w:rsidRPr="00597FFB">
        <w:rPr>
          <w:rFonts w:ascii="Times New Roman" w:eastAsia="Calibri" w:hAnsi="Times New Roman" w:cs="Times New Roman"/>
          <w:color w:val="000000" w:themeColor="text1"/>
          <w:sz w:val="24"/>
          <w:szCs w:val="24"/>
        </w:rPr>
        <w:t xml:space="preserve"> lifespan </w:t>
      </w:r>
      <w:r w:rsidR="008C0A44" w:rsidRPr="00597FFB">
        <w:rPr>
          <w:rFonts w:ascii="Times New Roman" w:eastAsia="Calibri" w:hAnsi="Times New Roman" w:cs="Times New Roman"/>
          <w:color w:val="000000" w:themeColor="text1"/>
          <w:sz w:val="24"/>
          <w:szCs w:val="24"/>
        </w:rPr>
        <w:t xml:space="preserve">drastically </w:t>
      </w:r>
      <w:r w:rsidRPr="00597FFB">
        <w:rPr>
          <w:rFonts w:ascii="Times New Roman" w:eastAsia="Calibri" w:hAnsi="Times New Roman" w:cs="Times New Roman"/>
          <w:color w:val="000000" w:themeColor="text1"/>
          <w:sz w:val="24"/>
          <w:szCs w:val="24"/>
        </w:rPr>
        <w:t xml:space="preserve">and encourage </w:t>
      </w:r>
      <w:r w:rsidR="008C0A44" w:rsidRPr="00597FFB">
        <w:rPr>
          <w:rFonts w:ascii="Times New Roman" w:eastAsia="Calibri" w:hAnsi="Times New Roman" w:cs="Times New Roman"/>
          <w:color w:val="000000" w:themeColor="text1"/>
          <w:sz w:val="24"/>
          <w:szCs w:val="24"/>
        </w:rPr>
        <w:t>speedier rates of</w:t>
      </w:r>
      <w:r w:rsidRPr="00597FFB">
        <w:rPr>
          <w:rFonts w:ascii="Times New Roman" w:eastAsia="Calibri" w:hAnsi="Times New Roman" w:cs="Times New Roman"/>
          <w:color w:val="000000" w:themeColor="text1"/>
          <w:sz w:val="24"/>
          <w:szCs w:val="24"/>
        </w:rPr>
        <w:t xml:space="preserve"> replacement. These </w:t>
      </w:r>
      <w:r w:rsidR="008C0A44" w:rsidRPr="00597FFB">
        <w:rPr>
          <w:rFonts w:ascii="Times New Roman" w:eastAsia="Calibri" w:hAnsi="Times New Roman" w:cs="Times New Roman"/>
          <w:color w:val="000000" w:themeColor="text1"/>
          <w:sz w:val="24"/>
          <w:szCs w:val="24"/>
        </w:rPr>
        <w:t>factors</w:t>
      </w:r>
      <w:r w:rsidRPr="00597FFB">
        <w:rPr>
          <w:rFonts w:ascii="Times New Roman" w:eastAsia="Calibri" w:hAnsi="Times New Roman" w:cs="Times New Roman"/>
          <w:color w:val="000000" w:themeColor="text1"/>
          <w:sz w:val="24"/>
          <w:szCs w:val="24"/>
        </w:rPr>
        <w:t xml:space="preserve"> are discussed </w:t>
      </w:r>
      <w:r w:rsidR="008C0A44" w:rsidRPr="00597FFB">
        <w:rPr>
          <w:rFonts w:ascii="Times New Roman" w:eastAsia="Calibri" w:hAnsi="Times New Roman" w:cs="Times New Roman"/>
          <w:color w:val="000000" w:themeColor="text1"/>
          <w:sz w:val="24"/>
          <w:szCs w:val="24"/>
        </w:rPr>
        <w:t xml:space="preserve">below </w:t>
      </w:r>
      <w:r w:rsidRPr="00597FFB">
        <w:rPr>
          <w:rFonts w:ascii="Times New Roman" w:eastAsia="Calibri" w:hAnsi="Times New Roman" w:cs="Times New Roman"/>
          <w:color w:val="000000" w:themeColor="text1"/>
          <w:sz w:val="24"/>
          <w:szCs w:val="24"/>
        </w:rPr>
        <w:t>briefly.</w:t>
      </w:r>
    </w:p>
    <w:p w14:paraId="2D891994" w14:textId="3A3A38BF" w:rsidR="0003140E" w:rsidRPr="00597FFB" w:rsidRDefault="00D15AE5"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92" w:name="_Toc127170269"/>
      <w:r w:rsidRPr="00597FFB">
        <w:rPr>
          <w:rFonts w:ascii="Times New Roman" w:eastAsia="Calibri" w:hAnsi="Times New Roman" w:cs="Times New Roman"/>
          <w:i/>
          <w:iCs/>
          <w:color w:val="000000" w:themeColor="text1"/>
          <w:sz w:val="24"/>
          <w:szCs w:val="24"/>
        </w:rPr>
        <w:t xml:space="preserve">2.2.1. Rising </w:t>
      </w:r>
      <w:r w:rsidR="00685040" w:rsidRPr="00597FFB">
        <w:rPr>
          <w:rFonts w:ascii="Times New Roman" w:eastAsia="Calibri" w:hAnsi="Times New Roman" w:cs="Times New Roman"/>
          <w:i/>
          <w:iCs/>
          <w:color w:val="000000" w:themeColor="text1"/>
          <w:sz w:val="24"/>
          <w:szCs w:val="24"/>
        </w:rPr>
        <w:t xml:space="preserve">Demand </w:t>
      </w:r>
      <w:r w:rsidR="00A56EE5" w:rsidRPr="00597FFB">
        <w:rPr>
          <w:rFonts w:ascii="Times New Roman" w:eastAsia="Calibri" w:hAnsi="Times New Roman" w:cs="Times New Roman"/>
          <w:i/>
          <w:iCs/>
          <w:color w:val="000000" w:themeColor="text1"/>
          <w:sz w:val="24"/>
          <w:szCs w:val="24"/>
        </w:rPr>
        <w:t>f</w:t>
      </w:r>
      <w:r w:rsidR="00685040" w:rsidRPr="00597FFB">
        <w:rPr>
          <w:rFonts w:ascii="Times New Roman" w:eastAsia="Calibri" w:hAnsi="Times New Roman" w:cs="Times New Roman"/>
          <w:i/>
          <w:iCs/>
          <w:color w:val="000000" w:themeColor="text1"/>
          <w:sz w:val="24"/>
          <w:szCs w:val="24"/>
        </w:rPr>
        <w:t xml:space="preserve">or </w:t>
      </w:r>
      <w:r w:rsidR="00287805" w:rsidRPr="00597FFB">
        <w:rPr>
          <w:rFonts w:ascii="Times New Roman" w:eastAsia="Calibri" w:hAnsi="Times New Roman" w:cs="Times New Roman"/>
          <w:i/>
          <w:iCs/>
          <w:color w:val="000000" w:themeColor="text1"/>
          <w:sz w:val="24"/>
          <w:szCs w:val="24"/>
        </w:rPr>
        <w:t>EEE</w:t>
      </w:r>
      <w:r w:rsidR="00685040" w:rsidRPr="00597FFB">
        <w:rPr>
          <w:rFonts w:ascii="Times New Roman" w:eastAsia="Calibri" w:hAnsi="Times New Roman" w:cs="Times New Roman"/>
          <w:i/>
          <w:iCs/>
          <w:color w:val="000000" w:themeColor="text1"/>
          <w:sz w:val="24"/>
          <w:szCs w:val="24"/>
        </w:rPr>
        <w:t>.</w:t>
      </w:r>
      <w:bookmarkEnd w:id="92"/>
    </w:p>
    <w:p w14:paraId="7FA71E8D" w14:textId="2257EAD4"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A key factor that contributes to the </w:t>
      </w:r>
      <w:r w:rsidR="00060263" w:rsidRPr="00597FFB">
        <w:rPr>
          <w:rFonts w:ascii="Times New Roman" w:eastAsia="Calibri" w:hAnsi="Times New Roman" w:cs="Times New Roman"/>
          <w:color w:val="000000" w:themeColor="text1"/>
          <w:sz w:val="24"/>
          <w:szCs w:val="24"/>
        </w:rPr>
        <w:t>increasing</w:t>
      </w:r>
      <w:r w:rsidRPr="00597FFB">
        <w:rPr>
          <w:rFonts w:ascii="Times New Roman" w:eastAsia="Calibri" w:hAnsi="Times New Roman" w:cs="Times New Roman"/>
          <w:color w:val="000000" w:themeColor="text1"/>
          <w:sz w:val="24"/>
          <w:szCs w:val="24"/>
        </w:rPr>
        <w:t xml:space="preserve"> demand for EEE is that improved, faster networks with new </w:t>
      </w:r>
      <w:r w:rsidR="00060263" w:rsidRPr="00597FFB">
        <w:rPr>
          <w:rFonts w:ascii="Times New Roman" w:eastAsia="Calibri" w:hAnsi="Times New Roman" w:cs="Times New Roman"/>
          <w:color w:val="000000" w:themeColor="text1"/>
          <w:sz w:val="24"/>
          <w:szCs w:val="24"/>
        </w:rPr>
        <w:t xml:space="preserve">applications </w:t>
      </w:r>
      <w:r w:rsidRPr="00597FFB">
        <w:rPr>
          <w:rFonts w:ascii="Times New Roman" w:eastAsia="Calibri" w:hAnsi="Times New Roman" w:cs="Times New Roman"/>
          <w:color w:val="000000" w:themeColor="text1"/>
          <w:sz w:val="24"/>
          <w:szCs w:val="24"/>
        </w:rPr>
        <w:t xml:space="preserve">and </w:t>
      </w:r>
      <w:r w:rsidR="00060263" w:rsidRPr="00597FFB">
        <w:rPr>
          <w:rFonts w:ascii="Times New Roman" w:eastAsia="Calibri" w:hAnsi="Times New Roman" w:cs="Times New Roman"/>
          <w:color w:val="000000" w:themeColor="text1"/>
          <w:sz w:val="24"/>
          <w:szCs w:val="24"/>
        </w:rPr>
        <w:t xml:space="preserve">services </w:t>
      </w:r>
      <w:r w:rsidRPr="00597FFB">
        <w:rPr>
          <w:rFonts w:ascii="Times New Roman" w:eastAsia="Calibri" w:hAnsi="Times New Roman" w:cs="Times New Roman"/>
          <w:color w:val="000000" w:themeColor="text1"/>
          <w:sz w:val="24"/>
          <w:szCs w:val="24"/>
        </w:rPr>
        <w:t xml:space="preserve">are </w:t>
      </w:r>
      <w:r w:rsidR="00060263" w:rsidRPr="00597FFB">
        <w:rPr>
          <w:rFonts w:ascii="Times New Roman" w:eastAsia="Calibri" w:hAnsi="Times New Roman" w:cs="Times New Roman"/>
          <w:color w:val="000000" w:themeColor="text1"/>
          <w:sz w:val="24"/>
          <w:szCs w:val="24"/>
        </w:rPr>
        <w:t>already available</w:t>
      </w:r>
      <w:r w:rsidRPr="00597FFB">
        <w:rPr>
          <w:rFonts w:ascii="Times New Roman" w:eastAsia="Calibri" w:hAnsi="Times New Roman" w:cs="Times New Roman"/>
          <w:color w:val="000000" w:themeColor="text1"/>
          <w:sz w:val="24"/>
          <w:szCs w:val="24"/>
        </w:rPr>
        <w:t xml:space="preserve"> and provide </w:t>
      </w:r>
      <w:r w:rsidR="00060263" w:rsidRPr="00597FFB">
        <w:rPr>
          <w:rFonts w:ascii="Times New Roman" w:eastAsia="Calibri" w:hAnsi="Times New Roman" w:cs="Times New Roman"/>
          <w:color w:val="000000" w:themeColor="text1"/>
          <w:sz w:val="24"/>
          <w:szCs w:val="24"/>
        </w:rPr>
        <w:t>more robust</w:t>
      </w:r>
      <w:r w:rsidRPr="00597FFB">
        <w:rPr>
          <w:rFonts w:ascii="Times New Roman" w:eastAsia="Calibri" w:hAnsi="Times New Roman" w:cs="Times New Roman"/>
          <w:color w:val="000000" w:themeColor="text1"/>
          <w:sz w:val="24"/>
          <w:szCs w:val="24"/>
        </w:rPr>
        <w:t xml:space="preserve"> applicability </w:t>
      </w:r>
      <w:r w:rsidR="00060263" w:rsidRPr="00597FFB">
        <w:rPr>
          <w:rFonts w:ascii="Times New Roman" w:eastAsia="Calibri" w:hAnsi="Times New Roman" w:cs="Times New Roman"/>
          <w:color w:val="000000" w:themeColor="text1"/>
          <w:sz w:val="24"/>
          <w:szCs w:val="24"/>
        </w:rPr>
        <w:t>with respect</w:t>
      </w:r>
      <w:r w:rsidRPr="00597FFB">
        <w:rPr>
          <w:rFonts w:ascii="Times New Roman" w:eastAsia="Calibri" w:hAnsi="Times New Roman" w:cs="Times New Roman"/>
          <w:color w:val="000000" w:themeColor="text1"/>
          <w:sz w:val="24"/>
          <w:szCs w:val="24"/>
        </w:rPr>
        <w:t xml:space="preserve"> to </w:t>
      </w:r>
      <w:r w:rsidR="00060263" w:rsidRPr="00597FFB">
        <w:rPr>
          <w:rFonts w:ascii="Times New Roman" w:eastAsia="Calibri" w:hAnsi="Times New Roman" w:cs="Times New Roman"/>
          <w:color w:val="000000" w:themeColor="text1"/>
          <w:sz w:val="24"/>
          <w:szCs w:val="24"/>
        </w:rPr>
        <w:t xml:space="preserve">consumer electronics for </w:t>
      </w:r>
      <w:r w:rsidRPr="00597FFB">
        <w:rPr>
          <w:rFonts w:ascii="Times New Roman" w:eastAsia="Calibri" w:hAnsi="Times New Roman" w:cs="Times New Roman"/>
          <w:color w:val="000000" w:themeColor="text1"/>
          <w:sz w:val="24"/>
          <w:szCs w:val="24"/>
        </w:rPr>
        <w:t xml:space="preserve">entertainment, </w:t>
      </w:r>
      <w:r w:rsidR="00060263" w:rsidRPr="00597FFB">
        <w:rPr>
          <w:rFonts w:ascii="Times New Roman" w:eastAsia="Calibri" w:hAnsi="Times New Roman" w:cs="Times New Roman"/>
          <w:color w:val="000000" w:themeColor="text1"/>
          <w:sz w:val="24"/>
          <w:szCs w:val="24"/>
        </w:rPr>
        <w:t xml:space="preserve">mobile technologies for </w:t>
      </w:r>
      <w:r w:rsidRPr="00597FFB">
        <w:rPr>
          <w:rFonts w:ascii="Times New Roman" w:eastAsia="Calibri" w:hAnsi="Times New Roman" w:cs="Times New Roman"/>
          <w:color w:val="000000" w:themeColor="text1"/>
          <w:sz w:val="24"/>
          <w:szCs w:val="24"/>
        </w:rPr>
        <w:t xml:space="preserve">communication, and </w:t>
      </w:r>
      <w:r w:rsidR="00060263" w:rsidRPr="00597FFB">
        <w:rPr>
          <w:rFonts w:ascii="Times New Roman" w:eastAsia="Calibri" w:hAnsi="Times New Roman" w:cs="Times New Roman"/>
          <w:color w:val="000000" w:themeColor="text1"/>
          <w:sz w:val="24"/>
          <w:szCs w:val="24"/>
        </w:rPr>
        <w:t xml:space="preserve">industrial (government, </w:t>
      </w:r>
      <w:r w:rsidR="00285D13" w:rsidRPr="00597FFB">
        <w:rPr>
          <w:rFonts w:ascii="Times New Roman" w:eastAsia="Calibri" w:hAnsi="Times New Roman" w:cs="Times New Roman"/>
          <w:color w:val="000000" w:themeColor="text1"/>
          <w:sz w:val="24"/>
          <w:szCs w:val="24"/>
        </w:rPr>
        <w:t xml:space="preserve">health, </w:t>
      </w:r>
      <w:r w:rsidR="00060263" w:rsidRPr="00597FFB">
        <w:rPr>
          <w:rFonts w:ascii="Times New Roman" w:eastAsia="Calibri" w:hAnsi="Times New Roman" w:cs="Times New Roman"/>
          <w:color w:val="000000" w:themeColor="text1"/>
          <w:sz w:val="24"/>
          <w:szCs w:val="24"/>
        </w:rPr>
        <w:t xml:space="preserve">education, commerce) </w:t>
      </w:r>
      <w:r w:rsidRPr="00597FFB">
        <w:rPr>
          <w:rFonts w:ascii="Times New Roman" w:eastAsia="Calibri" w:hAnsi="Times New Roman" w:cs="Times New Roman"/>
          <w:color w:val="000000" w:themeColor="text1"/>
          <w:sz w:val="24"/>
          <w:szCs w:val="24"/>
        </w:rPr>
        <w:t xml:space="preserve">and </w:t>
      </w:r>
      <w:r w:rsidR="00060263" w:rsidRPr="00597FFB">
        <w:rPr>
          <w:rFonts w:ascii="Times New Roman" w:eastAsia="Calibri" w:hAnsi="Times New Roman" w:cs="Times New Roman"/>
          <w:color w:val="000000" w:themeColor="text1"/>
          <w:sz w:val="24"/>
          <w:szCs w:val="24"/>
        </w:rPr>
        <w:t xml:space="preserve">administrative </w:t>
      </w:r>
      <w:r w:rsidRPr="00597FFB">
        <w:rPr>
          <w:rFonts w:ascii="Times New Roman" w:eastAsia="Calibri" w:hAnsi="Times New Roman" w:cs="Times New Roman"/>
          <w:color w:val="000000" w:themeColor="text1"/>
          <w:sz w:val="24"/>
          <w:szCs w:val="24"/>
        </w:rPr>
        <w:t xml:space="preserve">utility </w:t>
      </w:r>
      <w:r w:rsidRPr="00597FFB">
        <w:rPr>
          <w:rFonts w:ascii="Times New Roman" w:eastAsiaTheme="minorHAnsi" w:hAnsi="Times New Roman" w:cs="Times New Roman"/>
          <w:color w:val="000000" w:themeColor="text1"/>
          <w:sz w:val="24"/>
        </w:rPr>
        <w:t>(Kumar &amp; Dixit, 2018)</w:t>
      </w:r>
      <w:r w:rsidRPr="00597FFB">
        <w:rPr>
          <w:rFonts w:ascii="Times New Roman" w:eastAsia="Calibri" w:hAnsi="Times New Roman" w:cs="Times New Roman"/>
          <w:color w:val="000000" w:themeColor="text1"/>
          <w:sz w:val="24"/>
          <w:szCs w:val="24"/>
        </w:rPr>
        <w:t>. These technocentric advance</w:t>
      </w:r>
      <w:r w:rsidR="00285D13" w:rsidRPr="00597FFB">
        <w:rPr>
          <w:rFonts w:ascii="Times New Roman" w:eastAsia="Calibri" w:hAnsi="Times New Roman" w:cs="Times New Roman"/>
          <w:color w:val="000000" w:themeColor="text1"/>
          <w:sz w:val="24"/>
          <w:szCs w:val="24"/>
        </w:rPr>
        <w:t>ment</w:t>
      </w:r>
      <w:r w:rsidRPr="00597FFB">
        <w:rPr>
          <w:rFonts w:ascii="Times New Roman" w:eastAsia="Calibri" w:hAnsi="Times New Roman" w:cs="Times New Roman"/>
          <w:color w:val="000000" w:themeColor="text1"/>
          <w:sz w:val="24"/>
          <w:szCs w:val="24"/>
        </w:rPr>
        <w:t xml:space="preserve">s, combined with </w:t>
      </w:r>
      <w:r w:rsidR="00285D13" w:rsidRPr="00597FFB">
        <w:rPr>
          <w:rFonts w:ascii="Times New Roman" w:eastAsia="Calibri" w:hAnsi="Times New Roman" w:cs="Times New Roman"/>
          <w:color w:val="000000" w:themeColor="text1"/>
          <w:sz w:val="24"/>
          <w:szCs w:val="24"/>
        </w:rPr>
        <w:t>growing</w:t>
      </w:r>
      <w:r w:rsidRPr="00597FFB">
        <w:rPr>
          <w:rFonts w:ascii="Times New Roman" w:eastAsia="Calibri" w:hAnsi="Times New Roman" w:cs="Times New Roman"/>
          <w:color w:val="000000" w:themeColor="text1"/>
          <w:sz w:val="24"/>
          <w:szCs w:val="24"/>
        </w:rPr>
        <w:t xml:space="preserve"> </w:t>
      </w:r>
      <w:r w:rsidR="00285D13" w:rsidRPr="00597FFB">
        <w:rPr>
          <w:rFonts w:ascii="Times New Roman" w:eastAsia="Calibri" w:hAnsi="Times New Roman" w:cs="Times New Roman"/>
          <w:color w:val="000000" w:themeColor="text1"/>
          <w:sz w:val="24"/>
          <w:szCs w:val="24"/>
        </w:rPr>
        <w:t xml:space="preserve">disposable income </w:t>
      </w:r>
      <w:r w:rsidRPr="00597FFB">
        <w:rPr>
          <w:rFonts w:ascii="Times New Roman" w:eastAsia="Calibri" w:hAnsi="Times New Roman" w:cs="Times New Roman"/>
          <w:color w:val="000000" w:themeColor="text1"/>
          <w:sz w:val="24"/>
          <w:szCs w:val="24"/>
        </w:rPr>
        <w:t xml:space="preserve">levels, urbanization, </w:t>
      </w:r>
      <w:r w:rsidR="00F97296" w:rsidRPr="00597FFB">
        <w:rPr>
          <w:rFonts w:ascii="Times New Roman" w:eastAsia="Calibri" w:hAnsi="Times New Roman" w:cs="Times New Roman"/>
          <w:color w:val="000000" w:themeColor="text1"/>
          <w:sz w:val="24"/>
          <w:szCs w:val="24"/>
        </w:rPr>
        <w:t xml:space="preserve">purchasing power, </w:t>
      </w:r>
      <w:r w:rsidRPr="00597FFB">
        <w:rPr>
          <w:rFonts w:ascii="Times New Roman" w:eastAsia="Calibri" w:hAnsi="Times New Roman" w:cs="Times New Roman"/>
          <w:color w:val="000000" w:themeColor="text1"/>
          <w:sz w:val="24"/>
          <w:szCs w:val="24"/>
        </w:rPr>
        <w:t xml:space="preserve">and industrialization in </w:t>
      </w:r>
      <w:r w:rsidR="00285D13" w:rsidRPr="00597FFB">
        <w:rPr>
          <w:rFonts w:ascii="Times New Roman" w:eastAsia="Calibri" w:hAnsi="Times New Roman" w:cs="Times New Roman"/>
          <w:color w:val="000000" w:themeColor="text1"/>
          <w:sz w:val="24"/>
          <w:szCs w:val="24"/>
        </w:rPr>
        <w:t>numerous</w:t>
      </w:r>
      <w:r w:rsidRPr="00597FFB">
        <w:rPr>
          <w:rFonts w:ascii="Times New Roman" w:eastAsia="Calibri" w:hAnsi="Times New Roman" w:cs="Times New Roman"/>
          <w:color w:val="000000" w:themeColor="text1"/>
          <w:sz w:val="24"/>
          <w:szCs w:val="24"/>
        </w:rPr>
        <w:t xml:space="preserve"> developing </w:t>
      </w:r>
      <w:r w:rsidR="00285D13" w:rsidRPr="00597FFB">
        <w:rPr>
          <w:rFonts w:ascii="Times New Roman" w:eastAsia="Calibri" w:hAnsi="Times New Roman" w:cs="Times New Roman"/>
          <w:color w:val="000000" w:themeColor="text1"/>
          <w:sz w:val="24"/>
          <w:szCs w:val="24"/>
        </w:rPr>
        <w:t>nations</w:t>
      </w:r>
      <w:r w:rsidRPr="00597FFB">
        <w:rPr>
          <w:rFonts w:ascii="Times New Roman" w:eastAsia="Calibri" w:hAnsi="Times New Roman" w:cs="Times New Roman"/>
          <w:color w:val="000000" w:themeColor="text1"/>
          <w:sz w:val="24"/>
          <w:szCs w:val="24"/>
        </w:rPr>
        <w:t xml:space="preserve"> have </w:t>
      </w:r>
      <w:r w:rsidR="00285D13" w:rsidRPr="00597FFB">
        <w:rPr>
          <w:rFonts w:ascii="Times New Roman" w:eastAsia="Calibri" w:hAnsi="Times New Roman" w:cs="Times New Roman"/>
          <w:color w:val="000000" w:themeColor="text1"/>
          <w:sz w:val="24"/>
          <w:szCs w:val="24"/>
        </w:rPr>
        <w:t>led to</w:t>
      </w:r>
      <w:r w:rsidRPr="00597FFB">
        <w:rPr>
          <w:rFonts w:ascii="Times New Roman" w:eastAsia="Calibri" w:hAnsi="Times New Roman" w:cs="Times New Roman"/>
          <w:color w:val="000000" w:themeColor="text1"/>
          <w:sz w:val="24"/>
          <w:szCs w:val="24"/>
        </w:rPr>
        <w:t xml:space="preserve"> a sharp increase in ownership of </w:t>
      </w:r>
      <w:r w:rsidR="00285D13" w:rsidRPr="00597FFB">
        <w:rPr>
          <w:rFonts w:ascii="Times New Roman" w:eastAsia="Calibri" w:hAnsi="Times New Roman" w:cs="Times New Roman"/>
          <w:color w:val="000000" w:themeColor="text1"/>
          <w:sz w:val="24"/>
          <w:szCs w:val="24"/>
        </w:rPr>
        <w:t>EEE</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rPr>
        <w:t>(Ahmad et al., 2019)</w:t>
      </w:r>
      <w:r w:rsidRPr="00597FFB">
        <w:rPr>
          <w:rFonts w:ascii="Times New Roman" w:eastAsiaTheme="minorHAnsi" w:hAnsi="Times New Roman" w:cs="Times New Roman"/>
          <w:color w:val="000000" w:themeColor="text1"/>
          <w:sz w:val="24"/>
          <w:szCs w:val="24"/>
        </w:rPr>
        <w:t>.</w:t>
      </w:r>
      <w:r w:rsidRPr="00597FFB">
        <w:rPr>
          <w:rFonts w:ascii="Times New Roman" w:eastAsia="Calibri" w:hAnsi="Times New Roman" w:cs="Times New Roman"/>
          <w:color w:val="000000" w:themeColor="text1"/>
          <w:sz w:val="24"/>
          <w:szCs w:val="24"/>
        </w:rPr>
        <w:t xml:space="preserve"> </w:t>
      </w:r>
      <w:r w:rsidR="00285D13" w:rsidRPr="00597FFB">
        <w:rPr>
          <w:rFonts w:ascii="Times New Roman" w:eastAsia="Calibri" w:hAnsi="Times New Roman" w:cs="Times New Roman"/>
          <w:color w:val="000000" w:themeColor="text1"/>
          <w:sz w:val="24"/>
          <w:szCs w:val="24"/>
        </w:rPr>
        <w:t>Progressive global i</w:t>
      </w:r>
      <w:r w:rsidRPr="00597FFB">
        <w:rPr>
          <w:rFonts w:ascii="Times New Roman" w:eastAsia="Calibri" w:hAnsi="Times New Roman" w:cs="Times New Roman"/>
          <w:color w:val="000000" w:themeColor="text1"/>
          <w:sz w:val="24"/>
          <w:szCs w:val="24"/>
        </w:rPr>
        <w:t>nternet access</w:t>
      </w:r>
      <w:r w:rsidR="00285D13" w:rsidRPr="00597FFB">
        <w:rPr>
          <w:rFonts w:ascii="Times New Roman" w:eastAsia="Calibri" w:hAnsi="Times New Roman" w:cs="Times New Roman"/>
          <w:color w:val="000000" w:themeColor="text1"/>
          <w:sz w:val="24"/>
          <w:szCs w:val="24"/>
        </w:rPr>
        <w:t>/penetration worldwide and particularly</w:t>
      </w:r>
      <w:r w:rsidRPr="00597FFB">
        <w:rPr>
          <w:rFonts w:ascii="Times New Roman" w:eastAsia="Calibri" w:hAnsi="Times New Roman" w:cs="Times New Roman"/>
          <w:color w:val="000000" w:themeColor="text1"/>
          <w:sz w:val="24"/>
          <w:szCs w:val="24"/>
        </w:rPr>
        <w:t xml:space="preserve"> </w:t>
      </w:r>
      <w:r w:rsidR="00285D13" w:rsidRPr="00597FFB">
        <w:rPr>
          <w:rFonts w:ascii="Times New Roman" w:eastAsia="Calibri" w:hAnsi="Times New Roman" w:cs="Times New Roman"/>
          <w:color w:val="000000" w:themeColor="text1"/>
          <w:sz w:val="24"/>
          <w:szCs w:val="24"/>
        </w:rPr>
        <w:t xml:space="preserve">in the UAE </w:t>
      </w:r>
      <w:r w:rsidR="00F839D2" w:rsidRPr="00597FFB">
        <w:rPr>
          <w:rFonts w:ascii="Times New Roman" w:eastAsia="Calibri" w:hAnsi="Times New Roman" w:cs="Times New Roman"/>
          <w:color w:val="000000" w:themeColor="text1"/>
          <w:sz w:val="24"/>
          <w:szCs w:val="24"/>
        </w:rPr>
        <w:t>can explain this</w:t>
      </w:r>
      <w:r w:rsidRPr="00597FFB">
        <w:rPr>
          <w:rFonts w:ascii="Times New Roman" w:eastAsia="Calibri" w:hAnsi="Times New Roman" w:cs="Times New Roman"/>
          <w:color w:val="000000" w:themeColor="text1"/>
          <w:sz w:val="24"/>
          <w:szCs w:val="24"/>
        </w:rPr>
        <w:t xml:space="preserve">. For example, data extracted from The World Bank shows that internet access as a percentage of the UAE population for the period 2015 to 2020 steadily rose from 40% to 99.1% compared to an increase from 15.7% to 56.7% around the world during the same period </w:t>
      </w:r>
      <w:sdt>
        <w:sdtPr>
          <w:rPr>
            <w:rFonts w:ascii="Times New Roman" w:eastAsia="Calibri" w:hAnsi="Times New Roman" w:cs="Times New Roman"/>
            <w:color w:val="000000" w:themeColor="text1"/>
            <w:sz w:val="24"/>
            <w:szCs w:val="24"/>
          </w:rPr>
          <w:id w:val="-652985621"/>
          <w:citation/>
        </w:sdtPr>
        <w:sdtContent>
          <w:r w:rsidRPr="00597FFB">
            <w:rPr>
              <w:rFonts w:ascii="Times New Roman" w:eastAsia="Calibri" w:hAnsi="Times New Roman" w:cs="Times New Roman"/>
              <w:color w:val="000000" w:themeColor="text1"/>
              <w:sz w:val="24"/>
              <w:szCs w:val="24"/>
            </w:rPr>
            <w:fldChar w:fldCharType="begin"/>
          </w:r>
          <w:r w:rsidRPr="00597FFB">
            <w:rPr>
              <w:rFonts w:ascii="Times New Roman" w:eastAsia="Calibri" w:hAnsi="Times New Roman" w:cs="Times New Roman"/>
              <w:color w:val="000000" w:themeColor="text1"/>
              <w:sz w:val="24"/>
              <w:szCs w:val="24"/>
            </w:rPr>
            <w:instrText xml:space="preserve">CITATION The22 \l 1033 </w:instrText>
          </w:r>
          <w:r w:rsidRPr="00597FFB">
            <w:rPr>
              <w:rFonts w:ascii="Times New Roman" w:eastAsia="Calibri" w:hAnsi="Times New Roman" w:cs="Times New Roman"/>
              <w:color w:val="000000" w:themeColor="text1"/>
              <w:sz w:val="24"/>
              <w:szCs w:val="24"/>
            </w:rPr>
            <w:fldChar w:fldCharType="separate"/>
          </w:r>
          <w:r w:rsidR="00F82F75" w:rsidRPr="00597FFB">
            <w:rPr>
              <w:rFonts w:ascii="Times New Roman" w:eastAsia="Calibri" w:hAnsi="Times New Roman" w:cs="Times New Roman"/>
              <w:noProof/>
              <w:color w:val="000000" w:themeColor="text1"/>
              <w:sz w:val="24"/>
              <w:szCs w:val="24"/>
            </w:rPr>
            <w:t>(The World Bank Group, 2022a)</w:t>
          </w:r>
          <w:r w:rsidRPr="00597FFB">
            <w:rPr>
              <w:rFonts w:ascii="Times New Roman" w:eastAsia="Calibri" w:hAnsi="Times New Roman" w:cs="Times New Roman"/>
              <w:color w:val="000000" w:themeColor="text1"/>
              <w:sz w:val="24"/>
              <w:szCs w:val="24"/>
            </w:rPr>
            <w:fldChar w:fldCharType="end"/>
          </w:r>
        </w:sdtContent>
      </w:sdt>
      <w:r w:rsidRPr="00597FFB">
        <w:rPr>
          <w:rFonts w:ascii="Times New Roman" w:eastAsia="Calibri" w:hAnsi="Times New Roman" w:cs="Times New Roman"/>
          <w:color w:val="000000" w:themeColor="text1"/>
          <w:sz w:val="24"/>
          <w:szCs w:val="24"/>
        </w:rPr>
        <w:t xml:space="preserve">. In Figure </w:t>
      </w:r>
      <w:r w:rsidR="004942B6" w:rsidRPr="00597FFB">
        <w:rPr>
          <w:rFonts w:ascii="Times New Roman" w:eastAsia="Calibri" w:hAnsi="Times New Roman" w:cs="Times New Roman"/>
          <w:color w:val="000000" w:themeColor="text1"/>
          <w:sz w:val="24"/>
          <w:szCs w:val="24"/>
        </w:rPr>
        <w:t>3</w:t>
      </w:r>
      <w:r w:rsidRPr="00597FFB">
        <w:rPr>
          <w:rFonts w:ascii="Times New Roman" w:eastAsia="Calibri" w:hAnsi="Times New Roman" w:cs="Times New Roman"/>
          <w:color w:val="000000" w:themeColor="text1"/>
          <w:sz w:val="24"/>
          <w:szCs w:val="24"/>
        </w:rPr>
        <w:t xml:space="preserve"> below, the percentage of the UAE population using the Internet has been consistently higher than that of the world’s average for more than a decade 20</w:t>
      </w:r>
      <w:r w:rsidR="00E875E2" w:rsidRPr="00597FFB">
        <w:rPr>
          <w:rFonts w:ascii="Times New Roman" w:eastAsia="Calibri" w:hAnsi="Times New Roman" w:cs="Times New Roman"/>
          <w:color w:val="000000" w:themeColor="text1"/>
          <w:sz w:val="24"/>
          <w:szCs w:val="24"/>
        </w:rPr>
        <w:t>0</w:t>
      </w:r>
      <w:r w:rsidRPr="00597FFB">
        <w:rPr>
          <w:rFonts w:ascii="Times New Roman" w:eastAsia="Calibri" w:hAnsi="Times New Roman" w:cs="Times New Roman"/>
          <w:color w:val="000000" w:themeColor="text1"/>
          <w:sz w:val="24"/>
          <w:szCs w:val="24"/>
        </w:rPr>
        <w:t>5 through 2019.</w:t>
      </w:r>
    </w:p>
    <w:p w14:paraId="21437A98" w14:textId="30CCCFB3" w:rsidR="008059EC"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The trend is no different in many other parts of the world. In Europe, America and Asia, broadband connection has been progressively replacing old connections (2G/3G) </w:t>
      </w:r>
      <w:r w:rsidRPr="00597FFB">
        <w:rPr>
          <w:rFonts w:ascii="Times New Roman" w:eastAsiaTheme="minorHAnsi" w:hAnsi="Times New Roman" w:cs="Times New Roman"/>
          <w:color w:val="000000" w:themeColor="text1"/>
          <w:sz w:val="24"/>
        </w:rPr>
        <w:t>(Banhidarah et al., 2020)</w:t>
      </w:r>
      <w:r w:rsidRPr="00597FFB">
        <w:rPr>
          <w:rFonts w:ascii="Times New Roman" w:eastAsia="Calibri" w:hAnsi="Times New Roman" w:cs="Times New Roman"/>
          <w:color w:val="000000" w:themeColor="text1"/>
          <w:sz w:val="24"/>
          <w:szCs w:val="24"/>
        </w:rPr>
        <w:t xml:space="preserve">. During 2000-2020, emerging economies </w:t>
      </w:r>
      <w:r w:rsidR="00562FD0" w:rsidRPr="00597FFB">
        <w:rPr>
          <w:rFonts w:ascii="Times New Roman" w:eastAsia="Calibri" w:hAnsi="Times New Roman" w:cs="Times New Roman"/>
          <w:color w:val="000000" w:themeColor="text1"/>
          <w:sz w:val="24"/>
          <w:szCs w:val="24"/>
        </w:rPr>
        <w:t>that have</w:t>
      </w:r>
      <w:r w:rsidRPr="00597FFB">
        <w:rPr>
          <w:rFonts w:ascii="Times New Roman" w:eastAsia="Calibri" w:hAnsi="Times New Roman" w:cs="Times New Roman"/>
          <w:color w:val="000000" w:themeColor="text1"/>
          <w:sz w:val="24"/>
          <w:szCs w:val="24"/>
        </w:rPr>
        <w:t xml:space="preserve"> low purchasing power </w:t>
      </w:r>
      <w:r w:rsidR="00562FD0" w:rsidRPr="00597FFB">
        <w:rPr>
          <w:rFonts w:ascii="Times New Roman" w:eastAsia="Calibri" w:hAnsi="Times New Roman" w:cs="Times New Roman"/>
          <w:color w:val="000000" w:themeColor="text1"/>
          <w:sz w:val="24"/>
          <w:szCs w:val="24"/>
        </w:rPr>
        <w:t>registered</w:t>
      </w:r>
      <w:r w:rsidRPr="00597FFB">
        <w:rPr>
          <w:rFonts w:ascii="Times New Roman" w:eastAsia="Calibri" w:hAnsi="Times New Roman" w:cs="Times New Roman"/>
          <w:color w:val="000000" w:themeColor="text1"/>
          <w:sz w:val="24"/>
          <w:szCs w:val="24"/>
        </w:rPr>
        <w:t xml:space="preserve"> the highest </w:t>
      </w:r>
      <w:r w:rsidR="00562FD0" w:rsidRPr="00597FFB">
        <w:rPr>
          <w:rFonts w:ascii="Times New Roman" w:eastAsia="Calibri" w:hAnsi="Times New Roman" w:cs="Times New Roman"/>
          <w:color w:val="000000" w:themeColor="text1"/>
          <w:sz w:val="24"/>
          <w:szCs w:val="24"/>
        </w:rPr>
        <w:t xml:space="preserve">EEE consumption </w:t>
      </w:r>
      <w:r w:rsidRPr="00597FFB">
        <w:rPr>
          <w:rFonts w:ascii="Times New Roman" w:eastAsia="Calibri" w:hAnsi="Times New Roman" w:cs="Times New Roman"/>
          <w:color w:val="000000" w:themeColor="text1"/>
          <w:sz w:val="24"/>
          <w:szCs w:val="24"/>
        </w:rPr>
        <w:t xml:space="preserve">growth rate </w:t>
      </w:r>
      <w:r w:rsidRPr="00597FFB">
        <w:rPr>
          <w:rFonts w:ascii="Times New Roman" w:eastAsiaTheme="minorHAnsi" w:hAnsi="Times New Roman" w:cs="Times New Roman"/>
          <w:color w:val="000000" w:themeColor="text1"/>
          <w:sz w:val="24"/>
        </w:rPr>
        <w:t>(Arain et al., 2020)</w:t>
      </w:r>
      <w:r w:rsidRPr="00597FFB">
        <w:rPr>
          <w:rFonts w:ascii="Times New Roman" w:eastAsia="Calibri" w:hAnsi="Times New Roman" w:cs="Times New Roman"/>
          <w:color w:val="000000" w:themeColor="text1"/>
          <w:sz w:val="24"/>
          <w:szCs w:val="24"/>
        </w:rPr>
        <w:t xml:space="preserve">. In addition, the high </w:t>
      </w:r>
      <w:r w:rsidR="00292630" w:rsidRPr="00597FFB">
        <w:rPr>
          <w:rFonts w:ascii="Times New Roman" w:eastAsia="Calibri" w:hAnsi="Times New Roman" w:cs="Times New Roman"/>
          <w:color w:val="000000" w:themeColor="text1"/>
          <w:sz w:val="24"/>
          <w:szCs w:val="24"/>
        </w:rPr>
        <w:t xml:space="preserve">uptake of </w:t>
      </w:r>
      <w:r w:rsidRPr="00597FFB">
        <w:rPr>
          <w:rFonts w:ascii="Times New Roman" w:eastAsia="Calibri" w:hAnsi="Times New Roman" w:cs="Times New Roman"/>
          <w:color w:val="000000" w:themeColor="text1"/>
          <w:sz w:val="24"/>
          <w:szCs w:val="24"/>
        </w:rPr>
        <w:t xml:space="preserve">technology was partially due to </w:t>
      </w:r>
      <w:r w:rsidR="00292630" w:rsidRPr="00597FFB">
        <w:rPr>
          <w:rFonts w:ascii="Times New Roman" w:eastAsia="Calibri" w:hAnsi="Times New Roman" w:cs="Times New Roman"/>
          <w:color w:val="000000" w:themeColor="text1"/>
          <w:sz w:val="24"/>
          <w:szCs w:val="24"/>
        </w:rPr>
        <w:t>planned</w:t>
      </w:r>
      <w:r w:rsidRPr="00597FFB">
        <w:rPr>
          <w:rFonts w:ascii="Times New Roman" w:eastAsia="Calibri" w:hAnsi="Times New Roman" w:cs="Times New Roman"/>
          <w:color w:val="000000" w:themeColor="text1"/>
          <w:sz w:val="24"/>
          <w:szCs w:val="24"/>
        </w:rPr>
        <w:t xml:space="preserve"> and </w:t>
      </w:r>
      <w:r w:rsidR="00292630" w:rsidRPr="00597FFB">
        <w:rPr>
          <w:rFonts w:ascii="Times New Roman" w:eastAsia="Calibri" w:hAnsi="Times New Roman" w:cs="Times New Roman"/>
          <w:color w:val="000000" w:themeColor="text1"/>
          <w:sz w:val="24"/>
          <w:szCs w:val="24"/>
        </w:rPr>
        <w:t>intentional</w:t>
      </w:r>
      <w:r w:rsidRPr="00597FFB">
        <w:rPr>
          <w:rFonts w:ascii="Times New Roman" w:eastAsia="Calibri" w:hAnsi="Times New Roman" w:cs="Times New Roman"/>
          <w:color w:val="000000" w:themeColor="text1"/>
          <w:sz w:val="24"/>
          <w:szCs w:val="24"/>
        </w:rPr>
        <w:t xml:space="preserve"> </w:t>
      </w:r>
      <w:r w:rsidR="00292630" w:rsidRPr="00597FFB">
        <w:rPr>
          <w:rFonts w:ascii="Times New Roman" w:eastAsia="Calibri" w:hAnsi="Times New Roman" w:cs="Times New Roman"/>
          <w:color w:val="000000" w:themeColor="text1"/>
          <w:sz w:val="24"/>
          <w:szCs w:val="24"/>
        </w:rPr>
        <w:t xml:space="preserve">EEE </w:t>
      </w:r>
      <w:r w:rsidRPr="00597FFB">
        <w:rPr>
          <w:rFonts w:ascii="Times New Roman" w:eastAsia="Calibri" w:hAnsi="Times New Roman" w:cs="Times New Roman"/>
          <w:color w:val="000000" w:themeColor="text1"/>
          <w:sz w:val="24"/>
          <w:szCs w:val="24"/>
        </w:rPr>
        <w:t xml:space="preserve">obsolescence by the manufacturers. Obsolescence occurs via short </w:t>
      </w:r>
      <w:r w:rsidR="00292630" w:rsidRPr="00597FFB">
        <w:rPr>
          <w:rFonts w:ascii="Times New Roman" w:eastAsia="Calibri" w:hAnsi="Times New Roman" w:cs="Times New Roman"/>
          <w:color w:val="000000" w:themeColor="text1"/>
          <w:sz w:val="24"/>
          <w:szCs w:val="24"/>
        </w:rPr>
        <w:t xml:space="preserve">cycles of </w:t>
      </w:r>
      <w:r w:rsidRPr="00597FFB">
        <w:rPr>
          <w:rFonts w:ascii="Times New Roman" w:eastAsia="Calibri" w:hAnsi="Times New Roman" w:cs="Times New Roman"/>
          <w:color w:val="000000" w:themeColor="text1"/>
          <w:sz w:val="24"/>
          <w:szCs w:val="24"/>
        </w:rPr>
        <w:t xml:space="preserve">innovation in the </w:t>
      </w:r>
      <w:r w:rsidR="00292630" w:rsidRPr="00597FFB">
        <w:rPr>
          <w:rFonts w:ascii="Times New Roman" w:eastAsia="Calibri" w:hAnsi="Times New Roman" w:cs="Times New Roman"/>
          <w:color w:val="000000" w:themeColor="text1"/>
          <w:sz w:val="24"/>
          <w:szCs w:val="24"/>
        </w:rPr>
        <w:t xml:space="preserve">software </w:t>
      </w:r>
      <w:r w:rsidRPr="00597FFB">
        <w:rPr>
          <w:rFonts w:ascii="Times New Roman" w:eastAsia="Calibri" w:hAnsi="Times New Roman" w:cs="Times New Roman"/>
          <w:color w:val="000000" w:themeColor="text1"/>
          <w:sz w:val="24"/>
          <w:szCs w:val="24"/>
        </w:rPr>
        <w:t>and</w:t>
      </w:r>
      <w:r w:rsidR="00292630" w:rsidRPr="00597FFB">
        <w:rPr>
          <w:rFonts w:ascii="Times New Roman" w:eastAsia="Calibri" w:hAnsi="Times New Roman" w:cs="Times New Roman"/>
          <w:color w:val="000000" w:themeColor="text1"/>
          <w:sz w:val="24"/>
          <w:szCs w:val="24"/>
        </w:rPr>
        <w:t xml:space="preserve"> hardware</w:t>
      </w:r>
      <w:r w:rsidRPr="00597FFB">
        <w:rPr>
          <w:rFonts w:ascii="Times New Roman" w:eastAsia="Calibri" w:hAnsi="Times New Roman" w:cs="Times New Roman"/>
          <w:color w:val="000000" w:themeColor="text1"/>
          <w:sz w:val="24"/>
          <w:szCs w:val="24"/>
        </w:rPr>
        <w:t xml:space="preserve">, where </w:t>
      </w:r>
      <w:r w:rsidR="00292630" w:rsidRPr="00597FFB">
        <w:rPr>
          <w:rFonts w:ascii="Times New Roman" w:eastAsia="Calibri" w:hAnsi="Times New Roman" w:cs="Times New Roman"/>
          <w:color w:val="000000" w:themeColor="text1"/>
          <w:sz w:val="24"/>
          <w:szCs w:val="24"/>
        </w:rPr>
        <w:t>novel</w:t>
      </w:r>
      <w:r w:rsidRPr="00597FFB">
        <w:rPr>
          <w:rFonts w:ascii="Times New Roman" w:eastAsia="Calibri" w:hAnsi="Times New Roman" w:cs="Times New Roman"/>
          <w:color w:val="000000" w:themeColor="text1"/>
          <w:sz w:val="24"/>
          <w:szCs w:val="24"/>
        </w:rPr>
        <w:t xml:space="preserve"> and updated software applications requir</w:t>
      </w:r>
      <w:r w:rsidR="00292630" w:rsidRPr="00597FFB">
        <w:rPr>
          <w:rFonts w:ascii="Times New Roman" w:eastAsia="Calibri" w:hAnsi="Times New Roman" w:cs="Times New Roman"/>
          <w:color w:val="000000" w:themeColor="text1"/>
          <w:sz w:val="24"/>
          <w:szCs w:val="24"/>
        </w:rPr>
        <w:t>ing</w:t>
      </w:r>
      <w:r w:rsidRPr="00597FFB">
        <w:rPr>
          <w:rFonts w:ascii="Times New Roman" w:eastAsia="Calibri" w:hAnsi="Times New Roman" w:cs="Times New Roman"/>
          <w:color w:val="000000" w:themeColor="text1"/>
          <w:sz w:val="24"/>
          <w:szCs w:val="24"/>
        </w:rPr>
        <w:t xml:space="preserve"> </w:t>
      </w:r>
      <w:r w:rsidR="00292630" w:rsidRPr="00597FFB">
        <w:rPr>
          <w:rFonts w:ascii="Times New Roman" w:eastAsia="Calibri" w:hAnsi="Times New Roman" w:cs="Times New Roman"/>
          <w:color w:val="000000" w:themeColor="text1"/>
          <w:sz w:val="24"/>
          <w:szCs w:val="24"/>
        </w:rPr>
        <w:t xml:space="preserve">more speed </w:t>
      </w:r>
      <w:r w:rsidRPr="00597FFB">
        <w:rPr>
          <w:rFonts w:ascii="Times New Roman" w:eastAsia="Calibri" w:hAnsi="Times New Roman" w:cs="Times New Roman"/>
          <w:color w:val="000000" w:themeColor="text1"/>
          <w:sz w:val="24"/>
          <w:szCs w:val="24"/>
        </w:rPr>
        <w:t xml:space="preserve">and </w:t>
      </w:r>
      <w:r w:rsidR="00292630" w:rsidRPr="00597FFB">
        <w:rPr>
          <w:rFonts w:ascii="Times New Roman" w:eastAsia="Calibri" w:hAnsi="Times New Roman" w:cs="Times New Roman"/>
          <w:color w:val="000000" w:themeColor="text1"/>
          <w:sz w:val="24"/>
          <w:szCs w:val="24"/>
        </w:rPr>
        <w:t xml:space="preserve">larger memory </w:t>
      </w:r>
      <w:r w:rsidRPr="00597FFB">
        <w:rPr>
          <w:rFonts w:ascii="Times New Roman" w:eastAsiaTheme="minorHAnsi" w:hAnsi="Times New Roman" w:cs="Times New Roman"/>
          <w:color w:val="000000" w:themeColor="text1"/>
          <w:sz w:val="24"/>
        </w:rPr>
        <w:t>(Malik et al., 2020)</w:t>
      </w:r>
      <w:r w:rsidRPr="00597FFB">
        <w:rPr>
          <w:rFonts w:ascii="Times New Roman" w:eastAsia="Calibri" w:hAnsi="Times New Roman" w:cs="Times New Roman"/>
          <w:color w:val="000000" w:themeColor="text1"/>
          <w:sz w:val="24"/>
          <w:szCs w:val="24"/>
        </w:rPr>
        <w:t>.</w:t>
      </w:r>
    </w:p>
    <w:p w14:paraId="01F432BC" w14:textId="6CF74FB5" w:rsidR="0003140E" w:rsidRPr="00597FFB" w:rsidRDefault="009E0830" w:rsidP="0003140E">
      <w:pPr>
        <w:keepNext/>
        <w:spacing w:after="0" w:line="240" w:lineRule="auto"/>
        <w:ind w:left="1350" w:hanging="1350"/>
        <w:rPr>
          <w:rFonts w:ascii="Times New Roman" w:eastAsiaTheme="minorHAnsi" w:hAnsi="Times New Roman" w:cs="Times New Roman"/>
          <w:i/>
          <w:iCs/>
          <w:color w:val="000000" w:themeColor="text1"/>
          <w:sz w:val="24"/>
          <w:szCs w:val="24"/>
        </w:rPr>
      </w:pPr>
      <w:r w:rsidRPr="00597FFB">
        <w:rPr>
          <w:rFonts w:eastAsiaTheme="minorHAnsi"/>
          <w:i/>
          <w:iCs/>
          <w:noProof/>
          <w:color w:val="000000" w:themeColor="text1"/>
          <w:sz w:val="18"/>
          <w:szCs w:val="18"/>
        </w:rPr>
        <w:drawing>
          <wp:anchor distT="0" distB="0" distL="114300" distR="114300" simplePos="0" relativeHeight="251657216" behindDoc="0" locked="0" layoutInCell="1" allowOverlap="1" wp14:anchorId="6F0B8C1E" wp14:editId="5F02DCD1">
            <wp:simplePos x="0" y="0"/>
            <wp:positionH relativeFrom="margin">
              <wp:align>right</wp:align>
            </wp:positionH>
            <wp:positionV relativeFrom="paragraph">
              <wp:posOffset>519430</wp:posOffset>
            </wp:positionV>
            <wp:extent cx="5039360" cy="2828260"/>
            <wp:effectExtent l="0" t="0" r="8890" b="10795"/>
            <wp:wrapThrough wrapText="bothSides">
              <wp:wrapPolygon edited="0">
                <wp:start x="0" y="0"/>
                <wp:lineTo x="0" y="21537"/>
                <wp:lineTo x="21556" y="21537"/>
                <wp:lineTo x="21556" y="0"/>
                <wp:lineTo x="0" y="0"/>
              </wp:wrapPolygon>
            </wp:wrapThrough>
            <wp:docPr id="5" name="Chart 5">
              <a:extLst xmlns:a="http://schemas.openxmlformats.org/drawingml/2006/main">
                <a:ext uri="{FF2B5EF4-FFF2-40B4-BE49-F238E27FC236}">
                  <a16:creationId xmlns:a16="http://schemas.microsoft.com/office/drawing/2014/main" id="{56FB5AED-24DF-4BD4-89BC-E039D970D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03140E" w:rsidRPr="00597FFB">
        <w:rPr>
          <w:rFonts w:ascii="Times New Roman" w:eastAsiaTheme="minorHAnsi" w:hAnsi="Times New Roman" w:cs="Times New Roman"/>
          <w:b/>
          <w:bCs/>
          <w:color w:val="000000" w:themeColor="text1"/>
          <w:sz w:val="24"/>
          <w:szCs w:val="24"/>
        </w:rPr>
        <w:t xml:space="preserve">Figure </w:t>
      </w:r>
      <w:r w:rsidR="00FD6A25" w:rsidRPr="00597FFB">
        <w:rPr>
          <w:rFonts w:ascii="Times New Roman" w:eastAsiaTheme="minorHAnsi" w:hAnsi="Times New Roman" w:cs="Times New Roman"/>
          <w:b/>
          <w:bCs/>
          <w:color w:val="000000" w:themeColor="text1"/>
          <w:sz w:val="24"/>
          <w:szCs w:val="24"/>
        </w:rPr>
        <w:t>3</w:t>
      </w:r>
      <w:r w:rsidR="0003140E" w:rsidRPr="00597FFB">
        <w:rPr>
          <w:rFonts w:ascii="Times New Roman" w:eastAsiaTheme="minorHAnsi" w:hAnsi="Times New Roman" w:cs="Times New Roman"/>
          <w:b/>
          <w:bCs/>
          <w:color w:val="000000" w:themeColor="text1"/>
          <w:sz w:val="24"/>
          <w:szCs w:val="24"/>
        </w:rPr>
        <w:t>:</w:t>
      </w:r>
      <w:r w:rsidR="00D619B9" w:rsidRPr="00597FFB">
        <w:rPr>
          <w:rFonts w:ascii="Times New Roman" w:eastAsiaTheme="minorHAnsi" w:hAnsi="Times New Roman" w:cs="Times New Roman"/>
          <w:b/>
          <w:bCs/>
          <w:color w:val="000000" w:themeColor="text1"/>
          <w:sz w:val="24"/>
          <w:szCs w:val="24"/>
        </w:rPr>
        <w:t xml:space="preserve"> </w:t>
      </w:r>
      <w:r w:rsidR="0003140E" w:rsidRPr="00597FFB">
        <w:rPr>
          <w:rFonts w:ascii="Times New Roman" w:eastAsiaTheme="minorHAnsi" w:hAnsi="Times New Roman" w:cs="Times New Roman"/>
          <w:i/>
          <w:iCs/>
          <w:color w:val="000000" w:themeColor="text1"/>
          <w:sz w:val="24"/>
          <w:szCs w:val="24"/>
        </w:rPr>
        <w:t>A comparison of individuals using the Internet (% of population) in the UAE and the World for the Period 2005-2019</w:t>
      </w:r>
    </w:p>
    <w:p w14:paraId="104B07E7" w14:textId="0ECD16FB" w:rsidR="0003140E" w:rsidRPr="00597FFB" w:rsidRDefault="0003140E" w:rsidP="0003140E">
      <w:pPr>
        <w:rPr>
          <w:rFonts w:eastAsiaTheme="minorHAnsi"/>
        </w:rPr>
      </w:pPr>
    </w:p>
    <w:p w14:paraId="297AE5D7" w14:textId="77777777" w:rsidR="0003140E" w:rsidRPr="00597FFB" w:rsidRDefault="0003140E" w:rsidP="0003140E">
      <w:pPr>
        <w:spacing w:after="0" w:line="480" w:lineRule="auto"/>
        <w:jc w:val="both"/>
        <w:rPr>
          <w:rFonts w:ascii="Times New Roman" w:eastAsia="Calibri" w:hAnsi="Times New Roman" w:cs="Times New Roman"/>
          <w:i/>
          <w:iCs/>
          <w:color w:val="000000" w:themeColor="text1"/>
        </w:rPr>
      </w:pPr>
      <w:r w:rsidRPr="00597FFB">
        <w:rPr>
          <w:rFonts w:ascii="Times New Roman" w:eastAsia="Calibri" w:hAnsi="Times New Roman" w:cs="Times New Roman"/>
          <w:i/>
          <w:iCs/>
          <w:color w:val="000000" w:themeColor="text1"/>
        </w:rPr>
        <w:t>Source: The World Bank Group (2022)</w:t>
      </w:r>
    </w:p>
    <w:p w14:paraId="4E77BFB2" w14:textId="5C3C729F"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One of the other contributing factors for increased e-waste is the consumer buying power of electronic and electrical devices, which has been further linked to high GDP per capita </w:t>
      </w:r>
      <w:r w:rsidRPr="00597FFB">
        <w:rPr>
          <w:rFonts w:ascii="Times New Roman" w:eastAsia="Calibri" w:hAnsi="Times New Roman" w:cs="Times New Roman"/>
          <w:noProof/>
          <w:color w:val="000000" w:themeColor="text1"/>
          <w:sz w:val="24"/>
          <w:szCs w:val="24"/>
        </w:rPr>
        <w:t>(Iattoni et al., 2021)</w:t>
      </w:r>
      <w:r w:rsidRPr="00597FFB">
        <w:rPr>
          <w:rFonts w:ascii="Times New Roman" w:eastAsia="Calibri" w:hAnsi="Times New Roman" w:cs="Times New Roman"/>
          <w:color w:val="000000" w:themeColor="text1"/>
          <w:sz w:val="24"/>
          <w:szCs w:val="24"/>
        </w:rPr>
        <w:t xml:space="preserve">. With the UAE being one of the biggest oil and natural gas exporters in the world, the country’s GDP per capita of USD 36,284.55 as of 2020 </w:t>
      </w:r>
      <w:sdt>
        <w:sdtPr>
          <w:rPr>
            <w:rFonts w:ascii="Times New Roman" w:eastAsia="Calibri" w:hAnsi="Times New Roman" w:cs="Times New Roman"/>
            <w:color w:val="000000" w:themeColor="text1"/>
            <w:sz w:val="24"/>
            <w:szCs w:val="24"/>
          </w:rPr>
          <w:id w:val="-1117832639"/>
          <w:citation/>
        </w:sdtPr>
        <w:sdtContent>
          <w:r w:rsidRPr="00597FFB">
            <w:rPr>
              <w:rFonts w:ascii="Times New Roman" w:eastAsia="Calibri" w:hAnsi="Times New Roman" w:cs="Times New Roman"/>
              <w:color w:val="000000" w:themeColor="text1"/>
              <w:sz w:val="24"/>
              <w:szCs w:val="24"/>
            </w:rPr>
            <w:fldChar w:fldCharType="begin"/>
          </w:r>
          <w:r w:rsidRPr="00597FFB">
            <w:rPr>
              <w:rFonts w:ascii="Times New Roman" w:eastAsia="Calibri" w:hAnsi="Times New Roman" w:cs="Times New Roman"/>
              <w:color w:val="000000" w:themeColor="text1"/>
              <w:sz w:val="24"/>
              <w:szCs w:val="24"/>
            </w:rPr>
            <w:instrText xml:space="preserve">CITATION The221 \l 1033 </w:instrText>
          </w:r>
          <w:r w:rsidRPr="00597FFB">
            <w:rPr>
              <w:rFonts w:ascii="Times New Roman" w:eastAsia="Calibri" w:hAnsi="Times New Roman" w:cs="Times New Roman"/>
              <w:color w:val="000000" w:themeColor="text1"/>
              <w:sz w:val="24"/>
              <w:szCs w:val="24"/>
            </w:rPr>
            <w:fldChar w:fldCharType="separate"/>
          </w:r>
          <w:r w:rsidR="00F82F75" w:rsidRPr="00597FFB">
            <w:rPr>
              <w:rFonts w:ascii="Times New Roman" w:eastAsia="Calibri" w:hAnsi="Times New Roman" w:cs="Times New Roman"/>
              <w:noProof/>
              <w:color w:val="000000" w:themeColor="text1"/>
              <w:sz w:val="24"/>
              <w:szCs w:val="24"/>
            </w:rPr>
            <w:t>(The World Bank Group, 2022b)</w:t>
          </w:r>
          <w:r w:rsidRPr="00597FFB">
            <w:rPr>
              <w:rFonts w:ascii="Times New Roman" w:eastAsia="Calibri" w:hAnsi="Times New Roman" w:cs="Times New Roman"/>
              <w:color w:val="000000" w:themeColor="text1"/>
              <w:sz w:val="24"/>
              <w:szCs w:val="24"/>
            </w:rPr>
            <w:fldChar w:fldCharType="end"/>
          </w:r>
        </w:sdtContent>
      </w:sdt>
      <w:r w:rsidRPr="00597FFB">
        <w:rPr>
          <w:rFonts w:ascii="Times New Roman" w:eastAsia="Calibri" w:hAnsi="Times New Roman" w:cs="Times New Roman"/>
          <w:color w:val="000000" w:themeColor="text1"/>
          <w:sz w:val="24"/>
          <w:szCs w:val="24"/>
        </w:rPr>
        <w:t xml:space="preserve">. This means that the consumer buying power of UAE citizens and residents is considerably high and this could be a further driver of higher consumption levels of electronics and electricals. In turn, this translates to increased e-waste volumes in the UAE. Furthermore, </w:t>
      </w:r>
      <w:r w:rsidR="00E3050B" w:rsidRPr="00597FFB">
        <w:rPr>
          <w:rFonts w:ascii="Times New Roman" w:eastAsia="Calibri" w:hAnsi="Times New Roman" w:cs="Times New Roman"/>
          <w:color w:val="000000" w:themeColor="text1"/>
          <w:sz w:val="24"/>
          <w:szCs w:val="24"/>
        </w:rPr>
        <w:t xml:space="preserve">e-commerce </w:t>
      </w:r>
      <w:r w:rsidRPr="00597FFB">
        <w:rPr>
          <w:rFonts w:ascii="Times New Roman" w:eastAsia="Calibri" w:hAnsi="Times New Roman" w:cs="Times New Roman"/>
          <w:color w:val="000000" w:themeColor="text1"/>
          <w:sz w:val="24"/>
          <w:szCs w:val="24"/>
        </w:rPr>
        <w:t xml:space="preserve">growth, as </w:t>
      </w:r>
      <w:r w:rsidR="00E3050B" w:rsidRPr="00597FFB">
        <w:rPr>
          <w:rFonts w:ascii="Times New Roman" w:eastAsia="Calibri" w:hAnsi="Times New Roman" w:cs="Times New Roman"/>
          <w:color w:val="000000" w:themeColor="text1"/>
          <w:sz w:val="24"/>
          <w:szCs w:val="24"/>
        </w:rPr>
        <w:t>demonstrated</w:t>
      </w:r>
      <w:r w:rsidRPr="00597FFB">
        <w:rPr>
          <w:rFonts w:ascii="Times New Roman" w:eastAsia="Calibri" w:hAnsi="Times New Roman" w:cs="Times New Roman"/>
          <w:color w:val="000000" w:themeColor="text1"/>
          <w:sz w:val="24"/>
          <w:szCs w:val="24"/>
        </w:rPr>
        <w:t xml:space="preserve"> by the global value for both </w:t>
      </w:r>
      <w:r w:rsidR="00E3050B" w:rsidRPr="00597FFB">
        <w:rPr>
          <w:rFonts w:ascii="Times New Roman" w:eastAsia="Calibri" w:hAnsi="Times New Roman" w:cs="Times New Roman"/>
          <w:color w:val="000000" w:themeColor="text1"/>
          <w:sz w:val="24"/>
          <w:szCs w:val="24"/>
        </w:rPr>
        <w:t>B2C (business-to-consumer) and B2B (</w:t>
      </w:r>
      <w:r w:rsidRPr="00597FFB">
        <w:rPr>
          <w:rFonts w:ascii="Times New Roman" w:eastAsia="Calibri" w:hAnsi="Times New Roman" w:cs="Times New Roman"/>
          <w:color w:val="000000" w:themeColor="text1"/>
          <w:sz w:val="24"/>
          <w:szCs w:val="24"/>
        </w:rPr>
        <w:t>business-to-business</w:t>
      </w:r>
      <w:r w:rsidR="00E3050B" w:rsidRPr="00597FFB">
        <w:rPr>
          <w:rFonts w:ascii="Times New Roman" w:eastAsia="Calibri" w:hAnsi="Times New Roman" w:cs="Times New Roman"/>
          <w:color w:val="000000" w:themeColor="text1"/>
          <w:sz w:val="24"/>
          <w:szCs w:val="24"/>
        </w:rPr>
        <w:t>) markets</w:t>
      </w:r>
      <w:r w:rsidRPr="00597FFB">
        <w:rPr>
          <w:rFonts w:ascii="Times New Roman" w:eastAsia="Calibri" w:hAnsi="Times New Roman" w:cs="Times New Roman"/>
          <w:color w:val="000000" w:themeColor="text1"/>
          <w:sz w:val="24"/>
          <w:szCs w:val="24"/>
        </w:rPr>
        <w:t xml:space="preserve">, is </w:t>
      </w:r>
      <w:r w:rsidR="00E3050B" w:rsidRPr="00597FFB">
        <w:rPr>
          <w:rFonts w:ascii="Times New Roman" w:eastAsia="Calibri" w:hAnsi="Times New Roman" w:cs="Times New Roman"/>
          <w:color w:val="000000" w:themeColor="text1"/>
          <w:sz w:val="24"/>
          <w:szCs w:val="24"/>
        </w:rPr>
        <w:t>estimated to be</w:t>
      </w:r>
      <w:r w:rsidRPr="00597FFB">
        <w:rPr>
          <w:rFonts w:ascii="Times New Roman" w:eastAsia="Calibri" w:hAnsi="Times New Roman" w:cs="Times New Roman"/>
          <w:color w:val="000000" w:themeColor="text1"/>
          <w:sz w:val="24"/>
          <w:szCs w:val="24"/>
        </w:rPr>
        <w:t xml:space="preserve"> </w:t>
      </w:r>
      <w:r w:rsidR="00E3050B" w:rsidRPr="00597FFB">
        <w:rPr>
          <w:rFonts w:ascii="Times New Roman" w:eastAsia="Calibri" w:hAnsi="Times New Roman" w:cs="Times New Roman"/>
          <w:color w:val="000000" w:themeColor="text1"/>
          <w:sz w:val="24"/>
          <w:szCs w:val="24"/>
        </w:rPr>
        <w:t xml:space="preserve">USD 3 million </w:t>
      </w:r>
      <w:r w:rsidRPr="00597FFB">
        <w:rPr>
          <w:rFonts w:ascii="Times New Roman" w:eastAsia="Calibri" w:hAnsi="Times New Roman" w:cs="Times New Roman"/>
          <w:color w:val="000000" w:themeColor="text1"/>
          <w:sz w:val="24"/>
          <w:szCs w:val="24"/>
        </w:rPr>
        <w:t xml:space="preserve">and </w:t>
      </w:r>
      <w:r w:rsidR="00E3050B" w:rsidRPr="00597FFB">
        <w:rPr>
          <w:rFonts w:ascii="Times New Roman" w:eastAsia="Calibri" w:hAnsi="Times New Roman" w:cs="Times New Roman"/>
          <w:color w:val="000000" w:themeColor="text1"/>
          <w:sz w:val="24"/>
          <w:szCs w:val="24"/>
        </w:rPr>
        <w:t xml:space="preserve">USD 22 million </w:t>
      </w:r>
      <w:r w:rsidRPr="00597FFB">
        <w:rPr>
          <w:rFonts w:ascii="Times New Roman" w:eastAsia="Calibri" w:hAnsi="Times New Roman" w:cs="Times New Roman"/>
          <w:color w:val="000000" w:themeColor="text1"/>
          <w:sz w:val="24"/>
          <w:szCs w:val="24"/>
        </w:rPr>
        <w:t xml:space="preserve">respectively. This trend highlights the </w:t>
      </w:r>
      <w:r w:rsidR="0056707D" w:rsidRPr="00597FFB">
        <w:rPr>
          <w:rFonts w:ascii="Times New Roman" w:eastAsia="Calibri" w:hAnsi="Times New Roman" w:cs="Times New Roman"/>
          <w:color w:val="000000" w:themeColor="text1"/>
          <w:sz w:val="24"/>
          <w:szCs w:val="24"/>
        </w:rPr>
        <w:t>massive transition</w:t>
      </w:r>
      <w:r w:rsidRPr="00597FFB">
        <w:rPr>
          <w:rFonts w:ascii="Times New Roman" w:eastAsia="Calibri" w:hAnsi="Times New Roman" w:cs="Times New Roman"/>
          <w:color w:val="000000" w:themeColor="text1"/>
          <w:sz w:val="24"/>
          <w:szCs w:val="24"/>
        </w:rPr>
        <w:t xml:space="preserve"> to online business and </w:t>
      </w:r>
      <w:r w:rsidR="0056707D" w:rsidRPr="00597FFB">
        <w:rPr>
          <w:rFonts w:ascii="Times New Roman" w:eastAsia="Calibri" w:hAnsi="Times New Roman" w:cs="Times New Roman"/>
          <w:color w:val="000000" w:themeColor="text1"/>
          <w:sz w:val="24"/>
          <w:szCs w:val="24"/>
        </w:rPr>
        <w:t xml:space="preserve">growing </w:t>
      </w:r>
      <w:r w:rsidRPr="00597FFB">
        <w:rPr>
          <w:rFonts w:ascii="Times New Roman" w:eastAsia="Calibri" w:hAnsi="Times New Roman" w:cs="Times New Roman"/>
          <w:color w:val="000000" w:themeColor="text1"/>
          <w:sz w:val="24"/>
          <w:szCs w:val="24"/>
        </w:rPr>
        <w:t>consumeris</w:t>
      </w:r>
      <w:r w:rsidR="0056707D" w:rsidRPr="00597FFB">
        <w:rPr>
          <w:rFonts w:ascii="Times New Roman" w:eastAsia="Calibri" w:hAnsi="Times New Roman" w:cs="Times New Roman"/>
          <w:color w:val="000000" w:themeColor="text1"/>
          <w:sz w:val="24"/>
          <w:szCs w:val="24"/>
        </w:rPr>
        <w:t>tic trends</w:t>
      </w:r>
      <w:r w:rsidRPr="00597FFB">
        <w:rPr>
          <w:rFonts w:ascii="Times New Roman" w:eastAsia="Calibri" w:hAnsi="Times New Roman" w:cs="Times New Roman"/>
          <w:color w:val="000000" w:themeColor="text1"/>
          <w:sz w:val="24"/>
          <w:szCs w:val="24"/>
        </w:rPr>
        <w:t xml:space="preserve">. </w:t>
      </w:r>
      <w:r w:rsidR="00661AEF" w:rsidRPr="00597FFB">
        <w:rPr>
          <w:rFonts w:ascii="Times New Roman" w:eastAsia="Calibri" w:hAnsi="Times New Roman" w:cs="Times New Roman"/>
          <w:color w:val="000000" w:themeColor="text1"/>
          <w:sz w:val="24"/>
          <w:szCs w:val="24"/>
        </w:rPr>
        <w:t>As a result</w:t>
      </w:r>
      <w:r w:rsidRPr="00597FFB">
        <w:rPr>
          <w:rFonts w:ascii="Times New Roman" w:eastAsia="Calibri" w:hAnsi="Times New Roman" w:cs="Times New Roman"/>
          <w:color w:val="000000" w:themeColor="text1"/>
          <w:sz w:val="24"/>
          <w:szCs w:val="24"/>
        </w:rPr>
        <w:t xml:space="preserve">, the demand for </w:t>
      </w:r>
      <w:r w:rsidR="00661AEF" w:rsidRPr="00597FFB">
        <w:rPr>
          <w:rFonts w:ascii="Times New Roman" w:eastAsia="Calibri" w:hAnsi="Times New Roman" w:cs="Times New Roman"/>
          <w:color w:val="000000" w:themeColor="text1"/>
          <w:sz w:val="24"/>
          <w:szCs w:val="24"/>
        </w:rPr>
        <w:t>EEE</w:t>
      </w:r>
      <w:r w:rsidRPr="00597FFB">
        <w:rPr>
          <w:rFonts w:ascii="Times New Roman" w:eastAsia="Calibri" w:hAnsi="Times New Roman" w:cs="Times New Roman"/>
          <w:color w:val="000000" w:themeColor="text1"/>
          <w:sz w:val="24"/>
          <w:szCs w:val="24"/>
        </w:rPr>
        <w:t xml:space="preserve"> has </w:t>
      </w:r>
      <w:r w:rsidR="00661AEF" w:rsidRPr="00597FFB">
        <w:rPr>
          <w:rFonts w:ascii="Times New Roman" w:eastAsia="Calibri" w:hAnsi="Times New Roman" w:cs="Times New Roman"/>
          <w:color w:val="000000" w:themeColor="text1"/>
          <w:sz w:val="24"/>
          <w:szCs w:val="24"/>
        </w:rPr>
        <w:t xml:space="preserve">increased </w:t>
      </w:r>
      <w:r w:rsidRPr="00597FFB">
        <w:rPr>
          <w:rFonts w:ascii="Times New Roman" w:eastAsia="Calibri" w:hAnsi="Times New Roman" w:cs="Times New Roman"/>
          <w:color w:val="000000" w:themeColor="text1"/>
          <w:sz w:val="24"/>
          <w:szCs w:val="24"/>
        </w:rPr>
        <w:t xml:space="preserve">steadily </w:t>
      </w:r>
      <w:r w:rsidRPr="00597FFB">
        <w:rPr>
          <w:rFonts w:ascii="Times New Roman" w:eastAsiaTheme="minorHAnsi" w:hAnsi="Times New Roman" w:cs="Times New Roman"/>
          <w:color w:val="000000" w:themeColor="text1"/>
          <w:sz w:val="24"/>
        </w:rPr>
        <w:t>(Asefi et al., 2019)</w:t>
      </w:r>
      <w:r w:rsidRPr="00597FFB">
        <w:rPr>
          <w:rFonts w:ascii="Times New Roman" w:eastAsia="Calibri" w:hAnsi="Times New Roman" w:cs="Times New Roman"/>
          <w:color w:val="000000" w:themeColor="text1"/>
          <w:sz w:val="24"/>
          <w:szCs w:val="24"/>
        </w:rPr>
        <w:t xml:space="preserve">. Rapid economic growth, low initial cost of electrical and electrical equipment in the UAE, global technological evolution, consumption habits, and planned obsolescence have turned the UAE into a hub for EEE consumption. Lifestyle changes have direct linkages with EEE. Products are quickly becoming obsolete. As a result, the UAE has one of the world’s lowest life expectancies for electronics. Moreover, </w:t>
      </w:r>
      <w:r w:rsidR="000E31D1" w:rsidRPr="00597FFB">
        <w:rPr>
          <w:rFonts w:ascii="Times New Roman" w:eastAsia="Calibri" w:hAnsi="Times New Roman" w:cs="Times New Roman"/>
          <w:color w:val="000000" w:themeColor="text1"/>
          <w:sz w:val="24"/>
          <w:szCs w:val="24"/>
        </w:rPr>
        <w:t xml:space="preserve">Chinese-manufactured </w:t>
      </w:r>
      <w:r w:rsidR="00661AEF" w:rsidRPr="00597FFB">
        <w:rPr>
          <w:rFonts w:ascii="Times New Roman" w:eastAsia="Calibri" w:hAnsi="Times New Roman" w:cs="Times New Roman"/>
          <w:color w:val="000000" w:themeColor="text1"/>
          <w:sz w:val="24"/>
          <w:szCs w:val="24"/>
        </w:rPr>
        <w:t>low-cost</w:t>
      </w:r>
      <w:r w:rsidRPr="00597FFB">
        <w:rPr>
          <w:rFonts w:ascii="Times New Roman" w:eastAsia="Calibri" w:hAnsi="Times New Roman" w:cs="Times New Roman"/>
          <w:color w:val="000000" w:themeColor="text1"/>
          <w:sz w:val="24"/>
          <w:szCs w:val="24"/>
        </w:rPr>
        <w:t xml:space="preserve"> handsets, </w:t>
      </w:r>
      <w:r w:rsidR="000E31D1" w:rsidRPr="00597FFB">
        <w:rPr>
          <w:rFonts w:ascii="Times New Roman" w:eastAsia="Calibri" w:hAnsi="Times New Roman" w:cs="Times New Roman"/>
          <w:color w:val="000000" w:themeColor="text1"/>
          <w:sz w:val="24"/>
          <w:szCs w:val="24"/>
        </w:rPr>
        <w:t>provided</w:t>
      </w:r>
      <w:r w:rsidRPr="00597FFB">
        <w:rPr>
          <w:rFonts w:ascii="Times New Roman" w:eastAsia="Calibri" w:hAnsi="Times New Roman" w:cs="Times New Roman"/>
          <w:color w:val="000000" w:themeColor="text1"/>
          <w:sz w:val="24"/>
          <w:szCs w:val="24"/>
        </w:rPr>
        <w:t xml:space="preserve"> as </w:t>
      </w:r>
      <w:r w:rsidR="000E31D1" w:rsidRPr="00597FFB">
        <w:rPr>
          <w:rFonts w:ascii="Times New Roman" w:eastAsia="Calibri" w:hAnsi="Times New Roman" w:cs="Times New Roman"/>
          <w:color w:val="000000" w:themeColor="text1"/>
          <w:sz w:val="24"/>
          <w:szCs w:val="24"/>
        </w:rPr>
        <w:t>reasonably priced</w:t>
      </w:r>
      <w:r w:rsidRPr="00597FFB">
        <w:rPr>
          <w:rFonts w:ascii="Times New Roman" w:eastAsia="Calibri" w:hAnsi="Times New Roman" w:cs="Times New Roman"/>
          <w:color w:val="000000" w:themeColor="text1"/>
          <w:sz w:val="24"/>
          <w:szCs w:val="24"/>
        </w:rPr>
        <w:t xml:space="preserve"> entry-level phones, have </w:t>
      </w:r>
      <w:r w:rsidR="000E31D1" w:rsidRPr="00597FFB">
        <w:rPr>
          <w:rFonts w:ascii="Times New Roman" w:eastAsia="Calibri" w:hAnsi="Times New Roman" w:cs="Times New Roman"/>
          <w:color w:val="000000" w:themeColor="text1"/>
          <w:sz w:val="24"/>
          <w:szCs w:val="24"/>
        </w:rPr>
        <w:t>raised</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smartphone/mobile</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 xml:space="preserve">phone usage </w:t>
      </w:r>
      <w:r w:rsidRPr="00597FFB">
        <w:rPr>
          <w:rFonts w:ascii="Times New Roman" w:eastAsia="Calibri" w:hAnsi="Times New Roman" w:cs="Times New Roman"/>
          <w:color w:val="000000" w:themeColor="text1"/>
          <w:sz w:val="24"/>
          <w:szCs w:val="24"/>
        </w:rPr>
        <w:t xml:space="preserve">and </w:t>
      </w:r>
      <w:r w:rsidR="000E31D1" w:rsidRPr="00597FFB">
        <w:rPr>
          <w:rFonts w:ascii="Times New Roman" w:eastAsia="Calibri" w:hAnsi="Times New Roman" w:cs="Times New Roman"/>
          <w:color w:val="000000" w:themeColor="text1"/>
          <w:sz w:val="24"/>
          <w:szCs w:val="24"/>
        </w:rPr>
        <w:t xml:space="preserve">affordability </w:t>
      </w:r>
      <w:r w:rsidRPr="00597FFB">
        <w:rPr>
          <w:rFonts w:ascii="Times New Roman" w:eastAsia="Calibri" w:hAnsi="Times New Roman" w:cs="Times New Roman"/>
          <w:color w:val="000000" w:themeColor="text1"/>
          <w:sz w:val="24"/>
          <w:szCs w:val="24"/>
        </w:rPr>
        <w:t xml:space="preserve">for low-income groups in the UAE as well </w:t>
      </w:r>
      <w:r w:rsidRPr="00597FFB">
        <w:rPr>
          <w:rFonts w:ascii="Times New Roman" w:eastAsiaTheme="minorHAnsi" w:hAnsi="Times New Roman" w:cs="Times New Roman"/>
          <w:color w:val="000000" w:themeColor="text1"/>
          <w:sz w:val="24"/>
        </w:rPr>
        <w:t>(Aboelmaged, 2020)</w:t>
      </w:r>
      <w:r w:rsidRPr="00597FFB">
        <w:rPr>
          <w:rFonts w:ascii="Times New Roman" w:eastAsia="Calibri" w:hAnsi="Times New Roman" w:cs="Times New Roman"/>
          <w:color w:val="000000" w:themeColor="text1"/>
          <w:sz w:val="24"/>
          <w:szCs w:val="24"/>
        </w:rPr>
        <w:t>.</w:t>
      </w:r>
    </w:p>
    <w:p w14:paraId="6301E7B4" w14:textId="059F2ED0" w:rsidR="0003140E" w:rsidRPr="00597FFB" w:rsidRDefault="00232635"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93" w:name="_Toc127170270"/>
      <w:r w:rsidRPr="00597FFB">
        <w:rPr>
          <w:rFonts w:ascii="Times New Roman" w:eastAsia="Calibri" w:hAnsi="Times New Roman" w:cs="Times New Roman"/>
          <w:i/>
          <w:iCs/>
          <w:color w:val="000000" w:themeColor="text1"/>
          <w:sz w:val="24"/>
          <w:szCs w:val="24"/>
        </w:rPr>
        <w:t xml:space="preserve">2.2.2. </w:t>
      </w:r>
      <w:r w:rsidR="0003140E" w:rsidRPr="00597FFB">
        <w:rPr>
          <w:rFonts w:ascii="Times New Roman" w:eastAsia="Calibri" w:hAnsi="Times New Roman" w:cs="Times New Roman"/>
          <w:i/>
          <w:iCs/>
          <w:color w:val="000000" w:themeColor="text1"/>
          <w:sz w:val="24"/>
          <w:szCs w:val="24"/>
        </w:rPr>
        <w:t>Legislation</w:t>
      </w:r>
      <w:r w:rsidR="007D28AC" w:rsidRPr="00597FFB">
        <w:rPr>
          <w:rFonts w:ascii="Times New Roman" w:eastAsia="Calibri" w:hAnsi="Times New Roman" w:cs="Times New Roman"/>
          <w:i/>
          <w:iCs/>
          <w:color w:val="000000" w:themeColor="text1"/>
          <w:sz w:val="24"/>
          <w:szCs w:val="24"/>
        </w:rPr>
        <w:t>.</w:t>
      </w:r>
      <w:bookmarkEnd w:id="93"/>
    </w:p>
    <w:p w14:paraId="5B22CEA3" w14:textId="56CDEC97"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Regulations </w:t>
      </w:r>
      <w:r w:rsidR="000E31D1" w:rsidRPr="00597FFB">
        <w:rPr>
          <w:rFonts w:ascii="Times New Roman" w:eastAsia="Calibri" w:hAnsi="Times New Roman" w:cs="Times New Roman"/>
          <w:color w:val="000000" w:themeColor="text1"/>
          <w:sz w:val="24"/>
          <w:szCs w:val="24"/>
        </w:rPr>
        <w:t>governing</w:t>
      </w:r>
      <w:r w:rsidRPr="00597FFB">
        <w:rPr>
          <w:rFonts w:ascii="Times New Roman" w:eastAsia="Calibri" w:hAnsi="Times New Roman" w:cs="Times New Roman"/>
          <w:color w:val="000000" w:themeColor="text1"/>
          <w:sz w:val="24"/>
          <w:szCs w:val="24"/>
        </w:rPr>
        <w:t xml:space="preserve"> the </w:t>
      </w:r>
      <w:r w:rsidR="000E31D1" w:rsidRPr="00597FFB">
        <w:rPr>
          <w:rFonts w:ascii="Times New Roman" w:eastAsia="Calibri" w:hAnsi="Times New Roman" w:cs="Times New Roman"/>
          <w:color w:val="000000" w:themeColor="text1"/>
          <w:sz w:val="24"/>
          <w:szCs w:val="24"/>
        </w:rPr>
        <w:t xml:space="preserve">involvement </w:t>
      </w:r>
      <w:r w:rsidRPr="00597FFB">
        <w:rPr>
          <w:rFonts w:ascii="Times New Roman" w:eastAsia="Calibri" w:hAnsi="Times New Roman" w:cs="Times New Roman"/>
          <w:color w:val="000000" w:themeColor="text1"/>
          <w:sz w:val="24"/>
          <w:szCs w:val="24"/>
        </w:rPr>
        <w:t xml:space="preserve">and </w:t>
      </w:r>
      <w:r w:rsidR="000E31D1" w:rsidRPr="00597FFB">
        <w:rPr>
          <w:rFonts w:ascii="Times New Roman" w:eastAsia="Calibri" w:hAnsi="Times New Roman" w:cs="Times New Roman"/>
          <w:color w:val="000000" w:themeColor="text1"/>
          <w:sz w:val="24"/>
          <w:szCs w:val="24"/>
        </w:rPr>
        <w:t xml:space="preserve">enforcement </w:t>
      </w:r>
      <w:r w:rsidRPr="00597FFB">
        <w:rPr>
          <w:rFonts w:ascii="Times New Roman" w:eastAsia="Calibri" w:hAnsi="Times New Roman" w:cs="Times New Roman"/>
          <w:color w:val="000000" w:themeColor="text1"/>
          <w:sz w:val="24"/>
          <w:szCs w:val="24"/>
        </w:rPr>
        <w:t xml:space="preserve">of local government authorities in </w:t>
      </w:r>
      <w:r w:rsidR="000E31D1" w:rsidRPr="00597FFB">
        <w:rPr>
          <w:rFonts w:ascii="Times New Roman" w:eastAsia="Calibri" w:hAnsi="Times New Roman" w:cs="Times New Roman"/>
          <w:color w:val="000000" w:themeColor="text1"/>
          <w:sz w:val="24"/>
          <w:szCs w:val="24"/>
        </w:rPr>
        <w:t>intervening on</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E-waste production</w:t>
      </w:r>
      <w:r w:rsidRPr="00597FFB">
        <w:rPr>
          <w:rFonts w:ascii="Times New Roman" w:eastAsia="Calibri" w:hAnsi="Times New Roman" w:cs="Times New Roman"/>
          <w:color w:val="000000" w:themeColor="text1"/>
          <w:sz w:val="24"/>
          <w:szCs w:val="24"/>
        </w:rPr>
        <w:t>, import</w:t>
      </w:r>
      <w:r w:rsidR="000E31D1" w:rsidRPr="00597FFB">
        <w:rPr>
          <w:rFonts w:ascii="Times New Roman" w:eastAsia="Calibri" w:hAnsi="Times New Roman" w:cs="Times New Roman"/>
          <w:color w:val="000000" w:themeColor="text1"/>
          <w:sz w:val="24"/>
          <w:szCs w:val="24"/>
        </w:rPr>
        <w:t>ation</w:t>
      </w:r>
      <w:r w:rsidRPr="00597FFB">
        <w:rPr>
          <w:rFonts w:ascii="Times New Roman" w:eastAsia="Calibri" w:hAnsi="Times New Roman" w:cs="Times New Roman"/>
          <w:color w:val="000000" w:themeColor="text1"/>
          <w:sz w:val="24"/>
          <w:szCs w:val="24"/>
        </w:rPr>
        <w:t>, handling</w:t>
      </w:r>
      <w:r w:rsidR="000E31D1" w:rsidRPr="00597FFB">
        <w:rPr>
          <w:rFonts w:ascii="Times New Roman" w:eastAsia="Calibri" w:hAnsi="Times New Roman" w:cs="Times New Roman"/>
          <w:color w:val="000000" w:themeColor="text1"/>
          <w:sz w:val="24"/>
          <w:szCs w:val="24"/>
        </w:rPr>
        <w:t>,</w:t>
      </w:r>
      <w:r w:rsidRPr="00597FFB">
        <w:rPr>
          <w:rFonts w:ascii="Times New Roman" w:eastAsia="Calibri" w:hAnsi="Times New Roman" w:cs="Times New Roman"/>
          <w:color w:val="000000" w:themeColor="text1"/>
          <w:sz w:val="24"/>
          <w:szCs w:val="24"/>
        </w:rPr>
        <w:t xml:space="preserve"> and recycling are a</w:t>
      </w:r>
      <w:r w:rsidR="000E31D1" w:rsidRPr="00597FFB">
        <w:rPr>
          <w:rFonts w:ascii="Times New Roman" w:eastAsia="Calibri" w:hAnsi="Times New Roman" w:cs="Times New Roman"/>
          <w:color w:val="000000" w:themeColor="text1"/>
          <w:sz w:val="24"/>
          <w:szCs w:val="24"/>
        </w:rPr>
        <w:t xml:space="preserve">n important </w:t>
      </w:r>
      <w:r w:rsidRPr="00597FFB">
        <w:rPr>
          <w:rFonts w:ascii="Times New Roman" w:eastAsia="Calibri" w:hAnsi="Times New Roman" w:cs="Times New Roman"/>
          <w:color w:val="000000" w:themeColor="text1"/>
          <w:sz w:val="24"/>
          <w:szCs w:val="24"/>
        </w:rPr>
        <w:t xml:space="preserve">factor </w:t>
      </w:r>
      <w:r w:rsidR="000E31D1" w:rsidRPr="00597FFB">
        <w:rPr>
          <w:rFonts w:ascii="Times New Roman" w:eastAsia="Calibri" w:hAnsi="Times New Roman" w:cs="Times New Roman"/>
          <w:color w:val="000000" w:themeColor="text1"/>
          <w:sz w:val="24"/>
          <w:szCs w:val="24"/>
        </w:rPr>
        <w:t>for influencing</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 xml:space="preserve">E-waste </w:t>
      </w:r>
      <w:r w:rsidRPr="00597FFB">
        <w:rPr>
          <w:rFonts w:ascii="Times New Roman" w:eastAsia="Calibri" w:hAnsi="Times New Roman" w:cs="Times New Roman"/>
          <w:color w:val="000000" w:themeColor="text1"/>
          <w:sz w:val="24"/>
          <w:szCs w:val="24"/>
        </w:rPr>
        <w:t xml:space="preserve">demand and disposal practices </w:t>
      </w:r>
      <w:r w:rsidRPr="00597FFB">
        <w:rPr>
          <w:rFonts w:ascii="Times New Roman" w:eastAsiaTheme="minorHAnsi" w:hAnsi="Times New Roman" w:cs="Times New Roman"/>
          <w:color w:val="000000" w:themeColor="text1"/>
          <w:sz w:val="24"/>
        </w:rPr>
        <w:t>(Borthakur &amp; Govind, 2018)</w:t>
      </w:r>
      <w:r w:rsidRPr="00597FFB">
        <w:rPr>
          <w:rFonts w:ascii="Times New Roman" w:eastAsia="Calibri" w:hAnsi="Times New Roman" w:cs="Times New Roman"/>
          <w:color w:val="000000" w:themeColor="text1"/>
          <w:sz w:val="24"/>
          <w:szCs w:val="24"/>
        </w:rPr>
        <w:t xml:space="preserve">. The </w:t>
      </w:r>
      <w:r w:rsidR="000E31D1" w:rsidRPr="00597FFB">
        <w:rPr>
          <w:rFonts w:ascii="Times New Roman" w:eastAsia="Calibri" w:hAnsi="Times New Roman" w:cs="Times New Roman"/>
          <w:color w:val="000000" w:themeColor="text1"/>
          <w:sz w:val="24"/>
          <w:szCs w:val="24"/>
        </w:rPr>
        <w:t>lack</w:t>
      </w:r>
      <w:r w:rsidRPr="00597FFB">
        <w:rPr>
          <w:rFonts w:ascii="Times New Roman" w:eastAsia="Calibri" w:hAnsi="Times New Roman" w:cs="Times New Roman"/>
          <w:color w:val="000000" w:themeColor="text1"/>
          <w:sz w:val="24"/>
          <w:szCs w:val="24"/>
        </w:rPr>
        <w:t xml:space="preserve"> of laws and the low </w:t>
      </w:r>
      <w:r w:rsidR="000E31D1" w:rsidRPr="00597FFB">
        <w:rPr>
          <w:rFonts w:ascii="Times New Roman" w:eastAsia="Calibri" w:hAnsi="Times New Roman" w:cs="Times New Roman"/>
          <w:color w:val="000000" w:themeColor="text1"/>
          <w:sz w:val="24"/>
          <w:szCs w:val="24"/>
        </w:rPr>
        <w:t xml:space="preserve">adherence </w:t>
      </w:r>
      <w:r w:rsidRPr="00597FFB">
        <w:rPr>
          <w:rFonts w:ascii="Times New Roman" w:eastAsia="Calibri" w:hAnsi="Times New Roman" w:cs="Times New Roman"/>
          <w:color w:val="000000" w:themeColor="text1"/>
          <w:sz w:val="24"/>
          <w:szCs w:val="24"/>
        </w:rPr>
        <w:t xml:space="preserve">levels to existing law diminish the power </w:t>
      </w:r>
      <w:r w:rsidR="000E31D1" w:rsidRPr="00597FFB">
        <w:rPr>
          <w:rFonts w:ascii="Times New Roman" w:eastAsia="Calibri" w:hAnsi="Times New Roman" w:cs="Times New Roman"/>
          <w:color w:val="000000" w:themeColor="text1"/>
          <w:sz w:val="24"/>
          <w:szCs w:val="24"/>
        </w:rPr>
        <w:t>that</w:t>
      </w:r>
      <w:r w:rsidRPr="00597FFB">
        <w:rPr>
          <w:rFonts w:ascii="Times New Roman" w:eastAsia="Calibri" w:hAnsi="Times New Roman" w:cs="Times New Roman"/>
          <w:color w:val="000000" w:themeColor="text1"/>
          <w:sz w:val="24"/>
          <w:szCs w:val="24"/>
        </w:rPr>
        <w:t xml:space="preserve"> subjective norms </w:t>
      </w:r>
      <w:r w:rsidR="000E31D1" w:rsidRPr="00597FFB">
        <w:rPr>
          <w:rFonts w:ascii="Times New Roman" w:eastAsia="Calibri" w:hAnsi="Times New Roman" w:cs="Times New Roman"/>
          <w:color w:val="000000" w:themeColor="text1"/>
          <w:sz w:val="24"/>
          <w:szCs w:val="24"/>
        </w:rPr>
        <w:t>affect</w:t>
      </w:r>
      <w:r w:rsidRPr="00597FFB">
        <w:rPr>
          <w:rFonts w:ascii="Times New Roman" w:eastAsia="Calibri" w:hAnsi="Times New Roman" w:cs="Times New Roman"/>
          <w:color w:val="000000" w:themeColor="text1"/>
          <w:sz w:val="24"/>
          <w:szCs w:val="24"/>
        </w:rPr>
        <w:t xml:space="preserve"> recycling </w:t>
      </w:r>
      <w:r w:rsidR="000E31D1" w:rsidRPr="00597FFB">
        <w:rPr>
          <w:rFonts w:ascii="Times New Roman" w:eastAsia="Calibri" w:hAnsi="Times New Roman" w:cs="Times New Roman"/>
          <w:color w:val="000000" w:themeColor="text1"/>
          <w:sz w:val="24"/>
          <w:szCs w:val="24"/>
        </w:rPr>
        <w:t xml:space="preserve">actions </w:t>
      </w:r>
      <w:r w:rsidRPr="00597FFB">
        <w:rPr>
          <w:rFonts w:ascii="Times New Roman" w:eastAsia="Calibri" w:hAnsi="Times New Roman" w:cs="Times New Roman"/>
          <w:color w:val="000000" w:themeColor="text1"/>
          <w:sz w:val="24"/>
          <w:szCs w:val="24"/>
        </w:rPr>
        <w:t xml:space="preserve">and </w:t>
      </w:r>
      <w:r w:rsidR="000E31D1" w:rsidRPr="00597FFB">
        <w:rPr>
          <w:rFonts w:ascii="Times New Roman" w:eastAsia="Calibri" w:hAnsi="Times New Roman" w:cs="Times New Roman"/>
          <w:color w:val="000000" w:themeColor="text1"/>
          <w:sz w:val="24"/>
          <w:szCs w:val="24"/>
        </w:rPr>
        <w:t xml:space="preserve">intention </w:t>
      </w:r>
      <w:r w:rsidRPr="00597FFB">
        <w:rPr>
          <w:rFonts w:ascii="Times New Roman" w:eastAsiaTheme="minorHAnsi" w:hAnsi="Times New Roman" w:cs="Times New Roman"/>
          <w:color w:val="000000" w:themeColor="text1"/>
          <w:sz w:val="24"/>
        </w:rPr>
        <w:t>(Liu et al., 2019)</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For majority of</w:t>
      </w:r>
      <w:r w:rsidRPr="00597FFB">
        <w:rPr>
          <w:rFonts w:ascii="Times New Roman" w:eastAsia="Calibri" w:hAnsi="Times New Roman" w:cs="Times New Roman"/>
          <w:color w:val="000000" w:themeColor="text1"/>
          <w:sz w:val="24"/>
          <w:szCs w:val="24"/>
        </w:rPr>
        <w:t xml:space="preserve"> countries, the lack of</w:t>
      </w:r>
      <w:r w:rsidR="000E31D1" w:rsidRPr="00597FFB">
        <w:rPr>
          <w:rFonts w:ascii="Times New Roman" w:eastAsia="Calibri" w:hAnsi="Times New Roman" w:cs="Times New Roman"/>
          <w:color w:val="000000" w:themeColor="text1"/>
          <w:sz w:val="24"/>
          <w:szCs w:val="24"/>
        </w:rPr>
        <w:t xml:space="preserve"> proper</w:t>
      </w:r>
      <w:r w:rsidRPr="00597FFB">
        <w:rPr>
          <w:rFonts w:ascii="Times New Roman" w:eastAsia="Calibri" w:hAnsi="Times New Roman" w:cs="Times New Roman"/>
          <w:color w:val="000000" w:themeColor="text1"/>
          <w:sz w:val="24"/>
          <w:szCs w:val="24"/>
        </w:rPr>
        <w:t xml:space="preserve"> </w:t>
      </w:r>
      <w:r w:rsidR="000E31D1" w:rsidRPr="00597FFB">
        <w:rPr>
          <w:rFonts w:ascii="Times New Roman" w:eastAsia="Calibri" w:hAnsi="Times New Roman" w:cs="Times New Roman"/>
          <w:color w:val="000000" w:themeColor="text1"/>
          <w:sz w:val="24"/>
          <w:szCs w:val="24"/>
        </w:rPr>
        <w:t xml:space="preserve">treatment standards, </w:t>
      </w:r>
      <w:r w:rsidRPr="00597FFB">
        <w:rPr>
          <w:rFonts w:ascii="Times New Roman" w:eastAsia="Calibri" w:hAnsi="Times New Roman" w:cs="Times New Roman"/>
          <w:color w:val="000000" w:themeColor="text1"/>
          <w:sz w:val="24"/>
          <w:szCs w:val="24"/>
        </w:rPr>
        <w:t xml:space="preserve">regulations, </w:t>
      </w:r>
      <w:r w:rsidR="000E31D1" w:rsidRPr="00597FFB">
        <w:rPr>
          <w:rFonts w:ascii="Times New Roman" w:eastAsia="Calibri" w:hAnsi="Times New Roman" w:cs="Times New Roman"/>
          <w:color w:val="000000" w:themeColor="text1"/>
          <w:sz w:val="24"/>
          <w:szCs w:val="24"/>
        </w:rPr>
        <w:t xml:space="preserve">measures to protect the </w:t>
      </w:r>
      <w:r w:rsidRPr="00597FFB">
        <w:rPr>
          <w:rFonts w:ascii="Times New Roman" w:eastAsia="Calibri" w:hAnsi="Times New Roman" w:cs="Times New Roman"/>
          <w:color w:val="000000" w:themeColor="text1"/>
          <w:sz w:val="24"/>
          <w:szCs w:val="24"/>
        </w:rPr>
        <w:t>environmen</w:t>
      </w:r>
      <w:r w:rsidR="000E31D1" w:rsidRPr="00597FFB">
        <w:rPr>
          <w:rFonts w:ascii="Times New Roman" w:eastAsia="Calibri" w:hAnsi="Times New Roman" w:cs="Times New Roman"/>
          <w:color w:val="000000" w:themeColor="text1"/>
          <w:sz w:val="24"/>
          <w:szCs w:val="24"/>
        </w:rPr>
        <w:t>t</w:t>
      </w:r>
      <w:r w:rsidRPr="00597FFB">
        <w:rPr>
          <w:rFonts w:ascii="Times New Roman" w:eastAsia="Calibri" w:hAnsi="Times New Roman" w:cs="Times New Roman"/>
          <w:color w:val="000000" w:themeColor="text1"/>
          <w:sz w:val="24"/>
          <w:szCs w:val="24"/>
        </w:rPr>
        <w:t xml:space="preserve">, recycling </w:t>
      </w:r>
      <w:r w:rsidR="00734661" w:rsidRPr="00597FFB">
        <w:rPr>
          <w:rFonts w:ascii="Times New Roman" w:eastAsia="Calibri" w:hAnsi="Times New Roman" w:cs="Times New Roman"/>
          <w:color w:val="000000" w:themeColor="text1"/>
          <w:sz w:val="24"/>
          <w:szCs w:val="24"/>
        </w:rPr>
        <w:t>facilities and systems</w:t>
      </w:r>
      <w:r w:rsidRPr="00597FFB">
        <w:rPr>
          <w:rFonts w:ascii="Times New Roman" w:eastAsia="Calibri" w:hAnsi="Times New Roman" w:cs="Times New Roman"/>
          <w:color w:val="000000" w:themeColor="text1"/>
          <w:sz w:val="24"/>
          <w:szCs w:val="24"/>
        </w:rPr>
        <w:t xml:space="preserve">, and </w:t>
      </w:r>
      <w:r w:rsidR="00734661" w:rsidRPr="00597FFB">
        <w:rPr>
          <w:rFonts w:ascii="Times New Roman" w:eastAsia="Calibri" w:hAnsi="Times New Roman" w:cs="Times New Roman"/>
          <w:color w:val="000000" w:themeColor="text1"/>
          <w:sz w:val="24"/>
          <w:szCs w:val="24"/>
        </w:rPr>
        <w:t xml:space="preserve">policy </w:t>
      </w:r>
      <w:r w:rsidRPr="00597FFB">
        <w:rPr>
          <w:rFonts w:ascii="Times New Roman" w:eastAsia="Calibri" w:hAnsi="Times New Roman" w:cs="Times New Roman"/>
          <w:color w:val="000000" w:themeColor="text1"/>
          <w:sz w:val="24"/>
          <w:szCs w:val="24"/>
        </w:rPr>
        <w:t xml:space="preserve">enforcement </w:t>
      </w:r>
      <w:r w:rsidR="00734661" w:rsidRPr="00597FFB">
        <w:rPr>
          <w:rFonts w:ascii="Times New Roman" w:eastAsia="Calibri" w:hAnsi="Times New Roman" w:cs="Times New Roman"/>
          <w:color w:val="000000" w:themeColor="text1"/>
          <w:sz w:val="24"/>
          <w:szCs w:val="24"/>
        </w:rPr>
        <w:t>together</w:t>
      </w:r>
      <w:r w:rsidRPr="00597FFB">
        <w:rPr>
          <w:rFonts w:ascii="Times New Roman" w:eastAsia="Calibri" w:hAnsi="Times New Roman" w:cs="Times New Roman"/>
          <w:color w:val="000000" w:themeColor="text1"/>
          <w:sz w:val="24"/>
          <w:szCs w:val="24"/>
        </w:rPr>
        <w:t xml:space="preserve"> with </w:t>
      </w:r>
      <w:r w:rsidR="00734661" w:rsidRPr="00597FFB">
        <w:rPr>
          <w:rFonts w:ascii="Times New Roman" w:eastAsia="Calibri" w:hAnsi="Times New Roman" w:cs="Times New Roman"/>
          <w:color w:val="000000" w:themeColor="text1"/>
          <w:sz w:val="24"/>
          <w:szCs w:val="24"/>
        </w:rPr>
        <w:t>E-waste</w:t>
      </w:r>
      <w:r w:rsidRPr="00597FFB">
        <w:rPr>
          <w:rFonts w:ascii="Times New Roman" w:eastAsia="Calibri" w:hAnsi="Times New Roman" w:cs="Times New Roman"/>
          <w:color w:val="000000" w:themeColor="text1"/>
          <w:sz w:val="24"/>
          <w:szCs w:val="24"/>
        </w:rPr>
        <w:t xml:space="preserve"> trade </w:t>
      </w:r>
      <w:r w:rsidR="00734661" w:rsidRPr="00597FFB">
        <w:rPr>
          <w:rFonts w:ascii="Times New Roman" w:eastAsia="Calibri" w:hAnsi="Times New Roman" w:cs="Times New Roman"/>
          <w:color w:val="000000" w:themeColor="text1"/>
          <w:sz w:val="24"/>
          <w:szCs w:val="24"/>
        </w:rPr>
        <w:t xml:space="preserve">that flows </w:t>
      </w:r>
      <w:r w:rsidRPr="00597FFB">
        <w:rPr>
          <w:rFonts w:ascii="Times New Roman" w:eastAsia="Calibri" w:hAnsi="Times New Roman" w:cs="Times New Roman"/>
          <w:color w:val="000000" w:themeColor="text1"/>
          <w:sz w:val="24"/>
          <w:szCs w:val="24"/>
        </w:rPr>
        <w:t xml:space="preserve">from developed to developing countries has </w:t>
      </w:r>
      <w:r w:rsidR="00734661" w:rsidRPr="00597FFB">
        <w:rPr>
          <w:rFonts w:ascii="Times New Roman" w:eastAsia="Calibri" w:hAnsi="Times New Roman" w:cs="Times New Roman"/>
          <w:color w:val="000000" w:themeColor="text1"/>
          <w:sz w:val="24"/>
          <w:szCs w:val="24"/>
        </w:rPr>
        <w:t>caused</w:t>
      </w:r>
      <w:r w:rsidRPr="00597FFB">
        <w:rPr>
          <w:rFonts w:ascii="Times New Roman" w:eastAsia="Calibri" w:hAnsi="Times New Roman" w:cs="Times New Roman"/>
          <w:color w:val="000000" w:themeColor="text1"/>
          <w:sz w:val="24"/>
          <w:szCs w:val="24"/>
        </w:rPr>
        <w:t xml:space="preserve"> the </w:t>
      </w:r>
      <w:r w:rsidR="00734661" w:rsidRPr="00597FFB">
        <w:rPr>
          <w:rFonts w:ascii="Times New Roman" w:eastAsia="Calibri" w:hAnsi="Times New Roman" w:cs="Times New Roman"/>
          <w:color w:val="000000" w:themeColor="text1"/>
          <w:sz w:val="24"/>
          <w:szCs w:val="24"/>
        </w:rPr>
        <w:t>informal recycling sector’s advent</w:t>
      </w:r>
      <w:r w:rsidRPr="00597FFB">
        <w:rPr>
          <w:rFonts w:ascii="Times New Roman" w:eastAsia="Calibri" w:hAnsi="Times New Roman" w:cs="Times New Roman"/>
          <w:color w:val="000000" w:themeColor="text1"/>
          <w:sz w:val="24"/>
          <w:szCs w:val="24"/>
        </w:rPr>
        <w:t xml:space="preserve"> and evolution </w:t>
      </w:r>
      <w:r w:rsidR="00734661" w:rsidRPr="00597FFB">
        <w:rPr>
          <w:rFonts w:ascii="Times New Roman" w:eastAsia="Calibri" w:hAnsi="Times New Roman" w:cs="Times New Roman"/>
          <w:color w:val="000000" w:themeColor="text1"/>
          <w:sz w:val="24"/>
          <w:szCs w:val="24"/>
        </w:rPr>
        <w:t>where</w:t>
      </w:r>
      <w:r w:rsidRPr="00597FFB">
        <w:rPr>
          <w:rFonts w:ascii="Times New Roman" w:eastAsia="Calibri" w:hAnsi="Times New Roman" w:cs="Times New Roman"/>
          <w:color w:val="000000" w:themeColor="text1"/>
          <w:sz w:val="24"/>
          <w:szCs w:val="24"/>
        </w:rPr>
        <w:t xml:space="preserve"> crude methods</w:t>
      </w:r>
      <w:r w:rsidR="00734661" w:rsidRPr="00597FFB">
        <w:rPr>
          <w:rFonts w:ascii="Times New Roman" w:eastAsia="Calibri" w:hAnsi="Times New Roman" w:cs="Times New Roman"/>
          <w:color w:val="000000" w:themeColor="text1"/>
          <w:sz w:val="24"/>
          <w:szCs w:val="24"/>
        </w:rPr>
        <w:t xml:space="preserve"> are used</w:t>
      </w:r>
      <w:r w:rsidRPr="00597FFB">
        <w:rPr>
          <w:rFonts w:ascii="Times New Roman" w:eastAsia="Calibri" w:hAnsi="Times New Roman" w:cs="Times New Roman"/>
          <w:color w:val="000000" w:themeColor="text1"/>
          <w:sz w:val="24"/>
          <w:szCs w:val="24"/>
        </w:rPr>
        <w:t xml:space="preserve">. These and other </w:t>
      </w:r>
      <w:r w:rsidR="00734661" w:rsidRPr="00597FFB">
        <w:rPr>
          <w:rFonts w:ascii="Times New Roman" w:eastAsia="Calibri" w:hAnsi="Times New Roman" w:cs="Times New Roman"/>
          <w:color w:val="000000" w:themeColor="text1"/>
          <w:sz w:val="24"/>
          <w:szCs w:val="24"/>
        </w:rPr>
        <w:t xml:space="preserve">disposal practices in the </w:t>
      </w:r>
      <w:r w:rsidRPr="00597FFB">
        <w:rPr>
          <w:rFonts w:ascii="Times New Roman" w:eastAsia="Calibri" w:hAnsi="Times New Roman" w:cs="Times New Roman"/>
          <w:color w:val="000000" w:themeColor="text1"/>
          <w:sz w:val="24"/>
          <w:szCs w:val="24"/>
        </w:rPr>
        <w:t xml:space="preserve">informal </w:t>
      </w:r>
      <w:r w:rsidR="00734661" w:rsidRPr="00597FFB">
        <w:rPr>
          <w:rFonts w:ascii="Times New Roman" w:eastAsia="Calibri" w:hAnsi="Times New Roman" w:cs="Times New Roman"/>
          <w:color w:val="000000" w:themeColor="text1"/>
          <w:sz w:val="24"/>
          <w:szCs w:val="24"/>
        </w:rPr>
        <w:t xml:space="preserve">sector </w:t>
      </w:r>
      <w:r w:rsidRPr="00597FFB">
        <w:rPr>
          <w:rFonts w:ascii="Times New Roman" w:eastAsia="Calibri" w:hAnsi="Times New Roman" w:cs="Times New Roman"/>
          <w:color w:val="000000" w:themeColor="text1"/>
          <w:sz w:val="24"/>
          <w:szCs w:val="24"/>
        </w:rPr>
        <w:t xml:space="preserve">are enabled by limited </w:t>
      </w:r>
      <w:r w:rsidR="00734661" w:rsidRPr="00597FFB">
        <w:rPr>
          <w:rFonts w:ascii="Times New Roman" w:eastAsia="Calibri" w:hAnsi="Times New Roman" w:cs="Times New Roman"/>
          <w:color w:val="000000" w:themeColor="text1"/>
          <w:sz w:val="24"/>
          <w:szCs w:val="24"/>
        </w:rPr>
        <w:t xml:space="preserve">legislation, </w:t>
      </w:r>
      <w:r w:rsidRPr="00597FFB">
        <w:rPr>
          <w:rFonts w:ascii="Times New Roman" w:eastAsia="Calibri" w:hAnsi="Times New Roman" w:cs="Times New Roman"/>
          <w:color w:val="000000" w:themeColor="text1"/>
          <w:sz w:val="24"/>
          <w:szCs w:val="24"/>
        </w:rPr>
        <w:t xml:space="preserve">policies, </w:t>
      </w:r>
      <w:r w:rsidR="00734661" w:rsidRPr="00597FFB">
        <w:rPr>
          <w:rFonts w:ascii="Times New Roman" w:eastAsia="Calibri" w:hAnsi="Times New Roman" w:cs="Times New Roman"/>
          <w:color w:val="000000" w:themeColor="text1"/>
          <w:sz w:val="24"/>
          <w:szCs w:val="24"/>
        </w:rPr>
        <w:t xml:space="preserve">safeguards, </w:t>
      </w:r>
      <w:r w:rsidRPr="00597FFB">
        <w:rPr>
          <w:rFonts w:ascii="Times New Roman" w:eastAsia="Calibri" w:hAnsi="Times New Roman" w:cs="Times New Roman"/>
          <w:color w:val="000000" w:themeColor="text1"/>
          <w:sz w:val="24"/>
          <w:szCs w:val="24"/>
        </w:rPr>
        <w:t xml:space="preserve">and enforcement and have caused severe environmental and health problems in developing countries </w:t>
      </w:r>
      <w:r w:rsidRPr="00597FFB">
        <w:rPr>
          <w:rFonts w:ascii="Times New Roman" w:eastAsiaTheme="minorHAnsi" w:hAnsi="Times New Roman" w:cs="Times New Roman"/>
          <w:color w:val="000000" w:themeColor="text1"/>
          <w:sz w:val="24"/>
        </w:rPr>
        <w:t>(Rajmohan et al., 2019)</w:t>
      </w:r>
      <w:r w:rsidRPr="00597FFB">
        <w:rPr>
          <w:rFonts w:ascii="Times New Roman" w:eastAsia="Calibri" w:hAnsi="Times New Roman" w:cs="Times New Roman"/>
          <w:color w:val="000000" w:themeColor="text1"/>
          <w:sz w:val="24"/>
          <w:szCs w:val="24"/>
        </w:rPr>
        <w:t>.</w:t>
      </w:r>
    </w:p>
    <w:p w14:paraId="615E32C8" w14:textId="543D8A4C"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As of 2017, about 76 countries had some </w:t>
      </w:r>
      <w:r w:rsidR="005F1984" w:rsidRPr="00597FFB">
        <w:rPr>
          <w:rFonts w:ascii="Times New Roman" w:eastAsia="Calibri" w:hAnsi="Times New Roman" w:cs="Times New Roman"/>
          <w:color w:val="000000" w:themeColor="text1"/>
          <w:sz w:val="24"/>
          <w:szCs w:val="24"/>
        </w:rPr>
        <w:t>kind</w:t>
      </w:r>
      <w:r w:rsidRPr="00597FFB">
        <w:rPr>
          <w:rFonts w:ascii="Times New Roman" w:eastAsia="Calibri" w:hAnsi="Times New Roman" w:cs="Times New Roman"/>
          <w:color w:val="000000" w:themeColor="text1"/>
          <w:sz w:val="24"/>
          <w:szCs w:val="24"/>
        </w:rPr>
        <w:t xml:space="preserve"> of national </w:t>
      </w:r>
      <w:r w:rsidR="005F1984" w:rsidRPr="00597FFB">
        <w:rPr>
          <w:rFonts w:ascii="Times New Roman" w:eastAsia="Calibri" w:hAnsi="Times New Roman" w:cs="Times New Roman"/>
          <w:color w:val="000000" w:themeColor="text1"/>
          <w:sz w:val="24"/>
          <w:szCs w:val="24"/>
        </w:rPr>
        <w:t>E</w:t>
      </w:r>
      <w:r w:rsidRPr="00597FFB">
        <w:rPr>
          <w:rFonts w:ascii="Times New Roman" w:eastAsia="Calibri" w:hAnsi="Times New Roman" w:cs="Times New Roman"/>
          <w:color w:val="000000" w:themeColor="text1"/>
          <w:sz w:val="24"/>
          <w:szCs w:val="24"/>
        </w:rPr>
        <w:t>-waste regulation</w:t>
      </w:r>
      <w:r w:rsidR="005F1984" w:rsidRPr="00597FFB">
        <w:rPr>
          <w:rFonts w:ascii="Times New Roman" w:eastAsia="Calibri" w:hAnsi="Times New Roman" w:cs="Times New Roman"/>
          <w:color w:val="000000" w:themeColor="text1"/>
          <w:sz w:val="24"/>
          <w:szCs w:val="24"/>
        </w:rPr>
        <w:t>s</w:t>
      </w:r>
      <w:r w:rsidRPr="00597FFB">
        <w:rPr>
          <w:rFonts w:ascii="Times New Roman" w:eastAsia="Calibri" w:hAnsi="Times New Roman" w:cs="Times New Roman"/>
          <w:color w:val="000000" w:themeColor="text1"/>
          <w:sz w:val="24"/>
          <w:szCs w:val="24"/>
        </w:rPr>
        <w:t xml:space="preserve"> in place </w:t>
      </w:r>
      <w:r w:rsidR="005F1984" w:rsidRPr="00597FFB">
        <w:rPr>
          <w:rFonts w:ascii="Times New Roman" w:eastAsia="Calibri" w:hAnsi="Times New Roman" w:cs="Times New Roman"/>
          <w:color w:val="000000" w:themeColor="text1"/>
          <w:sz w:val="24"/>
          <w:szCs w:val="24"/>
        </w:rPr>
        <w:t>in comparison</w:t>
      </w:r>
      <w:r w:rsidRPr="00597FFB">
        <w:rPr>
          <w:rFonts w:ascii="Times New Roman" w:eastAsia="Calibri" w:hAnsi="Times New Roman" w:cs="Times New Roman"/>
          <w:color w:val="000000" w:themeColor="text1"/>
          <w:sz w:val="24"/>
          <w:szCs w:val="24"/>
        </w:rPr>
        <w:t xml:space="preserve"> to 61 countries </w:t>
      </w:r>
      <w:r w:rsidR="005F1984" w:rsidRPr="00597FFB">
        <w:rPr>
          <w:rFonts w:ascii="Times New Roman" w:eastAsia="Calibri" w:hAnsi="Times New Roman" w:cs="Times New Roman"/>
          <w:color w:val="000000" w:themeColor="text1"/>
          <w:sz w:val="24"/>
          <w:szCs w:val="24"/>
        </w:rPr>
        <w:t xml:space="preserve">that did not have such regulations </w:t>
      </w:r>
      <w:r w:rsidRPr="00597FFB">
        <w:rPr>
          <w:rFonts w:ascii="Times New Roman" w:eastAsia="Calibri" w:hAnsi="Times New Roman" w:cs="Times New Roman"/>
          <w:color w:val="000000" w:themeColor="text1"/>
          <w:sz w:val="24"/>
          <w:szCs w:val="24"/>
        </w:rPr>
        <w:t xml:space="preserve">in 2014. These figures </w:t>
      </w:r>
      <w:r w:rsidR="00FF4277" w:rsidRPr="00597FFB">
        <w:rPr>
          <w:rFonts w:ascii="Times New Roman" w:eastAsia="Calibri" w:hAnsi="Times New Roman" w:cs="Times New Roman"/>
          <w:color w:val="000000" w:themeColor="text1"/>
          <w:sz w:val="24"/>
          <w:szCs w:val="24"/>
        </w:rPr>
        <w:t>demonstrate</w:t>
      </w:r>
      <w:r w:rsidRPr="00597FFB">
        <w:rPr>
          <w:rFonts w:ascii="Times New Roman" w:eastAsia="Calibri" w:hAnsi="Times New Roman" w:cs="Times New Roman"/>
          <w:color w:val="000000" w:themeColor="text1"/>
          <w:sz w:val="24"/>
          <w:szCs w:val="24"/>
        </w:rPr>
        <w:t xml:space="preserve"> the</w:t>
      </w:r>
      <w:r w:rsidR="00FF4277" w:rsidRPr="00597FFB">
        <w:rPr>
          <w:rFonts w:ascii="Times New Roman" w:eastAsia="Calibri" w:hAnsi="Times New Roman" w:cs="Times New Roman"/>
          <w:color w:val="000000" w:themeColor="text1"/>
          <w:sz w:val="24"/>
          <w:szCs w:val="24"/>
        </w:rPr>
        <w:t xml:space="preserve"> adoption of E-waste regulations by a growing number of </w:t>
      </w:r>
      <w:r w:rsidRPr="00597FFB">
        <w:rPr>
          <w:rFonts w:ascii="Times New Roman" w:eastAsia="Calibri" w:hAnsi="Times New Roman" w:cs="Times New Roman"/>
          <w:color w:val="000000" w:themeColor="text1"/>
          <w:sz w:val="24"/>
          <w:szCs w:val="24"/>
        </w:rPr>
        <w:t xml:space="preserve">countries </w:t>
      </w:r>
      <w:r w:rsidRPr="00597FFB">
        <w:rPr>
          <w:rFonts w:ascii="Times New Roman" w:eastAsiaTheme="minorHAnsi" w:hAnsi="Times New Roman" w:cs="Times New Roman"/>
          <w:color w:val="000000" w:themeColor="text1"/>
          <w:sz w:val="24"/>
        </w:rPr>
        <w:t>(Kumar, 2019)</w:t>
      </w:r>
      <w:r w:rsidRPr="00597FFB">
        <w:rPr>
          <w:rFonts w:ascii="Times New Roman" w:eastAsia="Calibri" w:hAnsi="Times New Roman" w:cs="Times New Roman"/>
          <w:color w:val="000000" w:themeColor="text1"/>
          <w:sz w:val="24"/>
          <w:szCs w:val="24"/>
        </w:rPr>
        <w:t xml:space="preserve">. Indeed, more countries are introducing takeback laws in which </w:t>
      </w:r>
      <w:r w:rsidR="00FA6DBF" w:rsidRPr="00597FFB">
        <w:rPr>
          <w:rFonts w:ascii="Times New Roman" w:eastAsia="Calibri" w:hAnsi="Times New Roman" w:cs="Times New Roman"/>
          <w:color w:val="000000" w:themeColor="text1"/>
          <w:sz w:val="24"/>
          <w:szCs w:val="24"/>
        </w:rPr>
        <w:t>producers are responsible for taking back</w:t>
      </w:r>
      <w:r w:rsidRPr="00597FFB">
        <w:rPr>
          <w:rFonts w:ascii="Times New Roman" w:eastAsia="Calibri" w:hAnsi="Times New Roman" w:cs="Times New Roman"/>
          <w:color w:val="000000" w:themeColor="text1"/>
          <w:sz w:val="24"/>
          <w:szCs w:val="24"/>
        </w:rPr>
        <w:t xml:space="preserve"> used products at </w:t>
      </w:r>
      <w:r w:rsidR="00FA6DBF" w:rsidRPr="00597FFB">
        <w:rPr>
          <w:rFonts w:ascii="Times New Roman" w:eastAsia="Calibri" w:hAnsi="Times New Roman" w:cs="Times New Roman"/>
          <w:color w:val="000000" w:themeColor="text1"/>
          <w:sz w:val="24"/>
          <w:szCs w:val="24"/>
        </w:rPr>
        <w:t>the</w:t>
      </w:r>
      <w:r w:rsidRPr="00597FFB">
        <w:rPr>
          <w:rFonts w:ascii="Times New Roman" w:eastAsia="Calibri" w:hAnsi="Times New Roman" w:cs="Times New Roman"/>
          <w:color w:val="000000" w:themeColor="text1"/>
          <w:sz w:val="24"/>
          <w:szCs w:val="24"/>
        </w:rPr>
        <w:t xml:space="preserve"> </w:t>
      </w:r>
      <w:r w:rsidR="00FA6DBF" w:rsidRPr="00597FFB">
        <w:rPr>
          <w:rFonts w:ascii="Times New Roman" w:eastAsia="Calibri" w:hAnsi="Times New Roman" w:cs="Times New Roman"/>
          <w:color w:val="000000" w:themeColor="text1"/>
          <w:sz w:val="24"/>
          <w:szCs w:val="24"/>
        </w:rPr>
        <w:t xml:space="preserve">end of their lifecycle </w:t>
      </w:r>
      <w:r w:rsidRPr="00597FFB">
        <w:rPr>
          <w:rFonts w:ascii="Times New Roman" w:eastAsiaTheme="minorHAnsi" w:hAnsi="Times New Roman" w:cs="Times New Roman"/>
          <w:color w:val="000000" w:themeColor="text1"/>
          <w:sz w:val="24"/>
        </w:rPr>
        <w:t>(Cui et al., 2019)</w:t>
      </w:r>
      <w:r w:rsidRPr="00597FFB">
        <w:rPr>
          <w:rFonts w:ascii="Times New Roman" w:eastAsia="Calibri" w:hAnsi="Times New Roman" w:cs="Times New Roman"/>
          <w:color w:val="000000" w:themeColor="text1"/>
          <w:sz w:val="24"/>
          <w:szCs w:val="24"/>
        </w:rPr>
        <w:t xml:space="preserve">. In terms of regional outlook, Europe has the most </w:t>
      </w:r>
      <w:r w:rsidR="00A86381" w:rsidRPr="00597FFB">
        <w:rPr>
          <w:rFonts w:ascii="Times New Roman" w:eastAsia="Calibri" w:hAnsi="Times New Roman" w:cs="Times New Roman"/>
          <w:color w:val="000000" w:themeColor="text1"/>
          <w:sz w:val="24"/>
          <w:szCs w:val="24"/>
        </w:rPr>
        <w:t>advanced</w:t>
      </w:r>
      <w:r w:rsidRPr="00597FFB">
        <w:rPr>
          <w:rFonts w:ascii="Times New Roman" w:eastAsia="Calibri" w:hAnsi="Times New Roman" w:cs="Times New Roman"/>
          <w:color w:val="000000" w:themeColor="text1"/>
          <w:sz w:val="24"/>
          <w:szCs w:val="24"/>
        </w:rPr>
        <w:t xml:space="preserve"> </w:t>
      </w:r>
      <w:r w:rsidR="00A86381" w:rsidRPr="00597FFB">
        <w:rPr>
          <w:rFonts w:ascii="Times New Roman" w:eastAsia="Calibri" w:hAnsi="Times New Roman" w:cs="Times New Roman"/>
          <w:color w:val="000000" w:themeColor="text1"/>
          <w:sz w:val="24"/>
          <w:szCs w:val="24"/>
        </w:rPr>
        <w:t>EWM</w:t>
      </w:r>
      <w:r w:rsidRPr="00597FFB">
        <w:rPr>
          <w:rFonts w:ascii="Times New Roman" w:eastAsia="Calibri" w:hAnsi="Times New Roman" w:cs="Times New Roman"/>
          <w:color w:val="000000" w:themeColor="text1"/>
          <w:sz w:val="24"/>
          <w:szCs w:val="24"/>
        </w:rPr>
        <w:t xml:space="preserve"> systems and regulations </w:t>
      </w:r>
      <w:r w:rsidR="00A86381" w:rsidRPr="00597FFB">
        <w:rPr>
          <w:rFonts w:ascii="Times New Roman" w:eastAsia="Calibri" w:hAnsi="Times New Roman" w:cs="Times New Roman"/>
          <w:color w:val="000000" w:themeColor="text1"/>
          <w:sz w:val="24"/>
          <w:szCs w:val="24"/>
        </w:rPr>
        <w:t>matched by</w:t>
      </w:r>
      <w:r w:rsidRPr="00597FFB">
        <w:rPr>
          <w:rFonts w:ascii="Times New Roman" w:eastAsia="Calibri" w:hAnsi="Times New Roman" w:cs="Times New Roman"/>
          <w:color w:val="000000" w:themeColor="text1"/>
          <w:sz w:val="24"/>
          <w:szCs w:val="24"/>
        </w:rPr>
        <w:t xml:space="preserve"> the highest </w:t>
      </w:r>
      <w:r w:rsidR="00A86381" w:rsidRPr="00597FFB">
        <w:rPr>
          <w:rFonts w:ascii="Times New Roman" w:eastAsia="Calibri" w:hAnsi="Times New Roman" w:cs="Times New Roman"/>
          <w:color w:val="000000" w:themeColor="text1"/>
          <w:sz w:val="24"/>
          <w:szCs w:val="24"/>
        </w:rPr>
        <w:t>rates of collecting and recycling E-waste</w:t>
      </w:r>
      <w:r w:rsidRPr="00597FFB">
        <w:rPr>
          <w:rFonts w:ascii="Times New Roman" w:eastAsia="Calibri" w:hAnsi="Times New Roman" w:cs="Times New Roman"/>
          <w:color w:val="000000" w:themeColor="text1"/>
          <w:sz w:val="24"/>
          <w:szCs w:val="24"/>
        </w:rPr>
        <w:t xml:space="preserve">. The EU has </w:t>
      </w:r>
      <w:r w:rsidR="00DE5070" w:rsidRPr="00597FFB">
        <w:rPr>
          <w:rFonts w:ascii="Times New Roman" w:eastAsia="Calibri" w:hAnsi="Times New Roman" w:cs="Times New Roman"/>
          <w:color w:val="000000" w:themeColor="text1"/>
          <w:sz w:val="24"/>
          <w:szCs w:val="24"/>
        </w:rPr>
        <w:t>come up with</w:t>
      </w:r>
      <w:r w:rsidRPr="00597FFB">
        <w:rPr>
          <w:rFonts w:ascii="Times New Roman" w:eastAsia="Calibri" w:hAnsi="Times New Roman" w:cs="Times New Roman"/>
          <w:color w:val="000000" w:themeColor="text1"/>
          <w:sz w:val="24"/>
          <w:szCs w:val="24"/>
        </w:rPr>
        <w:t xml:space="preserve"> a </w:t>
      </w:r>
      <w:r w:rsidR="00DE5070" w:rsidRPr="00597FFB">
        <w:rPr>
          <w:rFonts w:ascii="Times New Roman" w:eastAsia="Calibri" w:hAnsi="Times New Roman" w:cs="Times New Roman"/>
          <w:color w:val="000000" w:themeColor="text1"/>
          <w:sz w:val="24"/>
          <w:szCs w:val="24"/>
        </w:rPr>
        <w:t>variety</w:t>
      </w:r>
      <w:r w:rsidRPr="00597FFB">
        <w:rPr>
          <w:rFonts w:ascii="Times New Roman" w:eastAsia="Calibri" w:hAnsi="Times New Roman" w:cs="Times New Roman"/>
          <w:color w:val="000000" w:themeColor="text1"/>
          <w:sz w:val="24"/>
          <w:szCs w:val="24"/>
        </w:rPr>
        <w:t xml:space="preserve"> of </w:t>
      </w:r>
      <w:r w:rsidR="00DE5070" w:rsidRPr="00597FFB">
        <w:rPr>
          <w:rFonts w:ascii="Times New Roman" w:eastAsia="Calibri" w:hAnsi="Times New Roman" w:cs="Times New Roman"/>
          <w:color w:val="000000" w:themeColor="text1"/>
          <w:sz w:val="24"/>
          <w:szCs w:val="24"/>
        </w:rPr>
        <w:t>policies regarding E</w:t>
      </w:r>
      <w:r w:rsidRPr="00597FFB">
        <w:rPr>
          <w:rFonts w:ascii="Times New Roman" w:eastAsia="Calibri" w:hAnsi="Times New Roman" w:cs="Times New Roman"/>
          <w:color w:val="000000" w:themeColor="text1"/>
          <w:sz w:val="24"/>
          <w:szCs w:val="24"/>
        </w:rPr>
        <w:t xml:space="preserve">-waste, such as the EU Council Directive </w:t>
      </w:r>
      <w:r w:rsidR="00DE5070" w:rsidRPr="00597FFB">
        <w:rPr>
          <w:rFonts w:ascii="Times New Roman" w:eastAsia="Calibri" w:hAnsi="Times New Roman" w:cs="Times New Roman"/>
          <w:color w:val="000000" w:themeColor="text1"/>
          <w:sz w:val="24"/>
          <w:szCs w:val="24"/>
        </w:rPr>
        <w:t xml:space="preserve">of </w:t>
      </w:r>
      <w:r w:rsidRPr="00597FFB">
        <w:rPr>
          <w:rFonts w:ascii="Times New Roman" w:eastAsia="Calibri" w:hAnsi="Times New Roman" w:cs="Times New Roman"/>
          <w:color w:val="000000" w:themeColor="text1"/>
          <w:sz w:val="24"/>
          <w:szCs w:val="24"/>
        </w:rPr>
        <w:t xml:space="preserve">2012 and the Restriction of Hazardous Substances in Electrical and Electronic Equipment (RoHS), whose objective is to improve the environmental performance of </w:t>
      </w:r>
      <w:r w:rsidR="00DE5070" w:rsidRPr="00597FFB">
        <w:rPr>
          <w:rFonts w:ascii="Times New Roman" w:eastAsia="Calibri" w:hAnsi="Times New Roman" w:cs="Times New Roman"/>
          <w:color w:val="000000" w:themeColor="text1"/>
          <w:sz w:val="24"/>
          <w:szCs w:val="24"/>
        </w:rPr>
        <w:t>EEE</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(Ylä-Mella &amp; Román, 2019)</w:t>
      </w:r>
      <w:r w:rsidRPr="00597FFB">
        <w:rPr>
          <w:rFonts w:ascii="Times New Roman" w:eastAsia="Calibri" w:hAnsi="Times New Roman" w:cs="Times New Roman"/>
          <w:color w:val="000000" w:themeColor="text1"/>
          <w:sz w:val="24"/>
          <w:szCs w:val="24"/>
        </w:rPr>
        <w:t>.</w:t>
      </w:r>
    </w:p>
    <w:p w14:paraId="75CF0E40" w14:textId="0CF96B02" w:rsidR="0003140E" w:rsidRPr="00597FFB" w:rsidRDefault="00DE5070"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Conventionally</w:t>
      </w:r>
      <w:r w:rsidR="0003140E" w:rsidRPr="00597FFB">
        <w:rPr>
          <w:rFonts w:ascii="Times New Roman" w:eastAsia="Calibri" w:hAnsi="Times New Roman" w:cs="Times New Roman"/>
          <w:color w:val="000000" w:themeColor="text1"/>
          <w:sz w:val="24"/>
          <w:szCs w:val="24"/>
        </w:rPr>
        <w:t xml:space="preserve">, </w:t>
      </w:r>
      <w:r w:rsidRPr="00597FFB">
        <w:rPr>
          <w:rFonts w:ascii="Times New Roman" w:eastAsia="Calibri" w:hAnsi="Times New Roman" w:cs="Times New Roman"/>
          <w:color w:val="000000" w:themeColor="text1"/>
          <w:sz w:val="24"/>
          <w:szCs w:val="24"/>
        </w:rPr>
        <w:t xml:space="preserve">environmental </w:t>
      </w:r>
      <w:r w:rsidR="0003140E" w:rsidRPr="00597FFB">
        <w:rPr>
          <w:rFonts w:ascii="Times New Roman" w:eastAsia="Calibri" w:hAnsi="Times New Roman" w:cs="Times New Roman"/>
          <w:color w:val="000000" w:themeColor="text1"/>
          <w:sz w:val="24"/>
          <w:szCs w:val="24"/>
        </w:rPr>
        <w:t xml:space="preserve">legislation addressed the resulting </w:t>
      </w:r>
      <w:r w:rsidRPr="00597FFB">
        <w:rPr>
          <w:rFonts w:ascii="Times New Roman" w:eastAsia="Calibri" w:hAnsi="Times New Roman" w:cs="Times New Roman"/>
          <w:color w:val="000000" w:themeColor="text1"/>
          <w:sz w:val="24"/>
          <w:szCs w:val="24"/>
        </w:rPr>
        <w:t>challenge</w:t>
      </w:r>
      <w:r w:rsidR="0003140E" w:rsidRPr="00597FFB">
        <w:rPr>
          <w:rFonts w:ascii="Times New Roman" w:eastAsia="Calibri" w:hAnsi="Times New Roman" w:cs="Times New Roman"/>
          <w:color w:val="000000" w:themeColor="text1"/>
          <w:sz w:val="24"/>
          <w:szCs w:val="24"/>
        </w:rPr>
        <w:t xml:space="preserve"> of pollution by adopting a ‘command and control’ </w:t>
      </w:r>
      <w:r w:rsidRPr="00597FFB">
        <w:rPr>
          <w:rFonts w:ascii="Times New Roman" w:eastAsia="Calibri" w:hAnsi="Times New Roman" w:cs="Times New Roman"/>
          <w:color w:val="000000" w:themeColor="text1"/>
          <w:sz w:val="24"/>
          <w:szCs w:val="24"/>
        </w:rPr>
        <w:t>mechanism</w:t>
      </w:r>
      <w:r w:rsidR="0003140E" w:rsidRPr="00597FFB">
        <w:rPr>
          <w:rFonts w:ascii="Times New Roman" w:eastAsia="Calibri" w:hAnsi="Times New Roman" w:cs="Times New Roman"/>
          <w:color w:val="000000" w:themeColor="text1"/>
          <w:sz w:val="24"/>
          <w:szCs w:val="24"/>
        </w:rPr>
        <w:t xml:space="preserve"> </w:t>
      </w:r>
      <w:r w:rsidR="0003140E" w:rsidRPr="00597FFB">
        <w:rPr>
          <w:rFonts w:ascii="Times New Roman" w:eastAsiaTheme="minorHAnsi" w:hAnsi="Times New Roman" w:cs="Times New Roman"/>
          <w:color w:val="000000" w:themeColor="text1"/>
          <w:sz w:val="24"/>
        </w:rPr>
        <w:t>(Duan et al., 2019)</w:t>
      </w:r>
      <w:r w:rsidR="0003140E" w:rsidRPr="00597FFB">
        <w:rPr>
          <w:rFonts w:ascii="Times New Roman" w:eastAsia="Calibri" w:hAnsi="Times New Roman" w:cs="Times New Roman"/>
          <w:color w:val="000000" w:themeColor="text1"/>
          <w:sz w:val="24"/>
          <w:szCs w:val="24"/>
        </w:rPr>
        <w:t>. However, the focus has more recently shifted toward the responsibility of the producer through the Extended Producer Responsibility (EPR), manufacturer</w:t>
      </w:r>
      <w:r w:rsidRPr="00597FFB">
        <w:rPr>
          <w:rFonts w:ascii="Times New Roman" w:eastAsia="Calibri" w:hAnsi="Times New Roman" w:cs="Times New Roman"/>
          <w:color w:val="000000" w:themeColor="text1"/>
          <w:sz w:val="24"/>
          <w:szCs w:val="24"/>
        </w:rPr>
        <w:t>s bear the</w:t>
      </w:r>
      <w:r w:rsidR="0003140E" w:rsidRPr="00597FFB">
        <w:rPr>
          <w:rFonts w:ascii="Times New Roman" w:eastAsia="Calibri" w:hAnsi="Times New Roman" w:cs="Times New Roman"/>
          <w:color w:val="000000" w:themeColor="text1"/>
          <w:sz w:val="24"/>
          <w:szCs w:val="24"/>
        </w:rPr>
        <w:t xml:space="preserve"> responsib</w:t>
      </w:r>
      <w:r w:rsidRPr="00597FFB">
        <w:rPr>
          <w:rFonts w:ascii="Times New Roman" w:eastAsia="Calibri" w:hAnsi="Times New Roman" w:cs="Times New Roman"/>
          <w:color w:val="000000" w:themeColor="text1"/>
          <w:sz w:val="24"/>
          <w:szCs w:val="24"/>
        </w:rPr>
        <w:t>ility</w:t>
      </w:r>
      <w:r w:rsidR="0003140E" w:rsidRPr="00597FFB">
        <w:rPr>
          <w:rFonts w:ascii="Times New Roman" w:eastAsia="Calibri" w:hAnsi="Times New Roman" w:cs="Times New Roman"/>
          <w:color w:val="000000" w:themeColor="text1"/>
          <w:sz w:val="24"/>
          <w:szCs w:val="24"/>
        </w:rPr>
        <w:t xml:space="preserve"> for the </w:t>
      </w:r>
      <w:r w:rsidRPr="00597FFB">
        <w:rPr>
          <w:rFonts w:ascii="Times New Roman" w:eastAsia="Calibri" w:hAnsi="Times New Roman" w:cs="Times New Roman"/>
          <w:color w:val="000000" w:themeColor="text1"/>
          <w:sz w:val="24"/>
          <w:szCs w:val="24"/>
        </w:rPr>
        <w:t xml:space="preserve">impact that a product’s entire lifecycle has on the </w:t>
      </w:r>
      <w:r w:rsidR="0003140E" w:rsidRPr="00597FFB">
        <w:rPr>
          <w:rFonts w:ascii="Times New Roman" w:eastAsia="Calibri" w:hAnsi="Times New Roman" w:cs="Times New Roman"/>
          <w:color w:val="000000" w:themeColor="text1"/>
          <w:sz w:val="24"/>
          <w:szCs w:val="24"/>
        </w:rPr>
        <w:t xml:space="preserve">environment </w:t>
      </w:r>
      <w:r w:rsidRPr="00597FFB">
        <w:rPr>
          <w:rFonts w:ascii="Times New Roman" w:eastAsia="Calibri" w:hAnsi="Times New Roman" w:cs="Times New Roman"/>
          <w:color w:val="000000" w:themeColor="text1"/>
          <w:sz w:val="24"/>
          <w:szCs w:val="24"/>
        </w:rPr>
        <w:t>starting</w:t>
      </w:r>
      <w:r w:rsidR="0003140E" w:rsidRPr="00597FFB">
        <w:rPr>
          <w:rFonts w:ascii="Times New Roman" w:eastAsia="Calibri" w:hAnsi="Times New Roman" w:cs="Times New Roman"/>
          <w:color w:val="000000" w:themeColor="text1"/>
          <w:sz w:val="24"/>
          <w:szCs w:val="24"/>
        </w:rPr>
        <w:t xml:space="preserve"> </w:t>
      </w:r>
      <w:r w:rsidR="00A05593" w:rsidRPr="00597FFB">
        <w:rPr>
          <w:rFonts w:ascii="Times New Roman" w:eastAsia="Calibri" w:hAnsi="Times New Roman" w:cs="Times New Roman"/>
          <w:color w:val="000000" w:themeColor="text1"/>
          <w:sz w:val="24"/>
          <w:szCs w:val="24"/>
        </w:rPr>
        <w:t>from extracting</w:t>
      </w:r>
      <w:r w:rsidRPr="00597FFB">
        <w:rPr>
          <w:rFonts w:ascii="Times New Roman" w:eastAsia="Calibri" w:hAnsi="Times New Roman" w:cs="Times New Roman"/>
          <w:color w:val="000000" w:themeColor="text1"/>
          <w:sz w:val="24"/>
          <w:szCs w:val="24"/>
        </w:rPr>
        <w:t xml:space="preserve"> to</w:t>
      </w:r>
      <w:r w:rsidR="0003140E" w:rsidRPr="00597FFB">
        <w:rPr>
          <w:rFonts w:ascii="Times New Roman" w:eastAsia="Calibri" w:hAnsi="Times New Roman" w:cs="Times New Roman"/>
          <w:color w:val="000000" w:themeColor="text1"/>
          <w:sz w:val="24"/>
          <w:szCs w:val="24"/>
        </w:rPr>
        <w:t xml:space="preserve"> manufacturing</w:t>
      </w:r>
      <w:r w:rsidRPr="00597FFB">
        <w:rPr>
          <w:rFonts w:ascii="Times New Roman" w:eastAsia="Calibri" w:hAnsi="Times New Roman" w:cs="Times New Roman"/>
          <w:color w:val="000000" w:themeColor="text1"/>
          <w:sz w:val="24"/>
          <w:szCs w:val="24"/>
        </w:rPr>
        <w:t xml:space="preserve">, </w:t>
      </w:r>
      <w:r w:rsidR="0003140E" w:rsidRPr="00597FFB">
        <w:rPr>
          <w:rFonts w:ascii="Times New Roman" w:eastAsia="Calibri" w:hAnsi="Times New Roman" w:cs="Times New Roman"/>
          <w:color w:val="000000" w:themeColor="text1"/>
          <w:sz w:val="24"/>
          <w:szCs w:val="24"/>
        </w:rPr>
        <w:t xml:space="preserve">disposal, recycling, and other </w:t>
      </w:r>
      <w:r w:rsidRPr="00597FFB">
        <w:rPr>
          <w:rFonts w:ascii="Times New Roman" w:eastAsia="Calibri" w:hAnsi="Times New Roman" w:cs="Times New Roman"/>
          <w:color w:val="000000" w:themeColor="text1"/>
          <w:sz w:val="24"/>
          <w:szCs w:val="24"/>
        </w:rPr>
        <w:t xml:space="preserve">processes related to the </w:t>
      </w:r>
      <w:r w:rsidR="0003140E" w:rsidRPr="00597FFB">
        <w:rPr>
          <w:rFonts w:ascii="Times New Roman" w:eastAsia="Calibri" w:hAnsi="Times New Roman" w:cs="Times New Roman"/>
          <w:color w:val="000000" w:themeColor="text1"/>
          <w:sz w:val="24"/>
          <w:szCs w:val="24"/>
        </w:rPr>
        <w:t xml:space="preserve">end-of-life </w:t>
      </w:r>
      <w:r w:rsidR="0003140E" w:rsidRPr="00597FFB">
        <w:rPr>
          <w:rFonts w:ascii="Times New Roman" w:eastAsiaTheme="minorHAnsi" w:hAnsi="Times New Roman" w:cs="Times New Roman"/>
          <w:color w:val="000000" w:themeColor="text1"/>
          <w:sz w:val="24"/>
        </w:rPr>
        <w:t>(Abbondanza &amp; Souza, 2019)</w:t>
      </w:r>
      <w:r w:rsidR="0003140E" w:rsidRPr="00597FFB">
        <w:rPr>
          <w:rFonts w:ascii="Times New Roman" w:eastAsia="Calibri" w:hAnsi="Times New Roman" w:cs="Times New Roman"/>
          <w:color w:val="000000" w:themeColor="text1"/>
          <w:sz w:val="24"/>
          <w:szCs w:val="24"/>
        </w:rPr>
        <w:t>.</w:t>
      </w:r>
    </w:p>
    <w:p w14:paraId="2362A729" w14:textId="00193320"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Other regions </w:t>
      </w:r>
      <w:r w:rsidR="00F932E3" w:rsidRPr="00597FFB">
        <w:rPr>
          <w:rFonts w:ascii="Times New Roman" w:eastAsia="Calibri" w:hAnsi="Times New Roman" w:cs="Times New Roman"/>
          <w:color w:val="000000" w:themeColor="text1"/>
          <w:sz w:val="24"/>
          <w:szCs w:val="24"/>
        </w:rPr>
        <w:t>that have</w:t>
      </w:r>
      <w:r w:rsidRPr="00597FFB">
        <w:rPr>
          <w:rFonts w:ascii="Times New Roman" w:eastAsia="Calibri" w:hAnsi="Times New Roman" w:cs="Times New Roman"/>
          <w:color w:val="000000" w:themeColor="text1"/>
          <w:sz w:val="24"/>
          <w:szCs w:val="24"/>
        </w:rPr>
        <w:t xml:space="preserve"> </w:t>
      </w:r>
      <w:r w:rsidR="00F932E3" w:rsidRPr="00597FFB">
        <w:rPr>
          <w:rFonts w:ascii="Times New Roman" w:eastAsia="Calibri" w:hAnsi="Times New Roman" w:cs="Times New Roman"/>
          <w:color w:val="000000" w:themeColor="text1"/>
          <w:sz w:val="24"/>
          <w:szCs w:val="24"/>
        </w:rPr>
        <w:t>advanced</w:t>
      </w:r>
      <w:r w:rsidRPr="00597FFB">
        <w:rPr>
          <w:rFonts w:ascii="Times New Roman" w:eastAsia="Calibri" w:hAnsi="Times New Roman" w:cs="Times New Roman"/>
          <w:color w:val="000000" w:themeColor="text1"/>
          <w:sz w:val="24"/>
          <w:szCs w:val="24"/>
        </w:rPr>
        <w:t xml:space="preserve"> </w:t>
      </w:r>
      <w:r w:rsidR="00032C28" w:rsidRPr="00597FFB">
        <w:rPr>
          <w:rFonts w:ascii="Times New Roman" w:eastAsia="Calibri" w:hAnsi="Times New Roman" w:cs="Times New Roman"/>
          <w:color w:val="000000" w:themeColor="text1"/>
          <w:sz w:val="24"/>
          <w:szCs w:val="24"/>
        </w:rPr>
        <w:t xml:space="preserve">systems for collecting and recycling </w:t>
      </w:r>
      <w:r w:rsidR="00F932E3" w:rsidRPr="00597FFB">
        <w:rPr>
          <w:rFonts w:ascii="Times New Roman" w:eastAsia="Calibri" w:hAnsi="Times New Roman" w:cs="Times New Roman"/>
          <w:color w:val="000000" w:themeColor="text1"/>
          <w:sz w:val="24"/>
          <w:szCs w:val="24"/>
        </w:rPr>
        <w:t>E</w:t>
      </w:r>
      <w:r w:rsidRPr="00597FFB">
        <w:rPr>
          <w:rFonts w:ascii="Times New Roman" w:eastAsia="Calibri" w:hAnsi="Times New Roman" w:cs="Times New Roman"/>
          <w:color w:val="000000" w:themeColor="text1"/>
          <w:sz w:val="24"/>
          <w:szCs w:val="24"/>
        </w:rPr>
        <w:t>-waste are East Asia</w:t>
      </w:r>
      <w:r w:rsidR="00032C28" w:rsidRPr="00597FFB">
        <w:rPr>
          <w:rFonts w:ascii="Times New Roman" w:eastAsia="Calibri" w:hAnsi="Times New Roman" w:cs="Times New Roman"/>
          <w:color w:val="000000" w:themeColor="text1"/>
          <w:sz w:val="24"/>
          <w:szCs w:val="24"/>
        </w:rPr>
        <w:t>,</w:t>
      </w:r>
      <w:r w:rsidRPr="00597FFB">
        <w:rPr>
          <w:rFonts w:ascii="Times New Roman" w:eastAsia="Calibri" w:hAnsi="Times New Roman" w:cs="Times New Roman"/>
          <w:color w:val="000000" w:themeColor="text1"/>
          <w:sz w:val="24"/>
          <w:szCs w:val="24"/>
        </w:rPr>
        <w:t xml:space="preserve"> </w:t>
      </w:r>
      <w:r w:rsidR="00032C28" w:rsidRPr="00597FFB">
        <w:rPr>
          <w:rFonts w:ascii="Times New Roman" w:eastAsia="Calibri" w:hAnsi="Times New Roman" w:cs="Times New Roman"/>
          <w:color w:val="000000" w:themeColor="text1"/>
          <w:sz w:val="24"/>
          <w:szCs w:val="24"/>
        </w:rPr>
        <w:t>North America, and South Asia</w:t>
      </w:r>
      <w:r w:rsidRPr="00597FFB">
        <w:rPr>
          <w:rFonts w:ascii="Times New Roman" w:eastAsia="Calibri" w:hAnsi="Times New Roman" w:cs="Times New Roman"/>
          <w:color w:val="000000" w:themeColor="text1"/>
          <w:sz w:val="24"/>
          <w:szCs w:val="24"/>
        </w:rPr>
        <w:t xml:space="preserve">. In Asia, </w:t>
      </w:r>
      <w:r w:rsidR="00032C28" w:rsidRPr="00597FFB">
        <w:rPr>
          <w:rFonts w:ascii="Times New Roman" w:eastAsia="Calibri" w:hAnsi="Times New Roman" w:cs="Times New Roman"/>
          <w:color w:val="000000" w:themeColor="text1"/>
          <w:sz w:val="24"/>
          <w:szCs w:val="24"/>
        </w:rPr>
        <w:t xml:space="preserve">India </w:t>
      </w:r>
      <w:r w:rsidRPr="00597FFB">
        <w:rPr>
          <w:rFonts w:ascii="Times New Roman" w:eastAsia="Calibri" w:hAnsi="Times New Roman" w:cs="Times New Roman"/>
          <w:color w:val="000000" w:themeColor="text1"/>
          <w:sz w:val="24"/>
          <w:szCs w:val="24"/>
        </w:rPr>
        <w:t xml:space="preserve">and </w:t>
      </w:r>
      <w:r w:rsidR="00032C28" w:rsidRPr="00597FFB">
        <w:rPr>
          <w:rFonts w:ascii="Times New Roman" w:eastAsia="Calibri" w:hAnsi="Times New Roman" w:cs="Times New Roman"/>
          <w:color w:val="000000" w:themeColor="text1"/>
          <w:sz w:val="24"/>
          <w:szCs w:val="24"/>
        </w:rPr>
        <w:t>China– being the countries with the highest population</w:t>
      </w:r>
      <w:r w:rsidRPr="00597FFB">
        <w:rPr>
          <w:rFonts w:ascii="Times New Roman" w:eastAsia="Calibri" w:hAnsi="Times New Roman" w:cs="Times New Roman"/>
          <w:color w:val="000000" w:themeColor="text1"/>
          <w:sz w:val="24"/>
          <w:szCs w:val="24"/>
        </w:rPr>
        <w:t xml:space="preserve"> - have </w:t>
      </w:r>
      <w:r w:rsidR="00032C28" w:rsidRPr="00597FFB">
        <w:rPr>
          <w:rFonts w:ascii="Times New Roman" w:eastAsia="Calibri" w:hAnsi="Times New Roman" w:cs="Times New Roman"/>
          <w:color w:val="000000" w:themeColor="text1"/>
          <w:sz w:val="24"/>
          <w:szCs w:val="24"/>
        </w:rPr>
        <w:t>ratified</w:t>
      </w:r>
      <w:r w:rsidRPr="00597FFB">
        <w:rPr>
          <w:rFonts w:ascii="Times New Roman" w:eastAsia="Calibri" w:hAnsi="Times New Roman" w:cs="Times New Roman"/>
          <w:color w:val="000000" w:themeColor="text1"/>
          <w:sz w:val="24"/>
          <w:szCs w:val="24"/>
        </w:rPr>
        <w:t xml:space="preserve"> </w:t>
      </w:r>
      <w:r w:rsidR="00032C28" w:rsidRPr="00597FFB">
        <w:rPr>
          <w:rFonts w:ascii="Times New Roman" w:eastAsia="Calibri" w:hAnsi="Times New Roman" w:cs="Times New Roman"/>
          <w:color w:val="000000" w:themeColor="text1"/>
          <w:sz w:val="24"/>
          <w:szCs w:val="24"/>
        </w:rPr>
        <w:t>E</w:t>
      </w:r>
      <w:r w:rsidRPr="00597FFB">
        <w:rPr>
          <w:rFonts w:ascii="Times New Roman" w:eastAsia="Calibri" w:hAnsi="Times New Roman" w:cs="Times New Roman"/>
          <w:color w:val="000000" w:themeColor="text1"/>
          <w:sz w:val="24"/>
          <w:szCs w:val="24"/>
        </w:rPr>
        <w:t xml:space="preserve">-waste laws, but only </w:t>
      </w:r>
      <w:r w:rsidR="00667D65" w:rsidRPr="00597FFB">
        <w:rPr>
          <w:rFonts w:ascii="Times New Roman" w:eastAsia="Calibri" w:hAnsi="Times New Roman" w:cs="Times New Roman"/>
          <w:color w:val="000000" w:themeColor="text1"/>
          <w:sz w:val="24"/>
          <w:szCs w:val="24"/>
        </w:rPr>
        <w:t>countable</w:t>
      </w:r>
      <w:r w:rsidRPr="00597FFB">
        <w:rPr>
          <w:rFonts w:ascii="Times New Roman" w:eastAsia="Calibri" w:hAnsi="Times New Roman" w:cs="Times New Roman"/>
          <w:color w:val="000000" w:themeColor="text1"/>
          <w:sz w:val="24"/>
          <w:szCs w:val="24"/>
        </w:rPr>
        <w:t xml:space="preserve"> </w:t>
      </w:r>
      <w:r w:rsidR="00667D65" w:rsidRPr="00597FFB">
        <w:rPr>
          <w:rFonts w:ascii="Times New Roman" w:eastAsia="Calibri" w:hAnsi="Times New Roman" w:cs="Times New Roman"/>
          <w:color w:val="000000" w:themeColor="text1"/>
          <w:sz w:val="24"/>
          <w:szCs w:val="24"/>
        </w:rPr>
        <w:t xml:space="preserve">African </w:t>
      </w:r>
      <w:r w:rsidRPr="00597FFB">
        <w:rPr>
          <w:rFonts w:ascii="Times New Roman" w:eastAsia="Calibri" w:hAnsi="Times New Roman" w:cs="Times New Roman"/>
          <w:color w:val="000000" w:themeColor="text1"/>
          <w:sz w:val="24"/>
          <w:szCs w:val="24"/>
        </w:rPr>
        <w:t xml:space="preserve">countries have </w:t>
      </w:r>
      <w:r w:rsidR="00847FE6" w:rsidRPr="00597FFB">
        <w:rPr>
          <w:rFonts w:ascii="Times New Roman" w:eastAsia="Calibri" w:hAnsi="Times New Roman" w:cs="Times New Roman"/>
          <w:color w:val="000000" w:themeColor="text1"/>
          <w:sz w:val="24"/>
          <w:szCs w:val="24"/>
        </w:rPr>
        <w:t xml:space="preserve">legislation </w:t>
      </w:r>
      <w:r w:rsidRPr="00597FFB">
        <w:rPr>
          <w:rFonts w:ascii="Times New Roman" w:eastAsia="Calibri" w:hAnsi="Times New Roman" w:cs="Times New Roman"/>
          <w:color w:val="000000" w:themeColor="text1"/>
          <w:sz w:val="24"/>
          <w:szCs w:val="24"/>
        </w:rPr>
        <w:t xml:space="preserve">and </w:t>
      </w:r>
      <w:r w:rsidR="00847FE6" w:rsidRPr="00597FFB">
        <w:rPr>
          <w:rFonts w:ascii="Times New Roman" w:eastAsia="Calibri" w:hAnsi="Times New Roman" w:cs="Times New Roman"/>
          <w:color w:val="000000" w:themeColor="text1"/>
          <w:sz w:val="24"/>
          <w:szCs w:val="24"/>
        </w:rPr>
        <w:t>regulations that cover E</w:t>
      </w:r>
      <w:r w:rsidRPr="00597FFB">
        <w:rPr>
          <w:rFonts w:ascii="Times New Roman" w:eastAsia="Calibri" w:hAnsi="Times New Roman" w:cs="Times New Roman"/>
          <w:color w:val="000000" w:themeColor="text1"/>
          <w:sz w:val="24"/>
          <w:szCs w:val="24"/>
        </w:rPr>
        <w:t>-waste</w:t>
      </w:r>
      <w:r w:rsidR="00847FE6" w:rsidRPr="00597FFB">
        <w:rPr>
          <w:rFonts w:ascii="Times New Roman" w:eastAsia="Calibri" w:hAnsi="Times New Roman" w:cs="Times New Roman"/>
          <w:color w:val="000000" w:themeColor="text1"/>
          <w:sz w:val="24"/>
          <w:szCs w:val="24"/>
        </w:rPr>
        <w:t xml:space="preserve"> specifically</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rPr>
        <w:t>(Zeng et al., 2017)</w:t>
      </w:r>
      <w:r w:rsidRPr="00597FFB">
        <w:rPr>
          <w:rFonts w:ascii="Times New Roman" w:eastAsia="Calibri" w:hAnsi="Times New Roman" w:cs="Times New Roman"/>
          <w:color w:val="000000" w:themeColor="text1"/>
          <w:sz w:val="24"/>
          <w:szCs w:val="24"/>
        </w:rPr>
        <w:t xml:space="preserve">. Countries </w:t>
      </w:r>
      <w:r w:rsidR="006D422F" w:rsidRPr="00597FFB">
        <w:rPr>
          <w:rFonts w:ascii="Times New Roman" w:eastAsia="Calibri" w:hAnsi="Times New Roman" w:cs="Times New Roman"/>
          <w:color w:val="000000" w:themeColor="text1"/>
          <w:sz w:val="24"/>
          <w:szCs w:val="24"/>
        </w:rPr>
        <w:t>lacking</w:t>
      </w:r>
      <w:r w:rsidRPr="00597FFB">
        <w:rPr>
          <w:rFonts w:ascii="Times New Roman" w:eastAsia="Calibri" w:hAnsi="Times New Roman" w:cs="Times New Roman"/>
          <w:color w:val="000000" w:themeColor="text1"/>
          <w:sz w:val="24"/>
          <w:szCs w:val="24"/>
        </w:rPr>
        <w:t xml:space="preserve"> </w:t>
      </w:r>
      <w:r w:rsidR="006D422F" w:rsidRPr="00597FFB">
        <w:rPr>
          <w:rFonts w:ascii="Times New Roman" w:eastAsia="Calibri" w:hAnsi="Times New Roman" w:cs="Times New Roman"/>
          <w:color w:val="000000" w:themeColor="text1"/>
          <w:sz w:val="24"/>
          <w:szCs w:val="24"/>
        </w:rPr>
        <w:t>E</w:t>
      </w:r>
      <w:r w:rsidRPr="00597FFB">
        <w:rPr>
          <w:rFonts w:ascii="Times New Roman" w:eastAsia="Calibri" w:hAnsi="Times New Roman" w:cs="Times New Roman"/>
          <w:color w:val="000000" w:themeColor="text1"/>
          <w:sz w:val="24"/>
          <w:szCs w:val="24"/>
        </w:rPr>
        <w:t xml:space="preserve">-waste legislation </w:t>
      </w:r>
      <w:r w:rsidR="006D422F" w:rsidRPr="00597FFB">
        <w:rPr>
          <w:rFonts w:ascii="Times New Roman" w:eastAsia="Calibri" w:hAnsi="Times New Roman" w:cs="Times New Roman"/>
          <w:color w:val="000000" w:themeColor="text1"/>
          <w:sz w:val="24"/>
          <w:szCs w:val="24"/>
        </w:rPr>
        <w:t xml:space="preserve">at national level </w:t>
      </w:r>
      <w:r w:rsidRPr="00597FFB">
        <w:rPr>
          <w:rFonts w:ascii="Times New Roman" w:eastAsia="Calibri" w:hAnsi="Times New Roman" w:cs="Times New Roman"/>
          <w:color w:val="000000" w:themeColor="text1"/>
          <w:sz w:val="24"/>
          <w:szCs w:val="24"/>
        </w:rPr>
        <w:t xml:space="preserve">are mainly found in </w:t>
      </w:r>
      <w:r w:rsidR="003175AB" w:rsidRPr="00597FFB">
        <w:rPr>
          <w:rFonts w:ascii="Times New Roman" w:eastAsia="Calibri" w:hAnsi="Times New Roman" w:cs="Times New Roman"/>
          <w:color w:val="000000" w:themeColor="text1"/>
          <w:sz w:val="24"/>
          <w:szCs w:val="24"/>
        </w:rPr>
        <w:t xml:space="preserve">the Caribbean, Central and Eastern </w:t>
      </w:r>
      <w:r w:rsidR="00A05593" w:rsidRPr="00597FFB">
        <w:rPr>
          <w:rFonts w:ascii="Times New Roman" w:eastAsia="Calibri" w:hAnsi="Times New Roman" w:cs="Times New Roman"/>
          <w:color w:val="000000" w:themeColor="text1"/>
          <w:sz w:val="24"/>
          <w:szCs w:val="24"/>
        </w:rPr>
        <w:t>Asia, and</w:t>
      </w:r>
      <w:r w:rsidR="003175AB" w:rsidRPr="00597FFB">
        <w:rPr>
          <w:rFonts w:ascii="Times New Roman" w:eastAsia="Calibri" w:hAnsi="Times New Roman" w:cs="Times New Roman"/>
          <w:color w:val="000000" w:themeColor="text1"/>
          <w:sz w:val="24"/>
          <w:szCs w:val="24"/>
        </w:rPr>
        <w:t xml:space="preserve"> Africa</w:t>
      </w:r>
      <w:r w:rsidRPr="00597FFB">
        <w:rPr>
          <w:rFonts w:ascii="Times New Roman" w:eastAsia="Calibri" w:hAnsi="Times New Roman" w:cs="Times New Roman"/>
          <w:color w:val="000000" w:themeColor="text1"/>
          <w:sz w:val="24"/>
          <w:szCs w:val="24"/>
        </w:rPr>
        <w:t xml:space="preserve">. For some of the countries in these regions, even if they do have such laws, they lack the proper enforcement and implementation systems. Therefore, there is </w:t>
      </w:r>
      <w:r w:rsidR="003175AB" w:rsidRPr="00597FFB">
        <w:rPr>
          <w:rFonts w:ascii="Times New Roman" w:eastAsia="Calibri" w:hAnsi="Times New Roman" w:cs="Times New Roman"/>
          <w:color w:val="000000" w:themeColor="text1"/>
          <w:sz w:val="24"/>
          <w:szCs w:val="24"/>
        </w:rPr>
        <w:t>inadequate</w:t>
      </w:r>
      <w:r w:rsidRPr="00597FFB">
        <w:rPr>
          <w:rFonts w:ascii="Times New Roman" w:eastAsia="Calibri" w:hAnsi="Times New Roman" w:cs="Times New Roman"/>
          <w:color w:val="000000" w:themeColor="text1"/>
          <w:sz w:val="24"/>
          <w:szCs w:val="24"/>
        </w:rPr>
        <w:t xml:space="preserve"> </w:t>
      </w:r>
      <w:r w:rsidR="003175AB" w:rsidRPr="00597FFB">
        <w:rPr>
          <w:rFonts w:ascii="Times New Roman" w:eastAsia="Calibri" w:hAnsi="Times New Roman" w:cs="Times New Roman"/>
          <w:color w:val="000000" w:themeColor="text1"/>
          <w:sz w:val="24"/>
          <w:szCs w:val="24"/>
        </w:rPr>
        <w:t xml:space="preserve">effectiveness of </w:t>
      </w:r>
      <w:r w:rsidRPr="00597FFB">
        <w:rPr>
          <w:rFonts w:ascii="Times New Roman" w:eastAsia="Calibri" w:hAnsi="Times New Roman" w:cs="Times New Roman"/>
          <w:color w:val="000000" w:themeColor="text1"/>
          <w:sz w:val="24"/>
          <w:szCs w:val="24"/>
        </w:rPr>
        <w:t xml:space="preserve">policy measures such as </w:t>
      </w:r>
      <w:r w:rsidR="003175AB" w:rsidRPr="00597FFB">
        <w:rPr>
          <w:rFonts w:ascii="Times New Roman" w:eastAsia="Calibri" w:hAnsi="Times New Roman" w:cs="Times New Roman"/>
          <w:color w:val="000000" w:themeColor="text1"/>
          <w:sz w:val="24"/>
          <w:szCs w:val="24"/>
        </w:rPr>
        <w:t xml:space="preserve">targets for </w:t>
      </w:r>
      <w:r w:rsidRPr="00597FFB">
        <w:rPr>
          <w:rFonts w:ascii="Times New Roman" w:eastAsia="Calibri" w:hAnsi="Times New Roman" w:cs="Times New Roman"/>
          <w:color w:val="000000" w:themeColor="text1"/>
          <w:sz w:val="24"/>
          <w:szCs w:val="24"/>
        </w:rPr>
        <w:t>collectin</w:t>
      </w:r>
      <w:r w:rsidR="003175AB" w:rsidRPr="00597FFB">
        <w:rPr>
          <w:rFonts w:ascii="Times New Roman" w:eastAsia="Calibri" w:hAnsi="Times New Roman" w:cs="Times New Roman"/>
          <w:color w:val="000000" w:themeColor="text1"/>
          <w:sz w:val="24"/>
          <w:szCs w:val="24"/>
        </w:rPr>
        <w:t>g</w:t>
      </w:r>
      <w:r w:rsidRPr="00597FFB">
        <w:rPr>
          <w:rFonts w:ascii="Times New Roman" w:eastAsia="Calibri" w:hAnsi="Times New Roman" w:cs="Times New Roman"/>
          <w:color w:val="000000" w:themeColor="text1"/>
          <w:sz w:val="24"/>
          <w:szCs w:val="24"/>
        </w:rPr>
        <w:t xml:space="preserve"> and recycling, and, </w:t>
      </w:r>
      <w:r w:rsidR="006D422F" w:rsidRPr="00597FFB">
        <w:rPr>
          <w:rFonts w:ascii="Times New Roman" w:eastAsia="Calibri" w:hAnsi="Times New Roman" w:cs="Times New Roman"/>
          <w:color w:val="000000" w:themeColor="text1"/>
          <w:sz w:val="24"/>
          <w:szCs w:val="24"/>
        </w:rPr>
        <w:t>subsequently</w:t>
      </w:r>
      <w:r w:rsidRPr="00597FFB">
        <w:rPr>
          <w:rFonts w:ascii="Times New Roman" w:eastAsia="Calibri" w:hAnsi="Times New Roman" w:cs="Times New Roman"/>
          <w:color w:val="000000" w:themeColor="text1"/>
          <w:sz w:val="24"/>
          <w:szCs w:val="24"/>
        </w:rPr>
        <w:t xml:space="preserve">, legislation </w:t>
      </w:r>
      <w:r w:rsidR="006D422F" w:rsidRPr="00597FFB">
        <w:rPr>
          <w:rFonts w:ascii="Times New Roman" w:eastAsia="Calibri" w:hAnsi="Times New Roman" w:cs="Times New Roman"/>
          <w:color w:val="000000" w:themeColor="text1"/>
          <w:sz w:val="24"/>
          <w:szCs w:val="24"/>
        </w:rPr>
        <w:t>may fail to</w:t>
      </w:r>
      <w:r w:rsidRPr="00597FFB">
        <w:rPr>
          <w:rFonts w:ascii="Times New Roman" w:eastAsia="Calibri" w:hAnsi="Times New Roman" w:cs="Times New Roman"/>
          <w:color w:val="000000" w:themeColor="text1"/>
          <w:sz w:val="24"/>
          <w:szCs w:val="24"/>
        </w:rPr>
        <w:t xml:space="preserve"> </w:t>
      </w:r>
      <w:r w:rsidR="006D422F" w:rsidRPr="00597FFB">
        <w:rPr>
          <w:rFonts w:ascii="Times New Roman" w:eastAsia="Calibri" w:hAnsi="Times New Roman" w:cs="Times New Roman"/>
          <w:color w:val="000000" w:themeColor="text1"/>
          <w:sz w:val="24"/>
          <w:szCs w:val="24"/>
        </w:rPr>
        <w:t>turn</w:t>
      </w:r>
      <w:r w:rsidRPr="00597FFB">
        <w:rPr>
          <w:rFonts w:ascii="Times New Roman" w:eastAsia="Calibri" w:hAnsi="Times New Roman" w:cs="Times New Roman"/>
          <w:color w:val="000000" w:themeColor="text1"/>
          <w:sz w:val="24"/>
          <w:szCs w:val="24"/>
        </w:rPr>
        <w:t xml:space="preserve"> </w:t>
      </w:r>
      <w:r w:rsidR="006D422F" w:rsidRPr="00597FFB">
        <w:rPr>
          <w:rFonts w:ascii="Times New Roman" w:eastAsia="Calibri" w:hAnsi="Times New Roman" w:cs="Times New Roman"/>
          <w:color w:val="000000" w:themeColor="text1"/>
          <w:sz w:val="24"/>
          <w:szCs w:val="24"/>
        </w:rPr>
        <w:t>in</w:t>
      </w:r>
      <w:r w:rsidRPr="00597FFB">
        <w:rPr>
          <w:rFonts w:ascii="Times New Roman" w:eastAsia="Calibri" w:hAnsi="Times New Roman" w:cs="Times New Roman"/>
          <w:color w:val="000000" w:themeColor="text1"/>
          <w:sz w:val="24"/>
          <w:szCs w:val="24"/>
        </w:rPr>
        <w:t xml:space="preserve">to action </w:t>
      </w:r>
      <w:r w:rsidRPr="00597FFB">
        <w:rPr>
          <w:rFonts w:ascii="Times New Roman" w:eastAsiaTheme="minorHAnsi" w:hAnsi="Times New Roman" w:cs="Times New Roman"/>
          <w:color w:val="000000" w:themeColor="text1"/>
          <w:sz w:val="24"/>
        </w:rPr>
        <w:t>(Wang, 2019)</w:t>
      </w:r>
      <w:r w:rsidRPr="00597FFB">
        <w:rPr>
          <w:rFonts w:ascii="Times New Roman" w:eastAsia="Calibri" w:hAnsi="Times New Roman" w:cs="Times New Roman"/>
          <w:color w:val="000000" w:themeColor="text1"/>
          <w:sz w:val="24"/>
          <w:szCs w:val="24"/>
        </w:rPr>
        <w:t>.</w:t>
      </w:r>
    </w:p>
    <w:p w14:paraId="1AB397C1" w14:textId="6BD86F9A" w:rsidR="0003140E" w:rsidRPr="00597FFB" w:rsidRDefault="0038094E"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94" w:name="_Toc127170271"/>
      <w:r w:rsidRPr="00597FFB">
        <w:rPr>
          <w:rFonts w:ascii="Times New Roman" w:eastAsia="Calibri" w:hAnsi="Times New Roman" w:cs="Times New Roman"/>
          <w:i/>
          <w:iCs/>
          <w:color w:val="000000" w:themeColor="text1"/>
          <w:sz w:val="24"/>
          <w:szCs w:val="24"/>
        </w:rPr>
        <w:t xml:space="preserve">2.2.3. </w:t>
      </w:r>
      <w:r w:rsidR="0003140E" w:rsidRPr="00597FFB">
        <w:rPr>
          <w:rFonts w:ascii="Times New Roman" w:eastAsia="Calibri" w:hAnsi="Times New Roman" w:cs="Times New Roman"/>
          <w:i/>
          <w:iCs/>
          <w:color w:val="000000" w:themeColor="text1"/>
          <w:sz w:val="24"/>
          <w:szCs w:val="24"/>
        </w:rPr>
        <w:t>Consumers</w:t>
      </w:r>
      <w:r w:rsidR="007D28AC" w:rsidRPr="00597FFB">
        <w:rPr>
          <w:rFonts w:ascii="Times New Roman" w:eastAsia="Calibri" w:hAnsi="Times New Roman" w:cs="Times New Roman"/>
          <w:i/>
          <w:iCs/>
          <w:color w:val="000000" w:themeColor="text1"/>
          <w:sz w:val="24"/>
          <w:szCs w:val="24"/>
        </w:rPr>
        <w:t>.</w:t>
      </w:r>
      <w:bookmarkEnd w:id="94"/>
    </w:p>
    <w:p w14:paraId="76D18201" w14:textId="2F16A34E"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The world today is characterized by a “throwaway” culture</w:t>
      </w:r>
      <w:r w:rsidR="004C233F" w:rsidRPr="00597FFB">
        <w:rPr>
          <w:rFonts w:ascii="Times New Roman" w:eastAsiaTheme="minorHAnsi" w:hAnsi="Times New Roman" w:cs="Times New Roman"/>
          <w:color w:val="000000" w:themeColor="text1"/>
          <w:sz w:val="24"/>
          <w:szCs w:val="24"/>
        </w:rPr>
        <w:t>, which</w:t>
      </w:r>
      <w:r w:rsidRPr="00597FFB">
        <w:rPr>
          <w:rFonts w:ascii="Times New Roman" w:eastAsiaTheme="minorHAnsi" w:hAnsi="Times New Roman" w:cs="Times New Roman"/>
          <w:color w:val="000000" w:themeColor="text1"/>
          <w:sz w:val="24"/>
          <w:szCs w:val="24"/>
        </w:rPr>
        <w:t xml:space="preserve"> is characterized by a</w:t>
      </w:r>
      <w:r w:rsidR="004C233F" w:rsidRPr="00597FFB">
        <w:rPr>
          <w:rFonts w:ascii="Times New Roman" w:eastAsiaTheme="minorHAnsi" w:hAnsi="Times New Roman" w:cs="Times New Roman"/>
          <w:color w:val="000000" w:themeColor="text1"/>
          <w:sz w:val="24"/>
          <w:szCs w:val="24"/>
        </w:rPr>
        <w:t xml:space="preserve"> discard-and-buy </w:t>
      </w:r>
      <w:r w:rsidRPr="00597FFB">
        <w:rPr>
          <w:rFonts w:ascii="Times New Roman" w:eastAsiaTheme="minorHAnsi" w:hAnsi="Times New Roman" w:cs="Times New Roman"/>
          <w:color w:val="000000" w:themeColor="text1"/>
          <w:sz w:val="24"/>
          <w:szCs w:val="24"/>
        </w:rPr>
        <w:t xml:space="preserve">attitude </w:t>
      </w:r>
      <w:r w:rsidR="004C233F" w:rsidRPr="00597FFB">
        <w:rPr>
          <w:rFonts w:ascii="Times New Roman" w:eastAsiaTheme="minorHAnsi" w:hAnsi="Times New Roman" w:cs="Times New Roman"/>
          <w:color w:val="000000" w:themeColor="text1"/>
          <w:sz w:val="24"/>
          <w:szCs w:val="24"/>
        </w:rPr>
        <w:t>as opposed to</w:t>
      </w:r>
      <w:r w:rsidRPr="00597FFB">
        <w:rPr>
          <w:rFonts w:ascii="Times New Roman" w:eastAsiaTheme="minorHAnsi" w:hAnsi="Times New Roman" w:cs="Times New Roman"/>
          <w:color w:val="000000" w:themeColor="text1"/>
          <w:sz w:val="24"/>
          <w:szCs w:val="24"/>
        </w:rPr>
        <w:t xml:space="preserve"> </w:t>
      </w:r>
      <w:r w:rsidR="004C233F" w:rsidRPr="00597FFB">
        <w:rPr>
          <w:rFonts w:ascii="Times New Roman" w:eastAsiaTheme="minorHAnsi" w:hAnsi="Times New Roman" w:cs="Times New Roman"/>
          <w:color w:val="000000" w:themeColor="text1"/>
          <w:sz w:val="24"/>
          <w:szCs w:val="24"/>
        </w:rPr>
        <w:t xml:space="preserve">a </w:t>
      </w:r>
      <w:r w:rsidRPr="00597FFB">
        <w:rPr>
          <w:rFonts w:ascii="Times New Roman" w:eastAsiaTheme="minorHAnsi" w:hAnsi="Times New Roman" w:cs="Times New Roman"/>
          <w:color w:val="000000" w:themeColor="text1"/>
          <w:sz w:val="24"/>
          <w:szCs w:val="24"/>
        </w:rPr>
        <w:t>repair</w:t>
      </w:r>
      <w:r w:rsidR="004C233F" w:rsidRPr="00597FFB">
        <w:rPr>
          <w:rFonts w:ascii="Times New Roman" w:eastAsiaTheme="minorHAnsi" w:hAnsi="Times New Roman" w:cs="Times New Roman"/>
          <w:color w:val="000000" w:themeColor="text1"/>
          <w:sz w:val="24"/>
          <w:szCs w:val="24"/>
        </w:rPr>
        <w:t>-</w:t>
      </w:r>
      <w:r w:rsidRPr="00597FFB">
        <w:rPr>
          <w:rFonts w:ascii="Times New Roman" w:eastAsiaTheme="minorHAnsi" w:hAnsi="Times New Roman" w:cs="Times New Roman"/>
          <w:color w:val="000000" w:themeColor="text1"/>
          <w:sz w:val="24"/>
          <w:szCs w:val="24"/>
        </w:rPr>
        <w:t>and</w:t>
      </w:r>
      <w:r w:rsidR="004C233F" w:rsidRPr="00597FFB">
        <w:rPr>
          <w:rFonts w:ascii="Times New Roman" w:eastAsiaTheme="minorHAnsi" w:hAnsi="Times New Roman" w:cs="Times New Roman"/>
          <w:color w:val="000000" w:themeColor="text1"/>
          <w:sz w:val="24"/>
          <w:szCs w:val="24"/>
        </w:rPr>
        <w:t>-</w:t>
      </w:r>
      <w:r w:rsidRPr="00597FFB">
        <w:rPr>
          <w:rFonts w:ascii="Times New Roman" w:eastAsiaTheme="minorHAnsi" w:hAnsi="Times New Roman" w:cs="Times New Roman"/>
          <w:color w:val="000000" w:themeColor="text1"/>
          <w:sz w:val="24"/>
          <w:szCs w:val="24"/>
        </w:rPr>
        <w:t>reus</w:t>
      </w:r>
      <w:r w:rsidR="004C233F" w:rsidRPr="00597FFB">
        <w:rPr>
          <w:rFonts w:ascii="Times New Roman" w:eastAsiaTheme="minorHAnsi" w:hAnsi="Times New Roman" w:cs="Times New Roman"/>
          <w:color w:val="000000" w:themeColor="text1"/>
          <w:sz w:val="24"/>
          <w:szCs w:val="24"/>
        </w:rPr>
        <w:t>e attitude of</w:t>
      </w:r>
      <w:r w:rsidRPr="00597FFB">
        <w:rPr>
          <w:rFonts w:ascii="Times New Roman" w:eastAsiaTheme="minorHAnsi" w:hAnsi="Times New Roman" w:cs="Times New Roman"/>
          <w:color w:val="000000" w:themeColor="text1"/>
          <w:sz w:val="24"/>
          <w:szCs w:val="24"/>
        </w:rPr>
        <w:t xml:space="preserve"> the same </w:t>
      </w:r>
      <w:r w:rsidR="004C233F" w:rsidRPr="00597FFB">
        <w:rPr>
          <w:rFonts w:ascii="Times New Roman" w:eastAsiaTheme="minorHAnsi" w:hAnsi="Times New Roman" w:cs="Times New Roman"/>
          <w:color w:val="000000" w:themeColor="text1"/>
          <w:sz w:val="24"/>
          <w:szCs w:val="24"/>
        </w:rPr>
        <w:t>device</w:t>
      </w:r>
      <w:r w:rsidRPr="00597FFB">
        <w:rPr>
          <w:rFonts w:ascii="Times New Roman" w:eastAsiaTheme="minorHAnsi" w:hAnsi="Times New Roman" w:cs="Times New Roman"/>
          <w:color w:val="000000" w:themeColor="text1"/>
          <w:sz w:val="24"/>
          <w:szCs w:val="24"/>
        </w:rPr>
        <w:t>. This behavior</w:t>
      </w:r>
      <w:r w:rsidR="004C233F" w:rsidRPr="00597FFB">
        <w:rPr>
          <w:rFonts w:ascii="Times New Roman" w:eastAsiaTheme="minorHAnsi" w:hAnsi="Times New Roman" w:cs="Times New Roman"/>
          <w:color w:val="000000" w:themeColor="text1"/>
          <w:sz w:val="24"/>
          <w:szCs w:val="24"/>
        </w:rPr>
        <w:t>al tendency</w:t>
      </w:r>
      <w:r w:rsidRPr="00597FFB">
        <w:rPr>
          <w:rFonts w:ascii="Times New Roman" w:eastAsiaTheme="minorHAnsi" w:hAnsi="Times New Roman" w:cs="Times New Roman"/>
          <w:color w:val="000000" w:themeColor="text1"/>
          <w:sz w:val="24"/>
          <w:szCs w:val="24"/>
        </w:rPr>
        <w:t xml:space="preserve"> </w:t>
      </w:r>
      <w:r w:rsidR="004C233F" w:rsidRPr="00597FFB">
        <w:rPr>
          <w:rFonts w:ascii="Times New Roman" w:eastAsiaTheme="minorHAnsi" w:hAnsi="Times New Roman" w:cs="Times New Roman"/>
          <w:color w:val="000000" w:themeColor="text1"/>
          <w:sz w:val="24"/>
          <w:szCs w:val="24"/>
        </w:rPr>
        <w:t>is attributed to</w:t>
      </w:r>
      <w:r w:rsidRPr="00597FFB">
        <w:rPr>
          <w:rFonts w:ascii="Times New Roman" w:eastAsiaTheme="minorHAnsi" w:hAnsi="Times New Roman" w:cs="Times New Roman"/>
          <w:color w:val="000000" w:themeColor="text1"/>
          <w:sz w:val="24"/>
          <w:szCs w:val="24"/>
        </w:rPr>
        <w:t xml:space="preserve"> repairing defective equipment is often not worthwhile, since doing so involves warranty, data security and functionality issues </w:t>
      </w:r>
      <w:sdt>
        <w:sdtPr>
          <w:rPr>
            <w:rFonts w:ascii="Times New Roman" w:eastAsiaTheme="minorHAnsi" w:hAnsi="Times New Roman" w:cs="Times New Roman"/>
            <w:color w:val="000000" w:themeColor="text1"/>
            <w:sz w:val="24"/>
            <w:szCs w:val="24"/>
          </w:rPr>
          <w:id w:val="2004930053"/>
          <w:citation/>
        </w:sdtPr>
        <w:sdtContent>
          <w:r w:rsidRPr="00597FFB">
            <w:rPr>
              <w:rFonts w:ascii="Times New Roman" w:eastAsiaTheme="minorHAnsi" w:hAnsi="Times New Roman" w:cs="Times New Roman"/>
              <w:color w:val="000000" w:themeColor="text1"/>
              <w:sz w:val="24"/>
              <w:szCs w:val="24"/>
            </w:rPr>
            <w:fldChar w:fldCharType="begin"/>
          </w:r>
          <w:r w:rsidRPr="00597FFB">
            <w:rPr>
              <w:rFonts w:ascii="Times New Roman" w:eastAsiaTheme="minorHAnsi" w:hAnsi="Times New Roman" w:cs="Times New Roman"/>
              <w:color w:val="000000" w:themeColor="text1"/>
              <w:sz w:val="24"/>
              <w:szCs w:val="24"/>
            </w:rPr>
            <w:instrText xml:space="preserve"> CITATION Pon19 \l 1033 </w:instrText>
          </w:r>
          <w:r w:rsidRPr="00597FFB">
            <w:rPr>
              <w:rFonts w:ascii="Times New Roman" w:eastAsiaTheme="minorHAnsi" w:hAnsi="Times New Roman" w:cs="Times New Roman"/>
              <w:color w:val="000000" w:themeColor="text1"/>
              <w:sz w:val="24"/>
              <w:szCs w:val="24"/>
            </w:rPr>
            <w:fldChar w:fldCharType="separate"/>
          </w:r>
          <w:r w:rsidR="00F82F75" w:rsidRPr="00597FFB">
            <w:rPr>
              <w:rFonts w:ascii="Times New Roman" w:eastAsiaTheme="minorHAnsi" w:hAnsi="Times New Roman" w:cs="Times New Roman"/>
              <w:noProof/>
              <w:color w:val="000000" w:themeColor="text1"/>
              <w:sz w:val="24"/>
              <w:szCs w:val="24"/>
            </w:rPr>
            <w:t>(Pont, Robles, &amp; Gil, 2019)</w:t>
          </w:r>
          <w:r w:rsidRPr="00597FFB">
            <w:rPr>
              <w:rFonts w:ascii="Times New Roman" w:eastAsiaTheme="minorHAnsi" w:hAnsi="Times New Roman" w:cs="Times New Roman"/>
              <w:color w:val="000000" w:themeColor="text1"/>
              <w:sz w:val="24"/>
              <w:szCs w:val="24"/>
            </w:rPr>
            <w:fldChar w:fldCharType="end"/>
          </w:r>
        </w:sdtContent>
      </w:sdt>
      <w:r w:rsidRPr="00597FFB">
        <w:rPr>
          <w:rFonts w:ascii="Times New Roman" w:eastAsiaTheme="minorHAnsi" w:hAnsi="Times New Roman" w:cs="Times New Roman"/>
          <w:color w:val="000000" w:themeColor="text1"/>
          <w:sz w:val="24"/>
          <w:szCs w:val="24"/>
        </w:rPr>
        <w:t xml:space="preserve">. Another possible reason is that the </w:t>
      </w:r>
      <w:r w:rsidR="004C233F" w:rsidRPr="00597FFB">
        <w:rPr>
          <w:rFonts w:ascii="Times New Roman" w:eastAsiaTheme="minorHAnsi" w:hAnsi="Times New Roman" w:cs="Times New Roman"/>
          <w:color w:val="000000" w:themeColor="text1"/>
          <w:sz w:val="24"/>
          <w:szCs w:val="24"/>
        </w:rPr>
        <w:t>increase in</w:t>
      </w:r>
      <w:r w:rsidRPr="00597FFB">
        <w:rPr>
          <w:rFonts w:ascii="Times New Roman" w:eastAsiaTheme="minorHAnsi" w:hAnsi="Times New Roman" w:cs="Times New Roman"/>
          <w:color w:val="000000" w:themeColor="text1"/>
          <w:sz w:val="24"/>
          <w:szCs w:val="24"/>
        </w:rPr>
        <w:t xml:space="preserve"> middle class purchases </w:t>
      </w:r>
      <w:r w:rsidR="004C233F" w:rsidRPr="00597FFB">
        <w:rPr>
          <w:rFonts w:ascii="Times New Roman" w:eastAsiaTheme="minorHAnsi" w:hAnsi="Times New Roman" w:cs="Times New Roman"/>
          <w:color w:val="000000" w:themeColor="text1"/>
          <w:sz w:val="24"/>
          <w:szCs w:val="24"/>
        </w:rPr>
        <w:t xml:space="preserve">of </w:t>
      </w:r>
      <w:r w:rsidRPr="00597FFB">
        <w:rPr>
          <w:rFonts w:ascii="Times New Roman" w:eastAsiaTheme="minorHAnsi" w:hAnsi="Times New Roman" w:cs="Times New Roman"/>
          <w:color w:val="000000" w:themeColor="text1"/>
          <w:sz w:val="24"/>
          <w:szCs w:val="24"/>
        </w:rPr>
        <w:t xml:space="preserve">new </w:t>
      </w:r>
      <w:r w:rsidR="004C233F" w:rsidRPr="00597FFB">
        <w:rPr>
          <w:rFonts w:ascii="Times New Roman" w:eastAsiaTheme="minorHAnsi" w:hAnsi="Times New Roman" w:cs="Times New Roman"/>
          <w:color w:val="000000" w:themeColor="text1"/>
          <w:sz w:val="24"/>
          <w:szCs w:val="24"/>
        </w:rPr>
        <w:t xml:space="preserve">goods/services </w:t>
      </w:r>
      <w:r w:rsidRPr="00597FFB">
        <w:rPr>
          <w:rFonts w:ascii="Times New Roman" w:eastAsiaTheme="minorHAnsi" w:hAnsi="Times New Roman" w:cs="Times New Roman"/>
          <w:color w:val="000000" w:themeColor="text1"/>
          <w:sz w:val="24"/>
          <w:szCs w:val="24"/>
        </w:rPr>
        <w:t xml:space="preserve">or </w:t>
      </w:r>
      <w:r w:rsidR="004C233F" w:rsidRPr="00597FFB">
        <w:rPr>
          <w:rFonts w:ascii="Times New Roman" w:eastAsiaTheme="minorHAnsi" w:hAnsi="Times New Roman" w:cs="Times New Roman"/>
          <w:color w:val="000000" w:themeColor="text1"/>
          <w:sz w:val="24"/>
          <w:szCs w:val="24"/>
        </w:rPr>
        <w:t xml:space="preserve">equipment for social recognition and </w:t>
      </w:r>
      <w:r w:rsidRPr="00597FFB">
        <w:rPr>
          <w:rFonts w:ascii="Times New Roman" w:eastAsiaTheme="minorHAnsi" w:hAnsi="Times New Roman" w:cs="Times New Roman"/>
          <w:color w:val="000000" w:themeColor="text1"/>
          <w:sz w:val="24"/>
          <w:szCs w:val="24"/>
        </w:rPr>
        <w:t xml:space="preserve">as a status symbol </w:t>
      </w:r>
      <w:r w:rsidRPr="00597FFB">
        <w:rPr>
          <w:rFonts w:ascii="Times New Roman" w:eastAsiaTheme="minorHAnsi" w:hAnsi="Times New Roman" w:cs="Times New Roman"/>
          <w:color w:val="000000" w:themeColor="text1"/>
          <w:sz w:val="24"/>
        </w:rPr>
        <w:t>(Duan et al., 2019)</w:t>
      </w:r>
      <w:r w:rsidRPr="00597FFB">
        <w:rPr>
          <w:rFonts w:ascii="Times New Roman" w:eastAsiaTheme="minorHAnsi" w:hAnsi="Times New Roman" w:cs="Times New Roman"/>
          <w:color w:val="000000" w:themeColor="text1"/>
          <w:sz w:val="24"/>
          <w:szCs w:val="24"/>
        </w:rPr>
        <w:t>.</w:t>
      </w:r>
    </w:p>
    <w:p w14:paraId="5E7557B9" w14:textId="644E08CB" w:rsidR="0003140E" w:rsidRPr="00597FFB" w:rsidRDefault="004C233F" w:rsidP="00A558FE">
      <w:pPr>
        <w:spacing w:line="480" w:lineRule="auto"/>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Besides</w:t>
      </w:r>
      <w:r w:rsidR="0003140E" w:rsidRPr="00597FFB">
        <w:rPr>
          <w:rFonts w:ascii="Times New Roman" w:eastAsiaTheme="minorHAnsi" w:hAnsi="Times New Roman" w:cs="Times New Roman"/>
          <w:color w:val="000000" w:themeColor="text1"/>
          <w:sz w:val="24"/>
          <w:szCs w:val="24"/>
        </w:rPr>
        <w:t xml:space="preserve"> behavioral </w:t>
      </w:r>
      <w:r w:rsidR="00EF01AD" w:rsidRPr="00597FFB">
        <w:rPr>
          <w:rFonts w:ascii="Times New Roman" w:eastAsiaTheme="minorHAnsi" w:hAnsi="Times New Roman" w:cs="Times New Roman"/>
          <w:color w:val="000000" w:themeColor="text1"/>
          <w:sz w:val="24"/>
          <w:szCs w:val="24"/>
        </w:rPr>
        <w:t>subjective norms (relating to peer pressure of owning the best and latest devices), perceived behavioral control</w:t>
      </w:r>
      <w:r w:rsidR="0003140E" w:rsidRPr="00597FFB">
        <w:rPr>
          <w:rFonts w:ascii="Times New Roman" w:eastAsiaTheme="minorHAnsi" w:hAnsi="Times New Roman" w:cs="Times New Roman"/>
          <w:color w:val="000000" w:themeColor="text1"/>
          <w:sz w:val="24"/>
          <w:szCs w:val="24"/>
        </w:rPr>
        <w:t xml:space="preserve">, and </w:t>
      </w:r>
      <w:r w:rsidR="00EF01AD" w:rsidRPr="00597FFB">
        <w:rPr>
          <w:rFonts w:ascii="Times New Roman" w:eastAsiaTheme="minorHAnsi" w:hAnsi="Times New Roman" w:cs="Times New Roman"/>
          <w:color w:val="000000" w:themeColor="text1"/>
          <w:sz w:val="24"/>
          <w:szCs w:val="24"/>
        </w:rPr>
        <w:t xml:space="preserve">attitudes </w:t>
      </w:r>
      <w:r w:rsidR="0003140E" w:rsidRPr="00597FFB">
        <w:rPr>
          <w:rFonts w:ascii="Times New Roman" w:eastAsiaTheme="minorHAnsi" w:hAnsi="Times New Roman" w:cs="Times New Roman"/>
          <w:color w:val="000000" w:themeColor="text1"/>
          <w:sz w:val="24"/>
          <w:szCs w:val="24"/>
        </w:rPr>
        <w:t xml:space="preserve">are </w:t>
      </w:r>
      <w:r w:rsidR="00EF01AD" w:rsidRPr="00597FFB">
        <w:rPr>
          <w:rFonts w:ascii="Times New Roman" w:eastAsiaTheme="minorHAnsi" w:hAnsi="Times New Roman" w:cs="Times New Roman"/>
          <w:color w:val="000000" w:themeColor="text1"/>
          <w:sz w:val="24"/>
          <w:szCs w:val="24"/>
        </w:rPr>
        <w:t>vital</w:t>
      </w:r>
      <w:r w:rsidR="0003140E" w:rsidRPr="00597FFB">
        <w:rPr>
          <w:rFonts w:ascii="Times New Roman" w:eastAsiaTheme="minorHAnsi" w:hAnsi="Times New Roman" w:cs="Times New Roman"/>
          <w:color w:val="000000" w:themeColor="text1"/>
          <w:sz w:val="24"/>
          <w:szCs w:val="24"/>
        </w:rPr>
        <w:t xml:space="preserve"> influ</w:t>
      </w:r>
      <w:r w:rsidR="00EF01AD" w:rsidRPr="00597FFB">
        <w:rPr>
          <w:rFonts w:ascii="Times New Roman" w:eastAsiaTheme="minorHAnsi" w:hAnsi="Times New Roman" w:cs="Times New Roman"/>
          <w:color w:val="000000" w:themeColor="text1"/>
          <w:sz w:val="24"/>
          <w:szCs w:val="24"/>
        </w:rPr>
        <w:t xml:space="preserve">ential </w:t>
      </w:r>
      <w:r w:rsidR="0003140E" w:rsidRPr="00597FFB">
        <w:rPr>
          <w:rFonts w:ascii="Times New Roman" w:eastAsiaTheme="minorHAnsi" w:hAnsi="Times New Roman" w:cs="Times New Roman"/>
          <w:color w:val="000000" w:themeColor="text1"/>
          <w:sz w:val="24"/>
          <w:szCs w:val="24"/>
        </w:rPr>
        <w:t>factors</w:t>
      </w:r>
      <w:r w:rsidR="0003140E" w:rsidRPr="00597FFB">
        <w:rPr>
          <w:rFonts w:ascii="Times New Roman" w:eastAsia="Calibri" w:hAnsi="Times New Roman" w:cs="Times New Roman"/>
          <w:color w:val="000000" w:themeColor="text1"/>
          <w:sz w:val="24"/>
          <w:szCs w:val="24"/>
        </w:rPr>
        <w:t xml:space="preserve">. </w:t>
      </w:r>
      <w:r w:rsidR="00EF01AD" w:rsidRPr="00597FFB">
        <w:rPr>
          <w:rFonts w:ascii="Times New Roman" w:eastAsia="Calibri" w:hAnsi="Times New Roman" w:cs="Times New Roman"/>
          <w:color w:val="000000" w:themeColor="text1"/>
          <w:sz w:val="24"/>
          <w:szCs w:val="24"/>
        </w:rPr>
        <w:t>Other</w:t>
      </w:r>
      <w:r w:rsidR="0003140E" w:rsidRPr="00597FFB">
        <w:rPr>
          <w:rFonts w:ascii="Times New Roman" w:eastAsiaTheme="minorHAnsi" w:hAnsi="Times New Roman" w:cs="Times New Roman"/>
          <w:color w:val="000000" w:themeColor="text1"/>
          <w:sz w:val="24"/>
          <w:szCs w:val="24"/>
        </w:rPr>
        <w:t xml:space="preserve"> factors </w:t>
      </w:r>
      <w:r w:rsidR="00EF01AD" w:rsidRPr="00597FFB">
        <w:rPr>
          <w:rFonts w:ascii="Times New Roman" w:eastAsiaTheme="minorHAnsi" w:hAnsi="Times New Roman" w:cs="Times New Roman"/>
          <w:color w:val="000000" w:themeColor="text1"/>
          <w:sz w:val="24"/>
          <w:szCs w:val="24"/>
        </w:rPr>
        <w:t>responsible for moderating</w:t>
      </w:r>
      <w:r w:rsidR="0003140E" w:rsidRPr="00597FFB">
        <w:rPr>
          <w:rFonts w:ascii="Times New Roman" w:eastAsiaTheme="minorHAnsi" w:hAnsi="Times New Roman" w:cs="Times New Roman"/>
          <w:color w:val="000000" w:themeColor="text1"/>
          <w:sz w:val="24"/>
          <w:szCs w:val="24"/>
        </w:rPr>
        <w:t xml:space="preserve"> consumer behavior</w:t>
      </w:r>
      <w:r w:rsidR="00EF01AD" w:rsidRPr="00597FFB">
        <w:rPr>
          <w:rFonts w:ascii="Times New Roman" w:eastAsiaTheme="minorHAnsi" w:hAnsi="Times New Roman" w:cs="Times New Roman"/>
          <w:color w:val="000000" w:themeColor="text1"/>
          <w:sz w:val="24"/>
          <w:szCs w:val="24"/>
        </w:rPr>
        <w:t xml:space="preserve">, </w:t>
      </w:r>
      <w:r w:rsidR="0003140E" w:rsidRPr="00597FFB">
        <w:rPr>
          <w:rFonts w:ascii="Times New Roman" w:eastAsiaTheme="minorHAnsi" w:hAnsi="Times New Roman" w:cs="Times New Roman"/>
          <w:color w:val="000000" w:themeColor="text1"/>
          <w:sz w:val="24"/>
          <w:szCs w:val="24"/>
        </w:rPr>
        <w:t xml:space="preserve">disposal and </w:t>
      </w:r>
      <w:r w:rsidR="00EF01AD" w:rsidRPr="00597FFB">
        <w:rPr>
          <w:rFonts w:ascii="Times New Roman" w:eastAsiaTheme="minorHAnsi" w:hAnsi="Times New Roman" w:cs="Times New Roman"/>
          <w:color w:val="000000" w:themeColor="text1"/>
          <w:sz w:val="24"/>
          <w:szCs w:val="24"/>
        </w:rPr>
        <w:t xml:space="preserve">intention to </w:t>
      </w:r>
      <w:r w:rsidR="0003140E" w:rsidRPr="00597FFB">
        <w:rPr>
          <w:rFonts w:ascii="Times New Roman" w:eastAsiaTheme="minorHAnsi" w:hAnsi="Times New Roman" w:cs="Times New Roman"/>
          <w:color w:val="000000" w:themeColor="text1"/>
          <w:sz w:val="24"/>
          <w:szCs w:val="24"/>
        </w:rPr>
        <w:t>recycl</w:t>
      </w:r>
      <w:r w:rsidR="00EF01AD" w:rsidRPr="00597FFB">
        <w:rPr>
          <w:rFonts w:ascii="Times New Roman" w:eastAsiaTheme="minorHAnsi" w:hAnsi="Times New Roman" w:cs="Times New Roman"/>
          <w:color w:val="000000" w:themeColor="text1"/>
          <w:sz w:val="24"/>
          <w:szCs w:val="24"/>
        </w:rPr>
        <w:t>e</w:t>
      </w:r>
      <w:r w:rsidR="0003140E" w:rsidRPr="00597FFB">
        <w:rPr>
          <w:rFonts w:ascii="Times New Roman" w:eastAsiaTheme="minorHAnsi" w:hAnsi="Times New Roman" w:cs="Times New Roman"/>
          <w:color w:val="000000" w:themeColor="text1"/>
          <w:sz w:val="24"/>
          <w:szCs w:val="24"/>
        </w:rPr>
        <w:t xml:space="preserve"> include </w:t>
      </w:r>
      <w:r w:rsidR="00EF01AD" w:rsidRPr="00597FFB">
        <w:rPr>
          <w:rFonts w:ascii="Times New Roman" w:eastAsiaTheme="minorHAnsi" w:hAnsi="Times New Roman" w:cs="Times New Roman"/>
          <w:color w:val="000000" w:themeColor="text1"/>
          <w:sz w:val="24"/>
          <w:szCs w:val="24"/>
        </w:rPr>
        <w:t>awareness</w:t>
      </w:r>
      <w:r w:rsidR="0003140E" w:rsidRPr="00597FFB">
        <w:rPr>
          <w:rFonts w:ascii="Times New Roman" w:eastAsiaTheme="minorHAnsi" w:hAnsi="Times New Roman" w:cs="Times New Roman"/>
          <w:color w:val="000000" w:themeColor="text1"/>
          <w:sz w:val="24"/>
          <w:szCs w:val="24"/>
        </w:rPr>
        <w:t xml:space="preserve">, </w:t>
      </w:r>
      <w:r w:rsidR="00EF01AD" w:rsidRPr="00597FFB">
        <w:rPr>
          <w:rFonts w:ascii="Times New Roman" w:eastAsiaTheme="minorHAnsi" w:hAnsi="Times New Roman" w:cs="Times New Roman"/>
          <w:color w:val="000000" w:themeColor="text1"/>
          <w:sz w:val="24"/>
          <w:szCs w:val="24"/>
        </w:rPr>
        <w:t>legal advocacy, concern for</w:t>
      </w:r>
      <w:r w:rsidR="0003140E" w:rsidRPr="00597FFB">
        <w:rPr>
          <w:rFonts w:ascii="Times New Roman" w:eastAsiaTheme="minorHAnsi" w:hAnsi="Times New Roman" w:cs="Times New Roman"/>
          <w:color w:val="000000" w:themeColor="text1"/>
          <w:sz w:val="24"/>
          <w:szCs w:val="24"/>
        </w:rPr>
        <w:t xml:space="preserve"> the environment, and negative or lack of recycling experience (Borthakur &amp; Govind 2018). </w:t>
      </w:r>
      <w:r w:rsidR="00A64FEF" w:rsidRPr="00597FFB">
        <w:rPr>
          <w:rFonts w:ascii="Times New Roman" w:eastAsiaTheme="minorHAnsi" w:hAnsi="Times New Roman" w:cs="Times New Roman"/>
          <w:color w:val="000000" w:themeColor="text1"/>
          <w:sz w:val="24"/>
          <w:szCs w:val="24"/>
        </w:rPr>
        <w:t>Withi</w:t>
      </w:r>
      <w:r w:rsidR="0003140E" w:rsidRPr="00597FFB">
        <w:rPr>
          <w:rFonts w:ascii="Times New Roman" w:eastAsiaTheme="minorHAnsi" w:hAnsi="Times New Roman" w:cs="Times New Roman"/>
          <w:color w:val="000000" w:themeColor="text1"/>
          <w:sz w:val="24"/>
          <w:szCs w:val="24"/>
        </w:rPr>
        <w:t xml:space="preserve">n this context, </w:t>
      </w:r>
      <w:r w:rsidR="00A64FEF" w:rsidRPr="00597FFB">
        <w:rPr>
          <w:rFonts w:ascii="Times New Roman" w:eastAsiaTheme="minorHAnsi" w:hAnsi="Times New Roman" w:cs="Times New Roman"/>
          <w:color w:val="000000" w:themeColor="text1"/>
          <w:sz w:val="24"/>
          <w:szCs w:val="24"/>
        </w:rPr>
        <w:t xml:space="preserve">a person’s </w:t>
      </w:r>
      <w:r w:rsidR="0003140E" w:rsidRPr="00597FFB">
        <w:rPr>
          <w:rFonts w:ascii="Times New Roman" w:eastAsiaTheme="minorHAnsi" w:hAnsi="Times New Roman" w:cs="Times New Roman"/>
          <w:color w:val="000000" w:themeColor="text1"/>
          <w:sz w:val="24"/>
          <w:szCs w:val="24"/>
        </w:rPr>
        <w:t xml:space="preserve">(behavioral) attitude toward </w:t>
      </w:r>
      <w:r w:rsidR="00A64FEF" w:rsidRPr="00597FFB">
        <w:rPr>
          <w:rFonts w:ascii="Times New Roman" w:eastAsiaTheme="minorHAnsi" w:hAnsi="Times New Roman" w:cs="Times New Roman"/>
          <w:color w:val="000000" w:themeColor="text1"/>
          <w:sz w:val="24"/>
          <w:szCs w:val="24"/>
        </w:rPr>
        <w:t xml:space="preserve">a behavior (e.g., responsible disposing and recycling) or </w:t>
      </w:r>
      <w:r w:rsidR="0003140E" w:rsidRPr="00597FFB">
        <w:rPr>
          <w:rFonts w:ascii="Times New Roman" w:eastAsiaTheme="minorHAnsi" w:hAnsi="Times New Roman" w:cs="Times New Roman"/>
          <w:color w:val="000000" w:themeColor="text1"/>
          <w:sz w:val="24"/>
          <w:szCs w:val="24"/>
        </w:rPr>
        <w:t>an action depends on the</w:t>
      </w:r>
      <w:r w:rsidR="00A64FEF" w:rsidRPr="00597FFB">
        <w:rPr>
          <w:rFonts w:ascii="Times New Roman" w:eastAsiaTheme="minorHAnsi" w:hAnsi="Times New Roman" w:cs="Times New Roman"/>
          <w:color w:val="000000" w:themeColor="text1"/>
          <w:sz w:val="24"/>
          <w:szCs w:val="24"/>
        </w:rPr>
        <w:t>ir</w:t>
      </w:r>
      <w:r w:rsidR="0003140E" w:rsidRPr="00597FFB">
        <w:rPr>
          <w:rFonts w:ascii="Times New Roman" w:eastAsiaTheme="minorHAnsi" w:hAnsi="Times New Roman" w:cs="Times New Roman"/>
          <w:color w:val="000000" w:themeColor="text1"/>
          <w:sz w:val="24"/>
          <w:szCs w:val="24"/>
        </w:rPr>
        <w:t xml:space="preserve"> perception of </w:t>
      </w:r>
      <w:r w:rsidR="00D90DDA" w:rsidRPr="00597FFB">
        <w:rPr>
          <w:rFonts w:ascii="Times New Roman" w:eastAsiaTheme="minorHAnsi" w:hAnsi="Times New Roman" w:cs="Times New Roman"/>
          <w:color w:val="000000" w:themeColor="text1"/>
          <w:sz w:val="24"/>
          <w:szCs w:val="24"/>
        </w:rPr>
        <w:t>that particular</w:t>
      </w:r>
      <w:r w:rsidR="0003140E" w:rsidRPr="00597FFB">
        <w:rPr>
          <w:rFonts w:ascii="Times New Roman" w:eastAsiaTheme="minorHAnsi" w:hAnsi="Times New Roman" w:cs="Times New Roman"/>
          <w:color w:val="000000" w:themeColor="text1"/>
          <w:sz w:val="24"/>
          <w:szCs w:val="24"/>
        </w:rPr>
        <w:t xml:space="preserve"> behavior as </w:t>
      </w:r>
      <w:r w:rsidR="00D90DDA" w:rsidRPr="00597FFB">
        <w:rPr>
          <w:rFonts w:ascii="Times New Roman" w:eastAsiaTheme="minorHAnsi" w:hAnsi="Times New Roman" w:cs="Times New Roman"/>
          <w:color w:val="000000" w:themeColor="text1"/>
          <w:sz w:val="24"/>
          <w:szCs w:val="24"/>
        </w:rPr>
        <w:t xml:space="preserve">being </w:t>
      </w:r>
      <w:r w:rsidR="0003140E" w:rsidRPr="00597FFB">
        <w:rPr>
          <w:rFonts w:ascii="Times New Roman" w:eastAsiaTheme="minorHAnsi" w:hAnsi="Times New Roman" w:cs="Times New Roman"/>
          <w:color w:val="000000" w:themeColor="text1"/>
          <w:sz w:val="24"/>
          <w:szCs w:val="24"/>
        </w:rPr>
        <w:t xml:space="preserve">either </w:t>
      </w:r>
      <w:r w:rsidR="00D90DDA" w:rsidRPr="00597FFB">
        <w:rPr>
          <w:rFonts w:ascii="Times New Roman" w:eastAsiaTheme="minorHAnsi" w:hAnsi="Times New Roman" w:cs="Times New Roman"/>
          <w:color w:val="000000" w:themeColor="text1"/>
          <w:sz w:val="24"/>
          <w:szCs w:val="24"/>
        </w:rPr>
        <w:t xml:space="preserve">negative </w:t>
      </w:r>
      <w:r w:rsidR="0003140E" w:rsidRPr="00597FFB">
        <w:rPr>
          <w:rFonts w:ascii="Times New Roman" w:eastAsiaTheme="minorHAnsi" w:hAnsi="Times New Roman" w:cs="Times New Roman"/>
          <w:color w:val="000000" w:themeColor="text1"/>
          <w:sz w:val="24"/>
          <w:szCs w:val="24"/>
        </w:rPr>
        <w:t xml:space="preserve">or </w:t>
      </w:r>
      <w:r w:rsidR="00D90DDA" w:rsidRPr="00597FFB">
        <w:rPr>
          <w:rFonts w:ascii="Times New Roman" w:eastAsiaTheme="minorHAnsi" w:hAnsi="Times New Roman" w:cs="Times New Roman"/>
          <w:color w:val="000000" w:themeColor="text1"/>
          <w:sz w:val="24"/>
          <w:szCs w:val="24"/>
        </w:rPr>
        <w:t xml:space="preserve">positive </w:t>
      </w:r>
      <w:r w:rsidR="0003140E" w:rsidRPr="00597FFB">
        <w:rPr>
          <w:rFonts w:ascii="Times New Roman" w:eastAsiaTheme="minorHAnsi" w:hAnsi="Times New Roman" w:cs="Times New Roman"/>
          <w:color w:val="000000" w:themeColor="text1"/>
          <w:sz w:val="24"/>
          <w:szCs w:val="24"/>
        </w:rPr>
        <w:t xml:space="preserve">and </w:t>
      </w:r>
      <w:r w:rsidR="00D90DDA" w:rsidRPr="00597FFB">
        <w:rPr>
          <w:rFonts w:ascii="Times New Roman" w:eastAsiaTheme="minorHAnsi" w:hAnsi="Times New Roman" w:cs="Times New Roman"/>
          <w:color w:val="000000" w:themeColor="text1"/>
          <w:sz w:val="24"/>
          <w:szCs w:val="24"/>
        </w:rPr>
        <w:t>its repercussions</w:t>
      </w:r>
      <w:r w:rsidR="0003140E" w:rsidRPr="00597FFB">
        <w:rPr>
          <w:rFonts w:ascii="Times New Roman" w:eastAsiaTheme="minorHAnsi" w:hAnsi="Times New Roman" w:cs="Times New Roman"/>
          <w:color w:val="000000" w:themeColor="text1"/>
          <w:sz w:val="24"/>
          <w:szCs w:val="24"/>
        </w:rPr>
        <w:t xml:space="preserve"> </w:t>
      </w:r>
      <w:r w:rsidR="0003140E" w:rsidRPr="00597FFB">
        <w:rPr>
          <w:rFonts w:ascii="Times New Roman" w:eastAsiaTheme="minorHAnsi" w:hAnsi="Times New Roman" w:cs="Times New Roman"/>
          <w:color w:val="000000" w:themeColor="text1"/>
          <w:sz w:val="24"/>
        </w:rPr>
        <w:t>(Lange &amp; Dewitte, 2019)</w:t>
      </w:r>
      <w:r w:rsidR="0003140E" w:rsidRPr="00597FFB">
        <w:rPr>
          <w:rFonts w:ascii="Times New Roman" w:eastAsiaTheme="minorHAnsi" w:hAnsi="Times New Roman" w:cs="Times New Roman"/>
          <w:color w:val="000000" w:themeColor="text1"/>
          <w:sz w:val="24"/>
          <w:szCs w:val="24"/>
        </w:rPr>
        <w:t xml:space="preserve">. Subjective norms </w:t>
      </w:r>
      <w:r w:rsidR="00C43A7C" w:rsidRPr="00597FFB">
        <w:rPr>
          <w:rFonts w:ascii="Times New Roman" w:eastAsiaTheme="minorHAnsi" w:hAnsi="Times New Roman" w:cs="Times New Roman"/>
          <w:color w:val="000000" w:themeColor="text1"/>
          <w:sz w:val="24"/>
          <w:szCs w:val="24"/>
        </w:rPr>
        <w:t>constitute</w:t>
      </w:r>
      <w:r w:rsidR="0003140E" w:rsidRPr="00597FFB">
        <w:rPr>
          <w:rFonts w:ascii="Times New Roman" w:eastAsiaTheme="minorHAnsi" w:hAnsi="Times New Roman" w:cs="Times New Roman"/>
          <w:color w:val="000000" w:themeColor="text1"/>
          <w:sz w:val="24"/>
          <w:szCs w:val="24"/>
        </w:rPr>
        <w:t xml:space="preserve"> external factors</w:t>
      </w:r>
      <w:r w:rsidR="00C43A7C" w:rsidRPr="00597FFB">
        <w:rPr>
          <w:rFonts w:ascii="Times New Roman" w:eastAsiaTheme="minorHAnsi" w:hAnsi="Times New Roman" w:cs="Times New Roman"/>
          <w:color w:val="000000" w:themeColor="text1"/>
          <w:sz w:val="24"/>
          <w:szCs w:val="24"/>
        </w:rPr>
        <w:t xml:space="preserve"> that can be equated</w:t>
      </w:r>
      <w:r w:rsidR="0003140E" w:rsidRPr="00597FFB">
        <w:rPr>
          <w:rFonts w:ascii="Times New Roman" w:eastAsiaTheme="minorHAnsi" w:hAnsi="Times New Roman" w:cs="Times New Roman"/>
          <w:color w:val="000000" w:themeColor="text1"/>
          <w:sz w:val="24"/>
          <w:szCs w:val="24"/>
        </w:rPr>
        <w:t xml:space="preserve"> to perceived social pressure to </w:t>
      </w:r>
      <w:r w:rsidR="00C43A7C" w:rsidRPr="00597FFB">
        <w:rPr>
          <w:rFonts w:ascii="Times New Roman" w:eastAsiaTheme="minorHAnsi" w:hAnsi="Times New Roman" w:cs="Times New Roman"/>
          <w:color w:val="000000" w:themeColor="text1"/>
          <w:sz w:val="24"/>
          <w:szCs w:val="24"/>
        </w:rPr>
        <w:t>engage</w:t>
      </w:r>
      <w:r w:rsidR="0003140E" w:rsidRPr="00597FFB">
        <w:rPr>
          <w:rFonts w:ascii="Times New Roman" w:eastAsiaTheme="minorHAnsi" w:hAnsi="Times New Roman" w:cs="Times New Roman"/>
          <w:color w:val="000000" w:themeColor="text1"/>
          <w:sz w:val="24"/>
          <w:szCs w:val="24"/>
        </w:rPr>
        <w:t xml:space="preserve"> in </w:t>
      </w:r>
      <w:r w:rsidR="00C43A7C" w:rsidRPr="00597FFB">
        <w:rPr>
          <w:rFonts w:ascii="Times New Roman" w:eastAsiaTheme="minorHAnsi" w:hAnsi="Times New Roman" w:cs="Times New Roman"/>
          <w:color w:val="000000" w:themeColor="text1"/>
          <w:sz w:val="24"/>
          <w:szCs w:val="24"/>
        </w:rPr>
        <w:t>certain</w:t>
      </w:r>
      <w:r w:rsidR="0003140E" w:rsidRPr="00597FFB">
        <w:rPr>
          <w:rFonts w:ascii="Times New Roman" w:eastAsiaTheme="minorHAnsi" w:hAnsi="Times New Roman" w:cs="Times New Roman"/>
          <w:color w:val="000000" w:themeColor="text1"/>
          <w:sz w:val="24"/>
          <w:szCs w:val="24"/>
        </w:rPr>
        <w:t xml:space="preserve"> behavior</w:t>
      </w:r>
      <w:r w:rsidR="00C43A7C" w:rsidRPr="00597FFB">
        <w:rPr>
          <w:rFonts w:ascii="Times New Roman" w:eastAsiaTheme="minorHAnsi" w:hAnsi="Times New Roman" w:cs="Times New Roman"/>
          <w:color w:val="000000" w:themeColor="text1"/>
          <w:sz w:val="24"/>
          <w:szCs w:val="24"/>
        </w:rPr>
        <w:t xml:space="preserve"> or otherwise</w:t>
      </w:r>
      <w:r w:rsidR="0003140E" w:rsidRPr="00597FFB">
        <w:rPr>
          <w:rFonts w:ascii="Times New Roman" w:eastAsiaTheme="minorHAnsi" w:hAnsi="Times New Roman" w:cs="Times New Roman"/>
          <w:color w:val="000000" w:themeColor="text1"/>
          <w:sz w:val="24"/>
          <w:szCs w:val="24"/>
        </w:rPr>
        <w:t xml:space="preserve">. This pressure </w:t>
      </w:r>
      <w:r w:rsidR="00C43A7C" w:rsidRPr="00597FFB">
        <w:rPr>
          <w:rFonts w:ascii="Times New Roman" w:eastAsiaTheme="minorHAnsi" w:hAnsi="Times New Roman" w:cs="Times New Roman"/>
          <w:color w:val="000000" w:themeColor="text1"/>
          <w:sz w:val="24"/>
          <w:szCs w:val="24"/>
        </w:rPr>
        <w:t>may be</w:t>
      </w:r>
      <w:r w:rsidR="0003140E" w:rsidRPr="00597FFB">
        <w:rPr>
          <w:rFonts w:ascii="Times New Roman" w:eastAsiaTheme="minorHAnsi" w:hAnsi="Times New Roman" w:cs="Times New Roman"/>
          <w:color w:val="000000" w:themeColor="text1"/>
          <w:sz w:val="24"/>
          <w:szCs w:val="24"/>
        </w:rPr>
        <w:t xml:space="preserve"> from </w:t>
      </w:r>
      <w:r w:rsidR="00C43A7C" w:rsidRPr="00597FFB">
        <w:rPr>
          <w:rFonts w:ascii="Times New Roman" w:eastAsiaTheme="minorHAnsi" w:hAnsi="Times New Roman" w:cs="Times New Roman"/>
          <w:color w:val="000000" w:themeColor="text1"/>
          <w:sz w:val="24"/>
          <w:szCs w:val="24"/>
        </w:rPr>
        <w:t xml:space="preserve">peers, </w:t>
      </w:r>
      <w:r w:rsidR="0003140E" w:rsidRPr="00597FFB">
        <w:rPr>
          <w:rFonts w:ascii="Times New Roman" w:eastAsiaTheme="minorHAnsi" w:hAnsi="Times New Roman" w:cs="Times New Roman"/>
          <w:color w:val="000000" w:themeColor="text1"/>
          <w:sz w:val="24"/>
          <w:szCs w:val="24"/>
        </w:rPr>
        <w:t>family</w:t>
      </w:r>
      <w:r w:rsidR="00C43A7C" w:rsidRPr="00597FFB">
        <w:rPr>
          <w:rFonts w:ascii="Times New Roman" w:eastAsiaTheme="minorHAnsi" w:hAnsi="Times New Roman" w:cs="Times New Roman"/>
          <w:color w:val="000000" w:themeColor="text1"/>
          <w:sz w:val="24"/>
          <w:szCs w:val="24"/>
        </w:rPr>
        <w:t xml:space="preserve"> members</w:t>
      </w:r>
      <w:r w:rsidR="0003140E" w:rsidRPr="00597FFB">
        <w:rPr>
          <w:rFonts w:ascii="Times New Roman" w:eastAsiaTheme="minorHAnsi" w:hAnsi="Times New Roman" w:cs="Times New Roman"/>
          <w:color w:val="000000" w:themeColor="text1"/>
          <w:sz w:val="24"/>
          <w:szCs w:val="24"/>
        </w:rPr>
        <w:t xml:space="preserve">, neighbors, </w:t>
      </w:r>
      <w:r w:rsidR="00C43A7C" w:rsidRPr="00597FFB">
        <w:rPr>
          <w:rFonts w:ascii="Times New Roman" w:eastAsiaTheme="minorHAnsi" w:hAnsi="Times New Roman" w:cs="Times New Roman"/>
          <w:color w:val="000000" w:themeColor="text1"/>
          <w:sz w:val="24"/>
          <w:szCs w:val="24"/>
        </w:rPr>
        <w:t xml:space="preserve">the society </w:t>
      </w:r>
      <w:r w:rsidR="0003140E" w:rsidRPr="00597FFB">
        <w:rPr>
          <w:rFonts w:ascii="Times New Roman" w:eastAsiaTheme="minorHAnsi" w:hAnsi="Times New Roman" w:cs="Times New Roman"/>
          <w:color w:val="000000" w:themeColor="text1"/>
          <w:sz w:val="24"/>
          <w:szCs w:val="24"/>
        </w:rPr>
        <w:t>or</w:t>
      </w:r>
      <w:r w:rsidR="00C43A7C" w:rsidRPr="00597FFB">
        <w:rPr>
          <w:rFonts w:ascii="Times New Roman" w:eastAsiaTheme="minorHAnsi" w:hAnsi="Times New Roman" w:cs="Times New Roman"/>
          <w:color w:val="000000" w:themeColor="text1"/>
          <w:sz w:val="24"/>
          <w:szCs w:val="24"/>
        </w:rPr>
        <w:t xml:space="preserve"> the community</w:t>
      </w:r>
      <w:r w:rsidR="0003140E" w:rsidRPr="00597FFB">
        <w:rPr>
          <w:rFonts w:ascii="Times New Roman" w:eastAsiaTheme="minorHAnsi" w:hAnsi="Times New Roman" w:cs="Times New Roman"/>
          <w:color w:val="000000" w:themeColor="text1"/>
          <w:sz w:val="24"/>
          <w:szCs w:val="24"/>
        </w:rPr>
        <w:t xml:space="preserve">. Perceived behavioral </w:t>
      </w:r>
      <w:r w:rsidR="00740E10" w:rsidRPr="00597FFB">
        <w:rPr>
          <w:rFonts w:ascii="Times New Roman" w:eastAsiaTheme="minorHAnsi" w:hAnsi="Times New Roman" w:cs="Times New Roman"/>
          <w:color w:val="000000" w:themeColor="text1"/>
          <w:sz w:val="24"/>
          <w:szCs w:val="24"/>
        </w:rPr>
        <w:t>is the perception of how</w:t>
      </w:r>
      <w:r w:rsidR="0003140E" w:rsidRPr="00597FFB">
        <w:rPr>
          <w:rFonts w:ascii="Times New Roman" w:eastAsiaTheme="minorHAnsi" w:hAnsi="Times New Roman" w:cs="Times New Roman"/>
          <w:color w:val="000000" w:themeColor="text1"/>
          <w:sz w:val="24"/>
          <w:szCs w:val="24"/>
        </w:rPr>
        <w:t xml:space="preserve"> eas</w:t>
      </w:r>
      <w:r w:rsidR="00740E10" w:rsidRPr="00597FFB">
        <w:rPr>
          <w:rFonts w:ascii="Times New Roman" w:eastAsiaTheme="minorHAnsi" w:hAnsi="Times New Roman" w:cs="Times New Roman"/>
          <w:color w:val="000000" w:themeColor="text1"/>
          <w:sz w:val="24"/>
          <w:szCs w:val="24"/>
        </w:rPr>
        <w:t>y</w:t>
      </w:r>
      <w:r w:rsidR="0003140E" w:rsidRPr="00597FFB">
        <w:rPr>
          <w:rFonts w:ascii="Times New Roman" w:eastAsiaTheme="minorHAnsi" w:hAnsi="Times New Roman" w:cs="Times New Roman"/>
          <w:color w:val="000000" w:themeColor="text1"/>
          <w:sz w:val="24"/>
          <w:szCs w:val="24"/>
        </w:rPr>
        <w:t xml:space="preserve"> or </w:t>
      </w:r>
      <w:r w:rsidR="0003140E" w:rsidRPr="00597FFB">
        <w:rPr>
          <w:rFonts w:ascii="Times New Roman" w:eastAsia="Calibri" w:hAnsi="Times New Roman" w:cs="Times New Roman"/>
          <w:color w:val="000000" w:themeColor="text1"/>
          <w:sz w:val="24"/>
          <w:szCs w:val="24"/>
        </w:rPr>
        <w:t>difficult</w:t>
      </w:r>
      <w:r w:rsidR="00740E10" w:rsidRPr="00597FFB">
        <w:rPr>
          <w:rFonts w:ascii="Times New Roman" w:eastAsia="Calibri" w:hAnsi="Times New Roman" w:cs="Times New Roman"/>
          <w:color w:val="000000" w:themeColor="text1"/>
          <w:sz w:val="24"/>
          <w:szCs w:val="24"/>
        </w:rPr>
        <w:t xml:space="preserve"> it is to</w:t>
      </w:r>
      <w:r w:rsidR="0003140E" w:rsidRPr="00597FFB">
        <w:rPr>
          <w:rFonts w:ascii="Times New Roman" w:eastAsiaTheme="minorHAnsi" w:hAnsi="Times New Roman" w:cs="Times New Roman"/>
          <w:color w:val="000000" w:themeColor="text1"/>
          <w:sz w:val="24"/>
          <w:szCs w:val="24"/>
        </w:rPr>
        <w:t xml:space="preserve"> underta</w:t>
      </w:r>
      <w:r w:rsidR="00740E10" w:rsidRPr="00597FFB">
        <w:rPr>
          <w:rFonts w:ascii="Times New Roman" w:eastAsiaTheme="minorHAnsi" w:hAnsi="Times New Roman" w:cs="Times New Roman"/>
          <w:color w:val="000000" w:themeColor="text1"/>
          <w:sz w:val="24"/>
          <w:szCs w:val="24"/>
        </w:rPr>
        <w:t>ke</w:t>
      </w:r>
      <w:r w:rsidR="0003140E" w:rsidRPr="00597FFB">
        <w:rPr>
          <w:rFonts w:ascii="Times New Roman" w:eastAsiaTheme="minorHAnsi" w:hAnsi="Times New Roman" w:cs="Times New Roman"/>
          <w:color w:val="000000" w:themeColor="text1"/>
          <w:sz w:val="24"/>
          <w:szCs w:val="24"/>
        </w:rPr>
        <w:t xml:space="preserve"> a</w:t>
      </w:r>
      <w:r w:rsidR="00740E10" w:rsidRPr="00597FFB">
        <w:rPr>
          <w:rFonts w:ascii="Times New Roman" w:eastAsiaTheme="minorHAnsi" w:hAnsi="Times New Roman" w:cs="Times New Roman"/>
          <w:color w:val="000000" w:themeColor="text1"/>
          <w:sz w:val="24"/>
          <w:szCs w:val="24"/>
        </w:rPr>
        <w:t xml:space="preserve"> give</w:t>
      </w:r>
      <w:r w:rsidR="0003140E" w:rsidRPr="00597FFB">
        <w:rPr>
          <w:rFonts w:ascii="Times New Roman" w:eastAsiaTheme="minorHAnsi" w:hAnsi="Times New Roman" w:cs="Times New Roman"/>
          <w:color w:val="000000" w:themeColor="text1"/>
          <w:sz w:val="24"/>
          <w:szCs w:val="24"/>
        </w:rPr>
        <w:t>n action or behavior</w:t>
      </w:r>
      <w:r w:rsidR="00740E10" w:rsidRPr="00597FFB">
        <w:rPr>
          <w:rFonts w:ascii="Times New Roman" w:eastAsiaTheme="minorHAnsi" w:hAnsi="Times New Roman" w:cs="Times New Roman"/>
          <w:color w:val="000000" w:themeColor="text1"/>
          <w:sz w:val="24"/>
          <w:szCs w:val="24"/>
        </w:rPr>
        <w:t>.</w:t>
      </w:r>
      <w:r w:rsidR="0003140E" w:rsidRPr="00597FFB">
        <w:rPr>
          <w:rFonts w:ascii="Times New Roman" w:eastAsiaTheme="minorHAnsi" w:hAnsi="Times New Roman" w:cs="Times New Roman"/>
          <w:color w:val="000000" w:themeColor="text1"/>
          <w:sz w:val="24"/>
          <w:szCs w:val="24"/>
        </w:rPr>
        <w:t xml:space="preserve"> </w:t>
      </w:r>
      <w:r w:rsidR="00740E10" w:rsidRPr="00597FFB">
        <w:rPr>
          <w:rFonts w:ascii="Times New Roman" w:eastAsiaTheme="minorHAnsi" w:hAnsi="Times New Roman" w:cs="Times New Roman"/>
          <w:color w:val="000000" w:themeColor="text1"/>
          <w:sz w:val="24"/>
          <w:szCs w:val="24"/>
        </w:rPr>
        <w:t>Its main drivers include</w:t>
      </w:r>
      <w:r w:rsidR="0003140E" w:rsidRPr="00597FFB">
        <w:rPr>
          <w:rFonts w:ascii="Times New Roman" w:eastAsiaTheme="minorHAnsi" w:hAnsi="Times New Roman" w:cs="Times New Roman"/>
          <w:color w:val="000000" w:themeColor="text1"/>
          <w:sz w:val="24"/>
          <w:szCs w:val="24"/>
        </w:rPr>
        <w:t xml:space="preserve"> the availability of </w:t>
      </w:r>
      <w:r w:rsidR="00740E10" w:rsidRPr="00597FFB">
        <w:rPr>
          <w:rFonts w:ascii="Times New Roman" w:eastAsiaTheme="minorHAnsi" w:hAnsi="Times New Roman" w:cs="Times New Roman"/>
          <w:color w:val="000000" w:themeColor="text1"/>
          <w:sz w:val="24"/>
          <w:szCs w:val="24"/>
        </w:rPr>
        <w:t xml:space="preserve">opportunities, obstacles, </w:t>
      </w:r>
      <w:r w:rsidR="0003140E" w:rsidRPr="00597FFB">
        <w:rPr>
          <w:rFonts w:ascii="Times New Roman" w:eastAsiaTheme="minorHAnsi" w:hAnsi="Times New Roman" w:cs="Times New Roman"/>
          <w:color w:val="000000" w:themeColor="text1"/>
          <w:sz w:val="24"/>
          <w:szCs w:val="24"/>
        </w:rPr>
        <w:t xml:space="preserve">resources, and an </w:t>
      </w:r>
      <w:r w:rsidR="00740E10" w:rsidRPr="00597FFB">
        <w:rPr>
          <w:rFonts w:ascii="Times New Roman" w:eastAsiaTheme="minorHAnsi" w:hAnsi="Times New Roman" w:cs="Times New Roman"/>
          <w:color w:val="000000" w:themeColor="text1"/>
          <w:sz w:val="24"/>
          <w:szCs w:val="24"/>
        </w:rPr>
        <w:t>person’s</w:t>
      </w:r>
      <w:r w:rsidR="0003140E" w:rsidRPr="00597FFB">
        <w:rPr>
          <w:rFonts w:ascii="Times New Roman" w:eastAsiaTheme="minorHAnsi" w:hAnsi="Times New Roman" w:cs="Times New Roman"/>
          <w:color w:val="000000" w:themeColor="text1"/>
          <w:sz w:val="24"/>
          <w:szCs w:val="24"/>
        </w:rPr>
        <w:t xml:space="preserve"> </w:t>
      </w:r>
      <w:r w:rsidR="00740E10" w:rsidRPr="00597FFB">
        <w:rPr>
          <w:rFonts w:ascii="Times New Roman" w:eastAsiaTheme="minorHAnsi" w:hAnsi="Times New Roman" w:cs="Times New Roman"/>
          <w:color w:val="000000" w:themeColor="text1"/>
          <w:sz w:val="24"/>
          <w:szCs w:val="24"/>
        </w:rPr>
        <w:t>previous</w:t>
      </w:r>
      <w:r w:rsidR="0003140E" w:rsidRPr="00597FFB">
        <w:rPr>
          <w:rFonts w:ascii="Times New Roman" w:eastAsiaTheme="minorHAnsi" w:hAnsi="Times New Roman" w:cs="Times New Roman"/>
          <w:color w:val="000000" w:themeColor="text1"/>
          <w:sz w:val="24"/>
          <w:szCs w:val="24"/>
        </w:rPr>
        <w:t xml:space="preserve"> experience </w:t>
      </w:r>
      <w:r w:rsidR="0003140E" w:rsidRPr="00597FFB">
        <w:rPr>
          <w:rFonts w:ascii="Times New Roman" w:eastAsiaTheme="minorHAnsi" w:hAnsi="Times New Roman" w:cs="Times New Roman"/>
          <w:color w:val="000000" w:themeColor="text1"/>
          <w:sz w:val="24"/>
        </w:rPr>
        <w:t>(Chaurasia et al., 2020)</w:t>
      </w:r>
      <w:r w:rsidR="0003140E" w:rsidRPr="00597FFB">
        <w:rPr>
          <w:rFonts w:ascii="Times New Roman" w:eastAsiaTheme="minorHAnsi" w:hAnsi="Times New Roman" w:cs="Times New Roman"/>
          <w:color w:val="000000" w:themeColor="text1"/>
          <w:sz w:val="24"/>
          <w:szCs w:val="24"/>
        </w:rPr>
        <w:t>.</w:t>
      </w:r>
    </w:p>
    <w:p w14:paraId="56B33BAF" w14:textId="06277DBC" w:rsidR="0003140E" w:rsidRPr="00597FFB" w:rsidRDefault="0003140E" w:rsidP="00A558FE">
      <w:pPr>
        <w:spacing w:line="480" w:lineRule="auto"/>
        <w:ind w:firstLine="36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Therefore, the </w:t>
      </w:r>
      <w:r w:rsidR="000C7987" w:rsidRPr="00597FFB">
        <w:rPr>
          <w:rFonts w:ascii="Times New Roman" w:eastAsiaTheme="minorHAnsi" w:hAnsi="Times New Roman" w:cs="Times New Roman"/>
          <w:color w:val="000000" w:themeColor="text1"/>
          <w:sz w:val="24"/>
          <w:szCs w:val="24"/>
        </w:rPr>
        <w:t xml:space="preserve">channels of </w:t>
      </w:r>
      <w:r w:rsidRPr="00597FFB">
        <w:rPr>
          <w:rFonts w:ascii="Times New Roman" w:eastAsiaTheme="minorHAnsi" w:hAnsi="Times New Roman" w:cs="Times New Roman"/>
          <w:color w:val="000000" w:themeColor="text1"/>
          <w:sz w:val="24"/>
          <w:szCs w:val="24"/>
        </w:rPr>
        <w:t xml:space="preserve">disposal </w:t>
      </w:r>
      <w:r w:rsidR="000C7987" w:rsidRPr="00597FFB">
        <w:rPr>
          <w:rFonts w:ascii="Times New Roman" w:eastAsiaTheme="minorHAnsi" w:hAnsi="Times New Roman" w:cs="Times New Roman"/>
          <w:color w:val="000000" w:themeColor="text1"/>
          <w:sz w:val="24"/>
          <w:szCs w:val="24"/>
        </w:rPr>
        <w:t>that</w:t>
      </w:r>
      <w:r w:rsidRPr="00597FFB">
        <w:rPr>
          <w:rFonts w:ascii="Times New Roman" w:eastAsiaTheme="minorHAnsi" w:hAnsi="Times New Roman" w:cs="Times New Roman"/>
          <w:color w:val="000000" w:themeColor="text1"/>
          <w:sz w:val="24"/>
          <w:szCs w:val="24"/>
        </w:rPr>
        <w:t xml:space="preserve"> consumers</w:t>
      </w:r>
      <w:r w:rsidR="000C7987" w:rsidRPr="00597FFB">
        <w:rPr>
          <w:rFonts w:ascii="Times New Roman" w:eastAsiaTheme="minorHAnsi" w:hAnsi="Times New Roman" w:cs="Times New Roman"/>
          <w:color w:val="000000" w:themeColor="text1"/>
          <w:sz w:val="24"/>
          <w:szCs w:val="24"/>
        </w:rPr>
        <w:t xml:space="preserve"> can access</w:t>
      </w:r>
      <w:r w:rsidRPr="00597FFB">
        <w:rPr>
          <w:rFonts w:ascii="Times New Roman" w:eastAsiaTheme="minorHAnsi" w:hAnsi="Times New Roman" w:cs="Times New Roman"/>
          <w:color w:val="000000" w:themeColor="text1"/>
          <w:sz w:val="24"/>
          <w:szCs w:val="24"/>
        </w:rPr>
        <w:t xml:space="preserve"> determine how they dispose of </w:t>
      </w:r>
      <w:r w:rsidR="000C7987" w:rsidRPr="00597FFB">
        <w:rPr>
          <w:rFonts w:ascii="Times New Roman" w:eastAsiaTheme="minorHAnsi" w:hAnsi="Times New Roman" w:cs="Times New Roman"/>
          <w:color w:val="000000" w:themeColor="text1"/>
          <w:sz w:val="24"/>
          <w:szCs w:val="24"/>
        </w:rPr>
        <w:t>E</w:t>
      </w:r>
      <w:r w:rsidRPr="00597FFB">
        <w:rPr>
          <w:rFonts w:ascii="Times New Roman" w:eastAsiaTheme="minorHAnsi" w:hAnsi="Times New Roman" w:cs="Times New Roman"/>
          <w:color w:val="000000" w:themeColor="text1"/>
          <w:sz w:val="24"/>
          <w:szCs w:val="24"/>
        </w:rPr>
        <w:t>-waste</w:t>
      </w:r>
      <w:r w:rsidR="000C7987" w:rsidRPr="00597FFB">
        <w:rPr>
          <w:rFonts w:ascii="Times New Roman" w:eastAsiaTheme="minorHAnsi" w:hAnsi="Times New Roman" w:cs="Times New Roman"/>
          <w:color w:val="000000" w:themeColor="text1"/>
          <w:sz w:val="24"/>
          <w:szCs w:val="24"/>
        </w:rPr>
        <w:t xml:space="preserve">. When the right </w:t>
      </w:r>
      <w:r w:rsidRPr="00597FFB">
        <w:rPr>
          <w:rFonts w:ascii="Times New Roman" w:eastAsiaTheme="minorHAnsi" w:hAnsi="Times New Roman" w:cs="Times New Roman"/>
          <w:color w:val="000000" w:themeColor="text1"/>
          <w:sz w:val="24"/>
          <w:szCs w:val="24"/>
        </w:rPr>
        <w:t>channels</w:t>
      </w:r>
      <w:r w:rsidR="000C7987" w:rsidRPr="00597FFB">
        <w:rPr>
          <w:rFonts w:ascii="Times New Roman" w:eastAsiaTheme="minorHAnsi" w:hAnsi="Times New Roman" w:cs="Times New Roman"/>
          <w:color w:val="000000" w:themeColor="text1"/>
          <w:sz w:val="24"/>
          <w:szCs w:val="24"/>
        </w:rPr>
        <w:t xml:space="preserve"> are unavailable, this</w:t>
      </w:r>
      <w:r w:rsidRPr="00597FFB">
        <w:rPr>
          <w:rFonts w:ascii="Times New Roman" w:eastAsiaTheme="minorHAnsi" w:hAnsi="Times New Roman" w:cs="Times New Roman"/>
          <w:color w:val="000000" w:themeColor="text1"/>
          <w:sz w:val="24"/>
          <w:szCs w:val="24"/>
        </w:rPr>
        <w:t xml:space="preserve"> </w:t>
      </w:r>
      <w:r w:rsidR="000C7987" w:rsidRPr="00597FFB">
        <w:rPr>
          <w:rFonts w:ascii="Times New Roman" w:eastAsiaTheme="minorHAnsi" w:hAnsi="Times New Roman" w:cs="Times New Roman"/>
          <w:color w:val="000000" w:themeColor="text1"/>
          <w:sz w:val="24"/>
          <w:szCs w:val="24"/>
        </w:rPr>
        <w:t>could</w:t>
      </w:r>
      <w:r w:rsidRPr="00597FFB">
        <w:rPr>
          <w:rFonts w:ascii="Times New Roman" w:eastAsiaTheme="minorHAnsi" w:hAnsi="Times New Roman" w:cs="Times New Roman"/>
          <w:color w:val="000000" w:themeColor="text1"/>
          <w:sz w:val="24"/>
          <w:szCs w:val="24"/>
        </w:rPr>
        <w:t xml:space="preserve"> lead to </w:t>
      </w:r>
      <w:r w:rsidR="000C7987" w:rsidRPr="00597FFB">
        <w:rPr>
          <w:rFonts w:ascii="Times New Roman" w:eastAsiaTheme="minorHAnsi" w:hAnsi="Times New Roman" w:cs="Times New Roman"/>
          <w:color w:val="000000" w:themeColor="text1"/>
          <w:sz w:val="24"/>
          <w:szCs w:val="24"/>
        </w:rPr>
        <w:t>considerable</w:t>
      </w:r>
      <w:r w:rsidRPr="00597FFB">
        <w:rPr>
          <w:rFonts w:ascii="Times New Roman" w:eastAsiaTheme="minorHAnsi" w:hAnsi="Times New Roman" w:cs="Times New Roman"/>
          <w:color w:val="000000" w:themeColor="text1"/>
          <w:sz w:val="24"/>
          <w:szCs w:val="24"/>
        </w:rPr>
        <w:t xml:space="preserve"> </w:t>
      </w:r>
      <w:r w:rsidR="000C7987" w:rsidRPr="00597FFB">
        <w:rPr>
          <w:rFonts w:ascii="Times New Roman" w:eastAsiaTheme="minorHAnsi" w:hAnsi="Times New Roman" w:cs="Times New Roman"/>
          <w:color w:val="000000" w:themeColor="text1"/>
          <w:sz w:val="24"/>
          <w:szCs w:val="24"/>
        </w:rPr>
        <w:t xml:space="preserve">landfill </w:t>
      </w:r>
      <w:r w:rsidRPr="00597FFB">
        <w:rPr>
          <w:rFonts w:ascii="Times New Roman" w:eastAsiaTheme="minorHAnsi" w:hAnsi="Times New Roman" w:cs="Times New Roman"/>
          <w:color w:val="000000" w:themeColor="text1"/>
          <w:sz w:val="24"/>
          <w:szCs w:val="24"/>
        </w:rPr>
        <w:t xml:space="preserve">disposal. </w:t>
      </w:r>
      <w:r w:rsidR="005B7E99" w:rsidRPr="00597FFB">
        <w:rPr>
          <w:rFonts w:ascii="Times New Roman" w:eastAsiaTheme="minorHAnsi" w:hAnsi="Times New Roman" w:cs="Times New Roman"/>
          <w:color w:val="000000" w:themeColor="text1"/>
          <w:sz w:val="24"/>
          <w:szCs w:val="24"/>
        </w:rPr>
        <w:t>Evidently,</w:t>
      </w:r>
      <w:r w:rsidRPr="00597FFB">
        <w:rPr>
          <w:rFonts w:ascii="Times New Roman" w:eastAsiaTheme="minorHAnsi" w:hAnsi="Times New Roman" w:cs="Times New Roman"/>
          <w:color w:val="000000" w:themeColor="text1"/>
          <w:sz w:val="24"/>
          <w:szCs w:val="24"/>
        </w:rPr>
        <w:t xml:space="preserve"> </w:t>
      </w:r>
      <w:r w:rsidR="005B7E99" w:rsidRPr="00597FFB">
        <w:rPr>
          <w:rFonts w:ascii="Times New Roman" w:eastAsiaTheme="minorHAnsi" w:hAnsi="Times New Roman" w:cs="Times New Roman"/>
          <w:color w:val="000000" w:themeColor="text1"/>
          <w:sz w:val="24"/>
          <w:szCs w:val="24"/>
        </w:rPr>
        <w:t xml:space="preserve">the </w:t>
      </w:r>
      <w:r w:rsidRPr="00597FFB">
        <w:rPr>
          <w:rFonts w:ascii="Times New Roman" w:eastAsiaTheme="minorHAnsi" w:hAnsi="Times New Roman" w:cs="Times New Roman"/>
          <w:color w:val="000000" w:themeColor="text1"/>
          <w:sz w:val="24"/>
          <w:szCs w:val="24"/>
        </w:rPr>
        <w:t xml:space="preserve">consumer </w:t>
      </w:r>
      <w:r w:rsidR="005B7E99" w:rsidRPr="00597FFB">
        <w:rPr>
          <w:rFonts w:ascii="Times New Roman" w:eastAsiaTheme="minorHAnsi" w:hAnsi="Times New Roman" w:cs="Times New Roman"/>
          <w:color w:val="000000" w:themeColor="text1"/>
          <w:sz w:val="24"/>
          <w:szCs w:val="24"/>
        </w:rPr>
        <w:t>is</w:t>
      </w:r>
      <w:r w:rsidRPr="00597FFB">
        <w:rPr>
          <w:rFonts w:ascii="Times New Roman" w:eastAsiaTheme="minorHAnsi" w:hAnsi="Times New Roman" w:cs="Times New Roman"/>
          <w:color w:val="000000" w:themeColor="text1"/>
          <w:sz w:val="24"/>
          <w:szCs w:val="24"/>
        </w:rPr>
        <w:t xml:space="preserve"> integral</w:t>
      </w:r>
      <w:r w:rsidRPr="00597FFB">
        <w:rPr>
          <w:rFonts w:eastAsiaTheme="minorHAnsi"/>
          <w:color w:val="000000" w:themeColor="text1"/>
        </w:rPr>
        <w:t xml:space="preserve"> </w:t>
      </w:r>
      <w:r w:rsidR="005B7E99" w:rsidRPr="00597FFB">
        <w:rPr>
          <w:rFonts w:ascii="Times New Roman" w:eastAsiaTheme="minorHAnsi" w:hAnsi="Times New Roman" w:cs="Times New Roman"/>
          <w:color w:val="000000" w:themeColor="text1"/>
          <w:sz w:val="24"/>
          <w:szCs w:val="24"/>
        </w:rPr>
        <w:t>to any proper</w:t>
      </w:r>
      <w:r w:rsidRPr="00597FFB">
        <w:rPr>
          <w:rFonts w:ascii="Times New Roman" w:eastAsiaTheme="minorHAnsi" w:hAnsi="Times New Roman" w:cs="Times New Roman"/>
          <w:color w:val="000000" w:themeColor="text1"/>
          <w:sz w:val="24"/>
          <w:szCs w:val="24"/>
        </w:rPr>
        <w:t xml:space="preserve"> </w:t>
      </w:r>
      <w:r w:rsidR="005B7E99" w:rsidRPr="00597FFB">
        <w:rPr>
          <w:rFonts w:ascii="Times New Roman" w:eastAsiaTheme="minorHAnsi" w:hAnsi="Times New Roman" w:cs="Times New Roman"/>
          <w:color w:val="000000" w:themeColor="text1"/>
          <w:sz w:val="24"/>
          <w:szCs w:val="24"/>
        </w:rPr>
        <w:t>EWM</w:t>
      </w:r>
      <w:r w:rsidRPr="00597FFB">
        <w:rPr>
          <w:rFonts w:ascii="Times New Roman" w:eastAsiaTheme="minorHAnsi" w:hAnsi="Times New Roman" w:cs="Times New Roman"/>
          <w:color w:val="000000" w:themeColor="text1"/>
          <w:sz w:val="24"/>
          <w:szCs w:val="24"/>
        </w:rPr>
        <w:t xml:space="preserve"> system; therefore, an effective system is not possible without proper consumer awareness and active participation </w:t>
      </w:r>
      <w:r w:rsidRPr="00597FFB">
        <w:rPr>
          <w:rFonts w:ascii="Times New Roman" w:eastAsiaTheme="minorHAnsi" w:hAnsi="Times New Roman" w:cs="Times New Roman"/>
          <w:color w:val="000000" w:themeColor="text1"/>
          <w:sz w:val="24"/>
        </w:rPr>
        <w:t>(Freudenreich et al., 2020)</w:t>
      </w:r>
      <w:r w:rsidRPr="00597FFB">
        <w:rPr>
          <w:rFonts w:ascii="Times New Roman" w:eastAsiaTheme="minorHAnsi" w:hAnsi="Times New Roman" w:cs="Times New Roman"/>
          <w:color w:val="000000" w:themeColor="text1"/>
          <w:sz w:val="24"/>
          <w:szCs w:val="24"/>
        </w:rPr>
        <w:t xml:space="preserve">. </w:t>
      </w:r>
      <w:r w:rsidR="00E0001A" w:rsidRPr="00597FFB">
        <w:rPr>
          <w:rFonts w:ascii="Times New Roman" w:eastAsiaTheme="minorHAnsi" w:hAnsi="Times New Roman" w:cs="Times New Roman"/>
          <w:color w:val="000000" w:themeColor="text1"/>
          <w:sz w:val="24"/>
          <w:szCs w:val="24"/>
        </w:rPr>
        <w:t>Absence of</w:t>
      </w:r>
      <w:r w:rsidRPr="00597FFB">
        <w:rPr>
          <w:rFonts w:ascii="Times New Roman" w:eastAsiaTheme="minorHAnsi" w:hAnsi="Times New Roman" w:cs="Times New Roman"/>
          <w:color w:val="000000" w:themeColor="text1"/>
          <w:sz w:val="24"/>
          <w:szCs w:val="24"/>
        </w:rPr>
        <w:t xml:space="preserve"> public awareness </w:t>
      </w:r>
      <w:r w:rsidR="00E0001A" w:rsidRPr="00597FFB">
        <w:rPr>
          <w:rFonts w:ascii="Times New Roman" w:eastAsiaTheme="minorHAnsi" w:hAnsi="Times New Roman" w:cs="Times New Roman"/>
          <w:color w:val="000000" w:themeColor="text1"/>
          <w:sz w:val="24"/>
          <w:szCs w:val="24"/>
        </w:rPr>
        <w:t>concerning how</w:t>
      </w:r>
      <w:r w:rsidRPr="00597FFB">
        <w:rPr>
          <w:rFonts w:ascii="Times New Roman" w:eastAsiaTheme="minorHAnsi" w:hAnsi="Times New Roman" w:cs="Times New Roman"/>
          <w:color w:val="000000" w:themeColor="text1"/>
          <w:sz w:val="24"/>
          <w:szCs w:val="24"/>
        </w:rPr>
        <w:t xml:space="preserve"> </w:t>
      </w:r>
      <w:r w:rsidR="00E0001A" w:rsidRPr="00597FFB">
        <w:rPr>
          <w:rFonts w:ascii="Times New Roman" w:eastAsiaTheme="minorHAnsi" w:hAnsi="Times New Roman" w:cs="Times New Roman"/>
          <w:color w:val="000000" w:themeColor="text1"/>
          <w:sz w:val="24"/>
          <w:szCs w:val="24"/>
        </w:rPr>
        <w:t>important</w:t>
      </w:r>
      <w:r w:rsidRPr="00597FFB">
        <w:rPr>
          <w:rFonts w:ascii="Times New Roman" w:eastAsiaTheme="minorHAnsi" w:hAnsi="Times New Roman" w:cs="Times New Roman"/>
          <w:color w:val="000000" w:themeColor="text1"/>
          <w:sz w:val="24"/>
          <w:szCs w:val="24"/>
        </w:rPr>
        <w:t xml:space="preserve"> proper </w:t>
      </w:r>
      <w:r w:rsidR="00E0001A" w:rsidRPr="00597FFB">
        <w:rPr>
          <w:rFonts w:ascii="Times New Roman" w:eastAsiaTheme="minorHAnsi" w:hAnsi="Times New Roman" w:cs="Times New Roman"/>
          <w:color w:val="000000" w:themeColor="text1"/>
          <w:sz w:val="24"/>
          <w:szCs w:val="24"/>
        </w:rPr>
        <w:t xml:space="preserve">E-waste </w:t>
      </w:r>
      <w:r w:rsidRPr="00597FFB">
        <w:rPr>
          <w:rFonts w:ascii="Times New Roman" w:eastAsiaTheme="minorHAnsi" w:hAnsi="Times New Roman" w:cs="Times New Roman"/>
          <w:color w:val="000000" w:themeColor="text1"/>
          <w:sz w:val="24"/>
          <w:szCs w:val="24"/>
        </w:rPr>
        <w:t xml:space="preserve">disposal </w:t>
      </w:r>
      <w:r w:rsidR="00E0001A" w:rsidRPr="00597FFB">
        <w:rPr>
          <w:rFonts w:ascii="Times New Roman" w:eastAsiaTheme="minorHAnsi" w:hAnsi="Times New Roman" w:cs="Times New Roman"/>
          <w:color w:val="000000" w:themeColor="text1"/>
          <w:sz w:val="24"/>
          <w:szCs w:val="24"/>
        </w:rPr>
        <w:t>is</w:t>
      </w:r>
      <w:r w:rsidRPr="00597FFB">
        <w:rPr>
          <w:rFonts w:ascii="Times New Roman" w:eastAsiaTheme="minorHAnsi" w:hAnsi="Times New Roman" w:cs="Times New Roman"/>
          <w:color w:val="000000" w:themeColor="text1"/>
          <w:sz w:val="24"/>
          <w:szCs w:val="24"/>
        </w:rPr>
        <w:t xml:space="preserve"> </w:t>
      </w:r>
      <w:r w:rsidR="00E0001A" w:rsidRPr="00597FFB">
        <w:rPr>
          <w:rFonts w:ascii="Times New Roman" w:eastAsiaTheme="minorHAnsi" w:hAnsi="Times New Roman" w:cs="Times New Roman"/>
          <w:color w:val="000000" w:themeColor="text1"/>
          <w:sz w:val="24"/>
          <w:szCs w:val="24"/>
        </w:rPr>
        <w:t>leads to insufficient E-waste</w:t>
      </w:r>
      <w:r w:rsidRPr="00597FFB">
        <w:rPr>
          <w:rFonts w:ascii="Times New Roman" w:eastAsiaTheme="minorHAnsi" w:hAnsi="Times New Roman" w:cs="Times New Roman"/>
          <w:color w:val="000000" w:themeColor="text1"/>
          <w:sz w:val="24"/>
          <w:szCs w:val="24"/>
        </w:rPr>
        <w:t xml:space="preserve"> collection practices and</w:t>
      </w:r>
      <w:r w:rsidR="00E0001A" w:rsidRPr="00597FFB">
        <w:rPr>
          <w:rFonts w:ascii="Times New Roman" w:eastAsiaTheme="minorHAnsi" w:hAnsi="Times New Roman" w:cs="Times New Roman"/>
          <w:color w:val="000000" w:themeColor="text1"/>
          <w:sz w:val="24"/>
          <w:szCs w:val="24"/>
        </w:rPr>
        <w:t>, ultimately,</w:t>
      </w:r>
      <w:r w:rsidRPr="00597FFB">
        <w:rPr>
          <w:rFonts w:ascii="Times New Roman" w:eastAsiaTheme="minorHAnsi" w:hAnsi="Times New Roman" w:cs="Times New Roman"/>
          <w:color w:val="000000" w:themeColor="text1"/>
          <w:sz w:val="24"/>
          <w:szCs w:val="24"/>
        </w:rPr>
        <w:t xml:space="preserve"> low </w:t>
      </w:r>
      <w:r w:rsidR="00E0001A" w:rsidRPr="00597FFB">
        <w:rPr>
          <w:rFonts w:ascii="Times New Roman" w:eastAsiaTheme="minorHAnsi" w:hAnsi="Times New Roman" w:cs="Times New Roman"/>
          <w:color w:val="000000" w:themeColor="text1"/>
          <w:sz w:val="24"/>
          <w:szCs w:val="24"/>
        </w:rPr>
        <w:t xml:space="preserve">rates of E-waste </w:t>
      </w:r>
      <w:r w:rsidRPr="00597FFB">
        <w:rPr>
          <w:rFonts w:ascii="Times New Roman" w:eastAsiaTheme="minorHAnsi" w:hAnsi="Times New Roman" w:cs="Times New Roman"/>
          <w:color w:val="000000" w:themeColor="text1"/>
          <w:sz w:val="24"/>
          <w:szCs w:val="24"/>
        </w:rPr>
        <w:t xml:space="preserve">recycling. Responsible </w:t>
      </w:r>
      <w:r w:rsidR="00524709" w:rsidRPr="00597FFB">
        <w:rPr>
          <w:rFonts w:ascii="Times New Roman" w:eastAsiaTheme="minorHAnsi" w:hAnsi="Times New Roman" w:cs="Times New Roman"/>
          <w:color w:val="000000" w:themeColor="text1"/>
          <w:sz w:val="24"/>
          <w:szCs w:val="24"/>
        </w:rPr>
        <w:t xml:space="preserve">attitudes toward </w:t>
      </w:r>
      <w:r w:rsidRPr="00597FFB">
        <w:rPr>
          <w:rFonts w:ascii="Times New Roman" w:eastAsiaTheme="minorHAnsi" w:hAnsi="Times New Roman" w:cs="Times New Roman"/>
          <w:color w:val="000000" w:themeColor="text1"/>
          <w:sz w:val="24"/>
          <w:szCs w:val="24"/>
        </w:rPr>
        <w:t xml:space="preserve">disposal and recycling </w:t>
      </w:r>
      <w:r w:rsidR="00524709" w:rsidRPr="00597FFB">
        <w:rPr>
          <w:rFonts w:ascii="Times New Roman" w:eastAsiaTheme="minorHAnsi" w:hAnsi="Times New Roman" w:cs="Times New Roman"/>
          <w:color w:val="000000" w:themeColor="text1"/>
          <w:sz w:val="24"/>
          <w:szCs w:val="24"/>
        </w:rPr>
        <w:t>are dependent on various influential factors</w:t>
      </w:r>
      <w:r w:rsidRPr="00597FFB">
        <w:rPr>
          <w:rFonts w:ascii="Times New Roman" w:eastAsiaTheme="minorHAns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rPr>
        <w:t>(Shaikh, 2020)</w:t>
      </w:r>
      <w:r w:rsidRPr="00597FFB">
        <w:rPr>
          <w:rFonts w:ascii="Times New Roman" w:eastAsiaTheme="minorHAnsi" w:hAnsi="Times New Roman" w:cs="Times New Roman"/>
          <w:color w:val="000000" w:themeColor="text1"/>
          <w:sz w:val="24"/>
          <w:szCs w:val="24"/>
        </w:rPr>
        <w:t xml:space="preserve">. These </w:t>
      </w:r>
      <w:r w:rsidR="00524709" w:rsidRPr="00597FFB">
        <w:rPr>
          <w:rFonts w:ascii="Times New Roman" w:eastAsiaTheme="minorHAnsi" w:hAnsi="Times New Roman" w:cs="Times New Roman"/>
          <w:color w:val="000000" w:themeColor="text1"/>
          <w:sz w:val="24"/>
          <w:szCs w:val="24"/>
        </w:rPr>
        <w:t>can be</w:t>
      </w:r>
      <w:r w:rsidRPr="00597FFB">
        <w:rPr>
          <w:rFonts w:ascii="Times New Roman" w:eastAsiaTheme="minorHAnsi" w:hAnsi="Times New Roman" w:cs="Times New Roman"/>
          <w:color w:val="000000" w:themeColor="text1"/>
          <w:sz w:val="24"/>
          <w:szCs w:val="24"/>
        </w:rPr>
        <w:t xml:space="preserve"> categorized broadly as</w:t>
      </w:r>
      <w:r w:rsidR="00524709" w:rsidRPr="00597FFB">
        <w:rPr>
          <w:rFonts w:ascii="Times New Roman" w:eastAsiaTheme="minorHAnsi" w:hAnsi="Times New Roman" w:cs="Times New Roman"/>
          <w:color w:val="000000" w:themeColor="text1"/>
          <w:sz w:val="24"/>
          <w:szCs w:val="24"/>
        </w:rPr>
        <w:t xml:space="preserve"> follows</w:t>
      </w:r>
      <w:r w:rsidRPr="00597FFB">
        <w:rPr>
          <w:rFonts w:ascii="Times New Roman" w:eastAsiaTheme="minorHAnsi" w:hAnsi="Times New Roman" w:cs="Times New Roman"/>
          <w:color w:val="000000" w:themeColor="text1"/>
          <w:sz w:val="24"/>
          <w:szCs w:val="24"/>
        </w:rPr>
        <w:t>:</w:t>
      </w:r>
    </w:p>
    <w:p w14:paraId="35057C7F" w14:textId="67694D94" w:rsidR="0003140E" w:rsidRPr="00597FFB" w:rsidRDefault="0003140E" w:rsidP="00A558FE">
      <w:pPr>
        <w:numPr>
          <w:ilvl w:val="0"/>
          <w:numId w:val="12"/>
        </w:numPr>
        <w:spacing w:after="0" w:line="480" w:lineRule="auto"/>
        <w:contextualSpacing/>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sociocultural factors </w:t>
      </w:r>
      <w:r w:rsidR="00524709" w:rsidRPr="00597FFB">
        <w:rPr>
          <w:rFonts w:ascii="Times New Roman" w:eastAsiaTheme="minorHAnsi" w:hAnsi="Times New Roman" w:cs="Times New Roman"/>
          <w:color w:val="000000" w:themeColor="text1"/>
          <w:sz w:val="24"/>
          <w:szCs w:val="24"/>
        </w:rPr>
        <w:t>including</w:t>
      </w:r>
      <w:r w:rsidRPr="00597FFB">
        <w:rPr>
          <w:rFonts w:ascii="Times New Roman" w:eastAsiaTheme="minorHAnsi" w:hAnsi="Times New Roman" w:cs="Times New Roman"/>
          <w:color w:val="000000" w:themeColor="text1"/>
          <w:sz w:val="24"/>
          <w:szCs w:val="24"/>
        </w:rPr>
        <w:t xml:space="preserve"> </w:t>
      </w:r>
      <w:r w:rsidR="00524709" w:rsidRPr="00597FFB">
        <w:rPr>
          <w:rFonts w:ascii="Times New Roman" w:eastAsiaTheme="minorHAnsi" w:hAnsi="Times New Roman" w:cs="Times New Roman"/>
          <w:color w:val="000000" w:themeColor="text1"/>
          <w:sz w:val="24"/>
          <w:szCs w:val="24"/>
        </w:rPr>
        <w:t>age, ideology</w:t>
      </w:r>
      <w:r w:rsidRPr="00597FFB">
        <w:rPr>
          <w:rFonts w:ascii="Times New Roman" w:eastAsiaTheme="minorHAnsi" w:hAnsi="Times New Roman" w:cs="Times New Roman"/>
          <w:color w:val="000000" w:themeColor="text1"/>
          <w:sz w:val="24"/>
          <w:szCs w:val="24"/>
        </w:rPr>
        <w:t xml:space="preserve">, </w:t>
      </w:r>
      <w:r w:rsidR="00524709" w:rsidRPr="00597FFB">
        <w:rPr>
          <w:rFonts w:ascii="Times New Roman" w:eastAsiaTheme="minorHAnsi" w:hAnsi="Times New Roman" w:cs="Times New Roman"/>
          <w:color w:val="000000" w:themeColor="text1"/>
          <w:sz w:val="24"/>
          <w:szCs w:val="24"/>
        </w:rPr>
        <w:t xml:space="preserve">environmental awareness, </w:t>
      </w:r>
      <w:r w:rsidRPr="00597FFB">
        <w:rPr>
          <w:rFonts w:ascii="Times New Roman" w:eastAsiaTheme="minorHAnsi" w:hAnsi="Times New Roman" w:cs="Times New Roman"/>
          <w:color w:val="000000" w:themeColor="text1"/>
          <w:sz w:val="24"/>
          <w:szCs w:val="24"/>
        </w:rPr>
        <w:t xml:space="preserve">gender, </w:t>
      </w:r>
      <w:r w:rsidR="00524709" w:rsidRPr="00597FFB">
        <w:rPr>
          <w:rFonts w:ascii="Times New Roman" w:eastAsiaTheme="minorHAnsi" w:hAnsi="Times New Roman" w:cs="Times New Roman"/>
          <w:color w:val="000000" w:themeColor="text1"/>
          <w:sz w:val="24"/>
          <w:szCs w:val="24"/>
        </w:rPr>
        <w:t>education</w:t>
      </w:r>
      <w:r w:rsidRPr="00597FFB">
        <w:rPr>
          <w:rFonts w:ascii="Times New Roman" w:eastAsiaTheme="minorHAnsi" w:hAnsi="Times New Roman" w:cs="Times New Roman"/>
          <w:color w:val="000000" w:themeColor="text1"/>
          <w:sz w:val="24"/>
          <w:szCs w:val="24"/>
        </w:rPr>
        <w:t>;</w:t>
      </w:r>
    </w:p>
    <w:p w14:paraId="2E85D866" w14:textId="36667D51" w:rsidR="0003140E" w:rsidRPr="00597FFB" w:rsidRDefault="0003140E" w:rsidP="00A558FE">
      <w:pPr>
        <w:numPr>
          <w:ilvl w:val="0"/>
          <w:numId w:val="12"/>
        </w:numPr>
        <w:spacing w:after="0" w:line="480" w:lineRule="auto"/>
        <w:contextualSpacing/>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economic factors </w:t>
      </w:r>
      <w:r w:rsidR="00524709" w:rsidRPr="00597FFB">
        <w:rPr>
          <w:rFonts w:ascii="Times New Roman" w:eastAsia="Calibri" w:hAnsi="Times New Roman" w:cs="Times New Roman"/>
          <w:color w:val="000000" w:themeColor="text1"/>
          <w:sz w:val="24"/>
          <w:szCs w:val="24"/>
        </w:rPr>
        <w:t>including</w:t>
      </w:r>
      <w:r w:rsidRPr="00597FFB">
        <w:rPr>
          <w:rFonts w:ascii="Times New Roman" w:eastAsiaTheme="minorHAnsi" w:hAnsi="Times New Roman" w:cs="Times New Roman"/>
          <w:color w:val="000000" w:themeColor="text1"/>
          <w:sz w:val="24"/>
          <w:szCs w:val="24"/>
        </w:rPr>
        <w:t xml:space="preserve"> willingness</w:t>
      </w:r>
      <w:r w:rsidR="00992925" w:rsidRPr="00597FFB">
        <w:rPr>
          <w:rFonts w:ascii="Times New Roman" w:eastAsiaTheme="minorHAnsi" w:hAnsi="Times New Roman" w:cs="Times New Roman"/>
          <w:color w:val="000000" w:themeColor="text1"/>
          <w:sz w:val="24"/>
          <w:szCs w:val="24"/>
        </w:rPr>
        <w:t>-</w:t>
      </w:r>
      <w:r w:rsidRPr="00597FFB">
        <w:rPr>
          <w:rFonts w:ascii="Times New Roman" w:eastAsiaTheme="minorHAnsi" w:hAnsi="Times New Roman" w:cs="Times New Roman"/>
          <w:color w:val="000000" w:themeColor="text1"/>
          <w:sz w:val="24"/>
          <w:szCs w:val="24"/>
        </w:rPr>
        <w:t>to</w:t>
      </w:r>
      <w:r w:rsidR="00992925" w:rsidRPr="00597FFB">
        <w:rPr>
          <w:rFonts w:ascii="Times New Roman" w:eastAsiaTheme="minorHAnsi" w:hAnsi="Times New Roman" w:cs="Times New Roman"/>
          <w:color w:val="000000" w:themeColor="text1"/>
          <w:sz w:val="24"/>
          <w:szCs w:val="24"/>
        </w:rPr>
        <w:t>-</w:t>
      </w:r>
      <w:r w:rsidRPr="00597FFB">
        <w:rPr>
          <w:rFonts w:ascii="Times New Roman" w:eastAsiaTheme="minorHAnsi" w:hAnsi="Times New Roman" w:cs="Times New Roman"/>
          <w:color w:val="000000" w:themeColor="text1"/>
          <w:sz w:val="24"/>
          <w:szCs w:val="24"/>
        </w:rPr>
        <w:t xml:space="preserve">pay for </w:t>
      </w:r>
      <w:r w:rsidR="00992925" w:rsidRPr="00597FFB">
        <w:rPr>
          <w:rFonts w:ascii="Times New Roman" w:eastAsiaTheme="minorHAnsi" w:hAnsi="Times New Roman" w:cs="Times New Roman"/>
          <w:color w:val="000000" w:themeColor="text1"/>
          <w:sz w:val="24"/>
          <w:szCs w:val="24"/>
        </w:rPr>
        <w:t xml:space="preserve">processes of </w:t>
      </w:r>
      <w:r w:rsidRPr="00597FFB">
        <w:rPr>
          <w:rFonts w:ascii="Times New Roman" w:eastAsiaTheme="minorHAnsi" w:hAnsi="Times New Roman" w:cs="Times New Roman"/>
          <w:color w:val="000000" w:themeColor="text1"/>
          <w:sz w:val="24"/>
          <w:szCs w:val="24"/>
        </w:rPr>
        <w:t>recycling</w:t>
      </w:r>
      <w:r w:rsidR="00992925" w:rsidRPr="00597FFB">
        <w:rPr>
          <w:rFonts w:ascii="Times New Roman" w:eastAsiaTheme="minorHAnsi" w:hAnsi="Times New Roman" w:cs="Times New Roman"/>
          <w:color w:val="000000" w:themeColor="text1"/>
          <w:sz w:val="24"/>
          <w:szCs w:val="24"/>
        </w:rPr>
        <w:t xml:space="preserve"> and income level</w:t>
      </w:r>
      <w:r w:rsidRPr="00597FFB">
        <w:rPr>
          <w:rFonts w:ascii="Times New Roman" w:eastAsiaTheme="minorHAnsi" w:hAnsi="Times New Roman" w:cs="Times New Roman"/>
          <w:color w:val="000000" w:themeColor="text1"/>
          <w:sz w:val="24"/>
          <w:szCs w:val="24"/>
        </w:rPr>
        <w:t>; and</w:t>
      </w:r>
    </w:p>
    <w:p w14:paraId="5FCB86BD" w14:textId="60570CE0" w:rsidR="0003140E" w:rsidRPr="00597FFB" w:rsidRDefault="0003140E" w:rsidP="00A558FE">
      <w:pPr>
        <w:numPr>
          <w:ilvl w:val="0"/>
          <w:numId w:val="12"/>
        </w:numPr>
        <w:spacing w:line="480" w:lineRule="auto"/>
        <w:contextualSpacing/>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infrastructural factors</w:t>
      </w:r>
      <w:r w:rsidRPr="00597FFB">
        <w:rPr>
          <w:rFonts w:ascii="Times New Roman" w:eastAsia="Calibri" w:hAnsi="Times New Roman" w:cs="Times New Roman"/>
          <w:color w:val="000000" w:themeColor="text1"/>
          <w:sz w:val="24"/>
          <w:szCs w:val="24"/>
        </w:rPr>
        <w:t xml:space="preserve"> such as</w:t>
      </w:r>
      <w:r w:rsidRPr="00597FFB">
        <w:rPr>
          <w:rFonts w:ascii="Times New Roman" w:eastAsiaTheme="minorHAnsi" w:hAnsi="Times New Roman" w:cs="Times New Roman"/>
          <w:color w:val="000000" w:themeColor="text1"/>
          <w:sz w:val="24"/>
          <w:szCs w:val="24"/>
        </w:rPr>
        <w:t xml:space="preserve"> </w:t>
      </w:r>
      <w:r w:rsidR="00604A7D" w:rsidRPr="00597FFB">
        <w:rPr>
          <w:rFonts w:ascii="Times New Roman" w:eastAsiaTheme="minorHAnsi" w:hAnsi="Times New Roman" w:cs="Times New Roman"/>
          <w:color w:val="000000" w:themeColor="text1"/>
          <w:sz w:val="24"/>
          <w:szCs w:val="24"/>
        </w:rPr>
        <w:t>conversance</w:t>
      </w:r>
      <w:r w:rsidRPr="00597FFB">
        <w:rPr>
          <w:rFonts w:ascii="Times New Roman" w:eastAsiaTheme="minorHAnsi" w:hAnsi="Times New Roman" w:cs="Times New Roman"/>
          <w:color w:val="000000" w:themeColor="text1"/>
          <w:sz w:val="24"/>
          <w:szCs w:val="24"/>
        </w:rPr>
        <w:t xml:space="preserve"> with recycling and </w:t>
      </w:r>
      <w:r w:rsidR="00604A7D" w:rsidRPr="00597FFB">
        <w:rPr>
          <w:rFonts w:ascii="Times New Roman" w:eastAsiaTheme="minorHAnsi" w:hAnsi="Times New Roman" w:cs="Times New Roman"/>
          <w:color w:val="000000" w:themeColor="text1"/>
          <w:sz w:val="24"/>
          <w:szCs w:val="24"/>
        </w:rPr>
        <w:t xml:space="preserve">options that are </w:t>
      </w:r>
      <w:r w:rsidRPr="00597FFB">
        <w:rPr>
          <w:rFonts w:ascii="Times New Roman" w:eastAsiaTheme="minorHAnsi" w:hAnsi="Times New Roman" w:cs="Times New Roman"/>
          <w:color w:val="000000" w:themeColor="text1"/>
          <w:sz w:val="24"/>
          <w:szCs w:val="24"/>
        </w:rPr>
        <w:t xml:space="preserve">available </w:t>
      </w:r>
      <w:r w:rsidRPr="00597FFB">
        <w:rPr>
          <w:rFonts w:ascii="Times New Roman" w:eastAsia="Calibri" w:hAnsi="Times New Roman" w:cs="Times New Roman"/>
          <w:color w:val="000000" w:themeColor="text1"/>
          <w:sz w:val="24"/>
          <w:szCs w:val="24"/>
        </w:rPr>
        <w:t>for</w:t>
      </w:r>
      <w:r w:rsidRPr="00597FFB">
        <w:rPr>
          <w:rFonts w:ascii="Times New Roman" w:eastAsiaTheme="minorHAnsi" w:hAnsi="Times New Roman" w:cs="Times New Roman"/>
          <w:color w:val="000000" w:themeColor="text1"/>
          <w:sz w:val="24"/>
          <w:szCs w:val="24"/>
        </w:rPr>
        <w:t xml:space="preserve"> disposal that include door</w:t>
      </w:r>
      <w:r w:rsidR="00C04F9C" w:rsidRPr="00597FFB">
        <w:rPr>
          <w:rFonts w:ascii="Times New Roman" w:eastAsiaTheme="minorHAnsi" w:hAnsi="Times New Roman" w:cs="Times New Roman"/>
          <w:color w:val="000000" w:themeColor="text1"/>
          <w:sz w:val="24"/>
          <w:szCs w:val="24"/>
        </w:rPr>
        <w:t>step</w:t>
      </w:r>
      <w:r w:rsidRPr="00597FFB">
        <w:rPr>
          <w:rFonts w:ascii="Times New Roman" w:eastAsiaTheme="minorHAnsi" w:hAnsi="Times New Roman" w:cs="Times New Roman"/>
          <w:color w:val="000000" w:themeColor="text1"/>
          <w:sz w:val="24"/>
          <w:szCs w:val="24"/>
        </w:rPr>
        <w:t xml:space="preserve"> collection </w:t>
      </w:r>
      <w:r w:rsidRPr="00597FFB">
        <w:rPr>
          <w:rFonts w:ascii="Times New Roman" w:eastAsia="Calibri" w:hAnsi="Times New Roman" w:cs="Times New Roman"/>
          <w:color w:val="000000" w:themeColor="text1"/>
          <w:sz w:val="24"/>
          <w:szCs w:val="24"/>
        </w:rPr>
        <w:t>facilities</w:t>
      </w:r>
      <w:r w:rsidRPr="00597FFB">
        <w:rPr>
          <w:rFonts w:ascii="Times New Roman" w:eastAsiaTheme="minorHAnsi" w:hAnsi="Times New Roman" w:cs="Times New Roman"/>
          <w:color w:val="000000" w:themeColor="text1"/>
          <w:sz w:val="24"/>
          <w:szCs w:val="24"/>
        </w:rPr>
        <w:t xml:space="preserve"> or </w:t>
      </w:r>
      <w:r w:rsidR="00C04F9C" w:rsidRPr="00597FFB">
        <w:rPr>
          <w:rFonts w:ascii="Times New Roman" w:eastAsiaTheme="minorHAnsi" w:hAnsi="Times New Roman" w:cs="Times New Roman"/>
          <w:color w:val="000000" w:themeColor="text1"/>
          <w:sz w:val="24"/>
          <w:szCs w:val="24"/>
        </w:rPr>
        <w:t>nearness</w:t>
      </w:r>
      <w:r w:rsidRPr="00597FFB">
        <w:rPr>
          <w:rFonts w:ascii="Times New Roman" w:eastAsiaTheme="minorHAnsi" w:hAnsi="Times New Roman" w:cs="Times New Roman"/>
          <w:color w:val="000000" w:themeColor="text1"/>
          <w:sz w:val="24"/>
          <w:szCs w:val="24"/>
        </w:rPr>
        <w:t xml:space="preserve"> to drop-off sites.</w:t>
      </w:r>
    </w:p>
    <w:p w14:paraId="07E9F717" w14:textId="3F3F34EC" w:rsidR="0003140E" w:rsidRPr="00597FFB" w:rsidRDefault="0003140E" w:rsidP="00A558FE">
      <w:pPr>
        <w:spacing w:line="480" w:lineRule="auto"/>
        <w:ind w:firstLine="36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Lastly, </w:t>
      </w:r>
      <w:r w:rsidR="00C04F9C" w:rsidRPr="00597FFB">
        <w:rPr>
          <w:rFonts w:ascii="Times New Roman" w:eastAsiaTheme="minorHAnsi" w:hAnsi="Times New Roman" w:cs="Times New Roman"/>
          <w:color w:val="000000" w:themeColor="text1"/>
          <w:sz w:val="24"/>
          <w:szCs w:val="24"/>
        </w:rPr>
        <w:t>owing to un</w:t>
      </w:r>
      <w:r w:rsidRPr="00597FFB">
        <w:rPr>
          <w:rFonts w:ascii="Times New Roman" w:eastAsiaTheme="minorHAnsi" w:hAnsi="Times New Roman" w:cs="Times New Roman"/>
          <w:color w:val="000000" w:themeColor="text1"/>
          <w:sz w:val="24"/>
          <w:szCs w:val="24"/>
        </w:rPr>
        <w:t xml:space="preserve">awareness </w:t>
      </w:r>
      <w:r w:rsidRPr="00597FFB">
        <w:rPr>
          <w:rFonts w:ascii="Times New Roman" w:eastAsia="Calibri" w:hAnsi="Times New Roman" w:cs="Times New Roman"/>
          <w:color w:val="000000" w:themeColor="text1"/>
          <w:sz w:val="24"/>
          <w:szCs w:val="24"/>
        </w:rPr>
        <w:t>of</w:t>
      </w:r>
      <w:r w:rsidRPr="00597FFB">
        <w:rPr>
          <w:rFonts w:ascii="Times New Roman" w:eastAsiaTheme="minorHAnsi" w:hAnsi="Times New Roman" w:cs="Times New Roman"/>
          <w:color w:val="000000" w:themeColor="text1"/>
          <w:sz w:val="24"/>
          <w:szCs w:val="24"/>
        </w:rPr>
        <w:t xml:space="preserve"> </w:t>
      </w:r>
      <w:r w:rsidR="00C04F9C" w:rsidRPr="00597FFB">
        <w:rPr>
          <w:rFonts w:ascii="Times New Roman" w:eastAsiaTheme="minorHAnsi" w:hAnsi="Times New Roman" w:cs="Times New Roman"/>
          <w:color w:val="000000" w:themeColor="text1"/>
          <w:sz w:val="24"/>
          <w:szCs w:val="24"/>
        </w:rPr>
        <w:t>the practices and hazards associated with E</w:t>
      </w:r>
      <w:r w:rsidRPr="00597FFB">
        <w:rPr>
          <w:rFonts w:ascii="Times New Roman" w:eastAsiaTheme="minorHAnsi" w:hAnsi="Times New Roman" w:cs="Times New Roman"/>
          <w:color w:val="000000" w:themeColor="text1"/>
          <w:sz w:val="24"/>
          <w:szCs w:val="24"/>
        </w:rPr>
        <w:t xml:space="preserve">-waste management, the public </w:t>
      </w:r>
      <w:r w:rsidR="00C04F9C" w:rsidRPr="00597FFB">
        <w:rPr>
          <w:rFonts w:ascii="Times New Roman" w:eastAsiaTheme="minorHAnsi" w:hAnsi="Times New Roman" w:cs="Times New Roman"/>
          <w:color w:val="000000" w:themeColor="text1"/>
          <w:sz w:val="24"/>
          <w:szCs w:val="24"/>
        </w:rPr>
        <w:t>tends to be</w:t>
      </w:r>
      <w:r w:rsidRPr="00597FFB">
        <w:rPr>
          <w:rFonts w:ascii="Times New Roman" w:eastAsiaTheme="minorHAnsi" w:hAnsi="Times New Roman" w:cs="Times New Roman"/>
          <w:color w:val="000000" w:themeColor="text1"/>
          <w:sz w:val="24"/>
          <w:szCs w:val="24"/>
        </w:rPr>
        <w:t xml:space="preserve"> negligent </w:t>
      </w:r>
      <w:r w:rsidR="00C04F9C" w:rsidRPr="00597FFB">
        <w:rPr>
          <w:rFonts w:ascii="Times New Roman" w:eastAsia="Calibri" w:hAnsi="Times New Roman" w:cs="Times New Roman"/>
          <w:color w:val="000000" w:themeColor="text1"/>
          <w:sz w:val="24"/>
          <w:szCs w:val="24"/>
        </w:rPr>
        <w:t>with respect</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to </w:t>
      </w:r>
      <w:r w:rsidR="005349FD" w:rsidRPr="00597FFB">
        <w:rPr>
          <w:rFonts w:ascii="Times New Roman" w:eastAsiaTheme="minorHAnsi" w:hAnsi="Times New Roman" w:cs="Times New Roman"/>
          <w:color w:val="000000" w:themeColor="text1"/>
          <w:sz w:val="24"/>
          <w:szCs w:val="24"/>
        </w:rPr>
        <w:t>E</w:t>
      </w:r>
      <w:r w:rsidRPr="00597FFB">
        <w:rPr>
          <w:rFonts w:ascii="Times New Roman" w:eastAsiaTheme="minorHAnsi" w:hAnsi="Times New Roman" w:cs="Times New Roman"/>
          <w:color w:val="000000" w:themeColor="text1"/>
          <w:sz w:val="24"/>
          <w:szCs w:val="24"/>
        </w:rPr>
        <w:t xml:space="preserve">-waste, i.e., </w:t>
      </w:r>
      <w:r w:rsidR="005349FD" w:rsidRPr="00597FFB">
        <w:rPr>
          <w:rFonts w:ascii="Times New Roman" w:eastAsiaTheme="minorHAnsi" w:hAnsi="Times New Roman" w:cs="Times New Roman"/>
          <w:color w:val="000000" w:themeColor="text1"/>
          <w:sz w:val="24"/>
          <w:szCs w:val="24"/>
        </w:rPr>
        <w:t xml:space="preserve">EEE </w:t>
      </w:r>
      <w:r w:rsidRPr="00597FFB">
        <w:rPr>
          <w:rFonts w:ascii="Times New Roman" w:eastAsiaTheme="minorHAnsi" w:hAnsi="Times New Roman" w:cs="Times New Roman"/>
          <w:color w:val="000000" w:themeColor="text1"/>
          <w:sz w:val="24"/>
          <w:szCs w:val="24"/>
        </w:rPr>
        <w:t>usage, disposal, and recycling.</w:t>
      </w:r>
      <w:r w:rsidR="005349FD" w:rsidRPr="00597FFB">
        <w:rPr>
          <w:rFonts w:ascii="Times New Roman" w:eastAsiaTheme="minorHAnsi" w:hAnsi="Times New Roman" w:cs="Times New Roman"/>
          <w:color w:val="000000" w:themeColor="text1"/>
          <w:sz w:val="24"/>
          <w:szCs w:val="24"/>
        </w:rPr>
        <w:t xml:space="preserve"> In most cases,</w:t>
      </w:r>
      <w:r w:rsidRPr="00597FFB">
        <w:rPr>
          <w:rFonts w:ascii="Times New Roman" w:eastAsiaTheme="minorHAnsi" w:hAnsi="Times New Roman" w:cs="Times New Roman"/>
          <w:color w:val="000000" w:themeColor="text1"/>
          <w:sz w:val="24"/>
          <w:szCs w:val="24"/>
        </w:rPr>
        <w:t xml:space="preserve"> </w:t>
      </w:r>
      <w:r w:rsidR="005349FD" w:rsidRPr="00597FFB">
        <w:rPr>
          <w:rFonts w:ascii="Times New Roman" w:eastAsiaTheme="minorHAnsi" w:hAnsi="Times New Roman" w:cs="Times New Roman"/>
          <w:color w:val="000000" w:themeColor="text1"/>
          <w:sz w:val="24"/>
          <w:szCs w:val="24"/>
        </w:rPr>
        <w:t>c</w:t>
      </w:r>
      <w:r w:rsidRPr="00597FFB">
        <w:rPr>
          <w:rFonts w:ascii="Times New Roman" w:eastAsiaTheme="minorHAnsi" w:hAnsi="Times New Roman" w:cs="Times New Roman"/>
          <w:color w:val="000000" w:themeColor="text1"/>
          <w:sz w:val="24"/>
          <w:szCs w:val="24"/>
        </w:rPr>
        <w:t xml:space="preserve">onsumers </w:t>
      </w:r>
      <w:r w:rsidR="005349FD" w:rsidRPr="00597FFB">
        <w:rPr>
          <w:rFonts w:ascii="Times New Roman" w:eastAsiaTheme="minorHAnsi" w:hAnsi="Times New Roman" w:cs="Times New Roman"/>
          <w:color w:val="000000" w:themeColor="text1"/>
          <w:sz w:val="24"/>
          <w:szCs w:val="24"/>
        </w:rPr>
        <w:t xml:space="preserve">often </w:t>
      </w:r>
      <w:r w:rsidRPr="00597FFB">
        <w:rPr>
          <w:rFonts w:ascii="Times New Roman" w:eastAsiaTheme="minorHAnsi" w:hAnsi="Times New Roman" w:cs="Times New Roman"/>
          <w:color w:val="000000" w:themeColor="text1"/>
          <w:sz w:val="24"/>
          <w:szCs w:val="24"/>
        </w:rPr>
        <w:t xml:space="preserve">stockpile </w:t>
      </w:r>
      <w:r w:rsidR="005349FD" w:rsidRPr="00597FFB">
        <w:rPr>
          <w:rFonts w:ascii="Times New Roman" w:eastAsiaTheme="minorHAnsi" w:hAnsi="Times New Roman" w:cs="Times New Roman"/>
          <w:color w:val="000000" w:themeColor="text1"/>
          <w:sz w:val="24"/>
          <w:szCs w:val="24"/>
        </w:rPr>
        <w:t>used,</w:t>
      </w:r>
      <w:r w:rsidR="005349FD" w:rsidRPr="00597FFB">
        <w:rPr>
          <w:rFonts w:ascii="Times New Roman" w:eastAsia="Calibri" w:hAnsi="Times New Roman" w:cs="Times New Roman"/>
          <w:color w:val="000000" w:themeColor="text1"/>
          <w:sz w:val="24"/>
          <w:szCs w:val="24"/>
        </w:rPr>
        <w:t xml:space="preserve"> nonfunctional</w:t>
      </w:r>
      <w:r w:rsidR="005349FD" w:rsidRPr="00597FFB">
        <w:rPr>
          <w:rFonts w:ascii="Times New Roman" w:eastAsiaTheme="minorHAns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and </w:t>
      </w:r>
      <w:r w:rsidR="005349FD" w:rsidRPr="00597FFB">
        <w:rPr>
          <w:rFonts w:ascii="Times New Roman" w:eastAsiaTheme="minorHAnsi" w:hAnsi="Times New Roman" w:cs="Times New Roman"/>
          <w:color w:val="000000" w:themeColor="text1"/>
          <w:sz w:val="24"/>
          <w:szCs w:val="24"/>
        </w:rPr>
        <w:t xml:space="preserve">old </w:t>
      </w:r>
      <w:r w:rsidRPr="00597FFB">
        <w:rPr>
          <w:rFonts w:ascii="Times New Roman" w:eastAsiaTheme="minorHAnsi" w:hAnsi="Times New Roman" w:cs="Times New Roman"/>
          <w:color w:val="000000" w:themeColor="text1"/>
          <w:sz w:val="24"/>
          <w:szCs w:val="24"/>
        </w:rPr>
        <w:t xml:space="preserve">electronic </w:t>
      </w:r>
      <w:r w:rsidR="005349FD" w:rsidRPr="00597FFB">
        <w:rPr>
          <w:rFonts w:ascii="Times New Roman" w:eastAsiaTheme="minorHAnsi" w:hAnsi="Times New Roman" w:cs="Times New Roman"/>
          <w:color w:val="000000" w:themeColor="text1"/>
          <w:sz w:val="24"/>
          <w:szCs w:val="24"/>
        </w:rPr>
        <w:t>gadgets</w:t>
      </w:r>
      <w:r w:rsidRPr="00597FFB">
        <w:rPr>
          <w:rFonts w:ascii="Times New Roman" w:eastAsiaTheme="minorHAnsi" w:hAnsi="Times New Roman" w:cs="Times New Roman"/>
          <w:color w:val="000000" w:themeColor="text1"/>
          <w:sz w:val="24"/>
          <w:szCs w:val="24"/>
        </w:rPr>
        <w:t xml:space="preserve"> for </w:t>
      </w:r>
      <w:r w:rsidR="005349FD" w:rsidRPr="00597FFB">
        <w:rPr>
          <w:rFonts w:ascii="Times New Roman" w:eastAsiaTheme="minorHAnsi" w:hAnsi="Times New Roman" w:cs="Times New Roman"/>
          <w:color w:val="000000" w:themeColor="text1"/>
          <w:sz w:val="24"/>
          <w:szCs w:val="24"/>
        </w:rPr>
        <w:t>a while</w:t>
      </w:r>
      <w:r w:rsidRPr="00597FFB">
        <w:rPr>
          <w:rFonts w:ascii="Times New Roman" w:eastAsiaTheme="minorHAnsi" w:hAnsi="Times New Roman" w:cs="Times New Roman"/>
          <w:color w:val="000000" w:themeColor="text1"/>
          <w:sz w:val="24"/>
          <w:szCs w:val="24"/>
        </w:rPr>
        <w:t xml:space="preserve"> </w:t>
      </w:r>
      <w:r w:rsidR="005349FD" w:rsidRPr="00597FFB">
        <w:rPr>
          <w:rFonts w:ascii="Times New Roman" w:eastAsiaTheme="minorHAnsi" w:hAnsi="Times New Roman" w:cs="Times New Roman"/>
          <w:color w:val="000000" w:themeColor="text1"/>
          <w:sz w:val="24"/>
          <w:szCs w:val="24"/>
        </w:rPr>
        <w:t>finally deciding to get rid of</w:t>
      </w:r>
      <w:r w:rsidRPr="00597FFB">
        <w:rPr>
          <w:rFonts w:ascii="Times New Roman" w:eastAsiaTheme="minorHAnsi" w:hAnsi="Times New Roman" w:cs="Times New Roman"/>
          <w:color w:val="000000" w:themeColor="text1"/>
          <w:sz w:val="24"/>
          <w:szCs w:val="24"/>
        </w:rPr>
        <w:t xml:space="preserve"> them. This stockpiling increases the obsolescence of functioning parts thereby </w:t>
      </w:r>
      <w:r w:rsidR="009A747E" w:rsidRPr="00597FFB">
        <w:rPr>
          <w:rFonts w:ascii="Times New Roman" w:eastAsiaTheme="minorHAnsi" w:hAnsi="Times New Roman" w:cs="Times New Roman"/>
          <w:color w:val="000000" w:themeColor="text1"/>
          <w:sz w:val="24"/>
          <w:szCs w:val="24"/>
        </w:rPr>
        <w:t>making</w:t>
      </w:r>
      <w:r w:rsidRPr="00597FFB">
        <w:rPr>
          <w:rFonts w:ascii="Times New Roman" w:eastAsiaTheme="minorHAnsi" w:hAnsi="Times New Roman" w:cs="Times New Roman"/>
          <w:color w:val="000000" w:themeColor="text1"/>
          <w:sz w:val="24"/>
          <w:szCs w:val="24"/>
        </w:rPr>
        <w:t xml:space="preserve"> them </w:t>
      </w:r>
      <w:r w:rsidR="009A747E" w:rsidRPr="00597FFB">
        <w:rPr>
          <w:rFonts w:ascii="Times New Roman" w:eastAsiaTheme="minorHAnsi" w:hAnsi="Times New Roman" w:cs="Times New Roman"/>
          <w:color w:val="000000" w:themeColor="text1"/>
          <w:sz w:val="24"/>
          <w:szCs w:val="24"/>
        </w:rPr>
        <w:t>irrecoverable</w:t>
      </w:r>
      <w:r w:rsidRPr="00597FFB">
        <w:rPr>
          <w:rFonts w:ascii="Times New Roman" w:eastAsiaTheme="minorHAnsi" w:hAnsi="Times New Roman" w:cs="Times New Roman"/>
          <w:color w:val="000000" w:themeColor="text1"/>
          <w:sz w:val="24"/>
          <w:szCs w:val="24"/>
        </w:rPr>
        <w:t xml:space="preserve"> and </w:t>
      </w:r>
      <w:r w:rsidR="009A747E" w:rsidRPr="00597FFB">
        <w:rPr>
          <w:rFonts w:ascii="Times New Roman" w:eastAsiaTheme="minorHAnsi" w:hAnsi="Times New Roman" w:cs="Times New Roman"/>
          <w:color w:val="000000" w:themeColor="text1"/>
          <w:sz w:val="24"/>
          <w:szCs w:val="24"/>
        </w:rPr>
        <w:t>leading to</w:t>
      </w:r>
      <w:r w:rsidRPr="00597FFB">
        <w:rPr>
          <w:rFonts w:ascii="Times New Roman" w:eastAsiaTheme="minorHAnsi" w:hAnsi="Times New Roman" w:cs="Times New Roman"/>
          <w:color w:val="000000" w:themeColor="text1"/>
          <w:sz w:val="24"/>
          <w:szCs w:val="24"/>
        </w:rPr>
        <w:t xml:space="preserve"> the loss of </w:t>
      </w:r>
      <w:r w:rsidR="009A747E" w:rsidRPr="00597FFB">
        <w:rPr>
          <w:rFonts w:ascii="Times New Roman" w:eastAsiaTheme="minorHAnsi" w:hAnsi="Times New Roman" w:cs="Times New Roman"/>
          <w:color w:val="000000" w:themeColor="text1"/>
          <w:sz w:val="24"/>
          <w:szCs w:val="24"/>
        </w:rPr>
        <w:t>recovery value, profitability</w:t>
      </w:r>
      <w:r w:rsidRPr="00597FFB">
        <w:rPr>
          <w:rFonts w:ascii="Times New Roman" w:eastAsiaTheme="minorHAnsi" w:hAnsi="Times New Roman" w:cs="Times New Roman"/>
          <w:color w:val="000000" w:themeColor="text1"/>
          <w:sz w:val="24"/>
          <w:szCs w:val="24"/>
        </w:rPr>
        <w:t xml:space="preserve">, and </w:t>
      </w:r>
      <w:r w:rsidR="009A747E" w:rsidRPr="00597FFB">
        <w:rPr>
          <w:rFonts w:ascii="Times New Roman" w:eastAsiaTheme="minorHAnsi" w:hAnsi="Times New Roman" w:cs="Times New Roman"/>
          <w:color w:val="000000" w:themeColor="text1"/>
          <w:sz w:val="24"/>
          <w:szCs w:val="24"/>
        </w:rPr>
        <w:t xml:space="preserve">material </w:t>
      </w:r>
      <w:r w:rsidRPr="00597FFB">
        <w:rPr>
          <w:rFonts w:ascii="Times New Roman" w:eastAsiaTheme="minorHAnsi" w:hAnsi="Times New Roman" w:cs="Times New Roman"/>
          <w:color w:val="000000" w:themeColor="text1"/>
          <w:sz w:val="24"/>
        </w:rPr>
        <w:t>(Ramzan et al., 2020)</w:t>
      </w:r>
      <w:r w:rsidRPr="00597FFB">
        <w:rPr>
          <w:rFonts w:ascii="Times New Roman" w:eastAsiaTheme="minorHAnsi" w:hAnsi="Times New Roman" w:cs="Times New Roman"/>
          <w:color w:val="000000" w:themeColor="text1"/>
          <w:sz w:val="24"/>
          <w:szCs w:val="24"/>
        </w:rPr>
        <w:t>.</w:t>
      </w:r>
    </w:p>
    <w:p w14:paraId="155EE025" w14:textId="2E8EA314" w:rsidR="00201411" w:rsidRPr="00597FFB" w:rsidRDefault="007D28AC" w:rsidP="00A558FE">
      <w:pPr>
        <w:pStyle w:val="Heading2"/>
        <w:spacing w:line="480" w:lineRule="auto"/>
        <w:rPr>
          <w:rFonts w:asciiTheme="majorBidi" w:hAnsiTheme="majorBidi"/>
          <w:b/>
          <w:bCs/>
          <w:color w:val="000000" w:themeColor="text1"/>
          <w:sz w:val="24"/>
          <w:szCs w:val="24"/>
        </w:rPr>
      </w:pPr>
      <w:bookmarkStart w:id="95" w:name="_Toc127170272"/>
      <w:r w:rsidRPr="00597FFB">
        <w:rPr>
          <w:rFonts w:asciiTheme="majorBidi" w:hAnsiTheme="majorBidi"/>
          <w:b/>
          <w:bCs/>
          <w:color w:val="000000" w:themeColor="text1"/>
          <w:sz w:val="24"/>
          <w:szCs w:val="24"/>
        </w:rPr>
        <w:t xml:space="preserve">2.3. </w:t>
      </w:r>
      <w:r w:rsidR="00201411" w:rsidRPr="00597FFB">
        <w:rPr>
          <w:rFonts w:asciiTheme="majorBidi" w:hAnsiTheme="majorBidi"/>
          <w:b/>
          <w:bCs/>
          <w:color w:val="000000" w:themeColor="text1"/>
          <w:sz w:val="24"/>
          <w:szCs w:val="24"/>
        </w:rPr>
        <w:t>E</w:t>
      </w:r>
      <w:r w:rsidRPr="00597FFB">
        <w:rPr>
          <w:rFonts w:asciiTheme="majorBidi" w:hAnsiTheme="majorBidi"/>
          <w:b/>
          <w:bCs/>
          <w:color w:val="000000" w:themeColor="text1"/>
          <w:sz w:val="24"/>
          <w:szCs w:val="24"/>
        </w:rPr>
        <w:t>-</w:t>
      </w:r>
      <w:r w:rsidR="004D46F8">
        <w:rPr>
          <w:rFonts w:asciiTheme="majorBidi" w:hAnsiTheme="majorBidi"/>
          <w:b/>
          <w:bCs/>
          <w:color w:val="000000" w:themeColor="text1"/>
          <w:sz w:val="24"/>
          <w:szCs w:val="24"/>
        </w:rPr>
        <w:t>w</w:t>
      </w:r>
      <w:r w:rsidRPr="00597FFB">
        <w:rPr>
          <w:rFonts w:asciiTheme="majorBidi" w:hAnsiTheme="majorBidi"/>
          <w:b/>
          <w:bCs/>
          <w:color w:val="000000" w:themeColor="text1"/>
          <w:sz w:val="24"/>
          <w:szCs w:val="24"/>
        </w:rPr>
        <w:t xml:space="preserve">aste </w:t>
      </w:r>
      <w:r w:rsidR="00201411" w:rsidRPr="00597FFB">
        <w:rPr>
          <w:rFonts w:asciiTheme="majorBidi" w:hAnsiTheme="majorBidi"/>
          <w:b/>
          <w:bCs/>
          <w:color w:val="000000" w:themeColor="text1"/>
          <w:sz w:val="24"/>
          <w:szCs w:val="24"/>
        </w:rPr>
        <w:t>Management Practices</w:t>
      </w:r>
      <w:r w:rsidRPr="00597FFB">
        <w:rPr>
          <w:rFonts w:asciiTheme="majorBidi" w:hAnsiTheme="majorBidi"/>
          <w:b/>
          <w:bCs/>
          <w:color w:val="000000" w:themeColor="text1"/>
          <w:sz w:val="24"/>
          <w:szCs w:val="24"/>
        </w:rPr>
        <w:t>.</w:t>
      </w:r>
      <w:bookmarkEnd w:id="95"/>
    </w:p>
    <w:p w14:paraId="10FD9866" w14:textId="03B4D051" w:rsidR="0003140E" w:rsidRPr="00597FFB" w:rsidRDefault="0003140E" w:rsidP="00A558FE">
      <w:pPr>
        <w:spacing w:line="480" w:lineRule="auto"/>
        <w:ind w:firstLine="360"/>
        <w:jc w:val="both"/>
        <w:rPr>
          <w:rFonts w:ascii="Times New Roman" w:eastAsia="Calibri" w:hAnsi="Times New Roman" w:cs="Times New Roman"/>
          <w:color w:val="000000" w:themeColor="text1"/>
          <w:sz w:val="24"/>
          <w:szCs w:val="24"/>
        </w:rPr>
      </w:pPr>
      <w:bookmarkStart w:id="96" w:name="_Hlk73263596"/>
      <w:r w:rsidRPr="00597FFB">
        <w:rPr>
          <w:rFonts w:ascii="Times New Roman" w:eastAsia="Calibri" w:hAnsi="Times New Roman" w:cs="Times New Roman"/>
          <w:color w:val="000000" w:themeColor="text1"/>
          <w:sz w:val="24"/>
          <w:szCs w:val="24"/>
        </w:rPr>
        <w:t xml:space="preserve">The rapid increase in e-waste has led to worldwide demands to adopt proper management systems </w:t>
      </w:r>
      <w:r w:rsidRPr="00597FFB">
        <w:rPr>
          <w:rFonts w:ascii="Times New Roman" w:eastAsiaTheme="minorHAnsi" w:hAnsi="Times New Roman" w:cs="Times New Roman"/>
          <w:color w:val="000000" w:themeColor="text1"/>
          <w:sz w:val="24"/>
          <w:szCs w:val="24"/>
        </w:rPr>
        <w:t>(Adanu et al., 2020)</w:t>
      </w:r>
      <w:r w:rsidRPr="00597FFB">
        <w:rPr>
          <w:rFonts w:ascii="Times New Roman" w:eastAsia="Calibri" w:hAnsi="Times New Roman" w:cs="Times New Roman"/>
          <w:color w:val="000000" w:themeColor="text1"/>
          <w:sz w:val="24"/>
          <w:szCs w:val="24"/>
        </w:rPr>
        <w:t xml:space="preserve">. </w:t>
      </w:r>
      <w:bookmarkStart w:id="97" w:name="_Hlk55379739"/>
      <w:r w:rsidRPr="00597FFB">
        <w:rPr>
          <w:rFonts w:ascii="Times New Roman" w:eastAsia="Times New Roman" w:hAnsi="Times New Roman" w:cs="Times New Roman"/>
          <w:bCs/>
          <w:color w:val="000000" w:themeColor="text1"/>
          <w:sz w:val="24"/>
          <w:szCs w:val="24"/>
        </w:rPr>
        <w:t>In the last decade, the concept of e-waste management</w:t>
      </w:r>
      <w:r w:rsidRPr="00597FFB">
        <w:rPr>
          <w:rFonts w:ascii="Times New Roman" w:eastAsia="Calibri"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EWM) has received significant attention with the concerned authorities developing and implementing various policies around it (</w:t>
      </w:r>
      <w:r w:rsidRPr="00597FFB">
        <w:rPr>
          <w:rFonts w:ascii="Times New Roman" w:eastAsiaTheme="minorHAnsi" w:hAnsi="Times New Roman" w:cs="Times New Roman"/>
          <w:color w:val="000000" w:themeColor="text1"/>
          <w:sz w:val="24"/>
          <w:szCs w:val="24"/>
        </w:rPr>
        <w:t>Bombaerts et al., 2020)</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Calibri" w:hAnsi="Times New Roman" w:cs="Times New Roman"/>
          <w:color w:val="000000" w:themeColor="text1"/>
          <w:sz w:val="24"/>
          <w:szCs w:val="24"/>
        </w:rPr>
        <w:t xml:space="preserve">According to </w:t>
      </w:r>
      <w:r w:rsidRPr="00597FFB">
        <w:rPr>
          <w:rFonts w:ascii="Times New Roman" w:eastAsiaTheme="minorHAnsi" w:hAnsi="Times New Roman" w:cs="Times New Roman"/>
          <w:color w:val="000000" w:themeColor="text1"/>
          <w:sz w:val="24"/>
          <w:szCs w:val="24"/>
        </w:rPr>
        <w:t>Li et al. (2018)</w:t>
      </w:r>
      <w:r w:rsidRPr="00597FFB">
        <w:rPr>
          <w:rFonts w:ascii="Times New Roman" w:eastAsia="Calibri" w:hAnsi="Times New Roman" w:cs="Times New Roman"/>
          <w:color w:val="000000" w:themeColor="text1"/>
          <w:sz w:val="24"/>
          <w:szCs w:val="24"/>
        </w:rPr>
        <w:t>, the concept of EWM emerged between 1970 and 1980 when significant environmental pollution accumulated in developing countries</w:t>
      </w:r>
      <w:bookmarkEnd w:id="97"/>
      <w:r w:rsidRPr="00597FFB">
        <w:rPr>
          <w:rFonts w:ascii="Times New Roman" w:eastAsia="Calibri" w:hAnsi="Times New Roman" w:cs="Times New Roman"/>
          <w:color w:val="000000" w:themeColor="text1"/>
          <w:sz w:val="24"/>
          <w:szCs w:val="24"/>
        </w:rPr>
        <w:t xml:space="preserve"> to the extent that the problem attracted wider global attention.</w:t>
      </w:r>
    </w:p>
    <w:p w14:paraId="6BCC392C" w14:textId="77777777" w:rsidR="0003140E" w:rsidRPr="00597FFB" w:rsidRDefault="0003140E" w:rsidP="00A558FE">
      <w:pPr>
        <w:spacing w:line="480" w:lineRule="auto"/>
        <w:ind w:firstLine="360"/>
        <w:jc w:val="both"/>
        <w:rPr>
          <w:rFonts w:ascii="Times New Roman" w:eastAsia="Calibri" w:hAnsi="Times New Roman" w:cs="Times New Roman"/>
          <w:bCs/>
          <w:color w:val="000000" w:themeColor="text1"/>
          <w:sz w:val="24"/>
          <w:szCs w:val="24"/>
        </w:rPr>
      </w:pPr>
      <w:r w:rsidRPr="00597FFB">
        <w:rPr>
          <w:rFonts w:ascii="Times New Roman" w:eastAsia="Calibri" w:hAnsi="Times New Roman" w:cs="Times New Roman"/>
          <w:color w:val="000000" w:themeColor="text1"/>
          <w:sz w:val="24"/>
          <w:szCs w:val="24"/>
        </w:rPr>
        <w:t xml:space="preserve">EWM entails organizing, planning, forecasting, controlling, directing, and staffing to ensure that the various processes function correctly and efficiently </w:t>
      </w:r>
      <w:r w:rsidRPr="00597FFB">
        <w:rPr>
          <w:rFonts w:ascii="Times New Roman" w:eastAsiaTheme="minorHAnsi" w:hAnsi="Times New Roman" w:cs="Times New Roman"/>
          <w:color w:val="000000" w:themeColor="text1"/>
          <w:sz w:val="24"/>
          <w:szCs w:val="24"/>
        </w:rPr>
        <w:t>(Baldé et al., 2019)</w:t>
      </w:r>
      <w:r w:rsidRPr="00597FFB">
        <w:rPr>
          <w:rFonts w:ascii="Times New Roman" w:eastAsia="Calibri" w:hAnsi="Times New Roman" w:cs="Times New Roman"/>
          <w:color w:val="000000" w:themeColor="text1"/>
          <w:sz w:val="24"/>
          <w:szCs w:val="24"/>
        </w:rPr>
        <w:t xml:space="preserve">. EWM involves overseeing activities related to generating, collecting, transferring, transporting, storing, processing, and disposing of e-waste while ensuring that these activities are environmentally compatible. It also involves the adoption of economic conservation principles, energy, and aesthetics </w:t>
      </w:r>
      <w:r w:rsidRPr="00597FFB">
        <w:rPr>
          <w:rFonts w:ascii="Times New Roman" w:eastAsiaTheme="minorHAnsi" w:hAnsi="Times New Roman" w:cs="Times New Roman"/>
          <w:color w:val="000000" w:themeColor="text1"/>
          <w:sz w:val="24"/>
          <w:szCs w:val="24"/>
        </w:rPr>
        <w:t>(Kumar &amp; Dixit, 2018)</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Conceptually, EWM includes handling, disposing, and recycling e-waste from loosely discarded, surplus, obsolete, or broken electrical and electronic devices</w:t>
      </w:r>
      <w:r w:rsidRPr="00597FFB">
        <w:rPr>
          <w:rFonts w:ascii="Times New Roman" w:eastAsia="Calibri" w:hAnsi="Times New Roman" w:cs="Times New Roman"/>
          <w:iCs/>
          <w:color w:val="000000" w:themeColor="text1"/>
          <w:sz w:val="24"/>
          <w:szCs w:val="24"/>
        </w:rPr>
        <w:t xml:space="preserve"> </w:t>
      </w:r>
      <w:r w:rsidRPr="00597FFB">
        <w:rPr>
          <w:rFonts w:ascii="Times New Roman" w:eastAsiaTheme="minorHAnsi" w:hAnsi="Times New Roman" w:cs="Times New Roman"/>
          <w:color w:val="000000" w:themeColor="text1"/>
          <w:sz w:val="24"/>
        </w:rPr>
        <w:t>(Arain et al., 2020)</w:t>
      </w:r>
      <w:r w:rsidRPr="00597FFB">
        <w:rPr>
          <w:rFonts w:ascii="Times New Roman" w:eastAsia="Calibri" w:hAnsi="Times New Roman" w:cs="Times New Roman"/>
          <w:bCs/>
          <w:color w:val="000000" w:themeColor="text1"/>
          <w:sz w:val="24"/>
          <w:szCs w:val="24"/>
        </w:rPr>
        <w:t>.</w:t>
      </w:r>
    </w:p>
    <w:p w14:paraId="0BE7926F" w14:textId="47908CAB" w:rsidR="00C87698"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EWM has been explored in several ways and approached from different perspectives. </w:t>
      </w:r>
      <w:r w:rsidRPr="00597FFB">
        <w:rPr>
          <w:rFonts w:ascii="Times New Roman" w:eastAsiaTheme="minorHAnsi" w:hAnsi="Times New Roman" w:cs="Times New Roman"/>
          <w:color w:val="000000" w:themeColor="text1"/>
          <w:sz w:val="24"/>
          <w:szCs w:val="24"/>
        </w:rPr>
        <w:t>Azodo et al. (2017)</w:t>
      </w:r>
      <w:r w:rsidRPr="00597FFB">
        <w:rPr>
          <w:rFonts w:ascii="Times New Roman" w:eastAsia="Calibri" w:hAnsi="Times New Roman" w:cs="Times New Roman"/>
          <w:color w:val="000000" w:themeColor="text1"/>
          <w:sz w:val="24"/>
          <w:szCs w:val="24"/>
        </w:rPr>
        <w:t xml:space="preserve"> examined the European Union's theoretical stance when it developed its WEEE directive and concluded that the separate electronics and waste management areas were connected by the underlying regulatory principle of extended producer responsibility. While drafting the directive, the authors from the European Union were conflicted about interpretations of sustainability, dangers of the overviews of geographic areas being simplistic, and fiat decisions - all of which resulted in eliminating waste management as the primary outcome of the directive </w:t>
      </w:r>
      <w:r w:rsidRPr="00597FFB">
        <w:rPr>
          <w:rFonts w:ascii="Times New Roman" w:eastAsiaTheme="minorHAnsi" w:hAnsi="Times New Roman" w:cs="Times New Roman"/>
          <w:color w:val="000000" w:themeColor="text1"/>
          <w:sz w:val="24"/>
          <w:szCs w:val="24"/>
        </w:rPr>
        <w:t>(Bao et al., 2020)</w:t>
      </w:r>
      <w:r w:rsidRPr="00597FFB">
        <w:rPr>
          <w:rFonts w:ascii="Times New Roman" w:eastAsia="Calibri" w:hAnsi="Times New Roman" w:cs="Times New Roman"/>
          <w:color w:val="000000" w:themeColor="text1"/>
          <w:sz w:val="24"/>
          <w:szCs w:val="24"/>
        </w:rPr>
        <w:t>. This section focuses on the general e-waste management practices employed by developed countries and the public in developing countries. Since literature about e-waste management in the UAE is limited, literature from other developing countries was reviewed to provide context for this study.</w:t>
      </w:r>
    </w:p>
    <w:p w14:paraId="7B25A26E" w14:textId="77777777" w:rsidR="00B27214" w:rsidRPr="00597FFB" w:rsidRDefault="00B27214" w:rsidP="00A558FE">
      <w:pPr>
        <w:spacing w:line="480" w:lineRule="auto"/>
        <w:ind w:firstLine="720"/>
        <w:jc w:val="both"/>
        <w:rPr>
          <w:rFonts w:ascii="Times New Roman" w:eastAsia="Calibri" w:hAnsi="Times New Roman" w:cs="Times New Roman"/>
          <w:color w:val="000000" w:themeColor="text1"/>
          <w:sz w:val="24"/>
          <w:szCs w:val="24"/>
        </w:rPr>
      </w:pPr>
    </w:p>
    <w:p w14:paraId="05C80D39" w14:textId="3D785D5A" w:rsidR="0028516D" w:rsidRPr="00597FFB" w:rsidRDefault="0028516D"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98" w:name="_Toc127170273"/>
      <w:r w:rsidRPr="00597FFB">
        <w:rPr>
          <w:rFonts w:ascii="Times New Roman" w:eastAsia="Calibri" w:hAnsi="Times New Roman" w:cs="Times New Roman"/>
          <w:i/>
          <w:iCs/>
          <w:color w:val="000000" w:themeColor="text1"/>
          <w:sz w:val="24"/>
          <w:szCs w:val="24"/>
        </w:rPr>
        <w:t xml:space="preserve">2.3.1. </w:t>
      </w:r>
      <w:r w:rsidR="00B27214" w:rsidRPr="00597FFB">
        <w:rPr>
          <w:rFonts w:ascii="Times New Roman" w:eastAsia="Calibri" w:hAnsi="Times New Roman" w:cs="Times New Roman"/>
          <w:i/>
          <w:iCs/>
          <w:color w:val="000000" w:themeColor="text1"/>
          <w:sz w:val="24"/>
          <w:szCs w:val="24"/>
        </w:rPr>
        <w:t>E</w:t>
      </w:r>
      <w:r w:rsidR="001820EE">
        <w:rPr>
          <w:rFonts w:ascii="Times New Roman" w:eastAsia="Calibri" w:hAnsi="Times New Roman" w:cs="Times New Roman"/>
          <w:i/>
          <w:iCs/>
          <w:color w:val="000000" w:themeColor="text1"/>
          <w:sz w:val="24"/>
          <w:szCs w:val="24"/>
        </w:rPr>
        <w:t>WM</w:t>
      </w:r>
      <w:r w:rsidR="005D0D18" w:rsidRPr="00597FFB">
        <w:rPr>
          <w:rFonts w:ascii="Times New Roman" w:eastAsia="Calibri" w:hAnsi="Times New Roman" w:cs="Times New Roman"/>
          <w:i/>
          <w:iCs/>
          <w:color w:val="000000" w:themeColor="text1"/>
          <w:sz w:val="24"/>
          <w:szCs w:val="24"/>
        </w:rPr>
        <w:t xml:space="preserve"> </w:t>
      </w:r>
      <w:r w:rsidR="00685040" w:rsidRPr="00597FFB">
        <w:rPr>
          <w:rFonts w:ascii="Times New Roman" w:eastAsia="Calibri" w:hAnsi="Times New Roman" w:cs="Times New Roman"/>
          <w:i/>
          <w:iCs/>
          <w:color w:val="000000" w:themeColor="text1"/>
          <w:sz w:val="24"/>
          <w:szCs w:val="24"/>
        </w:rPr>
        <w:t>Practices</w:t>
      </w:r>
      <w:r w:rsidR="00AD71B9" w:rsidRPr="00597FFB">
        <w:rPr>
          <w:rFonts w:ascii="Times New Roman" w:eastAsia="Calibri" w:hAnsi="Times New Roman" w:cs="Times New Roman"/>
          <w:i/>
          <w:iCs/>
          <w:color w:val="000000" w:themeColor="text1"/>
          <w:sz w:val="24"/>
          <w:szCs w:val="24"/>
        </w:rPr>
        <w:t xml:space="preserve"> </w:t>
      </w:r>
      <w:r w:rsidR="00A56EE5" w:rsidRPr="00597FFB">
        <w:rPr>
          <w:rFonts w:ascii="Times New Roman" w:eastAsia="Calibri" w:hAnsi="Times New Roman" w:cs="Times New Roman"/>
          <w:i/>
          <w:iCs/>
          <w:color w:val="000000" w:themeColor="text1"/>
          <w:sz w:val="24"/>
          <w:szCs w:val="24"/>
        </w:rPr>
        <w:t>i</w:t>
      </w:r>
      <w:r w:rsidR="00685040" w:rsidRPr="00597FFB">
        <w:rPr>
          <w:rFonts w:ascii="Times New Roman" w:eastAsia="Calibri" w:hAnsi="Times New Roman" w:cs="Times New Roman"/>
          <w:i/>
          <w:iCs/>
          <w:color w:val="000000" w:themeColor="text1"/>
          <w:sz w:val="24"/>
          <w:szCs w:val="24"/>
        </w:rPr>
        <w:t>n Developed Economies.</w:t>
      </w:r>
      <w:bookmarkEnd w:id="98"/>
    </w:p>
    <w:bookmarkEnd w:id="96"/>
    <w:p w14:paraId="72C7EED3" w14:textId="1DDB2D42" w:rsidR="0003140E" w:rsidRPr="00597FFB" w:rsidRDefault="009A747E" w:rsidP="00A558FE">
      <w:pPr>
        <w:spacing w:line="480" w:lineRule="auto"/>
        <w:ind w:firstLine="720"/>
        <w:jc w:val="both"/>
        <w:rPr>
          <w:rFonts w:ascii="Times New Roman" w:eastAsia="Calibri" w:hAnsi="Times New Roman" w:cs="Times New Roman"/>
          <w:bCs/>
          <w:color w:val="000000" w:themeColor="text1"/>
          <w:sz w:val="24"/>
          <w:szCs w:val="24"/>
        </w:rPr>
      </w:pPr>
      <w:r w:rsidRPr="00597FFB">
        <w:rPr>
          <w:rFonts w:ascii="Times New Roman" w:eastAsia="Calibri" w:hAnsi="Times New Roman" w:cs="Times New Roman"/>
          <w:bCs/>
          <w:color w:val="000000" w:themeColor="text1"/>
          <w:sz w:val="24"/>
          <w:szCs w:val="24"/>
        </w:rPr>
        <w:t>Around</w:t>
      </w:r>
      <w:r w:rsidR="0003140E" w:rsidRPr="00597FFB">
        <w:rPr>
          <w:rFonts w:ascii="Times New Roman" w:eastAsia="Calibri" w:hAnsi="Times New Roman" w:cs="Times New Roman"/>
          <w:bCs/>
          <w:color w:val="000000" w:themeColor="text1"/>
          <w:sz w:val="24"/>
          <w:szCs w:val="24"/>
        </w:rPr>
        <w:t xml:space="preserve"> (and </w:t>
      </w:r>
      <w:r w:rsidRPr="00597FFB">
        <w:rPr>
          <w:rFonts w:ascii="Times New Roman" w:eastAsia="Calibri" w:hAnsi="Times New Roman" w:cs="Times New Roman"/>
          <w:bCs/>
          <w:color w:val="000000" w:themeColor="text1"/>
          <w:sz w:val="24"/>
          <w:szCs w:val="24"/>
        </w:rPr>
        <w:t>prior to</w:t>
      </w:r>
      <w:r w:rsidR="0003140E" w:rsidRPr="00597FFB">
        <w:rPr>
          <w:rFonts w:ascii="Times New Roman" w:eastAsia="Calibri" w:hAnsi="Times New Roman" w:cs="Times New Roman"/>
          <w:bCs/>
          <w:color w:val="000000" w:themeColor="text1"/>
          <w:sz w:val="24"/>
          <w:szCs w:val="24"/>
        </w:rPr>
        <w:t>) the 1990s, e-waste treat</w:t>
      </w:r>
      <w:r w:rsidRPr="00597FFB">
        <w:rPr>
          <w:rFonts w:ascii="Times New Roman" w:eastAsia="Calibri" w:hAnsi="Times New Roman" w:cs="Times New Roman"/>
          <w:bCs/>
          <w:color w:val="000000" w:themeColor="text1"/>
          <w:sz w:val="24"/>
          <w:szCs w:val="24"/>
        </w:rPr>
        <w:t>ment was</w:t>
      </w:r>
      <w:r w:rsidR="0003140E" w:rsidRPr="00597FFB">
        <w:rPr>
          <w:rFonts w:ascii="Times New Roman" w:eastAsia="Calibri" w:hAnsi="Times New Roman" w:cs="Times New Roman"/>
          <w:bCs/>
          <w:color w:val="000000" w:themeColor="text1"/>
          <w:sz w:val="24"/>
          <w:szCs w:val="24"/>
        </w:rPr>
        <w:t xml:space="preserve"> the same as municipal solid waste and was either </w:t>
      </w:r>
      <w:r w:rsidRPr="00597FFB">
        <w:rPr>
          <w:rFonts w:ascii="Times New Roman" w:eastAsia="Calibri" w:hAnsi="Times New Roman" w:cs="Times New Roman"/>
          <w:bCs/>
          <w:color w:val="000000" w:themeColor="text1"/>
          <w:sz w:val="24"/>
          <w:szCs w:val="24"/>
        </w:rPr>
        <w:t>incinerated or dumped in</w:t>
      </w:r>
      <w:r w:rsidR="0003140E" w:rsidRPr="00597FFB">
        <w:rPr>
          <w:rFonts w:ascii="Times New Roman" w:eastAsia="Calibri" w:hAnsi="Times New Roman" w:cs="Times New Roman"/>
          <w:bCs/>
          <w:color w:val="000000" w:themeColor="text1"/>
          <w:sz w:val="24"/>
          <w:szCs w:val="24"/>
        </w:rPr>
        <w:t xml:space="preserve"> landfills </w:t>
      </w:r>
      <w:r w:rsidR="0003140E" w:rsidRPr="00597FFB">
        <w:rPr>
          <w:rFonts w:ascii="Times New Roman" w:eastAsiaTheme="minorHAnsi" w:hAnsi="Times New Roman" w:cs="Times New Roman"/>
          <w:color w:val="000000" w:themeColor="text1"/>
          <w:sz w:val="24"/>
        </w:rPr>
        <w:t>(Ahirwar &amp; Tripathi, 2021)</w:t>
      </w:r>
      <w:r w:rsidR="0003140E" w:rsidRPr="00597FFB">
        <w:rPr>
          <w:rFonts w:ascii="Times New Roman" w:eastAsia="Calibri" w:hAnsi="Times New Roman" w:cs="Times New Roman"/>
          <w:bCs/>
          <w:color w:val="000000" w:themeColor="text1"/>
          <w:sz w:val="24"/>
          <w:szCs w:val="24"/>
        </w:rPr>
        <w:t xml:space="preserve">. Realizing the </w:t>
      </w:r>
      <w:r w:rsidRPr="00597FFB">
        <w:rPr>
          <w:rFonts w:ascii="Times New Roman" w:eastAsia="Calibri" w:hAnsi="Times New Roman" w:cs="Times New Roman"/>
          <w:bCs/>
          <w:color w:val="000000" w:themeColor="text1"/>
          <w:sz w:val="24"/>
          <w:szCs w:val="24"/>
        </w:rPr>
        <w:t xml:space="preserve">harmful </w:t>
      </w:r>
      <w:r w:rsidR="0003140E" w:rsidRPr="00597FFB">
        <w:rPr>
          <w:rFonts w:ascii="Times New Roman" w:eastAsia="Calibri" w:hAnsi="Times New Roman" w:cs="Times New Roman"/>
          <w:bCs/>
          <w:color w:val="000000" w:themeColor="text1"/>
          <w:sz w:val="24"/>
          <w:szCs w:val="24"/>
        </w:rPr>
        <w:t xml:space="preserve">and </w:t>
      </w:r>
      <w:r w:rsidRPr="00597FFB">
        <w:rPr>
          <w:rFonts w:ascii="Times New Roman" w:eastAsia="Calibri" w:hAnsi="Times New Roman" w:cs="Times New Roman"/>
          <w:bCs/>
          <w:color w:val="000000" w:themeColor="text1"/>
          <w:sz w:val="24"/>
          <w:szCs w:val="24"/>
        </w:rPr>
        <w:t xml:space="preserve">hazardous </w:t>
      </w:r>
      <w:r w:rsidR="0003140E" w:rsidRPr="00597FFB">
        <w:rPr>
          <w:rFonts w:ascii="Times New Roman" w:eastAsia="Calibri" w:hAnsi="Times New Roman" w:cs="Times New Roman"/>
          <w:bCs/>
          <w:color w:val="000000" w:themeColor="text1"/>
          <w:sz w:val="24"/>
          <w:szCs w:val="24"/>
        </w:rPr>
        <w:t xml:space="preserve">material components in e-waste and acknowledging the </w:t>
      </w:r>
      <w:r w:rsidRPr="00597FFB">
        <w:rPr>
          <w:rFonts w:ascii="Times New Roman" w:eastAsia="Calibri" w:hAnsi="Times New Roman" w:cs="Times New Roman"/>
          <w:bCs/>
          <w:color w:val="000000" w:themeColor="text1"/>
          <w:sz w:val="24"/>
          <w:szCs w:val="24"/>
        </w:rPr>
        <w:t xml:space="preserve">space </w:t>
      </w:r>
      <w:r w:rsidR="0003140E" w:rsidRPr="00597FFB">
        <w:rPr>
          <w:rFonts w:ascii="Times New Roman" w:eastAsia="Calibri" w:hAnsi="Times New Roman" w:cs="Times New Roman"/>
          <w:bCs/>
          <w:color w:val="000000" w:themeColor="text1"/>
          <w:sz w:val="24"/>
          <w:szCs w:val="24"/>
        </w:rPr>
        <w:t xml:space="preserve">shortage in landfills and </w:t>
      </w:r>
      <w:r w:rsidRPr="00597FFB">
        <w:rPr>
          <w:rFonts w:ascii="Times New Roman" w:eastAsia="Calibri" w:hAnsi="Times New Roman" w:cs="Times New Roman"/>
          <w:bCs/>
          <w:color w:val="000000" w:themeColor="text1"/>
          <w:sz w:val="24"/>
          <w:szCs w:val="24"/>
        </w:rPr>
        <w:t>possible</w:t>
      </w:r>
      <w:r w:rsidR="0003140E" w:rsidRPr="00597FFB">
        <w:rPr>
          <w:rFonts w:ascii="Times New Roman" w:eastAsia="Calibri" w:hAnsi="Times New Roman" w:cs="Times New Roman"/>
          <w:bCs/>
          <w:color w:val="000000" w:themeColor="text1"/>
          <w:sz w:val="24"/>
          <w:szCs w:val="24"/>
        </w:rPr>
        <w:t xml:space="preserve"> increase of e-waste, European and Asian countries started to advocate for alternative takeback systems. </w:t>
      </w:r>
      <w:r w:rsidRPr="00597FFB">
        <w:rPr>
          <w:rFonts w:ascii="Times New Roman" w:eastAsia="Calibri" w:hAnsi="Times New Roman" w:cs="Times New Roman"/>
          <w:bCs/>
          <w:color w:val="000000" w:themeColor="text1"/>
          <w:sz w:val="24"/>
          <w:szCs w:val="24"/>
        </w:rPr>
        <w:t>In 1994, t</w:t>
      </w:r>
      <w:r w:rsidR="0003140E" w:rsidRPr="00597FFB">
        <w:rPr>
          <w:rFonts w:ascii="Times New Roman" w:eastAsia="Calibri" w:hAnsi="Times New Roman" w:cs="Times New Roman"/>
          <w:bCs/>
          <w:color w:val="000000" w:themeColor="text1"/>
          <w:sz w:val="24"/>
          <w:szCs w:val="24"/>
        </w:rPr>
        <w:t xml:space="preserve">he EU launched a ‘Priority Waste Stream Programme for Electrical and Electronic Equipment’, which </w:t>
      </w:r>
      <w:r w:rsidRPr="00597FFB">
        <w:rPr>
          <w:rFonts w:ascii="Times New Roman" w:eastAsia="Calibri" w:hAnsi="Times New Roman" w:cs="Times New Roman"/>
          <w:bCs/>
          <w:color w:val="000000" w:themeColor="text1"/>
          <w:sz w:val="24"/>
          <w:szCs w:val="24"/>
        </w:rPr>
        <w:t>formed</w:t>
      </w:r>
      <w:r w:rsidR="0003140E" w:rsidRPr="00597FFB">
        <w:rPr>
          <w:rFonts w:ascii="Times New Roman" w:eastAsia="Calibri" w:hAnsi="Times New Roman" w:cs="Times New Roman"/>
          <w:bCs/>
          <w:color w:val="000000" w:themeColor="text1"/>
          <w:sz w:val="24"/>
          <w:szCs w:val="24"/>
        </w:rPr>
        <w:t xml:space="preserve"> the </w:t>
      </w:r>
      <w:r w:rsidRPr="00597FFB">
        <w:rPr>
          <w:rFonts w:ascii="Times New Roman" w:eastAsia="Calibri" w:hAnsi="Times New Roman" w:cs="Times New Roman"/>
          <w:bCs/>
          <w:color w:val="000000" w:themeColor="text1"/>
          <w:sz w:val="24"/>
          <w:szCs w:val="24"/>
        </w:rPr>
        <w:t>foundation</w:t>
      </w:r>
      <w:r w:rsidR="0003140E" w:rsidRPr="00597FFB">
        <w:rPr>
          <w:rFonts w:ascii="Times New Roman" w:eastAsia="Calibri" w:hAnsi="Times New Roman" w:cs="Times New Roman"/>
          <w:bCs/>
          <w:color w:val="000000" w:themeColor="text1"/>
          <w:sz w:val="24"/>
          <w:szCs w:val="24"/>
        </w:rPr>
        <w:t xml:space="preserve"> for the </w:t>
      </w:r>
      <w:r w:rsidRPr="00597FFB">
        <w:rPr>
          <w:rFonts w:ascii="Times New Roman" w:eastAsia="Calibri" w:hAnsi="Times New Roman" w:cs="Times New Roman"/>
          <w:bCs/>
          <w:color w:val="000000" w:themeColor="text1"/>
          <w:sz w:val="24"/>
          <w:szCs w:val="24"/>
        </w:rPr>
        <w:t>consequent</w:t>
      </w:r>
      <w:r w:rsidR="0003140E" w:rsidRPr="00597FFB">
        <w:rPr>
          <w:rFonts w:ascii="Times New Roman" w:eastAsia="Calibri" w:hAnsi="Times New Roman" w:cs="Times New Roman"/>
          <w:bCs/>
          <w:color w:val="000000" w:themeColor="text1"/>
          <w:sz w:val="24"/>
          <w:szCs w:val="24"/>
        </w:rPr>
        <w:t xml:space="preserve"> EU Directive </w:t>
      </w:r>
      <w:r w:rsidR="0003140E" w:rsidRPr="00597FFB">
        <w:rPr>
          <w:rFonts w:ascii="Times New Roman" w:eastAsiaTheme="minorHAnsi" w:hAnsi="Times New Roman" w:cs="Times New Roman"/>
          <w:color w:val="000000" w:themeColor="text1"/>
          <w:sz w:val="24"/>
        </w:rPr>
        <w:t>(Di Vaio et al., 2019)</w:t>
      </w:r>
      <w:r w:rsidR="0003140E" w:rsidRPr="00597FFB">
        <w:rPr>
          <w:rFonts w:ascii="Times New Roman" w:eastAsia="Calibri" w:hAnsi="Times New Roman" w:cs="Times New Roman"/>
          <w:bCs/>
          <w:color w:val="000000" w:themeColor="text1"/>
          <w:sz w:val="24"/>
          <w:szCs w:val="24"/>
        </w:rPr>
        <w:t xml:space="preserve">. Since then, e-waste regulations have gradually been implemented in regions and localized to countries and the EU has </w:t>
      </w:r>
      <w:r w:rsidRPr="00597FFB">
        <w:rPr>
          <w:rFonts w:ascii="Times New Roman" w:eastAsia="Calibri" w:hAnsi="Times New Roman" w:cs="Times New Roman"/>
          <w:bCs/>
          <w:color w:val="000000" w:themeColor="text1"/>
          <w:sz w:val="24"/>
          <w:szCs w:val="24"/>
        </w:rPr>
        <w:t>remained</w:t>
      </w:r>
      <w:r w:rsidR="0003140E" w:rsidRPr="00597FFB">
        <w:rPr>
          <w:rFonts w:ascii="Times New Roman" w:eastAsia="Calibri" w:hAnsi="Times New Roman" w:cs="Times New Roman"/>
          <w:bCs/>
          <w:color w:val="000000" w:themeColor="text1"/>
          <w:sz w:val="24"/>
          <w:szCs w:val="24"/>
        </w:rPr>
        <w:t xml:space="preserve"> a global leader in formulati</w:t>
      </w:r>
      <w:r w:rsidRPr="00597FFB">
        <w:rPr>
          <w:rFonts w:ascii="Times New Roman" w:eastAsia="Calibri" w:hAnsi="Times New Roman" w:cs="Times New Roman"/>
          <w:bCs/>
          <w:color w:val="000000" w:themeColor="text1"/>
          <w:sz w:val="24"/>
          <w:szCs w:val="24"/>
        </w:rPr>
        <w:t>o</w:t>
      </w:r>
      <w:r w:rsidR="0003140E" w:rsidRPr="00597FFB">
        <w:rPr>
          <w:rFonts w:ascii="Times New Roman" w:eastAsia="Calibri" w:hAnsi="Times New Roman" w:cs="Times New Roman"/>
          <w:bCs/>
          <w:color w:val="000000" w:themeColor="text1"/>
          <w:sz w:val="24"/>
          <w:szCs w:val="24"/>
        </w:rPr>
        <w:t>n</w:t>
      </w:r>
      <w:r w:rsidRPr="00597FFB">
        <w:rPr>
          <w:rFonts w:ascii="Times New Roman" w:eastAsia="Calibri" w:hAnsi="Times New Roman" w:cs="Times New Roman"/>
          <w:bCs/>
          <w:color w:val="000000" w:themeColor="text1"/>
          <w:sz w:val="24"/>
          <w:szCs w:val="24"/>
        </w:rPr>
        <w:t xml:space="preserve"> of</w:t>
      </w:r>
      <w:r w:rsidR="0003140E" w:rsidRPr="00597FFB">
        <w:rPr>
          <w:rFonts w:ascii="Times New Roman" w:eastAsia="Calibri" w:hAnsi="Times New Roman" w:cs="Times New Roman"/>
          <w:bCs/>
          <w:color w:val="000000" w:themeColor="text1"/>
          <w:sz w:val="24"/>
          <w:szCs w:val="24"/>
        </w:rPr>
        <w:t xml:space="preserve"> policies </w:t>
      </w:r>
      <w:r w:rsidRPr="00597FFB">
        <w:rPr>
          <w:rFonts w:ascii="Times New Roman" w:eastAsia="Calibri" w:hAnsi="Times New Roman" w:cs="Times New Roman"/>
          <w:bCs/>
          <w:color w:val="000000" w:themeColor="text1"/>
          <w:sz w:val="24"/>
          <w:szCs w:val="24"/>
        </w:rPr>
        <w:t>concerning</w:t>
      </w:r>
      <w:r w:rsidR="0003140E" w:rsidRPr="00597FFB">
        <w:rPr>
          <w:rFonts w:ascii="Times New Roman" w:eastAsia="Calibri" w:hAnsi="Times New Roman" w:cs="Times New Roman"/>
          <w:bCs/>
          <w:color w:val="000000" w:themeColor="text1"/>
          <w:sz w:val="24"/>
          <w:szCs w:val="24"/>
        </w:rPr>
        <w:t xml:space="preserve"> hazardous substances </w:t>
      </w:r>
      <w:r w:rsidR="0003140E" w:rsidRPr="00597FFB">
        <w:rPr>
          <w:rFonts w:ascii="Times New Roman" w:eastAsiaTheme="minorHAnsi" w:hAnsi="Times New Roman" w:cs="Times New Roman"/>
          <w:color w:val="000000" w:themeColor="text1"/>
          <w:sz w:val="24"/>
        </w:rPr>
        <w:t>(Freudenreich et al., 2020)</w:t>
      </w:r>
      <w:r w:rsidR="0003140E" w:rsidRPr="00597FFB">
        <w:rPr>
          <w:rFonts w:ascii="Times New Roman" w:eastAsia="Calibri" w:hAnsi="Times New Roman" w:cs="Times New Roman"/>
          <w:bCs/>
          <w:color w:val="000000" w:themeColor="text1"/>
          <w:sz w:val="24"/>
          <w:szCs w:val="24"/>
        </w:rPr>
        <w:t>. Following suit are other countries such as Japan, South Korea, and Canada with others like China now tightening their regulations and enforcing bans on the import</w:t>
      </w:r>
      <w:r w:rsidR="009E1432" w:rsidRPr="00597FFB">
        <w:rPr>
          <w:rFonts w:ascii="Times New Roman" w:eastAsia="Calibri" w:hAnsi="Times New Roman" w:cs="Times New Roman"/>
          <w:bCs/>
          <w:color w:val="000000" w:themeColor="text1"/>
          <w:sz w:val="24"/>
          <w:szCs w:val="24"/>
        </w:rPr>
        <w:t>ation</w:t>
      </w:r>
      <w:r w:rsidR="0003140E" w:rsidRPr="00597FFB">
        <w:rPr>
          <w:rFonts w:ascii="Times New Roman" w:eastAsia="Calibri" w:hAnsi="Times New Roman" w:cs="Times New Roman"/>
          <w:bCs/>
          <w:color w:val="000000" w:themeColor="text1"/>
          <w:sz w:val="24"/>
          <w:szCs w:val="24"/>
        </w:rPr>
        <w:t xml:space="preserve"> of e-waste and other </w:t>
      </w:r>
      <w:r w:rsidR="009E1432" w:rsidRPr="00597FFB">
        <w:rPr>
          <w:rFonts w:ascii="Times New Roman" w:eastAsia="Calibri" w:hAnsi="Times New Roman" w:cs="Times New Roman"/>
          <w:bCs/>
          <w:color w:val="000000" w:themeColor="text1"/>
          <w:sz w:val="24"/>
          <w:szCs w:val="24"/>
        </w:rPr>
        <w:t xml:space="preserve">waste </w:t>
      </w:r>
      <w:r w:rsidR="0003140E" w:rsidRPr="00597FFB">
        <w:rPr>
          <w:rFonts w:ascii="Times New Roman" w:eastAsia="Calibri" w:hAnsi="Times New Roman" w:cs="Times New Roman"/>
          <w:bCs/>
          <w:color w:val="000000" w:themeColor="text1"/>
          <w:sz w:val="24"/>
          <w:szCs w:val="24"/>
        </w:rPr>
        <w:t xml:space="preserve">types from developed countries </w:t>
      </w:r>
      <w:r w:rsidR="0003140E" w:rsidRPr="00597FFB">
        <w:rPr>
          <w:rFonts w:ascii="Times New Roman" w:eastAsiaTheme="minorHAnsi" w:hAnsi="Times New Roman" w:cs="Times New Roman"/>
          <w:color w:val="000000" w:themeColor="text1"/>
          <w:sz w:val="24"/>
        </w:rPr>
        <w:t>(Del Giudice et al., 2021)</w:t>
      </w:r>
      <w:r w:rsidR="0003140E" w:rsidRPr="00597FFB">
        <w:rPr>
          <w:rFonts w:ascii="Times New Roman" w:eastAsia="Calibri" w:hAnsi="Times New Roman" w:cs="Times New Roman"/>
          <w:bCs/>
          <w:color w:val="000000" w:themeColor="text1"/>
          <w:sz w:val="24"/>
          <w:szCs w:val="24"/>
        </w:rPr>
        <w:t xml:space="preserve">. Internationally, the Basel Convention was created as an </w:t>
      </w:r>
      <w:r w:rsidR="009E1432" w:rsidRPr="00597FFB">
        <w:rPr>
          <w:rFonts w:ascii="Times New Roman" w:eastAsia="Calibri" w:hAnsi="Times New Roman" w:cs="Times New Roman"/>
          <w:bCs/>
          <w:color w:val="000000" w:themeColor="text1"/>
          <w:sz w:val="24"/>
          <w:szCs w:val="24"/>
        </w:rPr>
        <w:t>all-encompassing</w:t>
      </w:r>
      <w:r w:rsidR="0003140E" w:rsidRPr="00597FFB">
        <w:rPr>
          <w:rFonts w:ascii="Times New Roman" w:eastAsia="Calibri" w:hAnsi="Times New Roman" w:cs="Times New Roman"/>
          <w:bCs/>
          <w:color w:val="000000" w:themeColor="text1"/>
          <w:sz w:val="24"/>
          <w:szCs w:val="24"/>
        </w:rPr>
        <w:t xml:space="preserve"> set of</w:t>
      </w:r>
      <w:r w:rsidR="0003140E" w:rsidRPr="00597FFB">
        <w:rPr>
          <w:rFonts w:eastAsiaTheme="minorHAnsi"/>
          <w:color w:val="000000" w:themeColor="text1"/>
        </w:rPr>
        <w:t xml:space="preserve"> </w:t>
      </w:r>
      <w:r w:rsidR="0003140E" w:rsidRPr="00597FFB">
        <w:rPr>
          <w:rFonts w:ascii="Times New Roman" w:eastAsia="Calibri" w:hAnsi="Times New Roman" w:cs="Times New Roman"/>
          <w:bCs/>
          <w:color w:val="000000" w:themeColor="text1"/>
          <w:sz w:val="24"/>
          <w:szCs w:val="24"/>
        </w:rPr>
        <w:t xml:space="preserve">regulations </w:t>
      </w:r>
      <w:r w:rsidR="009E1432" w:rsidRPr="00597FFB">
        <w:rPr>
          <w:rFonts w:ascii="Times New Roman" w:eastAsia="Calibri" w:hAnsi="Times New Roman" w:cs="Times New Roman"/>
          <w:bCs/>
          <w:color w:val="000000" w:themeColor="text1"/>
          <w:sz w:val="24"/>
          <w:szCs w:val="24"/>
        </w:rPr>
        <w:t>for</w:t>
      </w:r>
      <w:r w:rsidR="0003140E" w:rsidRPr="00597FFB">
        <w:rPr>
          <w:rFonts w:ascii="Times New Roman" w:eastAsia="Calibri" w:hAnsi="Times New Roman" w:cs="Times New Roman"/>
          <w:bCs/>
          <w:color w:val="000000" w:themeColor="text1"/>
          <w:sz w:val="24"/>
          <w:szCs w:val="24"/>
        </w:rPr>
        <w:t xml:space="preserve"> restrict</w:t>
      </w:r>
      <w:r w:rsidR="009E1432" w:rsidRPr="00597FFB">
        <w:rPr>
          <w:rFonts w:ascii="Times New Roman" w:eastAsia="Calibri" w:hAnsi="Times New Roman" w:cs="Times New Roman"/>
          <w:bCs/>
          <w:color w:val="000000" w:themeColor="text1"/>
          <w:sz w:val="24"/>
          <w:szCs w:val="24"/>
        </w:rPr>
        <w:t>ing</w:t>
      </w:r>
      <w:r w:rsidR="0003140E" w:rsidRPr="00597FFB">
        <w:rPr>
          <w:rFonts w:ascii="Times New Roman" w:eastAsia="Calibri" w:hAnsi="Times New Roman" w:cs="Times New Roman"/>
          <w:bCs/>
          <w:color w:val="000000" w:themeColor="text1"/>
          <w:sz w:val="24"/>
          <w:szCs w:val="24"/>
        </w:rPr>
        <w:t xml:space="preserve"> transboundary </w:t>
      </w:r>
      <w:r w:rsidR="009E1432" w:rsidRPr="00597FFB">
        <w:rPr>
          <w:rFonts w:ascii="Times New Roman" w:eastAsia="Calibri" w:hAnsi="Times New Roman" w:cs="Times New Roman"/>
          <w:bCs/>
          <w:color w:val="000000" w:themeColor="text1"/>
          <w:sz w:val="24"/>
          <w:szCs w:val="24"/>
        </w:rPr>
        <w:t xml:space="preserve">e-waste </w:t>
      </w:r>
      <w:r w:rsidR="0003140E" w:rsidRPr="00597FFB">
        <w:rPr>
          <w:rFonts w:ascii="Times New Roman" w:eastAsia="Calibri" w:hAnsi="Times New Roman" w:cs="Times New Roman"/>
          <w:bCs/>
          <w:color w:val="000000" w:themeColor="text1"/>
          <w:sz w:val="24"/>
          <w:szCs w:val="24"/>
        </w:rPr>
        <w:t>movement from developed</w:t>
      </w:r>
      <w:r w:rsidR="009E1432" w:rsidRPr="00597FFB">
        <w:rPr>
          <w:rFonts w:ascii="Times New Roman" w:eastAsia="Calibri" w:hAnsi="Times New Roman" w:cs="Times New Roman"/>
          <w:bCs/>
          <w:color w:val="000000" w:themeColor="text1"/>
          <w:sz w:val="24"/>
          <w:szCs w:val="24"/>
        </w:rPr>
        <w:t xml:space="preserve"> countries</w:t>
      </w:r>
      <w:r w:rsidR="0003140E" w:rsidRPr="00597FFB">
        <w:rPr>
          <w:rFonts w:ascii="Times New Roman" w:eastAsia="Calibri" w:hAnsi="Times New Roman" w:cs="Times New Roman"/>
          <w:bCs/>
          <w:color w:val="000000" w:themeColor="text1"/>
          <w:sz w:val="24"/>
          <w:szCs w:val="24"/>
        </w:rPr>
        <w:t xml:space="preserve"> to developing </w:t>
      </w:r>
      <w:r w:rsidR="009E1432" w:rsidRPr="00597FFB">
        <w:rPr>
          <w:rFonts w:ascii="Times New Roman" w:eastAsia="Calibri" w:hAnsi="Times New Roman" w:cs="Times New Roman"/>
          <w:bCs/>
          <w:color w:val="000000" w:themeColor="text1"/>
          <w:sz w:val="24"/>
          <w:szCs w:val="24"/>
        </w:rPr>
        <w:t>ones</w:t>
      </w:r>
      <w:r w:rsidR="0003140E" w:rsidRPr="00597FFB">
        <w:rPr>
          <w:rFonts w:ascii="Times New Roman" w:eastAsia="Calibri" w:hAnsi="Times New Roman" w:cs="Times New Roman"/>
          <w:bCs/>
          <w:color w:val="000000" w:themeColor="text1"/>
          <w:sz w:val="24"/>
          <w:szCs w:val="24"/>
        </w:rPr>
        <w:t xml:space="preserve"> (United Nations Environment Program (UNEP), 2011). </w:t>
      </w:r>
      <w:r w:rsidR="009E1432" w:rsidRPr="00597FFB">
        <w:rPr>
          <w:rFonts w:ascii="Times New Roman" w:eastAsia="Calibri" w:hAnsi="Times New Roman" w:cs="Times New Roman"/>
          <w:bCs/>
          <w:color w:val="000000" w:themeColor="text1"/>
          <w:sz w:val="24"/>
          <w:szCs w:val="24"/>
        </w:rPr>
        <w:t>Nevertheless</w:t>
      </w:r>
      <w:r w:rsidR="0003140E" w:rsidRPr="00597FFB">
        <w:rPr>
          <w:rFonts w:ascii="Times New Roman" w:eastAsia="Calibri" w:hAnsi="Times New Roman" w:cs="Times New Roman"/>
          <w:bCs/>
          <w:color w:val="000000" w:themeColor="text1"/>
          <w:sz w:val="24"/>
          <w:szCs w:val="24"/>
        </w:rPr>
        <w:t xml:space="preserve">, a high </w:t>
      </w:r>
      <w:r w:rsidR="009E1432" w:rsidRPr="00597FFB">
        <w:rPr>
          <w:rFonts w:ascii="Times New Roman" w:eastAsia="Calibri" w:hAnsi="Times New Roman" w:cs="Times New Roman"/>
          <w:bCs/>
          <w:color w:val="000000" w:themeColor="text1"/>
          <w:sz w:val="24"/>
          <w:szCs w:val="24"/>
        </w:rPr>
        <w:t>dependence</w:t>
      </w:r>
      <w:r w:rsidR="0003140E" w:rsidRPr="00597FFB">
        <w:rPr>
          <w:rFonts w:ascii="Times New Roman" w:eastAsia="Calibri" w:hAnsi="Times New Roman" w:cs="Times New Roman"/>
          <w:bCs/>
          <w:color w:val="000000" w:themeColor="text1"/>
          <w:sz w:val="24"/>
          <w:szCs w:val="24"/>
        </w:rPr>
        <w:t xml:space="preserve"> on landfills, exports, and trading to address e-waste remains </w:t>
      </w:r>
      <w:r w:rsidR="0003140E" w:rsidRPr="00597FFB">
        <w:rPr>
          <w:rFonts w:ascii="Times New Roman" w:eastAsiaTheme="minorHAnsi" w:hAnsi="Times New Roman" w:cs="Times New Roman"/>
          <w:color w:val="000000" w:themeColor="text1"/>
          <w:sz w:val="24"/>
          <w:szCs w:val="24"/>
        </w:rPr>
        <w:t>(Zhang et al., 2020)</w:t>
      </w:r>
      <w:r w:rsidR="0003140E" w:rsidRPr="00597FFB">
        <w:rPr>
          <w:rFonts w:ascii="Times New Roman" w:eastAsia="Calibri" w:hAnsi="Times New Roman" w:cs="Times New Roman"/>
          <w:bCs/>
          <w:color w:val="000000" w:themeColor="text1"/>
          <w:sz w:val="24"/>
          <w:szCs w:val="24"/>
        </w:rPr>
        <w:t>.</w:t>
      </w:r>
    </w:p>
    <w:p w14:paraId="7B22129B" w14:textId="3587487E" w:rsidR="0003140E" w:rsidRPr="00597FFB" w:rsidRDefault="009E1432" w:rsidP="009E1432">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Unless adopted and enforced at the country level, i</w:t>
      </w:r>
      <w:r w:rsidR="0003140E" w:rsidRPr="00597FFB">
        <w:rPr>
          <w:rFonts w:ascii="Times New Roman" w:eastAsia="Calibri" w:hAnsi="Times New Roman" w:cs="Times New Roman"/>
          <w:color w:val="000000" w:themeColor="text1"/>
          <w:sz w:val="24"/>
          <w:szCs w:val="24"/>
        </w:rPr>
        <w:t xml:space="preserve">nternational regulations are not </w:t>
      </w:r>
      <w:r w:rsidRPr="00597FFB">
        <w:rPr>
          <w:rFonts w:ascii="Times New Roman" w:eastAsia="Calibri" w:hAnsi="Times New Roman" w:cs="Times New Roman"/>
          <w:color w:val="000000" w:themeColor="text1"/>
          <w:sz w:val="24"/>
          <w:szCs w:val="24"/>
        </w:rPr>
        <w:t>compulsory</w:t>
      </w:r>
      <w:r w:rsidR="0003140E" w:rsidRPr="00597FFB">
        <w:rPr>
          <w:rFonts w:ascii="Times New Roman" w:eastAsia="Calibri" w:hAnsi="Times New Roman" w:cs="Times New Roman"/>
          <w:color w:val="000000" w:themeColor="text1"/>
          <w:sz w:val="24"/>
          <w:szCs w:val="24"/>
        </w:rPr>
        <w:t xml:space="preserve">. Switzerland </w:t>
      </w:r>
      <w:r w:rsidR="007B038D" w:rsidRPr="00597FFB">
        <w:rPr>
          <w:rFonts w:ascii="Times New Roman" w:eastAsia="Calibri" w:hAnsi="Times New Roman" w:cs="Times New Roman"/>
          <w:color w:val="000000" w:themeColor="text1"/>
          <w:sz w:val="24"/>
          <w:szCs w:val="24"/>
        </w:rPr>
        <w:t>became</w:t>
      </w:r>
      <w:r w:rsidR="0003140E" w:rsidRPr="00597FFB">
        <w:rPr>
          <w:rFonts w:ascii="Times New Roman" w:eastAsia="Calibri" w:hAnsi="Times New Roman" w:cs="Times New Roman"/>
          <w:color w:val="000000" w:themeColor="text1"/>
          <w:sz w:val="24"/>
          <w:szCs w:val="24"/>
        </w:rPr>
        <w:t xml:space="preserve"> the first developed country to </w:t>
      </w:r>
      <w:r w:rsidR="007B038D" w:rsidRPr="00597FFB">
        <w:rPr>
          <w:rFonts w:ascii="Times New Roman" w:eastAsia="Calibri" w:hAnsi="Times New Roman" w:cs="Times New Roman"/>
          <w:color w:val="000000" w:themeColor="text1"/>
          <w:sz w:val="24"/>
          <w:szCs w:val="24"/>
        </w:rPr>
        <w:t>found</w:t>
      </w:r>
      <w:r w:rsidR="0003140E" w:rsidRPr="00597FFB">
        <w:rPr>
          <w:rFonts w:ascii="Times New Roman" w:eastAsia="Calibri" w:hAnsi="Times New Roman" w:cs="Times New Roman"/>
          <w:color w:val="000000" w:themeColor="text1"/>
          <w:sz w:val="24"/>
          <w:szCs w:val="24"/>
        </w:rPr>
        <w:t xml:space="preserve"> and implement </w:t>
      </w:r>
      <w:r w:rsidR="007B038D" w:rsidRPr="00597FFB">
        <w:rPr>
          <w:rFonts w:ascii="Times New Roman" w:eastAsia="Calibri" w:hAnsi="Times New Roman" w:cs="Times New Roman"/>
          <w:color w:val="000000" w:themeColor="text1"/>
          <w:sz w:val="24"/>
          <w:szCs w:val="24"/>
        </w:rPr>
        <w:t>a</w:t>
      </w:r>
      <w:r w:rsidR="0003140E" w:rsidRPr="00597FFB">
        <w:rPr>
          <w:rFonts w:ascii="Times New Roman" w:eastAsia="Calibri" w:hAnsi="Times New Roman" w:cs="Times New Roman"/>
          <w:color w:val="000000" w:themeColor="text1"/>
          <w:sz w:val="24"/>
          <w:szCs w:val="24"/>
        </w:rPr>
        <w:t xml:space="preserve"> formal </w:t>
      </w:r>
      <w:r w:rsidR="007B038D" w:rsidRPr="00597FFB">
        <w:rPr>
          <w:rFonts w:ascii="Times New Roman" w:eastAsia="Calibri" w:hAnsi="Times New Roman" w:cs="Times New Roman"/>
          <w:color w:val="000000" w:themeColor="text1"/>
          <w:sz w:val="24"/>
          <w:szCs w:val="24"/>
        </w:rPr>
        <w:t>EWM</w:t>
      </w:r>
      <w:r w:rsidR="0003140E" w:rsidRPr="00597FFB">
        <w:rPr>
          <w:rFonts w:ascii="Times New Roman" w:eastAsia="Calibri" w:hAnsi="Times New Roman" w:cs="Times New Roman"/>
          <w:color w:val="000000" w:themeColor="text1"/>
          <w:sz w:val="24"/>
          <w:szCs w:val="24"/>
        </w:rPr>
        <w:t xml:space="preserve"> system </w:t>
      </w:r>
      <w:r w:rsidR="0003140E" w:rsidRPr="00597FFB">
        <w:rPr>
          <w:rFonts w:ascii="Times New Roman" w:eastAsiaTheme="minorHAnsi" w:hAnsi="Times New Roman" w:cs="Times New Roman"/>
          <w:color w:val="000000" w:themeColor="text1"/>
          <w:sz w:val="24"/>
        </w:rPr>
        <w:t>(Goworek et al., 2020)</w:t>
      </w:r>
      <w:r w:rsidR="0003140E" w:rsidRPr="00597FFB">
        <w:rPr>
          <w:rFonts w:ascii="Times New Roman" w:eastAsia="Calibri" w:hAnsi="Times New Roman" w:cs="Times New Roman"/>
          <w:color w:val="000000" w:themeColor="text1"/>
          <w:sz w:val="24"/>
          <w:szCs w:val="24"/>
        </w:rPr>
        <w:t>. E</w:t>
      </w:r>
      <w:r w:rsidR="00A36DA4" w:rsidRPr="00597FFB">
        <w:rPr>
          <w:rFonts w:ascii="Times New Roman" w:eastAsia="Calibri" w:hAnsi="Times New Roman" w:cs="Times New Roman"/>
          <w:color w:val="000000" w:themeColor="text1"/>
          <w:sz w:val="24"/>
          <w:szCs w:val="24"/>
        </w:rPr>
        <w:t>WM</w:t>
      </w:r>
      <w:r w:rsidR="0003140E" w:rsidRPr="00597FFB">
        <w:rPr>
          <w:rFonts w:ascii="Times New Roman" w:eastAsia="Calibri" w:hAnsi="Times New Roman" w:cs="Times New Roman"/>
          <w:color w:val="000000" w:themeColor="text1"/>
          <w:sz w:val="24"/>
          <w:szCs w:val="24"/>
        </w:rPr>
        <w:t xml:space="preserve"> in Switzerland </w:t>
      </w:r>
      <w:r w:rsidR="00A36DA4" w:rsidRPr="00597FFB">
        <w:rPr>
          <w:rFonts w:ascii="Times New Roman" w:eastAsia="Calibri" w:hAnsi="Times New Roman" w:cs="Times New Roman"/>
          <w:color w:val="000000" w:themeColor="text1"/>
          <w:sz w:val="24"/>
          <w:szCs w:val="24"/>
        </w:rPr>
        <w:t>as well as in</w:t>
      </w:r>
      <w:r w:rsidR="0003140E" w:rsidRPr="00597FFB">
        <w:rPr>
          <w:rFonts w:ascii="Times New Roman" w:eastAsia="Calibri" w:hAnsi="Times New Roman" w:cs="Times New Roman"/>
          <w:color w:val="000000" w:themeColor="text1"/>
          <w:sz w:val="24"/>
          <w:szCs w:val="24"/>
        </w:rPr>
        <w:t xml:space="preserve"> </w:t>
      </w:r>
      <w:r w:rsidR="00A36DA4" w:rsidRPr="00597FFB">
        <w:rPr>
          <w:rFonts w:ascii="Times New Roman" w:eastAsia="Calibri" w:hAnsi="Times New Roman" w:cs="Times New Roman"/>
          <w:color w:val="000000" w:themeColor="text1"/>
          <w:sz w:val="24"/>
          <w:szCs w:val="24"/>
        </w:rPr>
        <w:t xml:space="preserve">the USA, Canada, Japan, New Zealand, Australia and </w:t>
      </w:r>
      <w:r w:rsidR="0003140E" w:rsidRPr="00597FFB">
        <w:rPr>
          <w:rFonts w:ascii="Times New Roman" w:eastAsia="Calibri" w:hAnsi="Times New Roman" w:cs="Times New Roman"/>
          <w:color w:val="000000" w:themeColor="text1"/>
          <w:sz w:val="24"/>
          <w:szCs w:val="24"/>
        </w:rPr>
        <w:t xml:space="preserve">other developed </w:t>
      </w:r>
      <w:r w:rsidR="00A36DA4" w:rsidRPr="00597FFB">
        <w:rPr>
          <w:rFonts w:ascii="Times New Roman" w:eastAsia="Calibri" w:hAnsi="Times New Roman" w:cs="Times New Roman"/>
          <w:color w:val="000000" w:themeColor="text1"/>
          <w:sz w:val="24"/>
          <w:szCs w:val="24"/>
        </w:rPr>
        <w:t xml:space="preserve">EU </w:t>
      </w:r>
      <w:r w:rsidR="0003140E" w:rsidRPr="00597FFB">
        <w:rPr>
          <w:rFonts w:ascii="Times New Roman" w:eastAsia="Calibri" w:hAnsi="Times New Roman" w:cs="Times New Roman"/>
          <w:color w:val="000000" w:themeColor="text1"/>
          <w:sz w:val="24"/>
          <w:szCs w:val="24"/>
        </w:rPr>
        <w:t xml:space="preserve">countries, is </w:t>
      </w:r>
      <w:r w:rsidR="00A36DA4" w:rsidRPr="00597FFB">
        <w:rPr>
          <w:rFonts w:ascii="Times New Roman" w:eastAsia="Calibri" w:hAnsi="Times New Roman" w:cs="Times New Roman"/>
          <w:color w:val="000000" w:themeColor="text1"/>
          <w:sz w:val="24"/>
          <w:szCs w:val="24"/>
        </w:rPr>
        <w:t>mostly</w:t>
      </w:r>
      <w:r w:rsidR="0003140E" w:rsidRPr="00597FFB">
        <w:rPr>
          <w:rFonts w:ascii="Times New Roman" w:eastAsia="Calibri" w:hAnsi="Times New Roman" w:cs="Times New Roman"/>
          <w:color w:val="000000" w:themeColor="text1"/>
          <w:sz w:val="24"/>
          <w:szCs w:val="24"/>
        </w:rPr>
        <w:t xml:space="preserve"> </w:t>
      </w:r>
      <w:r w:rsidR="00A36DA4" w:rsidRPr="00597FFB">
        <w:rPr>
          <w:rFonts w:ascii="Times New Roman" w:eastAsia="Calibri" w:hAnsi="Times New Roman" w:cs="Times New Roman"/>
          <w:color w:val="000000" w:themeColor="text1"/>
          <w:sz w:val="24"/>
          <w:szCs w:val="24"/>
        </w:rPr>
        <w:t>dependent</w:t>
      </w:r>
      <w:r w:rsidR="0003140E" w:rsidRPr="00597FFB">
        <w:rPr>
          <w:rFonts w:ascii="Times New Roman" w:eastAsia="Calibri" w:hAnsi="Times New Roman" w:cs="Times New Roman"/>
          <w:color w:val="000000" w:themeColor="text1"/>
          <w:sz w:val="24"/>
          <w:szCs w:val="24"/>
        </w:rPr>
        <w:t xml:space="preserve"> on the EPR, which was created in the EU and is </w:t>
      </w:r>
      <w:r w:rsidR="00A36DA4" w:rsidRPr="00597FFB">
        <w:rPr>
          <w:rFonts w:ascii="Times New Roman" w:eastAsia="Calibri" w:hAnsi="Times New Roman" w:cs="Times New Roman"/>
          <w:color w:val="000000" w:themeColor="text1"/>
          <w:sz w:val="24"/>
          <w:szCs w:val="24"/>
        </w:rPr>
        <w:t>synonymously referred to as</w:t>
      </w:r>
      <w:r w:rsidR="0003140E" w:rsidRPr="00597FFB">
        <w:rPr>
          <w:rFonts w:ascii="Times New Roman" w:eastAsia="Calibri" w:hAnsi="Times New Roman" w:cs="Times New Roman"/>
          <w:color w:val="000000" w:themeColor="text1"/>
          <w:sz w:val="24"/>
          <w:szCs w:val="24"/>
        </w:rPr>
        <w:t xml:space="preserve"> the stewardship scheme </w:t>
      </w:r>
      <w:r w:rsidR="0003140E" w:rsidRPr="00597FFB">
        <w:rPr>
          <w:rFonts w:ascii="Times New Roman" w:eastAsiaTheme="minorHAnsi" w:hAnsi="Times New Roman" w:cs="Times New Roman"/>
          <w:color w:val="000000" w:themeColor="text1"/>
          <w:sz w:val="24"/>
          <w:szCs w:val="24"/>
        </w:rPr>
        <w:t>(Ngan et al., 2019)</w:t>
      </w:r>
      <w:r w:rsidR="0003140E" w:rsidRPr="00597FFB">
        <w:rPr>
          <w:rFonts w:ascii="Times New Roman" w:eastAsia="Calibri" w:hAnsi="Times New Roman" w:cs="Times New Roman"/>
          <w:color w:val="000000" w:themeColor="text1"/>
          <w:sz w:val="24"/>
          <w:szCs w:val="24"/>
        </w:rPr>
        <w:t>.</w:t>
      </w:r>
    </w:p>
    <w:p w14:paraId="6530AB2F" w14:textId="650B5691"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bCs/>
          <w:color w:val="000000" w:themeColor="text1"/>
          <w:sz w:val="24"/>
          <w:szCs w:val="24"/>
        </w:rPr>
        <w:t xml:space="preserve">The EPR </w:t>
      </w:r>
      <w:r w:rsidR="003271D8" w:rsidRPr="00597FFB">
        <w:rPr>
          <w:rFonts w:ascii="Times New Roman" w:eastAsia="Calibri" w:hAnsi="Times New Roman" w:cs="Times New Roman"/>
          <w:bCs/>
          <w:color w:val="000000" w:themeColor="text1"/>
          <w:sz w:val="24"/>
          <w:szCs w:val="24"/>
        </w:rPr>
        <w:t>emphasizes</w:t>
      </w:r>
      <w:r w:rsidRPr="00597FFB">
        <w:rPr>
          <w:rFonts w:ascii="Times New Roman" w:eastAsia="Calibri" w:hAnsi="Times New Roman" w:cs="Times New Roman"/>
          <w:bCs/>
          <w:color w:val="000000" w:themeColor="text1"/>
          <w:sz w:val="24"/>
          <w:szCs w:val="24"/>
        </w:rPr>
        <w:t xml:space="preserve"> the </w:t>
      </w:r>
      <w:r w:rsidR="003271D8" w:rsidRPr="00597FFB">
        <w:rPr>
          <w:rFonts w:ascii="Times New Roman" w:eastAsia="Calibri" w:hAnsi="Times New Roman" w:cs="Times New Roman"/>
          <w:bCs/>
          <w:color w:val="000000" w:themeColor="text1"/>
          <w:sz w:val="24"/>
          <w:szCs w:val="24"/>
        </w:rPr>
        <w:t xml:space="preserve">financial </w:t>
      </w:r>
      <w:r w:rsidRPr="00597FFB">
        <w:rPr>
          <w:rFonts w:ascii="Times New Roman" w:eastAsia="Calibri" w:hAnsi="Times New Roman" w:cs="Times New Roman"/>
          <w:bCs/>
          <w:color w:val="000000" w:themeColor="text1"/>
          <w:sz w:val="24"/>
          <w:szCs w:val="24"/>
        </w:rPr>
        <w:t xml:space="preserve">and </w:t>
      </w:r>
      <w:r w:rsidR="003271D8" w:rsidRPr="00597FFB">
        <w:rPr>
          <w:rFonts w:ascii="Times New Roman" w:eastAsia="Calibri" w:hAnsi="Times New Roman" w:cs="Times New Roman"/>
          <w:bCs/>
          <w:color w:val="000000" w:themeColor="text1"/>
          <w:sz w:val="24"/>
          <w:szCs w:val="24"/>
        </w:rPr>
        <w:t xml:space="preserve">physical </w:t>
      </w:r>
      <w:r w:rsidRPr="00597FFB">
        <w:rPr>
          <w:rFonts w:ascii="Times New Roman" w:eastAsia="Calibri" w:hAnsi="Times New Roman" w:cs="Times New Roman"/>
          <w:bCs/>
          <w:color w:val="000000" w:themeColor="text1"/>
          <w:sz w:val="24"/>
          <w:szCs w:val="24"/>
        </w:rPr>
        <w:t xml:space="preserve">responsibility of </w:t>
      </w:r>
      <w:r w:rsidR="003271D8" w:rsidRPr="00597FFB">
        <w:rPr>
          <w:rFonts w:ascii="Times New Roman" w:eastAsia="Calibri" w:hAnsi="Times New Roman" w:cs="Times New Roman"/>
          <w:bCs/>
          <w:color w:val="000000" w:themeColor="text1"/>
          <w:sz w:val="24"/>
          <w:szCs w:val="24"/>
        </w:rPr>
        <w:t xml:space="preserve">the end-of-life processes of </w:t>
      </w:r>
      <w:r w:rsidRPr="00597FFB">
        <w:rPr>
          <w:rFonts w:ascii="Times New Roman" w:eastAsia="Calibri" w:hAnsi="Times New Roman" w:cs="Times New Roman"/>
          <w:bCs/>
          <w:color w:val="000000" w:themeColor="text1"/>
          <w:sz w:val="24"/>
          <w:szCs w:val="24"/>
        </w:rPr>
        <w:t>waste (</w:t>
      </w:r>
      <w:r w:rsidR="003271D8" w:rsidRPr="00597FFB">
        <w:rPr>
          <w:rFonts w:ascii="Times New Roman" w:eastAsia="Calibri" w:hAnsi="Times New Roman" w:cs="Times New Roman"/>
          <w:bCs/>
          <w:color w:val="000000" w:themeColor="text1"/>
          <w:sz w:val="24"/>
          <w:szCs w:val="24"/>
        </w:rPr>
        <w:t xml:space="preserve">how to </w:t>
      </w:r>
      <w:r w:rsidRPr="00597FFB">
        <w:rPr>
          <w:rFonts w:ascii="Times New Roman" w:eastAsia="Calibri" w:hAnsi="Times New Roman" w:cs="Times New Roman"/>
          <w:bCs/>
          <w:color w:val="000000" w:themeColor="text1"/>
          <w:sz w:val="24"/>
          <w:szCs w:val="24"/>
        </w:rPr>
        <w:t>handl</w:t>
      </w:r>
      <w:r w:rsidR="003271D8" w:rsidRPr="00597FFB">
        <w:rPr>
          <w:rFonts w:ascii="Times New Roman" w:eastAsia="Calibri" w:hAnsi="Times New Roman" w:cs="Times New Roman"/>
          <w:bCs/>
          <w:color w:val="000000" w:themeColor="text1"/>
          <w:sz w:val="24"/>
          <w:szCs w:val="24"/>
        </w:rPr>
        <w:t>e</w:t>
      </w:r>
      <w:r w:rsidRPr="00597FFB">
        <w:rPr>
          <w:rFonts w:ascii="Times New Roman" w:eastAsia="Calibri" w:hAnsi="Times New Roman" w:cs="Times New Roman"/>
          <w:bCs/>
          <w:color w:val="000000" w:themeColor="text1"/>
          <w:sz w:val="24"/>
          <w:szCs w:val="24"/>
        </w:rPr>
        <w:t>, dispos</w:t>
      </w:r>
      <w:r w:rsidR="003271D8" w:rsidRPr="00597FFB">
        <w:rPr>
          <w:rFonts w:ascii="Times New Roman" w:eastAsia="Calibri" w:hAnsi="Times New Roman" w:cs="Times New Roman"/>
          <w:bCs/>
          <w:color w:val="000000" w:themeColor="text1"/>
          <w:sz w:val="24"/>
          <w:szCs w:val="24"/>
        </w:rPr>
        <w:t>e</w:t>
      </w:r>
      <w:r w:rsidRPr="00597FFB">
        <w:rPr>
          <w:rFonts w:ascii="Times New Roman" w:eastAsia="Calibri" w:hAnsi="Times New Roman" w:cs="Times New Roman"/>
          <w:bCs/>
          <w:color w:val="000000" w:themeColor="text1"/>
          <w:sz w:val="24"/>
          <w:szCs w:val="24"/>
        </w:rPr>
        <w:t xml:space="preserve"> and recycl</w:t>
      </w:r>
      <w:r w:rsidR="003271D8" w:rsidRPr="00597FFB">
        <w:rPr>
          <w:rFonts w:ascii="Times New Roman" w:eastAsia="Calibri" w:hAnsi="Times New Roman" w:cs="Times New Roman"/>
          <w:bCs/>
          <w:color w:val="000000" w:themeColor="text1"/>
          <w:sz w:val="24"/>
          <w:szCs w:val="24"/>
        </w:rPr>
        <w:t>e</w:t>
      </w:r>
      <w:r w:rsidRPr="00597FFB">
        <w:rPr>
          <w:rFonts w:ascii="Times New Roman" w:eastAsia="Calibri" w:hAnsi="Times New Roman" w:cs="Times New Roman"/>
          <w:bCs/>
          <w:color w:val="000000" w:themeColor="text1"/>
          <w:sz w:val="24"/>
          <w:szCs w:val="24"/>
        </w:rPr>
        <w:t xml:space="preserve">) on </w:t>
      </w:r>
      <w:r w:rsidR="003271D8" w:rsidRPr="00597FFB">
        <w:rPr>
          <w:rFonts w:ascii="Times New Roman" w:eastAsia="Calibri" w:hAnsi="Times New Roman" w:cs="Times New Roman"/>
          <w:bCs/>
          <w:color w:val="000000" w:themeColor="text1"/>
          <w:sz w:val="24"/>
          <w:szCs w:val="24"/>
        </w:rPr>
        <w:t xml:space="preserve">importers </w:t>
      </w:r>
      <w:r w:rsidRPr="00597FFB">
        <w:rPr>
          <w:rFonts w:ascii="Times New Roman" w:eastAsia="Calibri" w:hAnsi="Times New Roman" w:cs="Times New Roman"/>
          <w:bCs/>
          <w:color w:val="000000" w:themeColor="text1"/>
          <w:sz w:val="24"/>
          <w:szCs w:val="24"/>
        </w:rPr>
        <w:t xml:space="preserve">and </w:t>
      </w:r>
      <w:r w:rsidR="003271D8" w:rsidRPr="00597FFB">
        <w:rPr>
          <w:rFonts w:ascii="Times New Roman" w:eastAsia="Calibri" w:hAnsi="Times New Roman" w:cs="Times New Roman"/>
          <w:bCs/>
          <w:color w:val="000000" w:themeColor="text1"/>
          <w:sz w:val="24"/>
          <w:szCs w:val="24"/>
        </w:rPr>
        <w:t xml:space="preserve">manufacturers </w:t>
      </w:r>
      <w:r w:rsidRPr="00597FFB">
        <w:rPr>
          <w:rFonts w:ascii="Times New Roman" w:eastAsiaTheme="minorHAnsi" w:hAnsi="Times New Roman" w:cs="Times New Roman"/>
          <w:color w:val="000000" w:themeColor="text1"/>
          <w:sz w:val="24"/>
        </w:rPr>
        <w:t>(Danso et al., 2020)</w:t>
      </w:r>
      <w:r w:rsidRPr="00597FFB">
        <w:rPr>
          <w:rFonts w:ascii="Times New Roman" w:eastAsia="Calibri" w:hAnsi="Times New Roman" w:cs="Times New Roman"/>
          <w:bCs/>
          <w:color w:val="000000" w:themeColor="text1"/>
          <w:sz w:val="24"/>
          <w:szCs w:val="24"/>
        </w:rPr>
        <w:t xml:space="preserve">. </w:t>
      </w:r>
      <w:r w:rsidR="003271D8" w:rsidRPr="00597FFB">
        <w:rPr>
          <w:rFonts w:ascii="Times New Roman" w:eastAsia="Calibri" w:hAnsi="Times New Roman" w:cs="Times New Roman"/>
          <w:bCs/>
          <w:color w:val="000000" w:themeColor="text1"/>
          <w:sz w:val="24"/>
          <w:szCs w:val="24"/>
        </w:rPr>
        <w:t>The advance recycling fee (ARF) is included in product prices and consumers pay for it at the purchase point i</w:t>
      </w:r>
      <w:r w:rsidRPr="00597FFB">
        <w:rPr>
          <w:rFonts w:ascii="Times New Roman" w:eastAsia="Calibri" w:hAnsi="Times New Roman" w:cs="Times New Roman"/>
          <w:bCs/>
          <w:color w:val="000000" w:themeColor="text1"/>
          <w:sz w:val="24"/>
          <w:szCs w:val="24"/>
        </w:rPr>
        <w:t xml:space="preserve">n Switzerland and other </w:t>
      </w:r>
      <w:r w:rsidR="003271D8" w:rsidRPr="00597FFB">
        <w:rPr>
          <w:rFonts w:ascii="Times New Roman" w:eastAsia="Calibri" w:hAnsi="Times New Roman" w:cs="Times New Roman"/>
          <w:bCs/>
          <w:color w:val="000000" w:themeColor="text1"/>
          <w:sz w:val="24"/>
          <w:szCs w:val="24"/>
        </w:rPr>
        <w:t>developed</w:t>
      </w:r>
      <w:r w:rsidRPr="00597FFB">
        <w:rPr>
          <w:rFonts w:ascii="Times New Roman" w:eastAsia="Calibri" w:hAnsi="Times New Roman" w:cs="Times New Roman"/>
          <w:bCs/>
          <w:color w:val="000000" w:themeColor="text1"/>
          <w:sz w:val="24"/>
          <w:szCs w:val="24"/>
        </w:rPr>
        <w:t xml:space="preserve"> economies. The advance fee and </w:t>
      </w:r>
      <w:r w:rsidR="003271D8" w:rsidRPr="00597FFB">
        <w:rPr>
          <w:rFonts w:ascii="Times New Roman" w:eastAsia="Calibri" w:hAnsi="Times New Roman" w:cs="Times New Roman"/>
          <w:bCs/>
          <w:color w:val="000000" w:themeColor="text1"/>
          <w:sz w:val="24"/>
          <w:szCs w:val="24"/>
        </w:rPr>
        <w:t>availing</w:t>
      </w:r>
      <w:r w:rsidRPr="00597FFB">
        <w:rPr>
          <w:rFonts w:ascii="Times New Roman" w:eastAsia="Calibri" w:hAnsi="Times New Roman" w:cs="Times New Roman"/>
          <w:bCs/>
          <w:color w:val="000000" w:themeColor="text1"/>
          <w:sz w:val="24"/>
          <w:szCs w:val="24"/>
        </w:rPr>
        <w:t xml:space="preserve"> of common </w:t>
      </w:r>
      <w:r w:rsidR="003271D8" w:rsidRPr="00597FFB">
        <w:rPr>
          <w:rFonts w:ascii="Times New Roman" w:eastAsia="Calibri" w:hAnsi="Times New Roman" w:cs="Times New Roman"/>
          <w:bCs/>
          <w:color w:val="000000" w:themeColor="text1"/>
          <w:sz w:val="24"/>
          <w:szCs w:val="24"/>
        </w:rPr>
        <w:t xml:space="preserve">points of </w:t>
      </w:r>
      <w:r w:rsidRPr="00597FFB">
        <w:rPr>
          <w:rFonts w:ascii="Times New Roman" w:eastAsia="Calibri" w:hAnsi="Times New Roman" w:cs="Times New Roman"/>
          <w:bCs/>
          <w:color w:val="000000" w:themeColor="text1"/>
          <w:sz w:val="24"/>
          <w:szCs w:val="24"/>
        </w:rPr>
        <w:t xml:space="preserve">disposal </w:t>
      </w:r>
      <w:r w:rsidR="003271D8" w:rsidRPr="00597FFB">
        <w:rPr>
          <w:rFonts w:ascii="Times New Roman" w:eastAsia="Calibri" w:hAnsi="Times New Roman" w:cs="Times New Roman"/>
          <w:bCs/>
          <w:color w:val="000000" w:themeColor="text1"/>
          <w:sz w:val="24"/>
          <w:szCs w:val="24"/>
        </w:rPr>
        <w:t>decrease</w:t>
      </w:r>
      <w:r w:rsidRPr="00597FFB">
        <w:rPr>
          <w:rFonts w:ascii="Times New Roman" w:eastAsia="Calibri" w:hAnsi="Times New Roman" w:cs="Times New Roman"/>
          <w:bCs/>
          <w:color w:val="000000" w:themeColor="text1"/>
          <w:sz w:val="24"/>
          <w:szCs w:val="24"/>
        </w:rPr>
        <w:t xml:space="preserve"> the incentive for</w:t>
      </w:r>
      <w:r w:rsidR="003271D8" w:rsidRPr="00597FFB">
        <w:rPr>
          <w:rFonts w:ascii="Times New Roman" w:eastAsia="Calibri" w:hAnsi="Times New Roman" w:cs="Times New Roman"/>
          <w:bCs/>
          <w:color w:val="000000" w:themeColor="text1"/>
          <w:sz w:val="24"/>
          <w:szCs w:val="24"/>
        </w:rPr>
        <w:t xml:space="preserve"> disposing</w:t>
      </w:r>
      <w:r w:rsidRPr="00597FFB">
        <w:rPr>
          <w:rFonts w:ascii="Times New Roman" w:eastAsia="Calibri" w:hAnsi="Times New Roman" w:cs="Times New Roman"/>
          <w:bCs/>
          <w:color w:val="000000" w:themeColor="text1"/>
          <w:sz w:val="24"/>
          <w:szCs w:val="24"/>
        </w:rPr>
        <w:t xml:space="preserve"> illegal</w:t>
      </w:r>
      <w:r w:rsidR="003271D8" w:rsidRPr="00597FFB">
        <w:rPr>
          <w:rFonts w:ascii="Times New Roman" w:eastAsia="Calibri" w:hAnsi="Times New Roman" w:cs="Times New Roman"/>
          <w:bCs/>
          <w:color w:val="000000" w:themeColor="text1"/>
          <w:sz w:val="24"/>
          <w:szCs w:val="24"/>
        </w:rPr>
        <w:t>ly</w:t>
      </w:r>
      <w:r w:rsidRPr="00597FFB">
        <w:rPr>
          <w:rFonts w:ascii="Times New Roman" w:eastAsia="Calibri" w:hAnsi="Times New Roman" w:cs="Times New Roman"/>
          <w:bCs/>
          <w:color w:val="000000" w:themeColor="text1"/>
          <w:sz w:val="24"/>
          <w:szCs w:val="24"/>
        </w:rPr>
        <w:t xml:space="preserve"> or dumping </w:t>
      </w:r>
      <w:r w:rsidRPr="00597FFB">
        <w:rPr>
          <w:rFonts w:ascii="Times New Roman" w:eastAsiaTheme="minorHAnsi" w:hAnsi="Times New Roman" w:cs="Times New Roman"/>
          <w:color w:val="000000" w:themeColor="text1"/>
          <w:sz w:val="24"/>
        </w:rPr>
        <w:t>(Cillo et al., 2019)</w:t>
      </w:r>
      <w:r w:rsidRPr="00597FFB">
        <w:rPr>
          <w:rFonts w:ascii="Times New Roman" w:eastAsia="Calibri" w:hAnsi="Times New Roman" w:cs="Times New Roman"/>
          <w:bCs/>
          <w:color w:val="000000" w:themeColor="text1"/>
          <w:sz w:val="24"/>
          <w:szCs w:val="24"/>
        </w:rPr>
        <w:t xml:space="preserve">. </w:t>
      </w:r>
      <w:r w:rsidR="003271D8" w:rsidRPr="00597FFB">
        <w:rPr>
          <w:rFonts w:ascii="Times New Roman" w:eastAsia="Calibri" w:hAnsi="Times New Roman" w:cs="Times New Roman"/>
          <w:bCs/>
          <w:color w:val="000000" w:themeColor="text1"/>
          <w:sz w:val="24"/>
          <w:szCs w:val="24"/>
        </w:rPr>
        <w:t>Furthermore</w:t>
      </w:r>
      <w:r w:rsidRPr="00597FFB">
        <w:rPr>
          <w:rFonts w:ascii="Times New Roman" w:eastAsia="Calibri" w:hAnsi="Times New Roman" w:cs="Times New Roman"/>
          <w:bCs/>
          <w:color w:val="000000" w:themeColor="text1"/>
          <w:sz w:val="24"/>
          <w:szCs w:val="24"/>
        </w:rPr>
        <w:t xml:space="preserve">, the </w:t>
      </w:r>
      <w:r w:rsidR="003271D8" w:rsidRPr="00597FFB">
        <w:rPr>
          <w:rFonts w:ascii="Times New Roman" w:eastAsia="Calibri" w:hAnsi="Times New Roman" w:cs="Times New Roman"/>
          <w:bCs/>
          <w:color w:val="000000" w:themeColor="text1"/>
          <w:sz w:val="24"/>
          <w:szCs w:val="24"/>
        </w:rPr>
        <w:t>stern</w:t>
      </w:r>
      <w:r w:rsidRPr="00597FFB">
        <w:rPr>
          <w:rFonts w:ascii="Times New Roman" w:eastAsia="Calibri" w:hAnsi="Times New Roman" w:cs="Times New Roman"/>
          <w:bCs/>
          <w:color w:val="000000" w:themeColor="text1"/>
          <w:sz w:val="24"/>
          <w:szCs w:val="24"/>
        </w:rPr>
        <w:t xml:space="preserve"> </w:t>
      </w:r>
      <w:r w:rsidR="003271D8" w:rsidRPr="00597FFB">
        <w:rPr>
          <w:rFonts w:ascii="Times New Roman" w:eastAsia="Calibri" w:hAnsi="Times New Roman" w:cs="Times New Roman"/>
          <w:bCs/>
          <w:color w:val="000000" w:themeColor="text1"/>
          <w:sz w:val="24"/>
          <w:szCs w:val="24"/>
        </w:rPr>
        <w:t xml:space="preserve">regulations </w:t>
      </w:r>
      <w:r w:rsidRPr="00597FFB">
        <w:rPr>
          <w:rFonts w:ascii="Times New Roman" w:eastAsia="Calibri" w:hAnsi="Times New Roman" w:cs="Times New Roman"/>
          <w:bCs/>
          <w:color w:val="000000" w:themeColor="text1"/>
          <w:sz w:val="24"/>
          <w:szCs w:val="24"/>
        </w:rPr>
        <w:t xml:space="preserve">and </w:t>
      </w:r>
      <w:r w:rsidR="003271D8" w:rsidRPr="00597FFB">
        <w:rPr>
          <w:rFonts w:ascii="Times New Roman" w:eastAsia="Calibri" w:hAnsi="Times New Roman" w:cs="Times New Roman"/>
          <w:bCs/>
          <w:color w:val="000000" w:themeColor="text1"/>
          <w:sz w:val="24"/>
          <w:szCs w:val="24"/>
        </w:rPr>
        <w:t xml:space="preserve">controls </w:t>
      </w:r>
      <w:r w:rsidRPr="00597FFB">
        <w:rPr>
          <w:rFonts w:ascii="Times New Roman" w:eastAsia="Calibri" w:hAnsi="Times New Roman" w:cs="Times New Roman"/>
          <w:bCs/>
          <w:color w:val="000000" w:themeColor="text1"/>
          <w:sz w:val="24"/>
          <w:szCs w:val="24"/>
        </w:rPr>
        <w:t xml:space="preserve">in Switzerland at </w:t>
      </w:r>
      <w:r w:rsidR="003271D8" w:rsidRPr="00597FFB">
        <w:rPr>
          <w:rFonts w:ascii="Times New Roman" w:eastAsia="Calibri" w:hAnsi="Times New Roman" w:cs="Times New Roman"/>
          <w:bCs/>
          <w:color w:val="000000" w:themeColor="text1"/>
          <w:sz w:val="24"/>
          <w:szCs w:val="24"/>
        </w:rPr>
        <w:t>several</w:t>
      </w:r>
      <w:r w:rsidRPr="00597FFB">
        <w:rPr>
          <w:rFonts w:ascii="Times New Roman" w:eastAsia="Calibri" w:hAnsi="Times New Roman" w:cs="Times New Roman"/>
          <w:bCs/>
          <w:color w:val="000000" w:themeColor="text1"/>
          <w:sz w:val="24"/>
          <w:szCs w:val="24"/>
        </w:rPr>
        <w:t xml:space="preserve"> levels </w:t>
      </w:r>
      <w:r w:rsidR="003271D8" w:rsidRPr="00597FFB">
        <w:rPr>
          <w:rFonts w:ascii="Times New Roman" w:eastAsia="Calibri" w:hAnsi="Times New Roman" w:cs="Times New Roman"/>
          <w:bCs/>
          <w:color w:val="000000" w:themeColor="text1"/>
          <w:sz w:val="24"/>
          <w:szCs w:val="24"/>
        </w:rPr>
        <w:t>foster</w:t>
      </w:r>
      <w:r w:rsidRPr="00597FFB">
        <w:rPr>
          <w:rFonts w:ascii="Times New Roman" w:eastAsia="Calibri" w:hAnsi="Times New Roman" w:cs="Times New Roman"/>
          <w:bCs/>
          <w:color w:val="000000" w:themeColor="text1"/>
          <w:sz w:val="24"/>
          <w:szCs w:val="24"/>
        </w:rPr>
        <w:t xml:space="preserve"> the proper</w:t>
      </w:r>
      <w:r w:rsidR="003271D8" w:rsidRPr="00597FFB">
        <w:rPr>
          <w:rFonts w:ascii="Times New Roman" w:eastAsia="Calibri" w:hAnsi="Times New Roman" w:cs="Times New Roman"/>
          <w:bCs/>
          <w:color w:val="000000" w:themeColor="text1"/>
          <w:sz w:val="24"/>
          <w:szCs w:val="24"/>
        </w:rPr>
        <w:t xml:space="preserve"> EPR</w:t>
      </w:r>
      <w:r w:rsidRPr="00597FFB">
        <w:rPr>
          <w:rFonts w:ascii="Times New Roman" w:eastAsia="Calibri" w:hAnsi="Times New Roman" w:cs="Times New Roman"/>
          <w:bCs/>
          <w:color w:val="000000" w:themeColor="text1"/>
          <w:sz w:val="24"/>
          <w:szCs w:val="24"/>
        </w:rPr>
        <w:t xml:space="preserve"> execution and implementation. Similar </w:t>
      </w:r>
      <w:r w:rsidR="003271D8" w:rsidRPr="00597FFB">
        <w:rPr>
          <w:rFonts w:ascii="Times New Roman" w:eastAsia="Calibri" w:hAnsi="Times New Roman" w:cs="Times New Roman"/>
          <w:bCs/>
          <w:color w:val="000000" w:themeColor="text1"/>
          <w:sz w:val="24"/>
          <w:szCs w:val="24"/>
        </w:rPr>
        <w:t xml:space="preserve">regulations </w:t>
      </w:r>
      <w:r w:rsidRPr="00597FFB">
        <w:rPr>
          <w:rFonts w:ascii="Times New Roman" w:eastAsia="Calibri" w:hAnsi="Times New Roman" w:cs="Times New Roman"/>
          <w:bCs/>
          <w:color w:val="000000" w:themeColor="text1"/>
          <w:sz w:val="24"/>
          <w:szCs w:val="24"/>
        </w:rPr>
        <w:t xml:space="preserve">and </w:t>
      </w:r>
      <w:r w:rsidR="003271D8" w:rsidRPr="00597FFB">
        <w:rPr>
          <w:rFonts w:ascii="Times New Roman" w:eastAsia="Calibri" w:hAnsi="Times New Roman" w:cs="Times New Roman"/>
          <w:bCs/>
          <w:color w:val="000000" w:themeColor="text1"/>
          <w:sz w:val="24"/>
          <w:szCs w:val="24"/>
        </w:rPr>
        <w:t>laws can be found</w:t>
      </w:r>
      <w:r w:rsidRPr="00597FFB">
        <w:rPr>
          <w:rFonts w:ascii="Times New Roman" w:eastAsia="Calibri" w:hAnsi="Times New Roman" w:cs="Times New Roman"/>
          <w:bCs/>
          <w:color w:val="000000" w:themeColor="text1"/>
          <w:sz w:val="24"/>
          <w:szCs w:val="24"/>
        </w:rPr>
        <w:t xml:space="preserve"> in other developed countries</w:t>
      </w:r>
      <w:r w:rsidR="003271D8" w:rsidRPr="00597FFB">
        <w:rPr>
          <w:rFonts w:ascii="Times New Roman" w:eastAsia="Calibri" w:hAnsi="Times New Roman" w:cs="Times New Roman"/>
          <w:bCs/>
          <w:color w:val="000000" w:themeColor="text1"/>
          <w:sz w:val="24"/>
          <w:szCs w:val="24"/>
        </w:rPr>
        <w:t xml:space="preserve"> including</w:t>
      </w:r>
      <w:r w:rsidRPr="00597FFB">
        <w:rPr>
          <w:rFonts w:ascii="Times New Roman" w:eastAsia="Calibri" w:hAnsi="Times New Roman" w:cs="Times New Roman"/>
          <w:bCs/>
          <w:color w:val="000000" w:themeColor="text1"/>
          <w:sz w:val="24"/>
          <w:szCs w:val="24"/>
        </w:rPr>
        <w:t xml:space="preserve"> </w:t>
      </w:r>
      <w:r w:rsidR="003271D8" w:rsidRPr="00597FFB">
        <w:rPr>
          <w:rFonts w:ascii="Times New Roman" w:eastAsia="Calibri" w:hAnsi="Times New Roman" w:cs="Times New Roman"/>
          <w:bCs/>
          <w:color w:val="000000" w:themeColor="text1"/>
          <w:sz w:val="24"/>
          <w:szCs w:val="24"/>
        </w:rPr>
        <w:t xml:space="preserve">Australia, </w:t>
      </w:r>
      <w:r w:rsidRPr="00597FFB">
        <w:rPr>
          <w:rFonts w:ascii="Times New Roman" w:eastAsia="Calibri" w:hAnsi="Times New Roman" w:cs="Times New Roman"/>
          <w:bCs/>
          <w:color w:val="000000" w:themeColor="text1"/>
          <w:sz w:val="24"/>
          <w:szCs w:val="24"/>
        </w:rPr>
        <w:t xml:space="preserve">Japan, and </w:t>
      </w:r>
      <w:r w:rsidR="003271D8" w:rsidRPr="00597FFB">
        <w:rPr>
          <w:rFonts w:ascii="Times New Roman" w:eastAsia="Calibri" w:hAnsi="Times New Roman" w:cs="Times New Roman"/>
          <w:bCs/>
          <w:color w:val="000000" w:themeColor="text1"/>
          <w:sz w:val="24"/>
          <w:szCs w:val="24"/>
        </w:rPr>
        <w:t>the US</w:t>
      </w:r>
      <w:r w:rsidRPr="00597FFB">
        <w:rPr>
          <w:rFonts w:ascii="Times New Roman" w:eastAsia="Calibri" w:hAnsi="Times New Roman" w:cs="Times New Roman"/>
          <w:bCs/>
          <w:color w:val="000000" w:themeColor="text1"/>
          <w:sz w:val="24"/>
          <w:szCs w:val="24"/>
        </w:rPr>
        <w:t xml:space="preserve">, but </w:t>
      </w:r>
      <w:r w:rsidR="003271D8" w:rsidRPr="00597FFB">
        <w:rPr>
          <w:rFonts w:ascii="Times New Roman" w:eastAsia="Calibri" w:hAnsi="Times New Roman" w:cs="Times New Roman"/>
          <w:bCs/>
          <w:color w:val="000000" w:themeColor="text1"/>
          <w:sz w:val="24"/>
          <w:szCs w:val="24"/>
        </w:rPr>
        <w:t>the ambiguity in</w:t>
      </w:r>
      <w:r w:rsidRPr="00597FFB">
        <w:rPr>
          <w:rFonts w:ascii="Times New Roman" w:eastAsia="Calibri" w:hAnsi="Times New Roman" w:cs="Times New Roman"/>
          <w:bCs/>
          <w:color w:val="000000" w:themeColor="text1"/>
          <w:sz w:val="24"/>
          <w:szCs w:val="24"/>
        </w:rPr>
        <w:t xml:space="preserve"> recycling fees </w:t>
      </w:r>
      <w:r w:rsidR="003271D8" w:rsidRPr="00597FFB">
        <w:rPr>
          <w:rFonts w:ascii="Times New Roman" w:eastAsia="Calibri" w:hAnsi="Times New Roman" w:cs="Times New Roman"/>
          <w:bCs/>
          <w:color w:val="000000" w:themeColor="text1"/>
          <w:sz w:val="24"/>
          <w:szCs w:val="24"/>
        </w:rPr>
        <w:t xml:space="preserve">exports </w:t>
      </w:r>
      <w:r w:rsidRPr="00597FFB">
        <w:rPr>
          <w:rFonts w:ascii="Times New Roman" w:eastAsia="Calibri" w:hAnsi="Times New Roman" w:cs="Times New Roman"/>
          <w:bCs/>
          <w:color w:val="000000" w:themeColor="text1"/>
          <w:sz w:val="24"/>
          <w:szCs w:val="24"/>
        </w:rPr>
        <w:t xml:space="preserve">or </w:t>
      </w:r>
      <w:r w:rsidR="003271D8" w:rsidRPr="00597FFB">
        <w:rPr>
          <w:rFonts w:ascii="Times New Roman" w:eastAsia="Calibri" w:hAnsi="Times New Roman" w:cs="Times New Roman"/>
          <w:bCs/>
          <w:color w:val="000000" w:themeColor="text1"/>
          <w:sz w:val="24"/>
          <w:szCs w:val="24"/>
        </w:rPr>
        <w:t xml:space="preserve">, illegal dumping </w:t>
      </w:r>
      <w:r w:rsidRPr="00597FFB">
        <w:rPr>
          <w:rFonts w:ascii="Times New Roman" w:eastAsia="Calibri" w:hAnsi="Times New Roman" w:cs="Times New Roman"/>
          <w:bCs/>
          <w:color w:val="000000" w:themeColor="text1"/>
          <w:sz w:val="24"/>
          <w:szCs w:val="24"/>
        </w:rPr>
        <w:t xml:space="preserve">to developing countries </w:t>
      </w:r>
      <w:r w:rsidR="003271D8" w:rsidRPr="00597FFB">
        <w:rPr>
          <w:rFonts w:ascii="Times New Roman" w:eastAsia="Calibri" w:hAnsi="Times New Roman" w:cs="Times New Roman"/>
          <w:bCs/>
          <w:color w:val="000000" w:themeColor="text1"/>
          <w:sz w:val="24"/>
          <w:szCs w:val="24"/>
        </w:rPr>
        <w:t>are still</w:t>
      </w:r>
      <w:r w:rsidRPr="00597FFB">
        <w:rPr>
          <w:rFonts w:ascii="Times New Roman" w:eastAsia="Calibri" w:hAnsi="Times New Roman" w:cs="Times New Roman"/>
          <w:bCs/>
          <w:color w:val="000000" w:themeColor="text1"/>
          <w:sz w:val="24"/>
          <w:szCs w:val="24"/>
        </w:rPr>
        <w:t xml:space="preserve"> the major </w:t>
      </w:r>
      <w:r w:rsidR="003271D8" w:rsidRPr="00597FFB">
        <w:rPr>
          <w:rFonts w:ascii="Times New Roman" w:eastAsia="Calibri" w:hAnsi="Times New Roman" w:cs="Times New Roman"/>
          <w:bCs/>
          <w:color w:val="000000" w:themeColor="text1"/>
          <w:sz w:val="24"/>
          <w:szCs w:val="24"/>
        </w:rPr>
        <w:t>challenges</w:t>
      </w:r>
      <w:r w:rsidRPr="00597FFB">
        <w:rPr>
          <w:rFonts w:ascii="Times New Roman" w:eastAsia="Calibri" w:hAnsi="Times New Roman" w:cs="Times New Roman"/>
          <w:bCs/>
          <w:color w:val="000000" w:themeColor="text1"/>
          <w:sz w:val="24"/>
          <w:szCs w:val="24"/>
        </w:rPr>
        <w:t xml:space="preserve"> of the e-waste management systems in </w:t>
      </w:r>
      <w:r w:rsidR="003271D8" w:rsidRPr="00597FFB">
        <w:rPr>
          <w:rFonts w:ascii="Times New Roman" w:eastAsia="Calibri" w:hAnsi="Times New Roman" w:cs="Times New Roman"/>
          <w:bCs/>
          <w:color w:val="000000" w:themeColor="text1"/>
          <w:sz w:val="24"/>
          <w:szCs w:val="24"/>
        </w:rPr>
        <w:t>such advanced</w:t>
      </w:r>
      <w:r w:rsidRPr="00597FFB">
        <w:rPr>
          <w:rFonts w:ascii="Times New Roman" w:eastAsia="Calibri" w:hAnsi="Times New Roman" w:cs="Times New Roman"/>
          <w:bCs/>
          <w:color w:val="000000" w:themeColor="text1"/>
          <w:sz w:val="24"/>
          <w:szCs w:val="24"/>
        </w:rPr>
        <w:t xml:space="preserve"> countries </w:t>
      </w:r>
      <w:r w:rsidRPr="00597FFB">
        <w:rPr>
          <w:rFonts w:ascii="Times New Roman" w:eastAsiaTheme="minorHAnsi" w:hAnsi="Times New Roman" w:cs="Times New Roman"/>
          <w:color w:val="000000" w:themeColor="text1"/>
          <w:sz w:val="24"/>
          <w:szCs w:val="24"/>
        </w:rPr>
        <w:t>(Adanu et al., 2020)</w:t>
      </w:r>
      <w:r w:rsidRPr="00597FFB">
        <w:rPr>
          <w:rFonts w:ascii="Times New Roman" w:eastAsia="Calibri" w:hAnsi="Times New Roman" w:cs="Times New Roman"/>
          <w:color w:val="000000" w:themeColor="text1"/>
          <w:sz w:val="24"/>
          <w:szCs w:val="24"/>
        </w:rPr>
        <w:t>.</w:t>
      </w:r>
    </w:p>
    <w:p w14:paraId="1724130D" w14:textId="50025E37" w:rsidR="0003140E" w:rsidRPr="00597FFB" w:rsidRDefault="000403F3"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99" w:name="_Toc127170274"/>
      <w:bookmarkStart w:id="100" w:name="_Hlk123713323"/>
      <w:r w:rsidRPr="00597FFB">
        <w:rPr>
          <w:rFonts w:ascii="Times New Roman" w:eastAsia="Calibri" w:hAnsi="Times New Roman" w:cs="Times New Roman"/>
          <w:i/>
          <w:iCs/>
          <w:color w:val="000000" w:themeColor="text1"/>
          <w:sz w:val="24"/>
          <w:szCs w:val="24"/>
        </w:rPr>
        <w:t xml:space="preserve">2.3.2. </w:t>
      </w:r>
      <w:r w:rsidR="0003140E" w:rsidRPr="00597FFB">
        <w:rPr>
          <w:rFonts w:ascii="Times New Roman" w:eastAsia="Calibri" w:hAnsi="Times New Roman" w:cs="Times New Roman"/>
          <w:i/>
          <w:iCs/>
          <w:color w:val="000000" w:themeColor="text1"/>
          <w:sz w:val="24"/>
          <w:szCs w:val="24"/>
        </w:rPr>
        <w:t>E</w:t>
      </w:r>
      <w:r w:rsidR="001820EE">
        <w:rPr>
          <w:rFonts w:ascii="Times New Roman" w:eastAsia="Calibri" w:hAnsi="Times New Roman" w:cs="Times New Roman"/>
          <w:i/>
          <w:iCs/>
          <w:color w:val="000000" w:themeColor="text1"/>
          <w:sz w:val="24"/>
          <w:szCs w:val="24"/>
        </w:rPr>
        <w:t>WM</w:t>
      </w:r>
      <w:r w:rsidR="007D28AC" w:rsidRPr="00597FFB">
        <w:rPr>
          <w:rFonts w:ascii="Times New Roman" w:eastAsia="Calibri" w:hAnsi="Times New Roman" w:cs="Times New Roman"/>
          <w:i/>
          <w:iCs/>
          <w:color w:val="000000" w:themeColor="text1"/>
          <w:sz w:val="24"/>
          <w:szCs w:val="24"/>
        </w:rPr>
        <w:t xml:space="preserve"> </w:t>
      </w:r>
      <w:r w:rsidR="00DB00DF">
        <w:rPr>
          <w:rFonts w:ascii="Times New Roman" w:eastAsia="Calibri" w:hAnsi="Times New Roman" w:cs="Times New Roman"/>
          <w:i/>
          <w:iCs/>
          <w:color w:val="000000" w:themeColor="text1"/>
          <w:sz w:val="24"/>
          <w:szCs w:val="24"/>
        </w:rPr>
        <w:t>P</w:t>
      </w:r>
      <w:r w:rsidR="007D28AC" w:rsidRPr="00597FFB">
        <w:rPr>
          <w:rFonts w:ascii="Times New Roman" w:eastAsia="Calibri" w:hAnsi="Times New Roman" w:cs="Times New Roman"/>
          <w:i/>
          <w:iCs/>
          <w:color w:val="000000" w:themeColor="text1"/>
          <w:sz w:val="24"/>
          <w:szCs w:val="24"/>
        </w:rPr>
        <w:t xml:space="preserve">ractices in </w:t>
      </w:r>
      <w:r w:rsidR="00DB00DF">
        <w:rPr>
          <w:rFonts w:ascii="Times New Roman" w:eastAsia="Calibri" w:hAnsi="Times New Roman" w:cs="Times New Roman"/>
          <w:i/>
          <w:iCs/>
          <w:color w:val="000000" w:themeColor="text1"/>
          <w:sz w:val="24"/>
          <w:szCs w:val="24"/>
        </w:rPr>
        <w:t>D</w:t>
      </w:r>
      <w:r w:rsidR="007D28AC" w:rsidRPr="00597FFB">
        <w:rPr>
          <w:rFonts w:ascii="Times New Roman" w:eastAsia="Calibri" w:hAnsi="Times New Roman" w:cs="Times New Roman"/>
          <w:i/>
          <w:iCs/>
          <w:color w:val="000000" w:themeColor="text1"/>
          <w:sz w:val="24"/>
          <w:szCs w:val="24"/>
        </w:rPr>
        <w:t>eveloping</w:t>
      </w:r>
      <w:r w:rsidR="007D28AC" w:rsidRPr="00597FFB">
        <w:rPr>
          <w:rFonts w:ascii="Times New Roman" w:eastAsia="Times New Roman" w:hAnsi="Times New Roman" w:cs="Times New Roman"/>
          <w:i/>
          <w:iCs/>
          <w:color w:val="000000" w:themeColor="text1"/>
          <w:sz w:val="24"/>
          <w:szCs w:val="24"/>
        </w:rPr>
        <w:t xml:space="preserve"> </w:t>
      </w:r>
      <w:r w:rsidR="00DB00DF">
        <w:rPr>
          <w:rFonts w:ascii="Times New Roman" w:eastAsia="Times New Roman" w:hAnsi="Times New Roman" w:cs="Times New Roman"/>
          <w:i/>
          <w:iCs/>
          <w:color w:val="000000" w:themeColor="text1"/>
          <w:sz w:val="24"/>
          <w:szCs w:val="24"/>
        </w:rPr>
        <w:t>C</w:t>
      </w:r>
      <w:r w:rsidR="007D28AC" w:rsidRPr="00597FFB">
        <w:rPr>
          <w:rFonts w:ascii="Times New Roman" w:eastAsia="Times New Roman" w:hAnsi="Times New Roman" w:cs="Times New Roman"/>
          <w:i/>
          <w:iCs/>
          <w:color w:val="000000" w:themeColor="text1"/>
          <w:sz w:val="24"/>
          <w:szCs w:val="24"/>
        </w:rPr>
        <w:t>ountries.</w:t>
      </w:r>
      <w:bookmarkEnd w:id="99"/>
    </w:p>
    <w:bookmarkEnd w:id="100"/>
    <w:p w14:paraId="5DFB9F8E"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Calibri" w:hAnsi="Times New Roman" w:cs="Times New Roman"/>
          <w:color w:val="000000" w:themeColor="text1"/>
          <w:sz w:val="24"/>
          <w:szCs w:val="24"/>
        </w:rPr>
        <w:t xml:space="preserve">In most developing countries, particularly low-income and middle-income countries, e-waste is disposed of in domestic landfill sites. Informal e-waste recycling is also widely practiced but often not addressed as part of a municipality’s solid waste and resource management system </w:t>
      </w:r>
      <w:r w:rsidRPr="00597FFB">
        <w:rPr>
          <w:rFonts w:ascii="Times New Roman" w:eastAsiaTheme="minorHAnsi" w:hAnsi="Times New Roman" w:cs="Times New Roman"/>
          <w:color w:val="000000" w:themeColor="text1"/>
          <w:sz w:val="24"/>
          <w:szCs w:val="24"/>
        </w:rPr>
        <w:t>(Carfora et al., 2017)</w:t>
      </w:r>
      <w:r w:rsidRPr="00597FFB">
        <w:rPr>
          <w:rFonts w:ascii="Times New Roman" w:eastAsia="Calibri" w:hAnsi="Times New Roman" w:cs="Times New Roman"/>
          <w:color w:val="000000" w:themeColor="text1"/>
          <w:sz w:val="24"/>
          <w:szCs w:val="24"/>
        </w:rPr>
        <w:t xml:space="preserve">. Reclamation and recycling of e-waste in Africa are mainly done by volunteers with negligible to no regard for health, safety, or the environment. Furthermore, the informal sector's lack of resource recovery policies in the existing waste management strategies promotes e-waste recycling. In the informal sector, many unsafe practices occur such as wires being burned to remove the plastic coating and recover copper. Additionally, acid extraction is used to recover precious metals including gold, platinum, palladium, and silver from printed circuit boards. </w:t>
      </w:r>
      <w:r w:rsidRPr="00597FFB">
        <w:rPr>
          <w:rFonts w:ascii="Times New Roman" w:eastAsiaTheme="minorHAnsi" w:hAnsi="Times New Roman" w:cs="Times New Roman"/>
          <w:color w:val="000000" w:themeColor="text1"/>
          <w:sz w:val="24"/>
        </w:rPr>
        <w:t>Islam et al. (2020)</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indicated that e-waste is both a resource and a hazard, resulting in it being as a dangerous object of governance. E-waste’s valuable rare earth materials and precious metals mean that e-waste is a resource</w:t>
      </w:r>
      <w:r w:rsidRPr="00597FFB">
        <w:rPr>
          <w:rFonts w:eastAsiaTheme="minorHAnsi"/>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that requires effective reclamation. However, the environmental effects of improperly destroyed waste can be devastating. These effects intensify in less developed countries and especially those with poor or no regulation. In such countries, e-waste has been historically dumped especially by developed countries </w:t>
      </w:r>
      <w:r w:rsidRPr="00597FFB">
        <w:rPr>
          <w:rFonts w:ascii="Times New Roman" w:eastAsiaTheme="minorHAnsi" w:hAnsi="Times New Roman" w:cs="Times New Roman"/>
          <w:color w:val="000000" w:themeColor="text1"/>
          <w:sz w:val="24"/>
        </w:rPr>
        <w:t>(Kannan et al., 2020)</w:t>
      </w:r>
      <w:r w:rsidRPr="00597FFB">
        <w:rPr>
          <w:rFonts w:ascii="Times New Roman" w:eastAsia="Times New Roman" w:hAnsi="Times New Roman" w:cs="Times New Roman"/>
          <w:bCs/>
          <w:color w:val="000000" w:themeColor="text1"/>
          <w:sz w:val="24"/>
          <w:szCs w:val="24"/>
        </w:rPr>
        <w:t>.</w:t>
      </w:r>
    </w:p>
    <w:p w14:paraId="1924EF84" w14:textId="77777777" w:rsidR="0003140E" w:rsidRPr="00597FFB" w:rsidRDefault="0003140E" w:rsidP="00A558FE">
      <w:pPr>
        <w:spacing w:after="0"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During the open, informal burning of e-waste occurs characteristically in environments with less oxygen and lower temperatures than controlled combustion to extract copper from plastic insulations. In the process, toxic air pollutants such as dioxins and furans are released into the environment </w:t>
      </w:r>
      <w:r w:rsidRPr="00597FFB">
        <w:rPr>
          <w:rFonts w:ascii="Times New Roman" w:eastAsiaTheme="minorHAnsi" w:hAnsi="Times New Roman" w:cs="Times New Roman"/>
          <w:color w:val="000000" w:themeColor="text1"/>
          <w:sz w:val="24"/>
        </w:rPr>
        <w:t>(Liu et al., 2019)</w:t>
      </w:r>
      <w:r w:rsidRPr="00597FFB">
        <w:rPr>
          <w:rFonts w:ascii="Times New Roman" w:eastAsia="Calibri" w:hAnsi="Times New Roman" w:cs="Times New Roman"/>
          <w:color w:val="000000" w:themeColor="text1"/>
          <w:sz w:val="24"/>
          <w:szCs w:val="24"/>
        </w:rPr>
        <w:t xml:space="preserve">. Landfill disposal of e-waste also leads to toxic emissions. The chlorofluorocarbons (CFCs) found in refrigerators and air conditioning units deplete the ozone and are likely to escape into the environment during landfill disposal </w:t>
      </w:r>
      <w:r w:rsidRPr="00597FFB">
        <w:rPr>
          <w:rFonts w:ascii="Times New Roman" w:eastAsiaTheme="minorHAnsi" w:hAnsi="Times New Roman" w:cs="Times New Roman"/>
          <w:color w:val="000000" w:themeColor="text1"/>
          <w:sz w:val="24"/>
          <w:szCs w:val="24"/>
        </w:rPr>
        <w:t>(Alao et al., 2020)</w:t>
      </w:r>
      <w:r w:rsidRPr="00597FFB">
        <w:rPr>
          <w:rFonts w:ascii="Times New Roman" w:eastAsia="Calibri" w:hAnsi="Times New Roman" w:cs="Times New Roman"/>
          <w:color w:val="000000" w:themeColor="text1"/>
          <w:sz w:val="24"/>
          <w:szCs w:val="24"/>
        </w:rPr>
        <w:t xml:space="preserve">. Other toxic substances from e-waste contributing to harmful landfill emissions include polychlorinated biphenyls (PCBs), nickel, hydrochlorofluorocarbons (HCFCs), asbestos, and dimethylene mercury. Additionally, uncontrolled fires at landfills may release extremely toxic furans and dioxins </w:t>
      </w:r>
      <w:r w:rsidRPr="00597FFB">
        <w:rPr>
          <w:rFonts w:ascii="Times New Roman" w:eastAsiaTheme="minorHAnsi" w:hAnsi="Times New Roman" w:cs="Times New Roman"/>
          <w:color w:val="000000" w:themeColor="text1"/>
          <w:sz w:val="24"/>
          <w:szCs w:val="24"/>
        </w:rPr>
        <w:t>(Ananno et al., 2021)</w:t>
      </w:r>
      <w:r w:rsidRPr="00597FFB">
        <w:rPr>
          <w:rFonts w:ascii="Times New Roman" w:eastAsia="Calibri" w:hAnsi="Times New Roman" w:cs="Times New Roman"/>
          <w:color w:val="000000" w:themeColor="text1"/>
          <w:sz w:val="24"/>
          <w:szCs w:val="24"/>
        </w:rPr>
        <w:t>.</w:t>
      </w:r>
    </w:p>
    <w:p w14:paraId="39056821" w14:textId="77777777" w:rsidR="0003140E" w:rsidRPr="00597FFB" w:rsidRDefault="0003140E" w:rsidP="00A558FE">
      <w:pPr>
        <w:spacing w:line="480" w:lineRule="auto"/>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The practice of exporting e-waste to underdeveloped countries is a significant issue because these areas often lack the appropriate technology or regulations to safely dispose of e-waste. </w:t>
      </w:r>
      <w:r w:rsidRPr="00597FFB">
        <w:rPr>
          <w:rFonts w:ascii="Times New Roman" w:eastAsiaTheme="minorHAnsi" w:hAnsi="Times New Roman" w:cs="Times New Roman"/>
          <w:color w:val="000000" w:themeColor="text1"/>
          <w:sz w:val="24"/>
          <w:szCs w:val="24"/>
        </w:rPr>
        <w:t>Evangelopoulos et al. (2019)</w:t>
      </w:r>
      <w:r w:rsidRPr="00597FFB">
        <w:rPr>
          <w:rFonts w:ascii="Times New Roman" w:eastAsia="Times New Roman" w:hAnsi="Times New Roman" w:cs="Times New Roman"/>
          <w:bCs/>
          <w:color w:val="000000" w:themeColor="text1"/>
          <w:sz w:val="24"/>
          <w:szCs w:val="24"/>
        </w:rPr>
        <w:t xml:space="preserve"> noted that although digital consumption is seemingly about the flow of information rather than an event in space, the result of a smarter planet is grounded in geographically, socially, and ecologically uneven material processes. </w:t>
      </w:r>
      <w:r w:rsidRPr="00597FFB">
        <w:rPr>
          <w:rFonts w:ascii="Times New Roman" w:eastAsiaTheme="minorHAnsi" w:hAnsi="Times New Roman" w:cs="Times New Roman"/>
          <w:color w:val="000000" w:themeColor="text1"/>
          <w:sz w:val="24"/>
          <w:szCs w:val="24"/>
        </w:rPr>
        <w:t>Wong et al. (2019)</w:t>
      </w:r>
      <w:r w:rsidRPr="00597FFB">
        <w:rPr>
          <w:rFonts w:ascii="Times New Roman" w:eastAsia="Times New Roman" w:hAnsi="Times New Roman" w:cs="Times New Roman"/>
          <w:bCs/>
          <w:color w:val="000000" w:themeColor="text1"/>
          <w:sz w:val="24"/>
          <w:szCs w:val="24"/>
        </w:rPr>
        <w:t xml:space="preserve"> decried that e-waste flows have poured into developing or underdeveloped countries, primarily due to lower labor costs and fewer restrictions in these nations. He adds that the citizens of more impoverished regions are subjected to a life of poverty and are exposed to poisonous substances and harmful conditions that no one should be forced to tolerate.</w:t>
      </w:r>
    </w:p>
    <w:p w14:paraId="1F789747" w14:textId="76682167" w:rsidR="0003140E" w:rsidRPr="00597FFB" w:rsidRDefault="0003140E" w:rsidP="00A558FE">
      <w:pPr>
        <w:spacing w:after="0"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Calibri" w:hAnsi="Times New Roman" w:cs="Times New Roman"/>
          <w:color w:val="000000" w:themeColor="text1"/>
          <w:sz w:val="24"/>
          <w:szCs w:val="24"/>
        </w:rPr>
        <w:t xml:space="preserve">According to </w:t>
      </w:r>
      <w:r w:rsidRPr="00597FFB">
        <w:rPr>
          <w:rFonts w:ascii="Times New Roman" w:eastAsiaTheme="minorHAnsi" w:hAnsi="Times New Roman" w:cs="Times New Roman"/>
          <w:color w:val="000000" w:themeColor="text1"/>
          <w:sz w:val="24"/>
          <w:szCs w:val="24"/>
        </w:rPr>
        <w:t>Rajmohan et al. (2019)</w:t>
      </w:r>
      <w:r w:rsidRPr="00597FFB">
        <w:rPr>
          <w:rFonts w:ascii="Times New Roman" w:eastAsia="Calibri"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e-waste is not a new issue. China, which began importing e-waste during the 1990s, has long struggled with the consequences of its disposal and has begun banning e-waste imports and implementing governmental controls for its disposal in an attempt to remedy the situation. </w:t>
      </w:r>
      <w:r w:rsidRPr="00597FFB">
        <w:rPr>
          <w:rFonts w:ascii="Times New Roman" w:eastAsiaTheme="minorHAnsi" w:hAnsi="Times New Roman" w:cs="Times New Roman"/>
          <w:color w:val="000000" w:themeColor="text1"/>
          <w:sz w:val="24"/>
          <w:szCs w:val="24"/>
        </w:rPr>
        <w:t>Gupta (2020)</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found that increased e-waste production in India has resulted in untrained workers treating and processing over 95 percent of e-waste in urban slums without protective equipment or practical skills. There are only two sectors in which e-waste is formally recycled and there is no large-scale, organized e-waste recycling facility exists in India. This arrangement poses significant hazards to workers who lack adequate training and protection. </w:t>
      </w:r>
      <w:r w:rsidRPr="00597FFB">
        <w:rPr>
          <w:rFonts w:ascii="Times New Roman" w:eastAsiaTheme="minorHAnsi" w:hAnsi="Times New Roman" w:cs="Times New Roman"/>
          <w:color w:val="000000" w:themeColor="text1"/>
          <w:sz w:val="24"/>
          <w:szCs w:val="24"/>
        </w:rPr>
        <w:t>Khan et al. (2019)</w:t>
      </w:r>
      <w:r w:rsidRPr="00597FFB">
        <w:rPr>
          <w:rFonts w:ascii="Times New Roman" w:eastAsia="Times New Roman" w:hAnsi="Times New Roman" w:cs="Times New Roman"/>
          <w:bCs/>
          <w:color w:val="000000" w:themeColor="text1"/>
          <w:sz w:val="24"/>
          <w:szCs w:val="24"/>
        </w:rPr>
        <w:t xml:space="preserve"> added that since e-waste blends plastics and chemicals, improper handling harms </w:t>
      </w:r>
      <w:r w:rsidR="00AB37CB" w:rsidRPr="00597FFB">
        <w:rPr>
          <w:rFonts w:ascii="Times New Roman" w:eastAsia="Times New Roman" w:hAnsi="Times New Roman" w:cs="Times New Roman"/>
          <w:bCs/>
          <w:color w:val="000000" w:themeColor="text1"/>
          <w:sz w:val="24"/>
          <w:szCs w:val="24"/>
        </w:rPr>
        <w:t xml:space="preserve">both human health </w:t>
      </w:r>
      <w:r w:rsidRPr="00597FFB">
        <w:rPr>
          <w:rFonts w:ascii="Times New Roman" w:eastAsia="Times New Roman" w:hAnsi="Times New Roman" w:cs="Times New Roman"/>
          <w:bCs/>
          <w:color w:val="000000" w:themeColor="text1"/>
          <w:sz w:val="24"/>
          <w:szCs w:val="24"/>
        </w:rPr>
        <w:t>and</w:t>
      </w:r>
      <w:r w:rsidR="00AB37CB" w:rsidRPr="00597FFB">
        <w:rPr>
          <w:rFonts w:ascii="Times New Roman" w:eastAsia="Times New Roman" w:hAnsi="Times New Roman" w:cs="Times New Roman"/>
          <w:bCs/>
          <w:color w:val="000000" w:themeColor="text1"/>
          <w:sz w:val="24"/>
          <w:szCs w:val="24"/>
        </w:rPr>
        <w:t xml:space="preserve"> the environment</w:t>
      </w:r>
      <w:r w:rsidRPr="00597FFB">
        <w:rPr>
          <w:rFonts w:ascii="Times New Roman" w:eastAsia="Times New Roman" w:hAnsi="Times New Roman" w:cs="Times New Roman"/>
          <w:bCs/>
          <w:color w:val="000000" w:themeColor="text1"/>
          <w:sz w:val="24"/>
          <w:szCs w:val="24"/>
        </w:rPr>
        <w:t xml:space="preserve">. </w:t>
      </w:r>
      <w:r w:rsidR="00AB37CB" w:rsidRPr="00597FFB">
        <w:rPr>
          <w:rFonts w:ascii="Times New Roman" w:eastAsia="Times New Roman" w:hAnsi="Times New Roman" w:cs="Times New Roman"/>
          <w:bCs/>
          <w:color w:val="000000" w:themeColor="text1"/>
          <w:sz w:val="24"/>
          <w:szCs w:val="24"/>
        </w:rPr>
        <w:t>Laborers</w:t>
      </w:r>
      <w:r w:rsidRPr="00597FFB">
        <w:rPr>
          <w:rFonts w:ascii="Times New Roman" w:eastAsia="Times New Roman" w:hAnsi="Times New Roman" w:cs="Times New Roman"/>
          <w:bCs/>
          <w:color w:val="000000" w:themeColor="text1"/>
          <w:sz w:val="24"/>
          <w:szCs w:val="24"/>
        </w:rPr>
        <w:t xml:space="preserve"> in </w:t>
      </w:r>
      <w:r w:rsidR="00AB37CB" w:rsidRPr="00597FFB">
        <w:rPr>
          <w:rFonts w:ascii="Times New Roman" w:eastAsia="Times New Roman" w:hAnsi="Times New Roman" w:cs="Times New Roman"/>
          <w:bCs/>
          <w:color w:val="000000" w:themeColor="text1"/>
          <w:sz w:val="24"/>
          <w:szCs w:val="24"/>
        </w:rPr>
        <w:t>such</w:t>
      </w:r>
      <w:r w:rsidRPr="00597FFB">
        <w:rPr>
          <w:rFonts w:ascii="Times New Roman" w:eastAsia="Times New Roman" w:hAnsi="Times New Roman" w:cs="Times New Roman"/>
          <w:bCs/>
          <w:color w:val="000000" w:themeColor="text1"/>
          <w:sz w:val="24"/>
          <w:szCs w:val="24"/>
        </w:rPr>
        <w:t xml:space="preserve"> countries are subjected to innumerable health risks due to exposure to heavy toxic metals.</w:t>
      </w:r>
    </w:p>
    <w:p w14:paraId="705037BC"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Disposal in landfills is another historically prevalent method of discarding of e-waste besides incineration. However, landfills create hazards such as leakage, leachate contaminating the soil and groundwater, chemical reactions, vaporization, and uncontrolled fires. Incineration poses hazards such as dioxin formation, heavy metal contamination, health and safety issues, slag, fly ash, and flue gases </w:t>
      </w:r>
      <w:r w:rsidRPr="00597FFB">
        <w:rPr>
          <w:rFonts w:ascii="Times New Roman" w:eastAsiaTheme="minorHAnsi" w:hAnsi="Times New Roman" w:cs="Times New Roman"/>
          <w:color w:val="000000" w:themeColor="text1"/>
          <w:sz w:val="24"/>
        </w:rPr>
        <w:t>(Malek &amp; Desai, 2019)</w:t>
      </w:r>
      <w:r w:rsidRPr="00597FFB">
        <w:rPr>
          <w:rFonts w:ascii="Times New Roman" w:eastAsia="Times New Roman" w:hAnsi="Times New Roman" w:cs="Times New Roman"/>
          <w:bCs/>
          <w:color w:val="000000" w:themeColor="text1"/>
          <w:sz w:val="24"/>
          <w:szCs w:val="24"/>
        </w:rPr>
        <w:t>.</w:t>
      </w:r>
    </w:p>
    <w:p w14:paraId="5077294C"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As China and India's situations indicate, the effects of e-waste and the issues it creates or exacerbates transcend the environment and have created political problems. </w:t>
      </w:r>
      <w:r w:rsidRPr="00597FFB">
        <w:rPr>
          <w:rFonts w:ascii="Times New Roman" w:eastAsiaTheme="minorHAnsi" w:hAnsi="Times New Roman" w:cs="Times New Roman"/>
          <w:color w:val="000000" w:themeColor="text1"/>
          <w:sz w:val="24"/>
        </w:rPr>
        <w:t>Mawed (2020)</w:t>
      </w:r>
      <w:r w:rsidRPr="00597FFB">
        <w:rPr>
          <w:rFonts w:ascii="Times New Roman" w:eastAsia="Times New Roman" w:hAnsi="Times New Roman" w:cs="Times New Roman"/>
          <w:bCs/>
          <w:color w:val="000000" w:themeColor="text1"/>
          <w:sz w:val="24"/>
          <w:szCs w:val="24"/>
        </w:rPr>
        <w:t xml:space="preserve"> noted that corporations contributing to e-waste create global environmental issues and geopolitical issues affecting trade policies. According to </w:t>
      </w:r>
      <w:r w:rsidRPr="00597FFB">
        <w:rPr>
          <w:rFonts w:ascii="Times New Roman" w:eastAsiaTheme="minorHAnsi" w:hAnsi="Times New Roman" w:cs="Times New Roman"/>
          <w:color w:val="000000" w:themeColor="text1"/>
          <w:sz w:val="24"/>
          <w:szCs w:val="24"/>
        </w:rPr>
        <w:t>Chen et al. (2020)</w:t>
      </w:r>
      <w:r w:rsidRPr="00597FFB">
        <w:rPr>
          <w:rFonts w:ascii="Times New Roman" w:eastAsia="Times New Roman" w:hAnsi="Times New Roman" w:cs="Times New Roman"/>
          <w:bCs/>
          <w:color w:val="000000" w:themeColor="text1"/>
          <w:sz w:val="24"/>
          <w:szCs w:val="24"/>
        </w:rPr>
        <w:t xml:space="preserve">, as key political agents of protecting workers and the environment, 'ethical' trade and ‘green’ economies via purchasing choices should be promoted. Furthermore, since e-waste will become more visible, it is likely to be regulated further going forward. Nonetheless, the legislative direction remains unclear </w:t>
      </w:r>
      <w:r w:rsidRPr="00597FFB">
        <w:rPr>
          <w:rFonts w:ascii="Times New Roman" w:eastAsiaTheme="minorHAnsi" w:hAnsi="Times New Roman" w:cs="Times New Roman"/>
          <w:color w:val="000000" w:themeColor="text1"/>
          <w:sz w:val="24"/>
          <w:szCs w:val="24"/>
        </w:rPr>
        <w:t>(Klemeš et al., 2020)</w:t>
      </w:r>
      <w:r w:rsidRPr="00597FFB">
        <w:rPr>
          <w:rFonts w:ascii="Times New Roman" w:eastAsia="Times New Roman" w:hAnsi="Times New Roman" w:cs="Times New Roman"/>
          <w:bCs/>
          <w:color w:val="000000" w:themeColor="text1"/>
          <w:sz w:val="24"/>
          <w:szCs w:val="24"/>
        </w:rPr>
        <w:t>.</w:t>
      </w:r>
    </w:p>
    <w:p w14:paraId="06782826" w14:textId="30618EF7" w:rsidR="0003140E" w:rsidRPr="00597FFB" w:rsidRDefault="0003140E" w:rsidP="00A558FE">
      <w:pPr>
        <w:spacing w:line="480" w:lineRule="auto"/>
        <w:ind w:firstLine="720"/>
        <w:jc w:val="both"/>
        <w:rPr>
          <w:rFonts w:ascii="Times New Roman" w:eastAsia="Calibri" w:hAnsi="Times New Roman" w:cs="Times New Roman"/>
          <w:bCs/>
          <w:iCs/>
          <w:color w:val="000000" w:themeColor="text1"/>
          <w:sz w:val="24"/>
          <w:szCs w:val="24"/>
        </w:rPr>
      </w:pPr>
      <w:r w:rsidRPr="00597FFB">
        <w:rPr>
          <w:rFonts w:ascii="Times New Roman" w:eastAsiaTheme="minorHAnsi" w:hAnsi="Times New Roman" w:cs="Times New Roman"/>
          <w:color w:val="000000" w:themeColor="text1"/>
          <w:sz w:val="24"/>
        </w:rPr>
        <w:t>Minton et al. (2018)</w:t>
      </w:r>
      <w:r w:rsidRPr="00597FFB">
        <w:rPr>
          <w:rFonts w:ascii="Times New Roman" w:eastAsia="Calibri" w:hAnsi="Times New Roman" w:cs="Times New Roman"/>
          <w:color w:val="000000" w:themeColor="text1"/>
          <w:sz w:val="24"/>
        </w:rPr>
        <w:t xml:space="preserve"> </w:t>
      </w:r>
      <w:r w:rsidRPr="00597FFB">
        <w:rPr>
          <w:rFonts w:ascii="Times New Roman" w:eastAsia="Times New Roman" w:hAnsi="Times New Roman" w:cs="Times New Roman"/>
          <w:bCs/>
          <w:color w:val="000000" w:themeColor="text1"/>
          <w:sz w:val="24"/>
          <w:szCs w:val="24"/>
        </w:rPr>
        <w:t xml:space="preserve">noted that improperly disposed e-waste poses a physical danger to society and could violate the privacy of individuals in consuming countries. </w:t>
      </w:r>
      <w:r w:rsidRPr="00597FFB">
        <w:rPr>
          <w:rFonts w:ascii="Times New Roman" w:eastAsiaTheme="minorHAnsi" w:hAnsi="Times New Roman" w:cs="Times New Roman"/>
          <w:color w:val="000000" w:themeColor="text1"/>
          <w:sz w:val="24"/>
        </w:rPr>
        <w:t>Masud et al. (2019)</w:t>
      </w:r>
      <w:r w:rsidRPr="00597FFB">
        <w:rPr>
          <w:rFonts w:ascii="Times New Roman" w:eastAsia="Times New Roman" w:hAnsi="Times New Roman" w:cs="Times New Roman"/>
          <w:bCs/>
          <w:color w:val="000000" w:themeColor="text1"/>
          <w:sz w:val="24"/>
          <w:szCs w:val="24"/>
        </w:rPr>
        <w:t xml:space="preserve"> noted that improper handling of e-waste prevents the retrieval of valuable materials that are present in higher concentrations in e-waste than the concentrations found in nature. However, US legislation has largely protected companies from global e-waste regulations. </w:t>
      </w:r>
      <w:r w:rsidRPr="00597FFB">
        <w:rPr>
          <w:rFonts w:ascii="Times New Roman" w:eastAsiaTheme="minorHAnsi" w:hAnsi="Times New Roman" w:cs="Times New Roman"/>
          <w:color w:val="000000" w:themeColor="text1"/>
          <w:sz w:val="24"/>
          <w:szCs w:val="24"/>
        </w:rPr>
        <w:t>O’Brien et al. (2021)</w:t>
      </w:r>
      <w:r w:rsidRPr="00597FFB">
        <w:rPr>
          <w:rFonts w:ascii="Times New Roman" w:eastAsia="Times New Roman" w:hAnsi="Times New Roman" w:cs="Times New Roman"/>
          <w:bCs/>
          <w:color w:val="000000" w:themeColor="text1"/>
          <w:sz w:val="24"/>
          <w:szCs w:val="24"/>
        </w:rPr>
        <w:t xml:space="preserve"> stated that companies should begin developing e-waste programs now, accept the inevitability of eventual legislation on this growing issue, and capitalize on consumer perceptions toward environmentally friendly actions. </w:t>
      </w:r>
      <w:r w:rsidRPr="00597FFB">
        <w:rPr>
          <w:rFonts w:ascii="Times New Roman" w:eastAsia="Calibri" w:hAnsi="Times New Roman" w:cs="Times New Roman"/>
          <w:bCs/>
          <w:iCs/>
          <w:color w:val="000000" w:themeColor="text1"/>
          <w:sz w:val="24"/>
          <w:szCs w:val="24"/>
        </w:rPr>
        <w:t xml:space="preserve">In </w:t>
      </w:r>
      <w:r w:rsidR="00AB37CB" w:rsidRPr="00597FFB">
        <w:rPr>
          <w:rFonts w:ascii="Times New Roman" w:eastAsia="Calibri" w:hAnsi="Times New Roman" w:cs="Times New Roman"/>
          <w:bCs/>
          <w:iCs/>
          <w:color w:val="000000" w:themeColor="text1"/>
          <w:sz w:val="24"/>
          <w:szCs w:val="24"/>
        </w:rPr>
        <w:t xml:space="preserve">developing </w:t>
      </w:r>
      <w:r w:rsidRPr="00597FFB">
        <w:rPr>
          <w:rFonts w:ascii="Times New Roman" w:eastAsia="Calibri" w:hAnsi="Times New Roman" w:cs="Times New Roman"/>
          <w:bCs/>
          <w:iCs/>
          <w:color w:val="000000" w:themeColor="text1"/>
          <w:sz w:val="24"/>
          <w:szCs w:val="24"/>
        </w:rPr>
        <w:t xml:space="preserve">and </w:t>
      </w:r>
      <w:r w:rsidR="00AB37CB" w:rsidRPr="00597FFB">
        <w:rPr>
          <w:rFonts w:ascii="Times New Roman" w:eastAsia="Calibri" w:hAnsi="Times New Roman" w:cs="Times New Roman"/>
          <w:bCs/>
          <w:iCs/>
          <w:color w:val="000000" w:themeColor="text1"/>
          <w:sz w:val="24"/>
          <w:szCs w:val="24"/>
        </w:rPr>
        <w:t xml:space="preserve">developed </w:t>
      </w:r>
      <w:r w:rsidRPr="00597FFB">
        <w:rPr>
          <w:rFonts w:ascii="Times New Roman" w:eastAsia="Calibri" w:hAnsi="Times New Roman" w:cs="Times New Roman"/>
          <w:bCs/>
          <w:iCs/>
          <w:color w:val="000000" w:themeColor="text1"/>
          <w:sz w:val="24"/>
          <w:szCs w:val="24"/>
        </w:rPr>
        <w:t>countries</w:t>
      </w:r>
      <w:r w:rsidR="00AB37CB" w:rsidRPr="00597FFB">
        <w:rPr>
          <w:rFonts w:ascii="Times New Roman" w:eastAsia="Calibri" w:hAnsi="Times New Roman" w:cs="Times New Roman"/>
          <w:bCs/>
          <w:iCs/>
          <w:color w:val="000000" w:themeColor="text1"/>
          <w:sz w:val="24"/>
          <w:szCs w:val="24"/>
        </w:rPr>
        <w:t xml:space="preserve"> including</w:t>
      </w:r>
      <w:r w:rsidRPr="00597FFB">
        <w:rPr>
          <w:rFonts w:ascii="Times New Roman" w:eastAsia="Calibri" w:hAnsi="Times New Roman" w:cs="Times New Roman"/>
          <w:bCs/>
          <w:iCs/>
          <w:color w:val="000000" w:themeColor="text1"/>
          <w:sz w:val="24"/>
          <w:szCs w:val="24"/>
        </w:rPr>
        <w:t xml:space="preserve"> </w:t>
      </w:r>
      <w:r w:rsidR="00AB37CB" w:rsidRPr="00597FFB">
        <w:rPr>
          <w:rFonts w:ascii="Times New Roman" w:eastAsia="Calibri" w:hAnsi="Times New Roman" w:cs="Times New Roman"/>
          <w:bCs/>
          <w:iCs/>
          <w:color w:val="000000" w:themeColor="text1"/>
          <w:sz w:val="24"/>
          <w:szCs w:val="24"/>
        </w:rPr>
        <w:t xml:space="preserve">India, South Korea, </w:t>
      </w:r>
      <w:r w:rsidRPr="00597FFB">
        <w:rPr>
          <w:rFonts w:ascii="Times New Roman" w:eastAsia="Calibri" w:hAnsi="Times New Roman" w:cs="Times New Roman"/>
          <w:bCs/>
          <w:iCs/>
          <w:color w:val="000000" w:themeColor="text1"/>
          <w:sz w:val="24"/>
          <w:szCs w:val="24"/>
        </w:rPr>
        <w:t xml:space="preserve">China, Brazil, and African countries, there </w:t>
      </w:r>
      <w:r w:rsidR="00A05593" w:rsidRPr="00597FFB">
        <w:rPr>
          <w:rFonts w:ascii="Times New Roman" w:eastAsia="Calibri" w:hAnsi="Times New Roman" w:cs="Times New Roman"/>
          <w:bCs/>
          <w:iCs/>
          <w:color w:val="000000" w:themeColor="text1"/>
          <w:sz w:val="24"/>
          <w:szCs w:val="24"/>
        </w:rPr>
        <w:t>have notable</w:t>
      </w:r>
      <w:r w:rsidRPr="00597FFB">
        <w:rPr>
          <w:rFonts w:ascii="Times New Roman" w:eastAsia="Calibri" w:hAnsi="Times New Roman" w:cs="Times New Roman"/>
          <w:bCs/>
          <w:iCs/>
          <w:color w:val="000000" w:themeColor="text1"/>
          <w:sz w:val="24"/>
          <w:szCs w:val="24"/>
        </w:rPr>
        <w:t xml:space="preserve"> </w:t>
      </w:r>
      <w:r w:rsidR="00AB37CB" w:rsidRPr="00597FFB">
        <w:rPr>
          <w:rFonts w:ascii="Times New Roman" w:eastAsia="Calibri" w:hAnsi="Times New Roman" w:cs="Times New Roman"/>
          <w:bCs/>
          <w:iCs/>
          <w:color w:val="000000" w:themeColor="text1"/>
          <w:sz w:val="24"/>
          <w:szCs w:val="24"/>
        </w:rPr>
        <w:t>attempts at formulating</w:t>
      </w:r>
      <w:r w:rsidRPr="00597FFB">
        <w:rPr>
          <w:rFonts w:ascii="Times New Roman" w:eastAsia="Calibri" w:hAnsi="Times New Roman" w:cs="Times New Roman"/>
          <w:bCs/>
          <w:iCs/>
          <w:color w:val="000000" w:themeColor="text1"/>
          <w:sz w:val="24"/>
          <w:szCs w:val="24"/>
        </w:rPr>
        <w:t xml:space="preserve"> </w:t>
      </w:r>
      <w:r w:rsidR="00AB37CB" w:rsidRPr="00597FFB">
        <w:rPr>
          <w:rFonts w:ascii="Times New Roman" w:eastAsia="Calibri" w:hAnsi="Times New Roman" w:cs="Times New Roman"/>
          <w:bCs/>
          <w:iCs/>
          <w:color w:val="000000" w:themeColor="text1"/>
          <w:sz w:val="24"/>
          <w:szCs w:val="24"/>
        </w:rPr>
        <w:t xml:space="preserve">schemes </w:t>
      </w:r>
      <w:r w:rsidRPr="00597FFB">
        <w:rPr>
          <w:rFonts w:ascii="Times New Roman" w:eastAsia="Calibri" w:hAnsi="Times New Roman" w:cs="Times New Roman"/>
          <w:bCs/>
          <w:iCs/>
          <w:color w:val="000000" w:themeColor="text1"/>
          <w:sz w:val="24"/>
          <w:szCs w:val="24"/>
        </w:rPr>
        <w:t xml:space="preserve">and </w:t>
      </w:r>
      <w:r w:rsidR="00AB37CB" w:rsidRPr="00597FFB">
        <w:rPr>
          <w:rFonts w:ascii="Times New Roman" w:eastAsia="Calibri" w:hAnsi="Times New Roman" w:cs="Times New Roman"/>
          <w:bCs/>
          <w:iCs/>
          <w:color w:val="000000" w:themeColor="text1"/>
          <w:sz w:val="24"/>
          <w:szCs w:val="24"/>
        </w:rPr>
        <w:t xml:space="preserve">legislation </w:t>
      </w:r>
      <w:r w:rsidRPr="00597FFB">
        <w:rPr>
          <w:rFonts w:ascii="Times New Roman" w:eastAsia="Calibri" w:hAnsi="Times New Roman" w:cs="Times New Roman"/>
          <w:bCs/>
          <w:iCs/>
          <w:color w:val="000000" w:themeColor="text1"/>
          <w:sz w:val="24"/>
          <w:szCs w:val="24"/>
        </w:rPr>
        <w:t xml:space="preserve">such as </w:t>
      </w:r>
      <w:r w:rsidR="00AB37CB" w:rsidRPr="00597FFB">
        <w:rPr>
          <w:rFonts w:ascii="Times New Roman" w:eastAsia="Calibri" w:hAnsi="Times New Roman" w:cs="Times New Roman"/>
          <w:bCs/>
          <w:iCs/>
          <w:color w:val="000000" w:themeColor="text1"/>
          <w:sz w:val="24"/>
          <w:szCs w:val="24"/>
        </w:rPr>
        <w:t xml:space="preserve">the </w:t>
      </w:r>
      <w:r w:rsidRPr="00597FFB">
        <w:rPr>
          <w:rFonts w:ascii="Times New Roman" w:eastAsia="Calibri" w:hAnsi="Times New Roman" w:cs="Times New Roman"/>
          <w:bCs/>
          <w:iCs/>
          <w:color w:val="000000" w:themeColor="text1"/>
          <w:sz w:val="24"/>
          <w:szCs w:val="24"/>
        </w:rPr>
        <w:t xml:space="preserve">EPR </w:t>
      </w:r>
      <w:r w:rsidRPr="00597FFB">
        <w:rPr>
          <w:rFonts w:ascii="Times New Roman" w:eastAsiaTheme="minorHAnsi" w:hAnsi="Times New Roman" w:cs="Times New Roman"/>
          <w:color w:val="000000" w:themeColor="text1"/>
          <w:sz w:val="24"/>
        </w:rPr>
        <w:t>(Wang, 2019)</w:t>
      </w:r>
      <w:r w:rsidRPr="00597FFB">
        <w:rPr>
          <w:rFonts w:ascii="Times New Roman" w:eastAsia="Calibri" w:hAnsi="Times New Roman" w:cs="Times New Roman"/>
          <w:bCs/>
          <w:iCs/>
          <w:color w:val="000000" w:themeColor="text1"/>
          <w:sz w:val="24"/>
          <w:szCs w:val="24"/>
        </w:rPr>
        <w:t xml:space="preserve">. For </w:t>
      </w:r>
      <w:r w:rsidR="00AB37CB" w:rsidRPr="00597FFB">
        <w:rPr>
          <w:rFonts w:ascii="Times New Roman" w:eastAsia="Calibri" w:hAnsi="Times New Roman" w:cs="Times New Roman"/>
          <w:bCs/>
          <w:iCs/>
          <w:color w:val="000000" w:themeColor="text1"/>
          <w:sz w:val="24"/>
          <w:szCs w:val="24"/>
        </w:rPr>
        <w:t>example</w:t>
      </w:r>
      <w:r w:rsidRPr="00597FFB">
        <w:rPr>
          <w:rFonts w:ascii="Times New Roman" w:eastAsia="Calibri" w:hAnsi="Times New Roman" w:cs="Times New Roman"/>
          <w:bCs/>
          <w:iCs/>
          <w:color w:val="000000" w:themeColor="text1"/>
          <w:sz w:val="24"/>
          <w:szCs w:val="24"/>
        </w:rPr>
        <w:t xml:space="preserve">, China </w:t>
      </w:r>
      <w:r w:rsidR="00AB37CB" w:rsidRPr="00597FFB">
        <w:rPr>
          <w:rFonts w:ascii="Times New Roman" w:eastAsia="Calibri" w:hAnsi="Times New Roman" w:cs="Times New Roman"/>
          <w:bCs/>
          <w:iCs/>
          <w:color w:val="000000" w:themeColor="text1"/>
          <w:sz w:val="24"/>
          <w:szCs w:val="24"/>
        </w:rPr>
        <w:t>developed some</w:t>
      </w:r>
      <w:r w:rsidRPr="00597FFB">
        <w:rPr>
          <w:rFonts w:ascii="Times New Roman" w:eastAsia="Calibri" w:hAnsi="Times New Roman" w:cs="Times New Roman"/>
          <w:bCs/>
          <w:iCs/>
          <w:color w:val="000000" w:themeColor="text1"/>
          <w:sz w:val="24"/>
          <w:szCs w:val="24"/>
        </w:rPr>
        <w:t xml:space="preserve"> laws </w:t>
      </w:r>
      <w:r w:rsidR="00AB37CB" w:rsidRPr="00597FFB">
        <w:rPr>
          <w:rFonts w:ascii="Times New Roman" w:eastAsia="Calibri" w:hAnsi="Times New Roman" w:cs="Times New Roman"/>
          <w:bCs/>
          <w:iCs/>
          <w:color w:val="000000" w:themeColor="text1"/>
          <w:sz w:val="24"/>
          <w:szCs w:val="24"/>
        </w:rPr>
        <w:t>about treatment of</w:t>
      </w:r>
      <w:r w:rsidRPr="00597FFB">
        <w:rPr>
          <w:rFonts w:ascii="Times New Roman" w:eastAsia="Calibri" w:hAnsi="Times New Roman" w:cs="Times New Roman"/>
          <w:bCs/>
          <w:iCs/>
          <w:color w:val="000000" w:themeColor="text1"/>
          <w:sz w:val="24"/>
          <w:szCs w:val="24"/>
        </w:rPr>
        <w:t xml:space="preserve"> e-waste from 1990 to 2009 that were ineffective before their enforcement in 2012. Under</w:t>
      </w:r>
      <w:r w:rsidR="00AB37CB" w:rsidRPr="00597FFB">
        <w:rPr>
          <w:rFonts w:ascii="Times New Roman" w:eastAsia="Calibri" w:hAnsi="Times New Roman" w:cs="Times New Roman"/>
          <w:bCs/>
          <w:iCs/>
          <w:color w:val="000000" w:themeColor="text1"/>
          <w:sz w:val="24"/>
          <w:szCs w:val="24"/>
        </w:rPr>
        <w:t xml:space="preserve"> the</w:t>
      </w:r>
      <w:r w:rsidRPr="00597FFB">
        <w:rPr>
          <w:rFonts w:ascii="Times New Roman" w:eastAsia="Calibri" w:hAnsi="Times New Roman" w:cs="Times New Roman"/>
          <w:bCs/>
          <w:iCs/>
          <w:color w:val="000000" w:themeColor="text1"/>
          <w:sz w:val="24"/>
          <w:szCs w:val="24"/>
        </w:rPr>
        <w:t xml:space="preserve"> EPR, the taxes </w:t>
      </w:r>
      <w:r w:rsidR="00AB37CB" w:rsidRPr="00597FFB">
        <w:rPr>
          <w:rFonts w:ascii="Times New Roman" w:eastAsia="Calibri" w:hAnsi="Times New Roman" w:cs="Times New Roman"/>
          <w:bCs/>
          <w:iCs/>
          <w:color w:val="000000" w:themeColor="text1"/>
          <w:sz w:val="24"/>
          <w:szCs w:val="24"/>
        </w:rPr>
        <w:t xml:space="preserve">collected </w:t>
      </w:r>
      <w:r w:rsidRPr="00597FFB">
        <w:rPr>
          <w:rFonts w:ascii="Times New Roman" w:eastAsia="Calibri" w:hAnsi="Times New Roman" w:cs="Times New Roman"/>
          <w:bCs/>
          <w:iCs/>
          <w:color w:val="000000" w:themeColor="text1"/>
          <w:sz w:val="24"/>
          <w:szCs w:val="24"/>
        </w:rPr>
        <w:t xml:space="preserve">from </w:t>
      </w:r>
      <w:r w:rsidR="00AB37CB" w:rsidRPr="00597FFB">
        <w:rPr>
          <w:rFonts w:ascii="Times New Roman" w:eastAsia="Calibri" w:hAnsi="Times New Roman" w:cs="Times New Roman"/>
          <w:bCs/>
          <w:iCs/>
          <w:color w:val="000000" w:themeColor="text1"/>
          <w:sz w:val="24"/>
          <w:szCs w:val="24"/>
        </w:rPr>
        <w:t xml:space="preserve">importers </w:t>
      </w:r>
      <w:r w:rsidRPr="00597FFB">
        <w:rPr>
          <w:rFonts w:ascii="Times New Roman" w:eastAsia="Calibri" w:hAnsi="Times New Roman" w:cs="Times New Roman"/>
          <w:bCs/>
          <w:iCs/>
          <w:color w:val="000000" w:themeColor="text1"/>
          <w:sz w:val="24"/>
          <w:szCs w:val="24"/>
        </w:rPr>
        <w:t xml:space="preserve">and </w:t>
      </w:r>
      <w:r w:rsidR="00AB37CB" w:rsidRPr="00597FFB">
        <w:rPr>
          <w:rFonts w:ascii="Times New Roman" w:eastAsia="Calibri" w:hAnsi="Times New Roman" w:cs="Times New Roman"/>
          <w:bCs/>
          <w:iCs/>
          <w:color w:val="000000" w:themeColor="text1"/>
          <w:sz w:val="24"/>
          <w:szCs w:val="24"/>
        </w:rPr>
        <w:t xml:space="preserve">producers </w:t>
      </w:r>
      <w:r w:rsidRPr="00597FFB">
        <w:rPr>
          <w:rFonts w:ascii="Times New Roman" w:eastAsia="Calibri" w:hAnsi="Times New Roman" w:cs="Times New Roman"/>
          <w:bCs/>
          <w:iCs/>
          <w:color w:val="000000" w:themeColor="text1"/>
          <w:sz w:val="24"/>
          <w:szCs w:val="24"/>
        </w:rPr>
        <w:t xml:space="preserve">subsidize recycling. Despite being implemented, </w:t>
      </w:r>
      <w:r w:rsidR="007541CC" w:rsidRPr="00597FFB">
        <w:rPr>
          <w:rFonts w:ascii="Times New Roman" w:eastAsia="Calibri" w:hAnsi="Times New Roman" w:cs="Times New Roman"/>
          <w:bCs/>
          <w:iCs/>
          <w:color w:val="000000" w:themeColor="text1"/>
          <w:sz w:val="24"/>
          <w:szCs w:val="24"/>
        </w:rPr>
        <w:t>huge</w:t>
      </w:r>
      <w:r w:rsidRPr="00597FFB">
        <w:rPr>
          <w:rFonts w:ascii="Times New Roman" w:eastAsia="Calibri" w:hAnsi="Times New Roman" w:cs="Times New Roman"/>
          <w:bCs/>
          <w:iCs/>
          <w:color w:val="000000" w:themeColor="text1"/>
          <w:sz w:val="24"/>
          <w:szCs w:val="24"/>
        </w:rPr>
        <w:t xml:space="preserve"> </w:t>
      </w:r>
      <w:r w:rsidR="007541CC" w:rsidRPr="00597FFB">
        <w:rPr>
          <w:rFonts w:ascii="Times New Roman" w:eastAsia="Calibri" w:hAnsi="Times New Roman" w:cs="Times New Roman"/>
          <w:bCs/>
          <w:iCs/>
          <w:color w:val="000000" w:themeColor="text1"/>
          <w:sz w:val="24"/>
          <w:szCs w:val="24"/>
        </w:rPr>
        <w:t xml:space="preserve">e-waste </w:t>
      </w:r>
      <w:r w:rsidRPr="00597FFB">
        <w:rPr>
          <w:rFonts w:ascii="Times New Roman" w:eastAsia="Calibri" w:hAnsi="Times New Roman" w:cs="Times New Roman"/>
          <w:bCs/>
          <w:iCs/>
          <w:color w:val="000000" w:themeColor="text1"/>
          <w:sz w:val="24"/>
          <w:szCs w:val="24"/>
        </w:rPr>
        <w:t xml:space="preserve">volumes continue to be treated informally and </w:t>
      </w:r>
      <w:r w:rsidR="007541CC" w:rsidRPr="00597FFB">
        <w:rPr>
          <w:rFonts w:ascii="Times New Roman" w:eastAsia="Calibri" w:hAnsi="Times New Roman" w:cs="Times New Roman"/>
          <w:bCs/>
          <w:iCs/>
          <w:color w:val="000000" w:themeColor="text1"/>
          <w:sz w:val="24"/>
          <w:szCs w:val="24"/>
        </w:rPr>
        <w:t>being</w:t>
      </w:r>
      <w:r w:rsidRPr="00597FFB">
        <w:rPr>
          <w:rFonts w:ascii="Times New Roman" w:eastAsia="Calibri" w:hAnsi="Times New Roman" w:cs="Times New Roman"/>
          <w:bCs/>
          <w:iCs/>
          <w:color w:val="000000" w:themeColor="text1"/>
          <w:sz w:val="24"/>
          <w:szCs w:val="24"/>
        </w:rPr>
        <w:t xml:space="preserve"> imported illegally </w:t>
      </w:r>
      <w:r w:rsidR="007541CC" w:rsidRPr="00597FFB">
        <w:rPr>
          <w:rFonts w:ascii="Times New Roman" w:eastAsia="Calibri" w:hAnsi="Times New Roman" w:cs="Times New Roman"/>
          <w:bCs/>
          <w:iCs/>
          <w:color w:val="000000" w:themeColor="text1"/>
          <w:sz w:val="24"/>
          <w:szCs w:val="24"/>
        </w:rPr>
        <w:t>because</w:t>
      </w:r>
      <w:r w:rsidRPr="00597FFB">
        <w:rPr>
          <w:rFonts w:ascii="Times New Roman" w:eastAsia="Calibri" w:hAnsi="Times New Roman" w:cs="Times New Roman"/>
          <w:bCs/>
          <w:iCs/>
          <w:color w:val="000000" w:themeColor="text1"/>
          <w:sz w:val="24"/>
          <w:szCs w:val="24"/>
        </w:rPr>
        <w:t xml:space="preserve"> government subsidies cannot be </w:t>
      </w:r>
      <w:r w:rsidR="007541CC" w:rsidRPr="00597FFB">
        <w:rPr>
          <w:rFonts w:ascii="Times New Roman" w:eastAsia="Calibri" w:hAnsi="Times New Roman" w:cs="Times New Roman"/>
          <w:bCs/>
          <w:iCs/>
          <w:color w:val="000000" w:themeColor="text1"/>
          <w:sz w:val="24"/>
          <w:szCs w:val="24"/>
        </w:rPr>
        <w:t>directed to formal</w:t>
      </w:r>
      <w:r w:rsidRPr="00597FFB">
        <w:rPr>
          <w:rFonts w:ascii="Times New Roman" w:eastAsia="Calibri" w:hAnsi="Times New Roman" w:cs="Times New Roman"/>
          <w:bCs/>
          <w:iCs/>
          <w:color w:val="000000" w:themeColor="text1"/>
          <w:sz w:val="24"/>
          <w:szCs w:val="24"/>
        </w:rPr>
        <w:t xml:space="preserve"> e-waste </w:t>
      </w:r>
      <w:r w:rsidR="007541CC" w:rsidRPr="00597FFB">
        <w:rPr>
          <w:rFonts w:ascii="Times New Roman" w:eastAsia="Calibri" w:hAnsi="Times New Roman" w:cs="Times New Roman"/>
          <w:bCs/>
          <w:iCs/>
          <w:color w:val="000000" w:themeColor="text1"/>
          <w:sz w:val="24"/>
          <w:szCs w:val="24"/>
        </w:rPr>
        <w:t>treatment</w:t>
      </w:r>
      <w:r w:rsidRPr="00597FFB">
        <w:rPr>
          <w:rFonts w:ascii="Times New Roman" w:eastAsia="Calibri" w:hAnsi="Times New Roman" w:cs="Times New Roman"/>
          <w:bCs/>
          <w:iCs/>
          <w:color w:val="000000" w:themeColor="text1"/>
          <w:sz w:val="24"/>
          <w:szCs w:val="24"/>
        </w:rPr>
        <w:t xml:space="preserve"> </w:t>
      </w:r>
      <w:r w:rsidRPr="00597FFB">
        <w:rPr>
          <w:rFonts w:ascii="Times New Roman" w:eastAsiaTheme="minorHAnsi" w:hAnsi="Times New Roman" w:cs="Times New Roman"/>
          <w:color w:val="000000" w:themeColor="text1"/>
          <w:sz w:val="24"/>
        </w:rPr>
        <w:t>(Cai et al., 2020)</w:t>
      </w:r>
      <w:r w:rsidRPr="00597FFB">
        <w:rPr>
          <w:rFonts w:ascii="Times New Roman" w:eastAsia="Calibri" w:hAnsi="Times New Roman" w:cs="Times New Roman"/>
          <w:bCs/>
          <w:iCs/>
          <w:color w:val="000000" w:themeColor="text1"/>
          <w:sz w:val="24"/>
          <w:szCs w:val="24"/>
        </w:rPr>
        <w:t>.</w:t>
      </w:r>
    </w:p>
    <w:p w14:paraId="4AA8DD9F" w14:textId="6C61381E"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Calibri" w:hAnsi="Times New Roman" w:cs="Times New Roman"/>
          <w:bCs/>
          <w:iCs/>
          <w:color w:val="000000" w:themeColor="text1"/>
          <w:sz w:val="24"/>
          <w:szCs w:val="24"/>
        </w:rPr>
        <w:t xml:space="preserve">However, China banned </w:t>
      </w:r>
      <w:r w:rsidR="00661FA3" w:rsidRPr="00597FFB">
        <w:rPr>
          <w:rFonts w:ascii="Times New Roman" w:eastAsia="Calibri" w:hAnsi="Times New Roman" w:cs="Times New Roman"/>
          <w:bCs/>
          <w:iCs/>
          <w:color w:val="000000" w:themeColor="text1"/>
          <w:sz w:val="24"/>
          <w:szCs w:val="24"/>
        </w:rPr>
        <w:t xml:space="preserve">solid waste </w:t>
      </w:r>
      <w:r w:rsidRPr="00597FFB">
        <w:rPr>
          <w:rFonts w:ascii="Times New Roman" w:eastAsia="Calibri" w:hAnsi="Times New Roman" w:cs="Times New Roman"/>
          <w:bCs/>
          <w:iCs/>
          <w:color w:val="000000" w:themeColor="text1"/>
          <w:sz w:val="24"/>
          <w:szCs w:val="24"/>
        </w:rPr>
        <w:t xml:space="preserve">imports from developed countries as a part of the “Prohibition of foreign garbage imports: The reform plan on solid waste import management” </w:t>
      </w:r>
      <w:r w:rsidR="00661FA3" w:rsidRPr="00597FFB">
        <w:rPr>
          <w:rFonts w:ascii="Times New Roman" w:eastAsia="Calibri" w:hAnsi="Times New Roman" w:cs="Times New Roman"/>
          <w:bCs/>
          <w:iCs/>
          <w:color w:val="000000" w:themeColor="text1"/>
          <w:sz w:val="24"/>
          <w:szCs w:val="24"/>
        </w:rPr>
        <w:t>in 2017</w:t>
      </w:r>
      <w:r w:rsidR="00661FA3" w:rsidRPr="00597FFB">
        <w:rPr>
          <w:rFonts w:ascii="Times New Roman" w:eastAsiaTheme="minorHAnsi" w:hAnsi="Times New Roman" w:cs="Times New Roman"/>
          <w:color w:val="000000" w:themeColor="text1"/>
          <w:sz w:val="24"/>
        </w:rPr>
        <w:t xml:space="preserve"> </w:t>
      </w:r>
      <w:r w:rsidRPr="00597FFB">
        <w:rPr>
          <w:rFonts w:ascii="Times New Roman" w:eastAsiaTheme="minorHAnsi" w:hAnsi="Times New Roman" w:cs="Times New Roman"/>
          <w:color w:val="000000" w:themeColor="text1"/>
          <w:sz w:val="24"/>
        </w:rPr>
        <w:t>(Tsai et al., 2021)</w:t>
      </w:r>
      <w:r w:rsidRPr="00597FFB">
        <w:rPr>
          <w:rFonts w:ascii="Times New Roman" w:eastAsia="Calibri" w:hAnsi="Times New Roman" w:cs="Times New Roman"/>
          <w:bCs/>
          <w:iCs/>
          <w:color w:val="000000" w:themeColor="text1"/>
          <w:sz w:val="24"/>
          <w:szCs w:val="24"/>
        </w:rPr>
        <w:t xml:space="preserve">. As a result, China has significantly reduced environmental damage in the short term and saved approximately 2.35 billion Euros in eco-costs </w:t>
      </w:r>
      <w:r w:rsidR="00BC355B" w:rsidRPr="00597FFB">
        <w:rPr>
          <w:rFonts w:ascii="Times New Roman" w:eastAsia="Calibri" w:hAnsi="Times New Roman" w:cs="Times New Roman"/>
          <w:bCs/>
          <w:iCs/>
          <w:color w:val="000000" w:themeColor="text1"/>
          <w:sz w:val="24"/>
          <w:szCs w:val="24"/>
        </w:rPr>
        <w:t>per year</w:t>
      </w:r>
      <w:r w:rsidRPr="00597FFB">
        <w:rPr>
          <w:rFonts w:ascii="Times New Roman" w:eastAsia="Calibri" w:hAnsi="Times New Roman" w:cs="Times New Roman"/>
          <w:bCs/>
          <w:iCs/>
          <w:color w:val="000000" w:themeColor="text1"/>
          <w:sz w:val="24"/>
          <w:szCs w:val="24"/>
        </w:rPr>
        <w:t xml:space="preserve">. However, other regions have received an </w:t>
      </w:r>
      <w:r w:rsidR="00BC355B" w:rsidRPr="00597FFB">
        <w:rPr>
          <w:rFonts w:ascii="Times New Roman" w:eastAsia="Calibri" w:hAnsi="Times New Roman" w:cs="Times New Roman"/>
          <w:bCs/>
          <w:iCs/>
          <w:color w:val="000000" w:themeColor="text1"/>
          <w:sz w:val="24"/>
          <w:szCs w:val="24"/>
        </w:rPr>
        <w:t xml:space="preserve">e-waste imports’ </w:t>
      </w:r>
      <w:r w:rsidRPr="00597FFB">
        <w:rPr>
          <w:rFonts w:ascii="Times New Roman" w:eastAsia="Calibri" w:hAnsi="Times New Roman" w:cs="Times New Roman"/>
          <w:bCs/>
          <w:iCs/>
          <w:color w:val="000000" w:themeColor="text1"/>
          <w:sz w:val="24"/>
          <w:szCs w:val="24"/>
        </w:rPr>
        <w:t xml:space="preserve">influx after China’s </w:t>
      </w:r>
      <w:r w:rsidR="00BC355B" w:rsidRPr="00597FFB">
        <w:rPr>
          <w:rFonts w:ascii="Times New Roman" w:eastAsia="Calibri" w:hAnsi="Times New Roman" w:cs="Times New Roman"/>
          <w:bCs/>
          <w:iCs/>
          <w:color w:val="000000" w:themeColor="text1"/>
          <w:sz w:val="24"/>
          <w:szCs w:val="24"/>
        </w:rPr>
        <w:t>prohibition</w:t>
      </w:r>
      <w:r w:rsidRPr="00597FFB">
        <w:rPr>
          <w:rFonts w:ascii="Times New Roman" w:eastAsia="Calibri" w:hAnsi="Times New Roman" w:cs="Times New Roman"/>
          <w:bCs/>
          <w:iCs/>
          <w:color w:val="000000" w:themeColor="text1"/>
          <w:sz w:val="24"/>
          <w:szCs w:val="24"/>
        </w:rPr>
        <w:t xml:space="preserve">. For example, Hong Kong has received more e-waste imports because it </w:t>
      </w:r>
      <w:r w:rsidR="00BC355B" w:rsidRPr="00597FFB">
        <w:rPr>
          <w:rFonts w:ascii="Times New Roman" w:eastAsia="Calibri" w:hAnsi="Times New Roman" w:cs="Times New Roman"/>
          <w:bCs/>
          <w:iCs/>
          <w:color w:val="000000" w:themeColor="text1"/>
          <w:sz w:val="24"/>
          <w:szCs w:val="24"/>
        </w:rPr>
        <w:t>failed to</w:t>
      </w:r>
      <w:r w:rsidRPr="00597FFB">
        <w:rPr>
          <w:rFonts w:ascii="Times New Roman" w:eastAsia="Calibri" w:hAnsi="Times New Roman" w:cs="Times New Roman"/>
          <w:bCs/>
          <w:iCs/>
          <w:color w:val="000000" w:themeColor="text1"/>
          <w:sz w:val="24"/>
          <w:szCs w:val="24"/>
        </w:rPr>
        <w:t xml:space="preserve"> implement the ban</w:t>
      </w:r>
      <w:r w:rsidR="00BC355B" w:rsidRPr="00597FFB">
        <w:rPr>
          <w:rFonts w:ascii="Times New Roman" w:eastAsia="Calibri" w:hAnsi="Times New Roman" w:cs="Times New Roman"/>
          <w:bCs/>
          <w:iCs/>
          <w:color w:val="000000" w:themeColor="text1"/>
          <w:sz w:val="24"/>
          <w:szCs w:val="24"/>
        </w:rPr>
        <w:t xml:space="preserve"> given its</w:t>
      </w:r>
      <w:r w:rsidRPr="00597FFB">
        <w:rPr>
          <w:rFonts w:ascii="Times New Roman" w:eastAsia="Calibri" w:hAnsi="Times New Roman" w:cs="Times New Roman"/>
          <w:bCs/>
          <w:iCs/>
          <w:color w:val="000000" w:themeColor="text1"/>
          <w:sz w:val="24"/>
          <w:szCs w:val="24"/>
        </w:rPr>
        <w:t xml:space="preserve"> </w:t>
      </w:r>
      <w:r w:rsidR="00BC355B" w:rsidRPr="00597FFB">
        <w:rPr>
          <w:rFonts w:ascii="Times New Roman" w:eastAsia="Calibri" w:hAnsi="Times New Roman" w:cs="Times New Roman"/>
          <w:bCs/>
          <w:iCs/>
          <w:color w:val="000000" w:themeColor="text1"/>
          <w:sz w:val="24"/>
          <w:szCs w:val="24"/>
        </w:rPr>
        <w:t>varying</w:t>
      </w:r>
      <w:r w:rsidRPr="00597FFB">
        <w:rPr>
          <w:rFonts w:ascii="Times New Roman" w:eastAsia="Calibri" w:hAnsi="Times New Roman" w:cs="Times New Roman"/>
          <w:bCs/>
          <w:iCs/>
          <w:color w:val="000000" w:themeColor="text1"/>
          <w:sz w:val="24"/>
          <w:szCs w:val="24"/>
        </w:rPr>
        <w:t xml:space="preserve"> policies on customs. This </w:t>
      </w:r>
      <w:r w:rsidR="00BC355B" w:rsidRPr="00597FFB">
        <w:rPr>
          <w:rFonts w:ascii="Times New Roman" w:eastAsia="Calibri" w:hAnsi="Times New Roman" w:cs="Times New Roman"/>
          <w:bCs/>
          <w:iCs/>
          <w:color w:val="000000" w:themeColor="text1"/>
          <w:sz w:val="24"/>
          <w:szCs w:val="24"/>
        </w:rPr>
        <w:t>could</w:t>
      </w:r>
      <w:r w:rsidRPr="00597FFB">
        <w:rPr>
          <w:rFonts w:ascii="Times New Roman" w:eastAsia="Calibri" w:hAnsi="Times New Roman" w:cs="Times New Roman"/>
          <w:bCs/>
          <w:iCs/>
          <w:color w:val="000000" w:themeColor="text1"/>
          <w:sz w:val="24"/>
          <w:szCs w:val="24"/>
        </w:rPr>
        <w:t xml:space="preserve"> also </w:t>
      </w:r>
      <w:r w:rsidR="00BC355B" w:rsidRPr="00597FFB">
        <w:rPr>
          <w:rFonts w:ascii="Times New Roman" w:eastAsia="Calibri" w:hAnsi="Times New Roman" w:cs="Times New Roman"/>
          <w:bCs/>
          <w:iCs/>
          <w:color w:val="000000" w:themeColor="text1"/>
          <w:sz w:val="24"/>
          <w:szCs w:val="24"/>
        </w:rPr>
        <w:t>imply</w:t>
      </w:r>
      <w:r w:rsidRPr="00597FFB">
        <w:rPr>
          <w:rFonts w:ascii="Times New Roman" w:eastAsia="Calibri" w:hAnsi="Times New Roman" w:cs="Times New Roman"/>
          <w:bCs/>
          <w:iCs/>
          <w:color w:val="000000" w:themeColor="text1"/>
          <w:sz w:val="24"/>
          <w:szCs w:val="24"/>
        </w:rPr>
        <w:t xml:space="preserve"> </w:t>
      </w:r>
      <w:r w:rsidR="00BC355B" w:rsidRPr="00597FFB">
        <w:rPr>
          <w:rFonts w:ascii="Times New Roman" w:eastAsia="Calibri" w:hAnsi="Times New Roman" w:cs="Times New Roman"/>
          <w:bCs/>
          <w:iCs/>
          <w:color w:val="000000" w:themeColor="text1"/>
          <w:sz w:val="24"/>
          <w:szCs w:val="24"/>
        </w:rPr>
        <w:t xml:space="preserve">diverting </w:t>
      </w:r>
      <w:r w:rsidRPr="00597FFB">
        <w:rPr>
          <w:rFonts w:ascii="Times New Roman" w:eastAsia="Calibri" w:hAnsi="Times New Roman" w:cs="Times New Roman"/>
          <w:bCs/>
          <w:iCs/>
          <w:color w:val="000000" w:themeColor="text1"/>
          <w:sz w:val="24"/>
          <w:szCs w:val="24"/>
        </w:rPr>
        <w:t>of waste to other developing</w:t>
      </w:r>
      <w:r w:rsidR="00BC355B" w:rsidRPr="00597FFB">
        <w:rPr>
          <w:rFonts w:ascii="Times New Roman" w:eastAsia="Calibri" w:hAnsi="Times New Roman" w:cs="Times New Roman"/>
          <w:bCs/>
          <w:iCs/>
          <w:color w:val="000000" w:themeColor="text1"/>
          <w:sz w:val="24"/>
          <w:szCs w:val="24"/>
        </w:rPr>
        <w:t xml:space="preserve"> African and Asian</w:t>
      </w:r>
      <w:r w:rsidRPr="00597FFB">
        <w:rPr>
          <w:rFonts w:ascii="Times New Roman" w:eastAsia="Calibri" w:hAnsi="Times New Roman" w:cs="Times New Roman"/>
          <w:bCs/>
          <w:iCs/>
          <w:color w:val="000000" w:themeColor="text1"/>
          <w:sz w:val="24"/>
          <w:szCs w:val="24"/>
        </w:rPr>
        <w:t xml:space="preserve"> countries that </w:t>
      </w:r>
      <w:r w:rsidR="00BC355B" w:rsidRPr="00597FFB">
        <w:rPr>
          <w:rFonts w:ascii="Times New Roman" w:eastAsia="Calibri" w:hAnsi="Times New Roman" w:cs="Times New Roman"/>
          <w:bCs/>
          <w:iCs/>
          <w:color w:val="000000" w:themeColor="text1"/>
          <w:sz w:val="24"/>
          <w:szCs w:val="24"/>
        </w:rPr>
        <w:t>have</w:t>
      </w:r>
      <w:r w:rsidRPr="00597FFB">
        <w:rPr>
          <w:rFonts w:ascii="Times New Roman" w:eastAsia="Calibri" w:hAnsi="Times New Roman" w:cs="Times New Roman"/>
          <w:bCs/>
          <w:iCs/>
          <w:color w:val="000000" w:themeColor="text1"/>
          <w:sz w:val="24"/>
          <w:szCs w:val="24"/>
        </w:rPr>
        <w:t xml:space="preserve"> yet </w:t>
      </w:r>
      <w:r w:rsidR="00BC355B" w:rsidRPr="00597FFB">
        <w:rPr>
          <w:rFonts w:ascii="Times New Roman" w:eastAsia="Calibri" w:hAnsi="Times New Roman" w:cs="Times New Roman"/>
          <w:bCs/>
          <w:iCs/>
          <w:color w:val="000000" w:themeColor="text1"/>
          <w:sz w:val="24"/>
          <w:szCs w:val="24"/>
        </w:rPr>
        <w:t xml:space="preserve">to </w:t>
      </w:r>
      <w:r w:rsidRPr="00597FFB">
        <w:rPr>
          <w:rFonts w:ascii="Times New Roman" w:eastAsia="Calibri" w:hAnsi="Times New Roman" w:cs="Times New Roman"/>
          <w:bCs/>
          <w:iCs/>
          <w:color w:val="000000" w:themeColor="text1"/>
          <w:sz w:val="24"/>
          <w:szCs w:val="24"/>
        </w:rPr>
        <w:t xml:space="preserve">implement </w:t>
      </w:r>
      <w:r w:rsidR="00BC355B" w:rsidRPr="00597FFB">
        <w:rPr>
          <w:rFonts w:ascii="Times New Roman" w:eastAsia="Calibri" w:hAnsi="Times New Roman" w:cs="Times New Roman"/>
          <w:bCs/>
          <w:iCs/>
          <w:color w:val="000000" w:themeColor="text1"/>
          <w:sz w:val="24"/>
          <w:szCs w:val="24"/>
        </w:rPr>
        <w:t>proper</w:t>
      </w:r>
      <w:r w:rsidRPr="00597FFB">
        <w:rPr>
          <w:rFonts w:ascii="Times New Roman" w:eastAsia="Calibri" w:hAnsi="Times New Roman" w:cs="Times New Roman"/>
          <w:bCs/>
          <w:iCs/>
          <w:color w:val="000000" w:themeColor="text1"/>
          <w:sz w:val="24"/>
          <w:szCs w:val="24"/>
        </w:rPr>
        <w:t xml:space="preserve"> regulation</w:t>
      </w:r>
      <w:r w:rsidR="00BC355B" w:rsidRPr="00597FFB">
        <w:rPr>
          <w:rFonts w:ascii="Times New Roman" w:eastAsia="Calibri" w:hAnsi="Times New Roman" w:cs="Times New Roman"/>
          <w:bCs/>
          <w:iCs/>
          <w:color w:val="000000" w:themeColor="text1"/>
          <w:sz w:val="24"/>
          <w:szCs w:val="24"/>
        </w:rPr>
        <w:t>s</w:t>
      </w:r>
      <w:r w:rsidRPr="00597FFB">
        <w:rPr>
          <w:rFonts w:ascii="Times New Roman" w:eastAsia="Calibri" w:hAnsi="Times New Roman" w:cs="Times New Roman"/>
          <w:bCs/>
          <w:iCs/>
          <w:color w:val="000000" w:themeColor="text1"/>
          <w:sz w:val="24"/>
          <w:szCs w:val="24"/>
        </w:rPr>
        <w:t xml:space="preserve"> on</w:t>
      </w:r>
      <w:r w:rsidR="00BC355B" w:rsidRPr="00597FFB">
        <w:rPr>
          <w:rFonts w:ascii="Times New Roman" w:eastAsia="Calibri" w:hAnsi="Times New Roman" w:cs="Times New Roman"/>
          <w:bCs/>
          <w:iCs/>
          <w:color w:val="000000" w:themeColor="text1"/>
          <w:sz w:val="24"/>
          <w:szCs w:val="24"/>
        </w:rPr>
        <w:t xml:space="preserve"> importation of</w:t>
      </w:r>
      <w:r w:rsidRPr="00597FFB">
        <w:rPr>
          <w:rFonts w:ascii="Times New Roman" w:eastAsia="Calibri" w:hAnsi="Times New Roman" w:cs="Times New Roman"/>
          <w:bCs/>
          <w:iCs/>
          <w:color w:val="000000" w:themeColor="text1"/>
          <w:sz w:val="24"/>
          <w:szCs w:val="24"/>
        </w:rPr>
        <w:t xml:space="preserve"> waste </w:t>
      </w:r>
      <w:r w:rsidRPr="00597FFB">
        <w:rPr>
          <w:rFonts w:ascii="Times New Roman" w:eastAsiaTheme="minorHAnsi" w:hAnsi="Times New Roman" w:cs="Times New Roman"/>
          <w:color w:val="000000" w:themeColor="text1"/>
          <w:sz w:val="24"/>
        </w:rPr>
        <w:t>(Xu et al., 2020)</w:t>
      </w:r>
      <w:r w:rsidRPr="00597FFB">
        <w:rPr>
          <w:rFonts w:ascii="Times New Roman" w:eastAsia="Calibri" w:hAnsi="Times New Roman" w:cs="Times New Roman"/>
          <w:bCs/>
          <w:iCs/>
          <w:color w:val="000000" w:themeColor="text1"/>
          <w:sz w:val="24"/>
          <w:szCs w:val="24"/>
        </w:rPr>
        <w:t>.</w:t>
      </w:r>
    </w:p>
    <w:p w14:paraId="4B4AEFDB" w14:textId="604B2116" w:rsidR="0003140E" w:rsidRPr="00597FFB" w:rsidRDefault="00CA06A0" w:rsidP="00A558FE">
      <w:pPr>
        <w:spacing w:line="480" w:lineRule="auto"/>
        <w:ind w:firstLine="720"/>
        <w:jc w:val="both"/>
        <w:rPr>
          <w:rFonts w:ascii="Times New Roman" w:eastAsia="Calibri" w:hAnsi="Times New Roman" w:cs="Times New Roman"/>
          <w:bCs/>
          <w:iCs/>
          <w:color w:val="000000" w:themeColor="text1"/>
          <w:sz w:val="24"/>
          <w:szCs w:val="24"/>
        </w:rPr>
      </w:pPr>
      <w:r w:rsidRPr="00597FFB">
        <w:rPr>
          <w:rFonts w:ascii="Times New Roman" w:eastAsia="Calibri" w:hAnsi="Times New Roman" w:cs="Times New Roman"/>
          <w:bCs/>
          <w:iCs/>
          <w:color w:val="000000" w:themeColor="text1"/>
          <w:sz w:val="24"/>
          <w:szCs w:val="24"/>
        </w:rPr>
        <w:t>The same applies to</w:t>
      </w:r>
      <w:bookmarkStart w:id="101" w:name="_Hlk73884442"/>
      <w:r w:rsidR="0003140E" w:rsidRPr="00597FFB">
        <w:rPr>
          <w:rFonts w:ascii="Times New Roman" w:eastAsia="Calibri" w:hAnsi="Times New Roman" w:cs="Times New Roman"/>
          <w:bCs/>
          <w:iCs/>
          <w:color w:val="000000" w:themeColor="text1"/>
          <w:sz w:val="24"/>
          <w:szCs w:val="24"/>
        </w:rPr>
        <w:t xml:space="preserve"> India</w:t>
      </w:r>
      <w:r w:rsidRPr="00597FFB">
        <w:rPr>
          <w:rFonts w:ascii="Times New Roman" w:eastAsia="Calibri" w:hAnsi="Times New Roman" w:cs="Times New Roman"/>
          <w:bCs/>
          <w:iCs/>
          <w:color w:val="000000" w:themeColor="text1"/>
          <w:sz w:val="24"/>
          <w:szCs w:val="24"/>
        </w:rPr>
        <w:t xml:space="preserve"> where</w:t>
      </w:r>
      <w:r w:rsidR="0003140E" w:rsidRPr="00597FFB">
        <w:rPr>
          <w:rFonts w:ascii="Times New Roman" w:eastAsia="Calibri" w:hAnsi="Times New Roman" w:cs="Times New Roman"/>
          <w:bCs/>
          <w:iCs/>
          <w:color w:val="000000" w:themeColor="text1"/>
          <w:sz w:val="24"/>
          <w:szCs w:val="24"/>
        </w:rPr>
        <w:t xml:space="preserve"> the Ministry of the Environment and Forests (MoEF) issued draft rules </w:t>
      </w:r>
      <w:r w:rsidRPr="00597FFB">
        <w:rPr>
          <w:rFonts w:ascii="Times New Roman" w:eastAsia="Calibri" w:hAnsi="Times New Roman" w:cs="Times New Roman"/>
          <w:bCs/>
          <w:iCs/>
          <w:color w:val="000000" w:themeColor="text1"/>
          <w:sz w:val="24"/>
          <w:szCs w:val="24"/>
        </w:rPr>
        <w:t xml:space="preserve">on EWM </w:t>
      </w:r>
      <w:r w:rsidR="0003140E" w:rsidRPr="00597FFB">
        <w:rPr>
          <w:rFonts w:ascii="Times New Roman" w:eastAsia="Calibri" w:hAnsi="Times New Roman" w:cs="Times New Roman"/>
          <w:bCs/>
          <w:iCs/>
          <w:color w:val="000000" w:themeColor="text1"/>
          <w:sz w:val="24"/>
          <w:szCs w:val="24"/>
        </w:rPr>
        <w:t xml:space="preserve">in 2010. In the draft, the </w:t>
      </w:r>
      <w:r w:rsidRPr="00597FFB">
        <w:rPr>
          <w:rFonts w:ascii="Times New Roman" w:eastAsia="Calibri" w:hAnsi="Times New Roman" w:cs="Times New Roman"/>
          <w:bCs/>
          <w:iCs/>
          <w:color w:val="000000" w:themeColor="text1"/>
          <w:sz w:val="24"/>
          <w:szCs w:val="24"/>
        </w:rPr>
        <w:t xml:space="preserve">producers’ </w:t>
      </w:r>
      <w:r w:rsidR="0003140E" w:rsidRPr="00597FFB">
        <w:rPr>
          <w:rFonts w:ascii="Times New Roman" w:eastAsia="Calibri" w:hAnsi="Times New Roman" w:cs="Times New Roman"/>
          <w:bCs/>
          <w:iCs/>
          <w:color w:val="000000" w:themeColor="text1"/>
          <w:sz w:val="24"/>
          <w:szCs w:val="24"/>
        </w:rPr>
        <w:t xml:space="preserve">responsibilities of collect and dispose of e-waste </w:t>
      </w:r>
      <w:r w:rsidRPr="00597FFB">
        <w:rPr>
          <w:rFonts w:ascii="Times New Roman" w:eastAsia="Calibri" w:hAnsi="Times New Roman" w:cs="Times New Roman"/>
          <w:bCs/>
          <w:iCs/>
          <w:color w:val="000000" w:themeColor="text1"/>
          <w:sz w:val="24"/>
          <w:szCs w:val="24"/>
        </w:rPr>
        <w:t xml:space="preserve">properly </w:t>
      </w:r>
      <w:r w:rsidR="0003140E" w:rsidRPr="00597FFB">
        <w:rPr>
          <w:rFonts w:ascii="Times New Roman" w:eastAsia="Calibri" w:hAnsi="Times New Roman" w:cs="Times New Roman"/>
          <w:bCs/>
          <w:iCs/>
          <w:color w:val="000000" w:themeColor="text1"/>
          <w:sz w:val="24"/>
          <w:szCs w:val="24"/>
        </w:rPr>
        <w:t xml:space="preserve">as </w:t>
      </w:r>
      <w:r w:rsidRPr="00597FFB">
        <w:rPr>
          <w:rFonts w:ascii="Times New Roman" w:eastAsia="Calibri" w:hAnsi="Times New Roman" w:cs="Times New Roman"/>
          <w:bCs/>
          <w:iCs/>
          <w:color w:val="000000" w:themeColor="text1"/>
          <w:sz w:val="24"/>
          <w:szCs w:val="24"/>
        </w:rPr>
        <w:t>is the case in</w:t>
      </w:r>
      <w:r w:rsidR="0003140E" w:rsidRPr="00597FFB">
        <w:rPr>
          <w:rFonts w:ascii="Times New Roman" w:eastAsia="Calibri" w:hAnsi="Times New Roman" w:cs="Times New Roman"/>
          <w:bCs/>
          <w:iCs/>
          <w:color w:val="000000" w:themeColor="text1"/>
          <w:sz w:val="24"/>
          <w:szCs w:val="24"/>
        </w:rPr>
        <w:t xml:space="preserve"> the EU EPR directive were outlined. However, </w:t>
      </w:r>
      <w:r w:rsidRPr="00597FFB">
        <w:rPr>
          <w:rFonts w:ascii="Times New Roman" w:eastAsia="Calibri" w:hAnsi="Times New Roman" w:cs="Times New Roman"/>
          <w:bCs/>
          <w:iCs/>
          <w:color w:val="000000" w:themeColor="text1"/>
          <w:sz w:val="24"/>
          <w:szCs w:val="24"/>
        </w:rPr>
        <w:t xml:space="preserve">delays on </w:t>
      </w:r>
      <w:r w:rsidR="0003140E" w:rsidRPr="00597FFB">
        <w:rPr>
          <w:rFonts w:ascii="Times New Roman" w:eastAsia="Calibri" w:hAnsi="Times New Roman" w:cs="Times New Roman"/>
          <w:bCs/>
          <w:iCs/>
          <w:color w:val="000000" w:themeColor="text1"/>
          <w:sz w:val="24"/>
          <w:szCs w:val="24"/>
        </w:rPr>
        <w:t>administ</w:t>
      </w:r>
      <w:r w:rsidRPr="00597FFB">
        <w:rPr>
          <w:rFonts w:ascii="Times New Roman" w:eastAsia="Calibri" w:hAnsi="Times New Roman" w:cs="Times New Roman"/>
          <w:bCs/>
          <w:iCs/>
          <w:color w:val="000000" w:themeColor="text1"/>
          <w:sz w:val="24"/>
          <w:szCs w:val="24"/>
        </w:rPr>
        <w:t>ering the regulations coupled with</w:t>
      </w:r>
      <w:r w:rsidR="0003140E" w:rsidRPr="00597FFB">
        <w:rPr>
          <w:rFonts w:ascii="Times New Roman" w:eastAsia="Calibri" w:hAnsi="Times New Roman" w:cs="Times New Roman"/>
          <w:bCs/>
          <w:iCs/>
          <w:color w:val="000000" w:themeColor="text1"/>
          <w:sz w:val="24"/>
          <w:szCs w:val="24"/>
        </w:rPr>
        <w:t xml:space="preserve"> and </w:t>
      </w:r>
      <w:r w:rsidRPr="00597FFB">
        <w:rPr>
          <w:rFonts w:ascii="Times New Roman" w:eastAsia="Calibri" w:hAnsi="Times New Roman" w:cs="Times New Roman"/>
          <w:bCs/>
          <w:iCs/>
          <w:color w:val="000000" w:themeColor="text1"/>
          <w:sz w:val="24"/>
          <w:szCs w:val="24"/>
        </w:rPr>
        <w:t xml:space="preserve">poor </w:t>
      </w:r>
      <w:r w:rsidR="0003140E" w:rsidRPr="00597FFB">
        <w:rPr>
          <w:rFonts w:ascii="Times New Roman" w:eastAsia="Calibri" w:hAnsi="Times New Roman" w:cs="Times New Roman"/>
          <w:bCs/>
          <w:iCs/>
          <w:color w:val="000000" w:themeColor="text1"/>
          <w:sz w:val="24"/>
          <w:szCs w:val="24"/>
        </w:rPr>
        <w:t xml:space="preserve">enforcement remain the </w:t>
      </w:r>
      <w:r w:rsidRPr="00597FFB">
        <w:rPr>
          <w:rFonts w:ascii="Times New Roman" w:eastAsia="Calibri" w:hAnsi="Times New Roman" w:cs="Times New Roman"/>
          <w:bCs/>
          <w:iCs/>
          <w:color w:val="000000" w:themeColor="text1"/>
          <w:sz w:val="24"/>
          <w:szCs w:val="24"/>
        </w:rPr>
        <w:t>principal challenges</w:t>
      </w:r>
      <w:r w:rsidR="0003140E" w:rsidRPr="00597FFB">
        <w:rPr>
          <w:rFonts w:ascii="Times New Roman" w:eastAsia="Calibri" w:hAnsi="Times New Roman" w:cs="Times New Roman"/>
          <w:bCs/>
          <w:iCs/>
          <w:color w:val="000000" w:themeColor="text1"/>
          <w:sz w:val="24"/>
          <w:szCs w:val="24"/>
        </w:rPr>
        <w:t xml:space="preserve"> </w:t>
      </w:r>
      <w:r w:rsidR="0003140E" w:rsidRPr="00597FFB">
        <w:rPr>
          <w:rFonts w:ascii="Times New Roman" w:eastAsiaTheme="minorHAnsi" w:hAnsi="Times New Roman" w:cs="Times New Roman"/>
          <w:color w:val="000000" w:themeColor="text1"/>
          <w:sz w:val="24"/>
        </w:rPr>
        <w:t>(Borthakur &amp; Govind, 2018)</w:t>
      </w:r>
      <w:r w:rsidR="0003140E" w:rsidRPr="00597FFB">
        <w:rPr>
          <w:rFonts w:ascii="Times New Roman" w:eastAsia="Calibri" w:hAnsi="Times New Roman" w:cs="Times New Roman"/>
          <w:bCs/>
          <w:iCs/>
          <w:color w:val="000000" w:themeColor="text1"/>
          <w:sz w:val="24"/>
          <w:szCs w:val="24"/>
        </w:rPr>
        <w:t xml:space="preserve">. </w:t>
      </w:r>
      <w:r w:rsidR="0003140E" w:rsidRPr="00597FFB">
        <w:rPr>
          <w:rFonts w:ascii="Times New Roman" w:eastAsiaTheme="minorHAnsi" w:hAnsi="Times New Roman" w:cs="Times New Roman"/>
          <w:color w:val="000000" w:themeColor="text1"/>
          <w:sz w:val="24"/>
        </w:rPr>
        <w:t>Kumar (2019)</w:t>
      </w:r>
      <w:r w:rsidR="0003140E" w:rsidRPr="00597FFB">
        <w:rPr>
          <w:rFonts w:ascii="Times New Roman" w:eastAsia="Calibri" w:hAnsi="Times New Roman" w:cs="Times New Roman"/>
          <w:bCs/>
          <w:iCs/>
          <w:color w:val="000000" w:themeColor="text1"/>
          <w:sz w:val="24"/>
          <w:szCs w:val="24"/>
        </w:rPr>
        <w:t xml:space="preserve"> </w:t>
      </w:r>
      <w:r w:rsidR="007D2784" w:rsidRPr="00597FFB">
        <w:rPr>
          <w:rFonts w:ascii="Times New Roman" w:eastAsia="Calibri" w:hAnsi="Times New Roman" w:cs="Times New Roman"/>
          <w:bCs/>
          <w:iCs/>
          <w:color w:val="000000" w:themeColor="text1"/>
          <w:sz w:val="24"/>
          <w:szCs w:val="24"/>
        </w:rPr>
        <w:t>highlighted</w:t>
      </w:r>
      <w:r w:rsidR="0003140E" w:rsidRPr="00597FFB">
        <w:rPr>
          <w:rFonts w:ascii="Times New Roman" w:eastAsia="Calibri" w:hAnsi="Times New Roman" w:cs="Times New Roman"/>
          <w:bCs/>
          <w:iCs/>
          <w:color w:val="000000" w:themeColor="text1"/>
          <w:sz w:val="24"/>
          <w:szCs w:val="24"/>
        </w:rPr>
        <w:t xml:space="preserve"> three major </w:t>
      </w:r>
      <w:r w:rsidR="007D2784" w:rsidRPr="00597FFB">
        <w:rPr>
          <w:rFonts w:ascii="Times New Roman" w:eastAsia="Calibri" w:hAnsi="Times New Roman" w:cs="Times New Roman"/>
          <w:bCs/>
          <w:iCs/>
          <w:color w:val="000000" w:themeColor="text1"/>
          <w:sz w:val="24"/>
          <w:szCs w:val="24"/>
        </w:rPr>
        <w:t>components for</w:t>
      </w:r>
      <w:r w:rsidR="0003140E" w:rsidRPr="00597FFB">
        <w:rPr>
          <w:rFonts w:ascii="Times New Roman" w:eastAsia="Calibri" w:hAnsi="Times New Roman" w:cs="Times New Roman"/>
          <w:bCs/>
          <w:iCs/>
          <w:color w:val="000000" w:themeColor="text1"/>
          <w:sz w:val="24"/>
          <w:szCs w:val="24"/>
        </w:rPr>
        <w:t xml:space="preserve"> successful </w:t>
      </w:r>
      <w:r w:rsidR="007D2784" w:rsidRPr="00597FFB">
        <w:rPr>
          <w:rFonts w:ascii="Times New Roman" w:eastAsia="Calibri" w:hAnsi="Times New Roman" w:cs="Times New Roman"/>
          <w:bCs/>
          <w:iCs/>
          <w:color w:val="000000" w:themeColor="text1"/>
          <w:sz w:val="24"/>
          <w:szCs w:val="24"/>
        </w:rPr>
        <w:t xml:space="preserve">EPR program </w:t>
      </w:r>
      <w:r w:rsidR="0003140E" w:rsidRPr="00597FFB">
        <w:rPr>
          <w:rFonts w:ascii="Times New Roman" w:eastAsia="Calibri" w:hAnsi="Times New Roman" w:cs="Times New Roman"/>
          <w:bCs/>
          <w:iCs/>
          <w:color w:val="000000" w:themeColor="text1"/>
          <w:sz w:val="24"/>
          <w:szCs w:val="24"/>
        </w:rPr>
        <w:t xml:space="preserve">implementation. </w:t>
      </w:r>
      <w:r w:rsidR="007D2784" w:rsidRPr="00597FFB">
        <w:rPr>
          <w:rFonts w:ascii="Times New Roman" w:eastAsia="Calibri" w:hAnsi="Times New Roman" w:cs="Times New Roman"/>
          <w:bCs/>
          <w:iCs/>
          <w:color w:val="000000" w:themeColor="text1"/>
          <w:sz w:val="24"/>
          <w:szCs w:val="24"/>
        </w:rPr>
        <w:t>Firstly, is</w:t>
      </w:r>
      <w:r w:rsidR="0003140E" w:rsidRPr="00597FFB">
        <w:rPr>
          <w:rFonts w:ascii="Times New Roman" w:eastAsia="Calibri" w:hAnsi="Times New Roman" w:cs="Times New Roman"/>
          <w:bCs/>
          <w:iCs/>
          <w:color w:val="000000" w:themeColor="text1"/>
          <w:sz w:val="24"/>
          <w:szCs w:val="24"/>
        </w:rPr>
        <w:t xml:space="preserve"> the need </w:t>
      </w:r>
      <w:r w:rsidR="00B465E9" w:rsidRPr="00597FFB">
        <w:rPr>
          <w:rFonts w:ascii="Times New Roman" w:eastAsia="Calibri" w:hAnsi="Times New Roman" w:cs="Times New Roman"/>
          <w:bCs/>
          <w:iCs/>
          <w:color w:val="000000" w:themeColor="text1"/>
          <w:sz w:val="24"/>
          <w:szCs w:val="24"/>
        </w:rPr>
        <w:t>to control and institute downstream activities that are</w:t>
      </w:r>
      <w:r w:rsidR="0003140E" w:rsidRPr="00597FFB">
        <w:rPr>
          <w:rFonts w:ascii="Times New Roman" w:eastAsia="Calibri" w:hAnsi="Times New Roman" w:cs="Times New Roman"/>
          <w:bCs/>
          <w:iCs/>
          <w:color w:val="000000" w:themeColor="text1"/>
          <w:sz w:val="24"/>
          <w:szCs w:val="24"/>
        </w:rPr>
        <w:t xml:space="preserve"> environmentally sound. The second is the need </w:t>
      </w:r>
      <w:r w:rsidR="00B465E9" w:rsidRPr="00597FFB">
        <w:rPr>
          <w:rFonts w:ascii="Times New Roman" w:eastAsia="Calibri" w:hAnsi="Times New Roman" w:cs="Times New Roman"/>
          <w:bCs/>
          <w:iCs/>
          <w:color w:val="000000" w:themeColor="text1"/>
          <w:sz w:val="24"/>
          <w:szCs w:val="24"/>
        </w:rPr>
        <w:t>to track the way that resources</w:t>
      </w:r>
      <w:r w:rsidR="0003140E" w:rsidRPr="00597FFB">
        <w:rPr>
          <w:rFonts w:ascii="Times New Roman" w:eastAsia="Calibri" w:hAnsi="Times New Roman" w:cs="Times New Roman"/>
          <w:bCs/>
          <w:iCs/>
          <w:color w:val="000000" w:themeColor="text1"/>
          <w:sz w:val="24"/>
          <w:szCs w:val="24"/>
        </w:rPr>
        <w:t xml:space="preserve"> </w:t>
      </w:r>
      <w:r w:rsidR="00B465E9" w:rsidRPr="00597FFB">
        <w:rPr>
          <w:rFonts w:ascii="Times New Roman" w:eastAsia="Calibri" w:hAnsi="Times New Roman" w:cs="Times New Roman"/>
          <w:bCs/>
          <w:iCs/>
          <w:color w:val="000000" w:themeColor="text1"/>
          <w:sz w:val="24"/>
          <w:szCs w:val="24"/>
        </w:rPr>
        <w:t xml:space="preserve">from trackable producers </w:t>
      </w:r>
      <w:r w:rsidR="0003140E" w:rsidRPr="00597FFB">
        <w:rPr>
          <w:rFonts w:ascii="Times New Roman" w:eastAsia="Calibri" w:hAnsi="Times New Roman" w:cs="Times New Roman"/>
          <w:bCs/>
          <w:iCs/>
          <w:color w:val="000000" w:themeColor="text1"/>
          <w:sz w:val="24"/>
          <w:szCs w:val="24"/>
        </w:rPr>
        <w:t xml:space="preserve">flow to downstream markets whereby the </w:t>
      </w:r>
      <w:r w:rsidR="00B465E9" w:rsidRPr="00597FFB">
        <w:rPr>
          <w:rFonts w:ascii="Times New Roman" w:eastAsia="Calibri" w:hAnsi="Times New Roman" w:cs="Times New Roman"/>
          <w:bCs/>
          <w:iCs/>
          <w:color w:val="000000" w:themeColor="text1"/>
          <w:sz w:val="24"/>
          <w:szCs w:val="24"/>
        </w:rPr>
        <w:t>repercussions resulting from</w:t>
      </w:r>
      <w:r w:rsidR="0003140E" w:rsidRPr="00597FFB">
        <w:rPr>
          <w:rFonts w:ascii="Times New Roman" w:eastAsia="Calibri" w:hAnsi="Times New Roman" w:cs="Times New Roman"/>
          <w:bCs/>
          <w:iCs/>
          <w:color w:val="000000" w:themeColor="text1"/>
          <w:sz w:val="24"/>
          <w:szCs w:val="24"/>
        </w:rPr>
        <w:t xml:space="preserve"> downstream activities </w:t>
      </w:r>
      <w:r w:rsidR="00B465E9" w:rsidRPr="00597FFB">
        <w:rPr>
          <w:rFonts w:ascii="Times New Roman" w:eastAsia="Calibri" w:hAnsi="Times New Roman" w:cs="Times New Roman"/>
          <w:bCs/>
          <w:iCs/>
          <w:color w:val="000000" w:themeColor="text1"/>
          <w:sz w:val="24"/>
          <w:szCs w:val="24"/>
        </w:rPr>
        <w:t>can be traced back to producers</w:t>
      </w:r>
      <w:r w:rsidR="0003140E" w:rsidRPr="00597FFB">
        <w:rPr>
          <w:rFonts w:ascii="Times New Roman" w:eastAsia="Calibri" w:hAnsi="Times New Roman" w:cs="Times New Roman"/>
          <w:bCs/>
          <w:iCs/>
          <w:color w:val="000000" w:themeColor="text1"/>
          <w:sz w:val="24"/>
          <w:szCs w:val="24"/>
        </w:rPr>
        <w:t xml:space="preserve">. Lastly, </w:t>
      </w:r>
      <w:r w:rsidR="00B465E9" w:rsidRPr="00597FFB">
        <w:rPr>
          <w:rFonts w:ascii="Times New Roman" w:eastAsia="Calibri" w:hAnsi="Times New Roman" w:cs="Times New Roman"/>
          <w:bCs/>
          <w:iCs/>
          <w:color w:val="000000" w:themeColor="text1"/>
          <w:sz w:val="24"/>
          <w:szCs w:val="24"/>
        </w:rPr>
        <w:t xml:space="preserve">monitoring </w:t>
      </w:r>
      <w:r w:rsidR="0003140E" w:rsidRPr="00597FFB">
        <w:rPr>
          <w:rFonts w:ascii="Times New Roman" w:eastAsia="Calibri" w:hAnsi="Times New Roman" w:cs="Times New Roman"/>
          <w:bCs/>
          <w:iCs/>
          <w:color w:val="000000" w:themeColor="text1"/>
          <w:sz w:val="24"/>
          <w:szCs w:val="24"/>
        </w:rPr>
        <w:t xml:space="preserve">and </w:t>
      </w:r>
      <w:r w:rsidR="00B465E9" w:rsidRPr="00597FFB">
        <w:rPr>
          <w:rFonts w:ascii="Times New Roman" w:eastAsia="Calibri" w:hAnsi="Times New Roman" w:cs="Times New Roman"/>
          <w:bCs/>
          <w:iCs/>
          <w:color w:val="000000" w:themeColor="text1"/>
          <w:sz w:val="24"/>
          <w:szCs w:val="24"/>
        </w:rPr>
        <w:t xml:space="preserve">reporting </w:t>
      </w:r>
      <w:r w:rsidR="0003140E" w:rsidRPr="00597FFB">
        <w:rPr>
          <w:rFonts w:ascii="Times New Roman" w:eastAsia="Calibri" w:hAnsi="Times New Roman" w:cs="Times New Roman"/>
          <w:bCs/>
          <w:iCs/>
          <w:color w:val="000000" w:themeColor="text1"/>
          <w:sz w:val="24"/>
          <w:szCs w:val="24"/>
        </w:rPr>
        <w:t xml:space="preserve">mechanisms of the first two elements are necessary to make the </w:t>
      </w:r>
      <w:r w:rsidR="00B465E9" w:rsidRPr="00597FFB">
        <w:rPr>
          <w:rFonts w:ascii="Times New Roman" w:eastAsia="Calibri" w:hAnsi="Times New Roman" w:cs="Times New Roman"/>
          <w:bCs/>
          <w:iCs/>
          <w:color w:val="000000" w:themeColor="text1"/>
          <w:sz w:val="24"/>
          <w:szCs w:val="24"/>
        </w:rPr>
        <w:t xml:space="preserve">EPR </w:t>
      </w:r>
      <w:r w:rsidR="0003140E" w:rsidRPr="00597FFB">
        <w:rPr>
          <w:rFonts w:ascii="Times New Roman" w:eastAsia="Calibri" w:hAnsi="Times New Roman" w:cs="Times New Roman"/>
          <w:bCs/>
          <w:iCs/>
          <w:color w:val="000000" w:themeColor="text1"/>
          <w:sz w:val="24"/>
          <w:szCs w:val="24"/>
        </w:rPr>
        <w:t xml:space="preserve">implementation successful. </w:t>
      </w:r>
      <w:r w:rsidR="00990A2D" w:rsidRPr="00597FFB">
        <w:rPr>
          <w:rFonts w:ascii="Times New Roman" w:eastAsia="Calibri" w:hAnsi="Times New Roman" w:cs="Times New Roman"/>
          <w:bCs/>
          <w:iCs/>
          <w:color w:val="000000" w:themeColor="text1"/>
          <w:sz w:val="24"/>
          <w:szCs w:val="24"/>
        </w:rPr>
        <w:t>Drawing from</w:t>
      </w:r>
      <w:r w:rsidR="0003140E" w:rsidRPr="00597FFB">
        <w:rPr>
          <w:rFonts w:ascii="Times New Roman" w:eastAsia="Calibri" w:hAnsi="Times New Roman" w:cs="Times New Roman"/>
          <w:bCs/>
          <w:iCs/>
          <w:color w:val="000000" w:themeColor="text1"/>
          <w:sz w:val="24"/>
          <w:szCs w:val="24"/>
        </w:rPr>
        <w:t xml:space="preserve"> these three elements, in</w:t>
      </w:r>
      <w:r w:rsidR="00990A2D" w:rsidRPr="00597FFB">
        <w:rPr>
          <w:rFonts w:ascii="Times New Roman" w:eastAsia="Calibri" w:hAnsi="Times New Roman" w:cs="Times New Roman"/>
          <w:bCs/>
          <w:iCs/>
          <w:color w:val="000000" w:themeColor="text1"/>
          <w:sz w:val="24"/>
          <w:szCs w:val="24"/>
        </w:rPr>
        <w:t xml:space="preserve"> the</w:t>
      </w:r>
      <w:r w:rsidR="0003140E" w:rsidRPr="00597FFB">
        <w:rPr>
          <w:rFonts w:ascii="Times New Roman" w:eastAsia="Calibri" w:hAnsi="Times New Roman" w:cs="Times New Roman"/>
          <w:bCs/>
          <w:iCs/>
          <w:color w:val="000000" w:themeColor="text1"/>
          <w:sz w:val="24"/>
          <w:szCs w:val="24"/>
        </w:rPr>
        <w:t xml:space="preserve"> India</w:t>
      </w:r>
      <w:r w:rsidR="00990A2D" w:rsidRPr="00597FFB">
        <w:rPr>
          <w:rFonts w:ascii="Times New Roman" w:eastAsia="Calibri" w:hAnsi="Times New Roman" w:cs="Times New Roman"/>
          <w:bCs/>
          <w:iCs/>
          <w:color w:val="000000" w:themeColor="text1"/>
          <w:sz w:val="24"/>
          <w:szCs w:val="24"/>
        </w:rPr>
        <w:t>n context</w:t>
      </w:r>
      <w:r w:rsidR="0003140E" w:rsidRPr="00597FFB">
        <w:rPr>
          <w:rFonts w:ascii="Times New Roman" w:eastAsia="Calibri" w:hAnsi="Times New Roman" w:cs="Times New Roman"/>
          <w:bCs/>
          <w:iCs/>
          <w:color w:val="000000" w:themeColor="text1"/>
          <w:sz w:val="24"/>
          <w:szCs w:val="24"/>
        </w:rPr>
        <w:t xml:space="preserve">, two obstacles </w:t>
      </w:r>
      <w:r w:rsidR="00B1665A" w:rsidRPr="00597FFB">
        <w:rPr>
          <w:rFonts w:ascii="Times New Roman" w:eastAsia="Calibri" w:hAnsi="Times New Roman" w:cs="Times New Roman"/>
          <w:bCs/>
          <w:iCs/>
          <w:color w:val="000000" w:themeColor="text1"/>
          <w:sz w:val="24"/>
          <w:szCs w:val="24"/>
        </w:rPr>
        <w:t>that hamper</w:t>
      </w:r>
      <w:r w:rsidR="0003140E" w:rsidRPr="00597FFB">
        <w:rPr>
          <w:rFonts w:ascii="Times New Roman" w:eastAsia="Calibri" w:hAnsi="Times New Roman" w:cs="Times New Roman"/>
          <w:bCs/>
          <w:iCs/>
          <w:color w:val="000000" w:themeColor="text1"/>
          <w:sz w:val="24"/>
          <w:szCs w:val="24"/>
        </w:rPr>
        <w:t xml:space="preserve"> </w:t>
      </w:r>
      <w:r w:rsidR="00990A2D" w:rsidRPr="00597FFB">
        <w:rPr>
          <w:rFonts w:ascii="Times New Roman" w:eastAsia="Calibri" w:hAnsi="Times New Roman" w:cs="Times New Roman"/>
          <w:bCs/>
          <w:iCs/>
          <w:color w:val="000000" w:themeColor="text1"/>
          <w:sz w:val="24"/>
          <w:szCs w:val="24"/>
        </w:rPr>
        <w:t xml:space="preserve">successful </w:t>
      </w:r>
      <w:r w:rsidR="0003140E" w:rsidRPr="00597FFB">
        <w:rPr>
          <w:rFonts w:ascii="Times New Roman" w:eastAsia="Calibri" w:hAnsi="Times New Roman" w:cs="Times New Roman"/>
          <w:bCs/>
          <w:iCs/>
          <w:color w:val="000000" w:themeColor="text1"/>
          <w:sz w:val="24"/>
          <w:szCs w:val="24"/>
        </w:rPr>
        <w:t>ERP implementation</w:t>
      </w:r>
      <w:r w:rsidR="00990A2D" w:rsidRPr="00597FFB">
        <w:rPr>
          <w:rFonts w:ascii="Times New Roman" w:eastAsia="Calibri" w:hAnsi="Times New Roman" w:cs="Times New Roman"/>
          <w:bCs/>
          <w:iCs/>
          <w:color w:val="000000" w:themeColor="text1"/>
          <w:sz w:val="24"/>
          <w:szCs w:val="24"/>
        </w:rPr>
        <w:t xml:space="preserve"> can be identified</w:t>
      </w:r>
      <w:r w:rsidR="0003140E" w:rsidRPr="00597FFB">
        <w:rPr>
          <w:rFonts w:ascii="Times New Roman" w:eastAsia="Calibri" w:hAnsi="Times New Roman" w:cs="Times New Roman"/>
          <w:bCs/>
          <w:iCs/>
          <w:color w:val="000000" w:themeColor="text1"/>
          <w:sz w:val="24"/>
          <w:szCs w:val="24"/>
        </w:rPr>
        <w:t>. The first</w:t>
      </w:r>
      <w:r w:rsidR="00990A2D" w:rsidRPr="00597FFB">
        <w:rPr>
          <w:rFonts w:ascii="Times New Roman" w:eastAsia="Calibri" w:hAnsi="Times New Roman" w:cs="Times New Roman"/>
          <w:bCs/>
          <w:iCs/>
          <w:color w:val="000000" w:themeColor="text1"/>
          <w:sz w:val="24"/>
          <w:szCs w:val="24"/>
        </w:rPr>
        <w:t xml:space="preserve"> one relates to</w:t>
      </w:r>
      <w:r w:rsidR="0003140E" w:rsidRPr="00597FFB">
        <w:rPr>
          <w:rFonts w:ascii="Times New Roman" w:eastAsia="Calibri" w:hAnsi="Times New Roman" w:cs="Times New Roman"/>
          <w:bCs/>
          <w:iCs/>
          <w:color w:val="000000" w:themeColor="text1"/>
          <w:sz w:val="24"/>
          <w:szCs w:val="24"/>
        </w:rPr>
        <w:t xml:space="preserve"> a large</w:t>
      </w:r>
      <w:r w:rsidR="00B1665A" w:rsidRPr="00597FFB">
        <w:rPr>
          <w:rFonts w:ascii="Times New Roman" w:eastAsia="Calibri" w:hAnsi="Times New Roman" w:cs="Times New Roman"/>
          <w:bCs/>
          <w:iCs/>
          <w:color w:val="000000" w:themeColor="text1"/>
          <w:sz w:val="24"/>
          <w:szCs w:val="24"/>
        </w:rPr>
        <w:t>,</w:t>
      </w:r>
      <w:r w:rsidR="0003140E" w:rsidRPr="00597FFB">
        <w:rPr>
          <w:rFonts w:ascii="Times New Roman" w:eastAsia="Calibri" w:hAnsi="Times New Roman" w:cs="Times New Roman"/>
          <w:bCs/>
          <w:iCs/>
          <w:color w:val="000000" w:themeColor="text1"/>
          <w:sz w:val="24"/>
          <w:szCs w:val="24"/>
        </w:rPr>
        <w:t xml:space="preserve"> gray </w:t>
      </w:r>
      <w:r w:rsidR="00B1665A" w:rsidRPr="00597FFB">
        <w:rPr>
          <w:rFonts w:ascii="Times New Roman" w:eastAsia="Calibri" w:hAnsi="Times New Roman" w:cs="Times New Roman"/>
          <w:bCs/>
          <w:iCs/>
          <w:color w:val="000000" w:themeColor="text1"/>
          <w:sz w:val="24"/>
          <w:szCs w:val="24"/>
        </w:rPr>
        <w:t xml:space="preserve">EEE </w:t>
      </w:r>
      <w:r w:rsidR="0003140E" w:rsidRPr="00597FFB">
        <w:rPr>
          <w:rFonts w:ascii="Times New Roman" w:eastAsia="Calibri" w:hAnsi="Times New Roman" w:cs="Times New Roman"/>
          <w:bCs/>
          <w:iCs/>
          <w:color w:val="000000" w:themeColor="text1"/>
          <w:sz w:val="24"/>
          <w:szCs w:val="24"/>
        </w:rPr>
        <w:t>market, and the second</w:t>
      </w:r>
      <w:r w:rsidR="00B1665A" w:rsidRPr="00597FFB">
        <w:rPr>
          <w:rFonts w:ascii="Times New Roman" w:eastAsia="Calibri" w:hAnsi="Times New Roman" w:cs="Times New Roman"/>
          <w:bCs/>
          <w:iCs/>
          <w:color w:val="000000" w:themeColor="text1"/>
          <w:sz w:val="24"/>
          <w:szCs w:val="24"/>
        </w:rPr>
        <w:t xml:space="preserve"> one</w:t>
      </w:r>
      <w:r w:rsidR="0003140E" w:rsidRPr="00597FFB">
        <w:rPr>
          <w:rFonts w:ascii="Times New Roman" w:eastAsia="Calibri" w:hAnsi="Times New Roman" w:cs="Times New Roman"/>
          <w:bCs/>
          <w:iCs/>
          <w:color w:val="000000" w:themeColor="text1"/>
          <w:sz w:val="24"/>
          <w:szCs w:val="24"/>
        </w:rPr>
        <w:t xml:space="preserve"> </w:t>
      </w:r>
      <w:r w:rsidR="00B1665A" w:rsidRPr="00597FFB">
        <w:rPr>
          <w:rFonts w:ascii="Times New Roman" w:eastAsia="Calibri" w:hAnsi="Times New Roman" w:cs="Times New Roman"/>
          <w:bCs/>
          <w:iCs/>
          <w:color w:val="000000" w:themeColor="text1"/>
          <w:sz w:val="24"/>
          <w:szCs w:val="24"/>
        </w:rPr>
        <w:t>about</w:t>
      </w:r>
      <w:r w:rsidR="0003140E" w:rsidRPr="00597FFB">
        <w:rPr>
          <w:rFonts w:ascii="Times New Roman" w:eastAsia="Calibri" w:hAnsi="Times New Roman" w:cs="Times New Roman"/>
          <w:bCs/>
          <w:iCs/>
          <w:color w:val="000000" w:themeColor="text1"/>
          <w:sz w:val="24"/>
          <w:szCs w:val="24"/>
        </w:rPr>
        <w:t xml:space="preserve"> illegal </w:t>
      </w:r>
      <w:r w:rsidR="00B1665A" w:rsidRPr="00597FFB">
        <w:rPr>
          <w:rFonts w:ascii="Times New Roman" w:eastAsia="Calibri" w:hAnsi="Times New Roman" w:cs="Times New Roman"/>
          <w:bCs/>
          <w:iCs/>
          <w:color w:val="000000" w:themeColor="text1"/>
          <w:sz w:val="24"/>
          <w:szCs w:val="24"/>
        </w:rPr>
        <w:t xml:space="preserve">e-waste </w:t>
      </w:r>
      <w:r w:rsidR="0003140E" w:rsidRPr="00597FFB">
        <w:rPr>
          <w:rFonts w:ascii="Times New Roman" w:eastAsia="Calibri" w:hAnsi="Times New Roman" w:cs="Times New Roman"/>
          <w:bCs/>
          <w:iCs/>
          <w:color w:val="000000" w:themeColor="text1"/>
          <w:sz w:val="24"/>
          <w:szCs w:val="24"/>
        </w:rPr>
        <w:t>import</w:t>
      </w:r>
      <w:r w:rsidR="00B1665A" w:rsidRPr="00597FFB">
        <w:rPr>
          <w:rFonts w:ascii="Times New Roman" w:eastAsia="Calibri" w:hAnsi="Times New Roman" w:cs="Times New Roman"/>
          <w:bCs/>
          <w:iCs/>
          <w:color w:val="000000" w:themeColor="text1"/>
          <w:sz w:val="24"/>
          <w:szCs w:val="24"/>
        </w:rPr>
        <w:t>ation</w:t>
      </w:r>
      <w:r w:rsidR="0003140E" w:rsidRPr="00597FFB">
        <w:rPr>
          <w:rFonts w:ascii="Times New Roman" w:eastAsia="Calibri" w:hAnsi="Times New Roman" w:cs="Times New Roman"/>
          <w:bCs/>
          <w:iCs/>
          <w:color w:val="000000" w:themeColor="text1"/>
          <w:sz w:val="24"/>
          <w:szCs w:val="24"/>
        </w:rPr>
        <w:t xml:space="preserve">. Cultural factors </w:t>
      </w:r>
      <w:r w:rsidR="00B1665A" w:rsidRPr="00597FFB">
        <w:rPr>
          <w:rFonts w:ascii="Times New Roman" w:eastAsia="Calibri" w:hAnsi="Times New Roman" w:cs="Times New Roman"/>
          <w:bCs/>
          <w:iCs/>
          <w:color w:val="000000" w:themeColor="text1"/>
          <w:sz w:val="24"/>
          <w:szCs w:val="24"/>
        </w:rPr>
        <w:t>failure to dispose</w:t>
      </w:r>
      <w:r w:rsidR="0003140E" w:rsidRPr="00597FFB">
        <w:rPr>
          <w:rFonts w:ascii="Times New Roman" w:eastAsia="Calibri" w:hAnsi="Times New Roman" w:cs="Times New Roman"/>
          <w:bCs/>
          <w:iCs/>
          <w:color w:val="000000" w:themeColor="text1"/>
          <w:sz w:val="24"/>
          <w:szCs w:val="24"/>
        </w:rPr>
        <w:t xml:space="preserve"> of </w:t>
      </w:r>
      <w:r w:rsidR="00B1665A" w:rsidRPr="00597FFB">
        <w:rPr>
          <w:rFonts w:ascii="Times New Roman" w:eastAsia="Calibri" w:hAnsi="Times New Roman" w:cs="Times New Roman"/>
          <w:bCs/>
          <w:iCs/>
          <w:color w:val="000000" w:themeColor="text1"/>
          <w:sz w:val="24"/>
          <w:szCs w:val="24"/>
        </w:rPr>
        <w:t>used EEE</w:t>
      </w:r>
      <w:r w:rsidR="0003140E" w:rsidRPr="00597FFB">
        <w:rPr>
          <w:rFonts w:ascii="Times New Roman" w:eastAsia="Calibri" w:hAnsi="Times New Roman" w:cs="Times New Roman"/>
          <w:bCs/>
          <w:iCs/>
          <w:color w:val="000000" w:themeColor="text1"/>
          <w:sz w:val="24"/>
          <w:szCs w:val="24"/>
        </w:rPr>
        <w:t xml:space="preserve"> result in </w:t>
      </w:r>
      <w:r w:rsidR="00B1665A" w:rsidRPr="00597FFB">
        <w:rPr>
          <w:rFonts w:ascii="Times New Roman" w:eastAsia="Calibri" w:hAnsi="Times New Roman" w:cs="Times New Roman"/>
          <w:bCs/>
          <w:iCs/>
          <w:color w:val="000000" w:themeColor="text1"/>
          <w:sz w:val="24"/>
          <w:szCs w:val="24"/>
        </w:rPr>
        <w:t xml:space="preserve">the equipment </w:t>
      </w:r>
      <w:r w:rsidR="0003140E" w:rsidRPr="00597FFB">
        <w:rPr>
          <w:rFonts w:ascii="Times New Roman" w:eastAsia="Calibri" w:hAnsi="Times New Roman" w:cs="Times New Roman"/>
          <w:bCs/>
          <w:iCs/>
          <w:color w:val="000000" w:themeColor="text1"/>
          <w:sz w:val="24"/>
          <w:szCs w:val="24"/>
        </w:rPr>
        <w:t>passing to second</w:t>
      </w:r>
      <w:r w:rsidR="00B1665A" w:rsidRPr="00597FFB">
        <w:rPr>
          <w:rFonts w:ascii="Times New Roman" w:eastAsia="Calibri" w:hAnsi="Times New Roman" w:cs="Times New Roman"/>
          <w:bCs/>
          <w:iCs/>
          <w:color w:val="000000" w:themeColor="text1"/>
          <w:sz w:val="24"/>
          <w:szCs w:val="24"/>
        </w:rPr>
        <w:t>hand</w:t>
      </w:r>
      <w:r w:rsidR="0003140E" w:rsidRPr="00597FFB">
        <w:rPr>
          <w:rFonts w:ascii="Times New Roman" w:eastAsia="Calibri" w:hAnsi="Times New Roman" w:cs="Times New Roman"/>
          <w:bCs/>
          <w:iCs/>
          <w:color w:val="000000" w:themeColor="text1"/>
          <w:sz w:val="24"/>
          <w:szCs w:val="24"/>
        </w:rPr>
        <w:t xml:space="preserve"> and third</w:t>
      </w:r>
      <w:r w:rsidR="00B1665A" w:rsidRPr="00597FFB">
        <w:rPr>
          <w:rFonts w:ascii="Times New Roman" w:eastAsia="Calibri" w:hAnsi="Times New Roman" w:cs="Times New Roman"/>
          <w:bCs/>
          <w:iCs/>
          <w:color w:val="000000" w:themeColor="text1"/>
          <w:sz w:val="24"/>
          <w:szCs w:val="24"/>
        </w:rPr>
        <w:t>hand</w:t>
      </w:r>
      <w:r w:rsidR="0003140E" w:rsidRPr="00597FFB">
        <w:rPr>
          <w:rFonts w:ascii="Times New Roman" w:eastAsia="Calibri" w:hAnsi="Times New Roman" w:cs="Times New Roman"/>
          <w:bCs/>
          <w:iCs/>
          <w:color w:val="000000" w:themeColor="text1"/>
          <w:sz w:val="24"/>
          <w:szCs w:val="24"/>
        </w:rPr>
        <w:t xml:space="preserve"> buyers who then sell it to</w:t>
      </w:r>
      <w:r w:rsidR="00B1665A" w:rsidRPr="00597FFB">
        <w:rPr>
          <w:rFonts w:ascii="Times New Roman" w:eastAsia="Calibri" w:hAnsi="Times New Roman" w:cs="Times New Roman"/>
          <w:bCs/>
          <w:iCs/>
          <w:color w:val="000000" w:themeColor="text1"/>
          <w:sz w:val="24"/>
          <w:szCs w:val="24"/>
        </w:rPr>
        <w:t xml:space="preserve"> the</w:t>
      </w:r>
      <w:r w:rsidR="0003140E" w:rsidRPr="00597FFB">
        <w:rPr>
          <w:rFonts w:ascii="Times New Roman" w:eastAsia="Calibri" w:hAnsi="Times New Roman" w:cs="Times New Roman"/>
          <w:bCs/>
          <w:iCs/>
          <w:color w:val="000000" w:themeColor="text1"/>
          <w:sz w:val="24"/>
          <w:szCs w:val="24"/>
        </w:rPr>
        <w:t xml:space="preserve"> local collectors </w:t>
      </w:r>
      <w:r w:rsidR="00B1665A" w:rsidRPr="00597FFB">
        <w:rPr>
          <w:rFonts w:ascii="Times New Roman" w:eastAsia="Calibri" w:hAnsi="Times New Roman" w:cs="Times New Roman"/>
          <w:bCs/>
          <w:iCs/>
          <w:color w:val="000000" w:themeColor="text1"/>
          <w:sz w:val="24"/>
          <w:szCs w:val="24"/>
        </w:rPr>
        <w:t>at very low prices</w:t>
      </w:r>
      <w:r w:rsidR="0003140E" w:rsidRPr="00597FFB">
        <w:rPr>
          <w:rFonts w:ascii="Times New Roman" w:eastAsia="Calibri" w:hAnsi="Times New Roman" w:cs="Times New Roman"/>
          <w:bCs/>
          <w:iCs/>
          <w:color w:val="000000" w:themeColor="text1"/>
          <w:sz w:val="24"/>
          <w:szCs w:val="24"/>
        </w:rPr>
        <w:t xml:space="preserve">.  This </w:t>
      </w:r>
      <w:r w:rsidR="00B1665A" w:rsidRPr="00597FFB">
        <w:rPr>
          <w:rFonts w:ascii="Times New Roman" w:eastAsia="Calibri" w:hAnsi="Times New Roman" w:cs="Times New Roman"/>
          <w:bCs/>
          <w:iCs/>
          <w:color w:val="000000" w:themeColor="text1"/>
          <w:sz w:val="24"/>
          <w:szCs w:val="24"/>
        </w:rPr>
        <w:t>impedes</w:t>
      </w:r>
      <w:r w:rsidR="0003140E" w:rsidRPr="00597FFB">
        <w:rPr>
          <w:rFonts w:ascii="Times New Roman" w:eastAsia="Calibri" w:hAnsi="Times New Roman" w:cs="Times New Roman"/>
          <w:bCs/>
          <w:iCs/>
          <w:color w:val="000000" w:themeColor="text1"/>
          <w:sz w:val="24"/>
          <w:szCs w:val="24"/>
        </w:rPr>
        <w:t xml:space="preserve"> the effective implementation of EP</w:t>
      </w:r>
      <w:r w:rsidR="00B1665A" w:rsidRPr="00597FFB">
        <w:rPr>
          <w:rFonts w:ascii="Times New Roman" w:eastAsia="Calibri" w:hAnsi="Times New Roman" w:cs="Times New Roman"/>
          <w:bCs/>
          <w:iCs/>
          <w:color w:val="000000" w:themeColor="text1"/>
          <w:sz w:val="24"/>
          <w:szCs w:val="24"/>
        </w:rPr>
        <w:t>R</w:t>
      </w:r>
      <w:r w:rsidR="0003140E" w:rsidRPr="00597FFB">
        <w:rPr>
          <w:rFonts w:ascii="Times New Roman" w:eastAsia="Calibri" w:hAnsi="Times New Roman" w:cs="Times New Roman"/>
          <w:bCs/>
          <w:iCs/>
          <w:color w:val="000000" w:themeColor="text1"/>
          <w:sz w:val="24"/>
          <w:szCs w:val="24"/>
        </w:rPr>
        <w:t xml:space="preserve"> systems </w:t>
      </w:r>
      <w:r w:rsidR="0003140E" w:rsidRPr="00597FFB">
        <w:rPr>
          <w:rFonts w:ascii="Times New Roman" w:eastAsiaTheme="minorHAnsi" w:hAnsi="Times New Roman" w:cs="Times New Roman"/>
          <w:color w:val="000000" w:themeColor="text1"/>
          <w:sz w:val="24"/>
        </w:rPr>
        <w:t>(Jain &amp; Mishra, 2020)</w:t>
      </w:r>
      <w:r w:rsidR="0003140E" w:rsidRPr="00597FFB">
        <w:rPr>
          <w:rFonts w:ascii="Times New Roman" w:eastAsia="Calibri" w:hAnsi="Times New Roman" w:cs="Times New Roman"/>
          <w:bCs/>
          <w:iCs/>
          <w:color w:val="000000" w:themeColor="text1"/>
          <w:sz w:val="24"/>
          <w:szCs w:val="24"/>
        </w:rPr>
        <w:t>.</w:t>
      </w:r>
    </w:p>
    <w:p w14:paraId="14E08F42" w14:textId="7DF9B88E" w:rsidR="0003140E" w:rsidRPr="00597FFB" w:rsidRDefault="002B79F0"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02" w:name="_Hlk73267798"/>
      <w:bookmarkStart w:id="103" w:name="_Toc127170275"/>
      <w:bookmarkStart w:id="104" w:name="_Hlk73884356"/>
      <w:bookmarkEnd w:id="101"/>
      <w:r w:rsidRPr="00597FFB">
        <w:rPr>
          <w:rFonts w:ascii="Times New Roman" w:eastAsia="Calibri" w:hAnsi="Times New Roman" w:cs="Times New Roman"/>
          <w:i/>
          <w:iCs/>
          <w:color w:val="000000" w:themeColor="text1"/>
          <w:sz w:val="24"/>
          <w:szCs w:val="24"/>
        </w:rPr>
        <w:t xml:space="preserve">2.3.3. </w:t>
      </w:r>
      <w:r w:rsidR="0003140E" w:rsidRPr="00597FFB">
        <w:rPr>
          <w:rFonts w:ascii="Times New Roman" w:eastAsia="Calibri" w:hAnsi="Times New Roman" w:cs="Times New Roman"/>
          <w:i/>
          <w:iCs/>
          <w:color w:val="000000" w:themeColor="text1"/>
          <w:sz w:val="24"/>
          <w:szCs w:val="24"/>
        </w:rPr>
        <w:t>E</w:t>
      </w:r>
      <w:r w:rsidR="00383319">
        <w:rPr>
          <w:rFonts w:ascii="Times New Roman" w:eastAsia="Calibri" w:hAnsi="Times New Roman" w:cs="Times New Roman"/>
          <w:i/>
          <w:iCs/>
          <w:color w:val="000000" w:themeColor="text1"/>
          <w:sz w:val="24"/>
          <w:szCs w:val="24"/>
        </w:rPr>
        <w:t>WM</w:t>
      </w:r>
      <w:r w:rsidR="0003140E" w:rsidRPr="00597FFB">
        <w:rPr>
          <w:rFonts w:ascii="Times New Roman" w:eastAsia="Calibri" w:hAnsi="Times New Roman" w:cs="Times New Roman"/>
          <w:i/>
          <w:iCs/>
          <w:color w:val="000000" w:themeColor="text1"/>
          <w:sz w:val="24"/>
          <w:szCs w:val="24"/>
        </w:rPr>
        <w:t xml:space="preserve"> in the Middle East</w:t>
      </w:r>
      <w:bookmarkEnd w:id="102"/>
      <w:r w:rsidR="00C97EB9" w:rsidRPr="00597FFB">
        <w:rPr>
          <w:rFonts w:ascii="Times New Roman" w:eastAsia="Calibri" w:hAnsi="Times New Roman" w:cs="Times New Roman"/>
          <w:i/>
          <w:iCs/>
          <w:color w:val="000000" w:themeColor="text1"/>
          <w:sz w:val="24"/>
          <w:szCs w:val="24"/>
        </w:rPr>
        <w:t>.</w:t>
      </w:r>
      <w:bookmarkEnd w:id="103"/>
    </w:p>
    <w:bookmarkEnd w:id="104"/>
    <w:p w14:paraId="05E4A3A2" w14:textId="42327217" w:rsidR="0003140E" w:rsidRPr="00597FFB" w:rsidRDefault="0003140E" w:rsidP="008A15D7">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szCs w:val="24"/>
        </w:rPr>
        <w:t xml:space="preserve">Many studies (Al-Dabbagh, 2020; </w:t>
      </w:r>
      <w:r w:rsidRPr="00597FFB">
        <w:rPr>
          <w:rFonts w:ascii="Times New Roman" w:eastAsiaTheme="minorHAnsi" w:hAnsi="Times New Roman" w:cs="Times New Roman"/>
          <w:color w:val="000000" w:themeColor="text1"/>
          <w:sz w:val="24"/>
        </w:rPr>
        <w:t xml:space="preserve">Abdallah et al., 2021; </w:t>
      </w:r>
      <w:r w:rsidRPr="00597FFB">
        <w:rPr>
          <w:rFonts w:ascii="Times New Roman" w:eastAsiaTheme="minorHAnsi" w:hAnsi="Times New Roman" w:cs="Times New Roman"/>
          <w:noProof/>
          <w:color w:val="000000" w:themeColor="text1"/>
          <w:sz w:val="24"/>
          <w:szCs w:val="24"/>
        </w:rPr>
        <w:t>Iattoni et al., 2021)</w:t>
      </w:r>
      <w:r w:rsidRPr="00597FFB">
        <w:rPr>
          <w:rFonts w:ascii="Times New Roman" w:eastAsiaTheme="minorHAnsi" w:hAnsi="Times New Roman" w:cs="Times New Roman"/>
          <w:color w:val="000000" w:themeColor="text1"/>
          <w:sz w:val="24"/>
          <w:szCs w:val="24"/>
        </w:rPr>
        <w:t xml:space="preserve"> about EWM exist in the Middle Eastern region. In a regional report on the Middle East and North Africa, </w:t>
      </w:r>
      <w:bookmarkStart w:id="105" w:name="_Hlk73896892"/>
      <w:r w:rsidRPr="00597FFB">
        <w:rPr>
          <w:rFonts w:ascii="Times New Roman" w:eastAsiaTheme="minorHAnsi" w:hAnsi="Times New Roman" w:cs="Times New Roman"/>
          <w:color w:val="000000" w:themeColor="text1"/>
          <w:sz w:val="24"/>
          <w:szCs w:val="24"/>
        </w:rPr>
        <w:t>Al-Dabbagh (2020</w:t>
      </w:r>
      <w:bookmarkEnd w:id="105"/>
      <w:r w:rsidRPr="00597FFB">
        <w:rPr>
          <w:rFonts w:ascii="Times New Roman" w:eastAsiaTheme="minorHAnsi" w:hAnsi="Times New Roman" w:cs="Times New Roman"/>
          <w:color w:val="000000" w:themeColor="text1"/>
          <w:sz w:val="24"/>
          <w:szCs w:val="24"/>
        </w:rPr>
        <w:t xml:space="preserve">) states that Arab countries are relative newcomers in e-waste management. </w:t>
      </w:r>
      <w:r w:rsidRPr="00597FFB">
        <w:rPr>
          <w:rFonts w:ascii="Times New Roman" w:eastAsiaTheme="minorHAnsi" w:hAnsi="Times New Roman" w:cs="Times New Roman"/>
          <w:color w:val="000000" w:themeColor="text1"/>
          <w:sz w:val="24"/>
        </w:rPr>
        <w:t>Abdallah et al. (2021)</w:t>
      </w:r>
      <w:r w:rsidRPr="00597FFB">
        <w:rPr>
          <w:rFonts w:ascii="Times New Roman" w:eastAsiaTheme="minorHAnsi" w:hAnsi="Times New Roman" w:cs="Times New Roman"/>
          <w:color w:val="000000" w:themeColor="text1"/>
          <w:sz w:val="24"/>
          <w:szCs w:val="24"/>
        </w:rPr>
        <w:t xml:space="preserve"> suggested that IT e-waste is one of the fastest-growing and increasingly dangerous types of waste in these countries. Recently, mobile phone and internet usage has rapidly grown in the UAE. The proper removal of e-waste in MENA countries is costly, and some developed countries like the US and developed EU countries </w:t>
      </w:r>
      <w:r w:rsidRPr="00597FFB">
        <w:rPr>
          <w:rFonts w:ascii="Times New Roman" w:eastAsia="Calibri" w:hAnsi="Times New Roman" w:cs="Times New Roman"/>
          <w:color w:val="000000" w:themeColor="text1"/>
          <w:sz w:val="24"/>
          <w:szCs w:val="24"/>
        </w:rPr>
        <w:t>require that</w:t>
      </w:r>
      <w:r w:rsidRPr="00597FFB">
        <w:rPr>
          <w:rFonts w:ascii="Times New Roman" w:eastAsiaTheme="minorHAnsi" w:hAnsi="Times New Roman" w:cs="Times New Roman"/>
          <w:color w:val="000000" w:themeColor="text1"/>
          <w:sz w:val="24"/>
          <w:szCs w:val="24"/>
        </w:rPr>
        <w:t xml:space="preserve"> MENA countries dispose of their e-waste in landfills. A recent e-waste monitor report for Arab states </w:t>
      </w:r>
      <w:r w:rsidR="008A15D7" w:rsidRPr="00597FFB">
        <w:rPr>
          <w:rFonts w:ascii="Times New Roman" w:eastAsiaTheme="minorHAnsi" w:hAnsi="Times New Roman" w:cs="Times New Roman"/>
          <w:color w:val="000000" w:themeColor="text1"/>
          <w:sz w:val="24"/>
          <w:szCs w:val="24"/>
        </w:rPr>
        <w:t>(Iattoni, Vermeersch, Nnorom, Baldé, &amp; Kuehr, 2021)</w:t>
      </w:r>
      <w:r w:rsidRPr="00597FFB">
        <w:rPr>
          <w:rFonts w:ascii="Times New Roman" w:eastAsiaTheme="minorHAnsi" w:hAnsi="Times New Roman" w:cs="Times New Roman"/>
          <w:color w:val="000000" w:themeColor="text1"/>
          <w:sz w:val="24"/>
          <w:szCs w:val="24"/>
        </w:rPr>
        <w:t xml:space="preserve"> revealed that, although none of the participating states had any specific legislation on e-waste in the region, the UAE was among those like Saudi Arabia, Qatar, and Algeria that have advanced regulatory and legal frameworks on waste management and/or hazardous waste, which are extendable to e-waste. Moreover, they indicated that the UAE was the only state in the MENA applying the EPR for batteries waste and e-waste. The UAE is also the only state in the Middle East and Africa with an e-waste processing and recycling facility, which is run by the private company, EnviroServe </w:t>
      </w:r>
      <w:r w:rsidRPr="00597FFB">
        <w:rPr>
          <w:rFonts w:ascii="Times New Roman" w:eastAsiaTheme="minorHAnsi" w:hAnsi="Times New Roman" w:cs="Times New Roman"/>
          <w:noProof/>
          <w:color w:val="000000" w:themeColor="text1"/>
          <w:sz w:val="24"/>
          <w:szCs w:val="24"/>
        </w:rPr>
        <w:t>(Iattoni, Vermeersch, Nnorom, Baldé, &amp; Kuehr, 2021)</w:t>
      </w:r>
      <w:sdt>
        <w:sdtPr>
          <w:rPr>
            <w:rFonts w:ascii="Times New Roman" w:eastAsiaTheme="minorHAnsi" w:hAnsi="Times New Roman" w:cs="Times New Roman"/>
            <w:color w:val="000000" w:themeColor="text1"/>
            <w:sz w:val="24"/>
            <w:szCs w:val="24"/>
          </w:rPr>
          <w:id w:val="1806580531"/>
          <w:citation/>
        </w:sdtPr>
        <w:sdtContent/>
      </w:sdt>
      <w:r w:rsidRPr="00597FFB">
        <w:rPr>
          <w:rFonts w:ascii="Times New Roman" w:eastAsiaTheme="minorHAns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Another company that is a force to reckon with when it comes to environmental remediation, Société Générale de Surveillance (SGS), has offices in Dubai, UAE and is one of the world’s leading landfill management corporations. It specializes in the type of waste management technology that countries in the Middle East need to manage the growing problem of e-waste.</w:t>
      </w:r>
    </w:p>
    <w:p w14:paraId="2F662A5C"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When it comes to commitment to dealing with waste in general, countries in the MENA region have ratified some of them. For example, </w:t>
      </w:r>
      <w:r w:rsidRPr="00597FFB">
        <w:rPr>
          <w:rFonts w:ascii="Times New Roman" w:eastAsiaTheme="minorHAnsi" w:hAnsi="Times New Roman" w:cs="Times New Roman"/>
          <w:color w:val="000000" w:themeColor="text1"/>
          <w:sz w:val="24"/>
          <w:szCs w:val="24"/>
        </w:rPr>
        <w:t xml:space="preserve">the Basel Convention has established 14 regional centers in the Middle East. In 1998, the Basel Convention Regional and Coordinating Centre (BCRC) was formed in Cairo, Egypt. </w:t>
      </w:r>
      <w:r w:rsidRPr="00597FFB">
        <w:rPr>
          <w:rFonts w:ascii="Times New Roman" w:eastAsiaTheme="minorHAnsi" w:hAnsi="Times New Roman" w:cs="Times New Roman"/>
          <w:color w:val="000000" w:themeColor="text1"/>
          <w:sz w:val="24"/>
        </w:rPr>
        <w:t>Ahmad et al. (2019)</w:t>
      </w:r>
      <w:r w:rsidRPr="00597FFB">
        <w:rPr>
          <w:rFonts w:ascii="Times New Roman" w:eastAsiaTheme="minorHAnsi" w:hAnsi="Times New Roman" w:cs="Times New Roman"/>
          <w:color w:val="000000" w:themeColor="text1"/>
          <w:sz w:val="24"/>
          <w:szCs w:val="24"/>
        </w:rPr>
        <w:t xml:space="preserve"> found that the BCRC is important at this time because no provincial plan </w:t>
      </w:r>
      <w:r w:rsidRPr="00597FFB">
        <w:rPr>
          <w:rFonts w:ascii="Times New Roman" w:eastAsia="Calibri" w:hAnsi="Times New Roman" w:cs="Times New Roman"/>
          <w:color w:val="000000" w:themeColor="text1"/>
          <w:sz w:val="24"/>
          <w:szCs w:val="24"/>
        </w:rPr>
        <w:t>or</w:t>
      </w:r>
      <w:r w:rsidRPr="00597FFB">
        <w:rPr>
          <w:rFonts w:ascii="Times New Roman" w:eastAsiaTheme="minorHAnsi" w:hAnsi="Times New Roman" w:cs="Times New Roman"/>
          <w:color w:val="000000" w:themeColor="text1"/>
          <w:sz w:val="24"/>
          <w:szCs w:val="24"/>
        </w:rPr>
        <w:t xml:space="preserve"> legislation has been implemented regarding e-waste management in the area. The governments of many Arab countries are aware of this necessity owing to the rising volume of e-waste and they are expected to accelerate this process. In Morocco, for example, civilians demanded rapid e-waste solutions. This demand comes mainly from the private sector and is supported by national and local governments </w:t>
      </w:r>
      <w:r w:rsidRPr="00597FFB">
        <w:rPr>
          <w:rFonts w:ascii="Times New Roman" w:eastAsiaTheme="minorHAnsi" w:hAnsi="Times New Roman" w:cs="Times New Roman"/>
          <w:color w:val="000000" w:themeColor="text1"/>
          <w:sz w:val="24"/>
        </w:rPr>
        <w:t>(Aboelmaged, 2020)</w:t>
      </w:r>
      <w:r w:rsidRPr="00597FFB">
        <w:rPr>
          <w:rFonts w:ascii="Times New Roman" w:eastAsiaTheme="minorHAnsi" w:hAnsi="Times New Roman" w:cs="Times New Roman"/>
          <w:color w:val="000000" w:themeColor="text1"/>
          <w:sz w:val="24"/>
          <w:szCs w:val="24"/>
        </w:rPr>
        <w:t>.</w:t>
      </w:r>
    </w:p>
    <w:p w14:paraId="7D73E136"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Saudi Arabia, the presidency of metrology and environment protection (PME) emphasized addressing and controlling human health hazards arising from pollutants that are emitted to the atmosphere from improper disposal of hazardous waste. The General Environmental Regulations and Rules for Implementation in Saudi Arabia define the means of sound environmental management of hazardous substances and waste and its requirements in conjunction with the Basel Convention in 1989. The Convention controls the transboundary shipment and disposal of harmful waste </w:t>
      </w:r>
      <w:r w:rsidRPr="00597FFB">
        <w:rPr>
          <w:rFonts w:ascii="Times New Roman" w:eastAsiaTheme="minorHAnsi" w:hAnsi="Times New Roman" w:cs="Times New Roman"/>
          <w:color w:val="000000" w:themeColor="text1"/>
          <w:sz w:val="24"/>
        </w:rPr>
        <w:t>(El Bilali &amp; Ben Hassen, 2020)</w:t>
      </w:r>
      <w:r w:rsidRPr="00597FFB">
        <w:rPr>
          <w:rFonts w:ascii="Times New Roman" w:eastAsia="Times New Roman" w:hAnsi="Times New Roman" w:cs="Times New Roman"/>
          <w:bCs/>
          <w:color w:val="000000" w:themeColor="text1"/>
          <w:sz w:val="24"/>
          <w:szCs w:val="24"/>
        </w:rPr>
        <w:t xml:space="preserve">. Hazardous substances are defined as materials that harm humans or the environment. They include toxic, infectious, flammable, explosive, or ionized radiation. Mitigating the harmful effects of e-waste is primarily a matter of identifying and segregating different kinds of waste. If companies in the Arab states begin to separate e-waste, it will be a substantial step toward meeting the goal of processing and recycling e-waste instead of disposing of it in a landfill </w:t>
      </w:r>
      <w:r w:rsidRPr="00597FFB">
        <w:rPr>
          <w:rFonts w:ascii="Times New Roman" w:eastAsiaTheme="minorHAnsi" w:hAnsi="Times New Roman" w:cs="Times New Roman"/>
          <w:color w:val="000000" w:themeColor="text1"/>
          <w:sz w:val="24"/>
          <w:szCs w:val="24"/>
        </w:rPr>
        <w:t>(Islam &amp; Huda, 2020).</w:t>
      </w:r>
      <w:r w:rsidRPr="00597FFB">
        <w:rPr>
          <w:rFonts w:ascii="Times New Roman" w:eastAsia="Times New Roman" w:hAnsi="Times New Roman" w:cs="Times New Roman"/>
          <w:bCs/>
          <w:color w:val="000000" w:themeColor="text1"/>
          <w:sz w:val="24"/>
          <w:szCs w:val="24"/>
        </w:rPr>
        <w:t xml:space="preserve"> EnviroFone, a division of EnviroServe, collects e-waste throughout the Middle East to ensure that this hazardous waste is not included with other waste streams </w:t>
      </w:r>
      <w:r w:rsidRPr="00597FFB">
        <w:rPr>
          <w:rFonts w:ascii="Times New Roman" w:eastAsiaTheme="minorHAnsi" w:hAnsi="Times New Roman" w:cs="Times New Roman"/>
          <w:color w:val="000000" w:themeColor="text1"/>
          <w:sz w:val="24"/>
        </w:rPr>
        <w:t>(Aboelmaged, 2021)</w:t>
      </w:r>
      <w:r w:rsidRPr="00597FFB">
        <w:rPr>
          <w:rFonts w:ascii="Times New Roman" w:eastAsia="Times New Roman" w:hAnsi="Times New Roman" w:cs="Times New Roman"/>
          <w:bCs/>
          <w:color w:val="000000" w:themeColor="text1"/>
          <w:sz w:val="24"/>
          <w:szCs w:val="24"/>
        </w:rPr>
        <w:t xml:space="preserve">. EnviroFone and other Middle Eastern companies such as the International Computer Company (ICC) aim to reverse a trend seen in all parts of the world. Despite calls for recycling and countries’ spurious claims of recycling their waste, there is evidence that as much as 85% of e-waste is shipped directly to landfills or is incinerated after its initial use. Only 10% to 15% of e-waste is separated from the general waste flow and sent for recycling. Even then, there are several companies in comparatively advanced countries in the Middle East including Saudi Arabia, Bahrain, and the UAE that are working to ensure that e-waste is appropriately processed </w:t>
      </w:r>
      <w:r w:rsidRPr="00597FFB">
        <w:rPr>
          <w:rFonts w:ascii="Times New Roman" w:eastAsiaTheme="minorHAnsi" w:hAnsi="Times New Roman" w:cs="Times New Roman"/>
          <w:color w:val="000000" w:themeColor="text1"/>
          <w:sz w:val="24"/>
          <w:szCs w:val="24"/>
        </w:rPr>
        <w:t>(AL-Dabbagh, 2020)</w:t>
      </w:r>
      <w:r w:rsidRPr="00597FFB">
        <w:rPr>
          <w:rFonts w:ascii="Times New Roman" w:eastAsia="Times New Roman" w:hAnsi="Times New Roman" w:cs="Times New Roman"/>
          <w:bCs/>
          <w:color w:val="000000" w:themeColor="text1"/>
          <w:sz w:val="24"/>
          <w:szCs w:val="24"/>
        </w:rPr>
        <w:t>.</w:t>
      </w:r>
    </w:p>
    <w:p w14:paraId="6193D3FE"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Saudi Arabia, Bahrain, and the UAE are investing in innovative solutions regarding environmental responsibility in the Middle East such as setting up state-of-the-art e-waste recycling facilities </w:t>
      </w:r>
      <w:r w:rsidRPr="00597FFB">
        <w:rPr>
          <w:rFonts w:ascii="Times New Roman" w:eastAsiaTheme="minorHAnsi" w:hAnsi="Times New Roman" w:cs="Times New Roman"/>
          <w:noProof/>
          <w:color w:val="000000" w:themeColor="text1"/>
          <w:sz w:val="24"/>
          <w:szCs w:val="24"/>
        </w:rPr>
        <w:t>(Iattoni, Vermeersch, Nnorom, Baldé, &amp; Kuehr, 2021)</w:t>
      </w:r>
      <w:r w:rsidRPr="00597FFB">
        <w:rPr>
          <w:rFonts w:ascii="Times New Roman" w:eastAsia="Times New Roman" w:hAnsi="Times New Roman" w:cs="Times New Roman"/>
          <w:bCs/>
          <w:color w:val="000000" w:themeColor="text1"/>
          <w:sz w:val="24"/>
          <w:szCs w:val="24"/>
        </w:rPr>
        <w:t xml:space="preserve">. Similarly, other members of MENA have begun to follow suit. In 2010, Qatar’s Ministry of Environment drafted legislation intended to regulate the safe management of e-waste. The first of its kind in the region, this law mainly targets dealers in IT products to regulate and govern how customers process their old and defunct electronic gadgets </w:t>
      </w:r>
      <w:r w:rsidRPr="00597FFB">
        <w:rPr>
          <w:rFonts w:ascii="Times New Roman" w:eastAsiaTheme="minorHAnsi" w:hAnsi="Times New Roman" w:cs="Times New Roman"/>
          <w:color w:val="000000" w:themeColor="text1"/>
          <w:sz w:val="24"/>
        </w:rPr>
        <w:t>(Hasan et al., 2020)</w:t>
      </w:r>
      <w:r w:rsidRPr="00597FFB">
        <w:rPr>
          <w:rFonts w:ascii="Times New Roman" w:eastAsia="Times New Roman" w:hAnsi="Times New Roman" w:cs="Times New Roman"/>
          <w:bCs/>
          <w:color w:val="000000" w:themeColor="text1"/>
          <w:sz w:val="24"/>
          <w:szCs w:val="24"/>
        </w:rPr>
        <w:t>. Qatar has also enacted the country’s first e-waste recycling program to address mobile phones and other electronic devices that have been carelessly disposed. The Qatari telecommunications company (Qtel), which is now known as Ooredoo and is a Qatari multinational company offering services such as wireless, mobile, wireline, and content service, has established a remediation program in Qatar that allows citizens to place cell phones and laptops at various collection sites, which are then taken to offshore processing centers.</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The Qatar pickup program is modeled according to a similar initiative introduced by EnviroSource in the UAE </w:t>
      </w:r>
      <w:r w:rsidRPr="00597FFB">
        <w:rPr>
          <w:rFonts w:ascii="Times New Roman" w:eastAsiaTheme="minorHAnsi" w:hAnsi="Times New Roman" w:cs="Times New Roman"/>
          <w:color w:val="000000" w:themeColor="text1"/>
          <w:sz w:val="24"/>
        </w:rPr>
        <w:t>(Zabala, 2019)</w:t>
      </w:r>
      <w:r w:rsidRPr="00597FFB">
        <w:rPr>
          <w:rFonts w:ascii="Times New Roman" w:eastAsia="Times New Roman" w:hAnsi="Times New Roman" w:cs="Times New Roman"/>
          <w:bCs/>
          <w:color w:val="000000" w:themeColor="text1"/>
          <w:sz w:val="24"/>
          <w:szCs w:val="24"/>
        </w:rPr>
        <w:t>. In Morocco, the government has enacted a similar recycling program. For several years, Morocco has been confronted with an imbalance between a sharp increase in the use of mobile phones, laptop computers, and televisions and the disposal of these electronic materials. Morocco stands out in the Middle East</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in that the push for recycling and greater environmental responsibility has come primarily from the public. In contrast, the private sector has been behind the demand for better and more responsible remediation in many parts of the MENA region. Although several companies have partnered with their governments on several occasions, EnviroServe has been the only company to act regionally </w:t>
      </w:r>
      <w:r w:rsidRPr="00597FFB">
        <w:rPr>
          <w:rFonts w:ascii="Times New Roman" w:eastAsiaTheme="minorHAnsi" w:hAnsi="Times New Roman" w:cs="Times New Roman"/>
          <w:color w:val="000000" w:themeColor="text1"/>
          <w:sz w:val="24"/>
          <w:szCs w:val="24"/>
        </w:rPr>
        <w:t>(Aboelmaged, 2021)</w:t>
      </w:r>
      <w:r w:rsidRPr="00597FFB">
        <w:rPr>
          <w:rFonts w:ascii="Times New Roman" w:eastAsia="Times New Roman" w:hAnsi="Times New Roman" w:cs="Times New Roman"/>
          <w:bCs/>
          <w:color w:val="000000" w:themeColor="text1"/>
          <w:sz w:val="24"/>
          <w:szCs w:val="24"/>
        </w:rPr>
        <w:t>.</w:t>
      </w:r>
    </w:p>
    <w:p w14:paraId="7F38AF61" w14:textId="77777777" w:rsidR="0003140E" w:rsidRPr="00597FFB" w:rsidRDefault="0003140E" w:rsidP="00A558FE">
      <w:pPr>
        <w:spacing w:line="480" w:lineRule="auto"/>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E-waste management is rapidly becoming a multistakeholder proposition in the MENA region. Governments have realized that promoting recycling and environmental stewardship is beneficial, particularly in Middle Eastern countries, where land use issues keep landfill space at a premium. However, plans have been developed to create a regional landfill to fully use this option </w:t>
      </w:r>
      <w:r w:rsidRPr="00597FFB">
        <w:rPr>
          <w:rFonts w:ascii="Times New Roman" w:eastAsiaTheme="minorHAnsi" w:hAnsi="Times New Roman" w:cs="Times New Roman"/>
          <w:color w:val="000000" w:themeColor="text1"/>
          <w:sz w:val="24"/>
        </w:rPr>
        <w:t>(Masud et al., 2019)</w:t>
      </w:r>
      <w:r w:rsidRPr="00597FFB">
        <w:rPr>
          <w:rFonts w:ascii="Times New Roman" w:eastAsia="Times New Roman" w:hAnsi="Times New Roman" w:cs="Times New Roman"/>
          <w:bCs/>
          <w:color w:val="000000" w:themeColor="text1"/>
          <w:sz w:val="24"/>
          <w:szCs w:val="24"/>
        </w:rPr>
        <w:t>.</w:t>
      </w:r>
      <w:r w:rsidRPr="00597FFB">
        <w:rPr>
          <w:rFonts w:eastAsiaTheme="minorHAnsi"/>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A regional landfill in this part of the world must consider many environmental factors including specific needs concerning soil, water, and ventilation </w:t>
      </w:r>
      <w:r w:rsidRPr="00597FFB">
        <w:rPr>
          <w:rFonts w:ascii="Times New Roman" w:eastAsiaTheme="minorHAnsi" w:hAnsi="Times New Roman" w:cs="Times New Roman"/>
          <w:color w:val="000000" w:themeColor="text1"/>
          <w:sz w:val="24"/>
        </w:rPr>
        <w:t>(Salem et al., 2018)</w:t>
      </w:r>
      <w:r w:rsidRPr="00597FFB">
        <w:rPr>
          <w:rFonts w:ascii="Times New Roman" w:eastAsia="Times New Roman" w:hAnsi="Times New Roman" w:cs="Times New Roman"/>
          <w:bCs/>
          <w:color w:val="000000" w:themeColor="text1"/>
          <w:sz w:val="24"/>
          <w:szCs w:val="24"/>
        </w:rPr>
        <w:t xml:space="preserve">, which pose significant threats to health and wellbeing of people and planet. </w:t>
      </w:r>
      <w:r w:rsidRPr="00597FFB">
        <w:rPr>
          <w:rFonts w:ascii="Times New Roman" w:eastAsiaTheme="minorHAnsi" w:hAnsi="Times New Roman" w:cs="Times New Roman"/>
          <w:color w:val="000000" w:themeColor="text1"/>
          <w:sz w:val="24"/>
          <w:szCs w:val="24"/>
        </w:rPr>
        <w:t>In a guide, Alghazo et al. (2019) suggested that Middle Eastern countries require proper e-waste management technology that offers appropriate removal of e-waste and revitalization of resources to be used in a new manufacturing cycle. Implementing this could potentially avert the problem of landfills.</w:t>
      </w:r>
    </w:p>
    <w:p w14:paraId="3CAD22F6" w14:textId="211E395F" w:rsidR="0003140E" w:rsidRPr="00597FFB" w:rsidRDefault="00094C77"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06" w:name="_Toc127170276"/>
      <w:r w:rsidRPr="00597FFB">
        <w:rPr>
          <w:rFonts w:ascii="Times New Roman" w:eastAsia="Calibri" w:hAnsi="Times New Roman" w:cs="Times New Roman"/>
          <w:i/>
          <w:iCs/>
          <w:color w:val="000000" w:themeColor="text1"/>
          <w:sz w:val="24"/>
          <w:szCs w:val="24"/>
        </w:rPr>
        <w:t xml:space="preserve">2.3.4. </w:t>
      </w:r>
      <w:r w:rsidR="0003140E" w:rsidRPr="00597FFB">
        <w:rPr>
          <w:rFonts w:ascii="Times New Roman" w:eastAsia="Calibri" w:hAnsi="Times New Roman" w:cs="Times New Roman"/>
          <w:i/>
          <w:iCs/>
          <w:color w:val="000000" w:themeColor="text1"/>
          <w:sz w:val="24"/>
          <w:szCs w:val="24"/>
        </w:rPr>
        <w:t>E</w:t>
      </w:r>
      <w:r w:rsidR="00450C49">
        <w:rPr>
          <w:rFonts w:ascii="Times New Roman" w:eastAsia="Calibri" w:hAnsi="Times New Roman" w:cs="Times New Roman"/>
          <w:i/>
          <w:iCs/>
          <w:color w:val="000000" w:themeColor="text1"/>
          <w:sz w:val="24"/>
          <w:szCs w:val="24"/>
        </w:rPr>
        <w:t>WM</w:t>
      </w:r>
      <w:r w:rsidR="0003140E" w:rsidRPr="00597FFB">
        <w:rPr>
          <w:rFonts w:ascii="Times New Roman" w:eastAsia="Calibri" w:hAnsi="Times New Roman" w:cs="Times New Roman"/>
          <w:i/>
          <w:iCs/>
          <w:color w:val="000000" w:themeColor="text1"/>
          <w:sz w:val="24"/>
          <w:szCs w:val="24"/>
        </w:rPr>
        <w:t xml:space="preserve"> in the UAE</w:t>
      </w:r>
      <w:r w:rsidR="00685040" w:rsidRPr="00597FFB">
        <w:rPr>
          <w:rFonts w:ascii="Times New Roman" w:eastAsia="Calibri" w:hAnsi="Times New Roman" w:cs="Times New Roman"/>
          <w:i/>
          <w:iCs/>
          <w:color w:val="000000" w:themeColor="text1"/>
          <w:sz w:val="24"/>
          <w:szCs w:val="24"/>
        </w:rPr>
        <w:t>.</w:t>
      </w:r>
      <w:bookmarkEnd w:id="106"/>
    </w:p>
    <w:p w14:paraId="5923019F" w14:textId="77777777" w:rsidR="0003140E" w:rsidRPr="00597FFB" w:rsidRDefault="0003140E" w:rsidP="00A558FE">
      <w:pPr>
        <w:widowControl w:val="0"/>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szCs w:val="24"/>
        </w:rPr>
        <w:t>In 2008, the UAE passed a law to control and preside over the reprocessing of cell phones. Similarly, Egypt and the UAE disposed of e-waste by providing income for recyclers who are available in their localities (Alghazo et al., 2019).</w:t>
      </w:r>
      <w:r w:rsidRPr="00597FFB">
        <w:rPr>
          <w:rFonts w:ascii="Times New Roman" w:eastAsia="Times New Roman" w:hAnsi="Times New Roman" w:cs="Times New Roman"/>
          <w:bCs/>
          <w:color w:val="000000" w:themeColor="text1"/>
          <w:sz w:val="24"/>
          <w:szCs w:val="24"/>
        </w:rPr>
        <w:t xml:space="preserve"> A report by </w:t>
      </w:r>
      <w:r w:rsidRPr="00597FFB">
        <w:rPr>
          <w:rFonts w:ascii="Times New Roman" w:eastAsiaTheme="minorHAnsi" w:hAnsi="Times New Roman" w:cs="Times New Roman"/>
          <w:color w:val="000000" w:themeColor="text1"/>
          <w:sz w:val="24"/>
          <w:szCs w:val="24"/>
        </w:rPr>
        <w:t>Jadalhaq and Alqodsi (2018)</w:t>
      </w:r>
      <w:r w:rsidRPr="00597FFB">
        <w:rPr>
          <w:rFonts w:ascii="Times New Roman" w:eastAsia="Times New Roman" w:hAnsi="Times New Roman" w:cs="Times New Roman"/>
          <w:bCs/>
          <w:color w:val="000000" w:themeColor="text1"/>
          <w:sz w:val="24"/>
          <w:szCs w:val="24"/>
        </w:rPr>
        <w:t xml:space="preserve"> revealed that Etisalat</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a telecommunications company of UAE origin and offering services in 16 countries in Asia and the MENA, held an environment, mobile phone, and e-waste collection campaign and gathered 40,000 mobile phones and 23 tons of other e-waste in the UAE at the beginning of 2009. This was a small fraction of the potentially available e-waste in the UAE. However, the report did not indicate the state of recycling within the UAE, which might indicate disinterest in collecting e-waste on a larger scale. Most of the accumulated e-waste is disposed in landfills or shipped to developing countries, such as India and China, for inappropriate disposal </w:t>
      </w:r>
      <w:r w:rsidRPr="00597FFB">
        <w:rPr>
          <w:rFonts w:ascii="Times New Roman" w:eastAsiaTheme="minorHAnsi" w:hAnsi="Times New Roman" w:cs="Times New Roman"/>
          <w:color w:val="000000" w:themeColor="text1"/>
          <w:sz w:val="24"/>
        </w:rPr>
        <w:t>(Zabala, 2019)</w:t>
      </w:r>
      <w:r w:rsidRPr="00597FFB">
        <w:rPr>
          <w:rFonts w:ascii="Times New Roman" w:eastAsia="Times New Roman" w:hAnsi="Times New Roman" w:cs="Times New Roman"/>
          <w:bCs/>
          <w:color w:val="000000" w:themeColor="text1"/>
          <w:sz w:val="24"/>
          <w:szCs w:val="24"/>
        </w:rPr>
        <w:t>.</w:t>
      </w:r>
      <w:r w:rsidRPr="00597FFB">
        <w:rPr>
          <w:rFonts w:ascii="Times New Roman" w:eastAsiaTheme="minorHAnsi" w:hAnsi="Times New Roman" w:cs="Times New Roman"/>
          <w:color w:val="000000" w:themeColor="text1"/>
          <w:sz w:val="24"/>
          <w:szCs w:val="24"/>
        </w:rPr>
        <w:t xml:space="preserve"> About a decade later in 2019, the UAE collected about 0.7 kilotons of e-waste and as mentioned earlier on, the UAE-based company, EnviroSource, collaborates with governments in the MENA region to properly manage and reprocess e-waste </w:t>
      </w:r>
      <w:r w:rsidRPr="00597FFB">
        <w:rPr>
          <w:rFonts w:ascii="Times New Roman" w:eastAsiaTheme="minorHAnsi" w:hAnsi="Times New Roman" w:cs="Times New Roman"/>
          <w:noProof/>
          <w:color w:val="000000" w:themeColor="text1"/>
          <w:sz w:val="24"/>
          <w:szCs w:val="24"/>
        </w:rPr>
        <w:t>(Iattoni, Vermeersch, Nnorom, Baldé, &amp; Kuehr, 2021)</w:t>
      </w:r>
      <w:sdt>
        <w:sdtPr>
          <w:rPr>
            <w:rFonts w:ascii="Times New Roman" w:eastAsiaTheme="minorHAnsi" w:hAnsi="Times New Roman" w:cs="Times New Roman"/>
            <w:color w:val="000000" w:themeColor="text1"/>
            <w:sz w:val="24"/>
            <w:szCs w:val="24"/>
          </w:rPr>
          <w:id w:val="250785744"/>
          <w:citation/>
        </w:sdtPr>
        <w:sdtContent/>
      </w:sdt>
      <w:r w:rsidRPr="00597FFB">
        <w:rPr>
          <w:rFonts w:ascii="Times New Roman" w:eastAsiaTheme="minorHAnsi" w:hAnsi="Times New Roman" w:cs="Times New Roman"/>
          <w:color w:val="000000" w:themeColor="text1"/>
          <w:sz w:val="24"/>
          <w:szCs w:val="24"/>
        </w:rPr>
        <w:t>.</w:t>
      </w:r>
    </w:p>
    <w:p w14:paraId="2F020AD4" w14:textId="049E778C"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EWM efforts in the UAE are in early stages of implementation. However, increasing consumer awareness and industrial development become intertwined with e-waste recycling </w:t>
      </w:r>
      <w:r w:rsidRPr="00597FFB">
        <w:rPr>
          <w:rFonts w:ascii="Times New Roman" w:eastAsiaTheme="minorHAnsi" w:hAnsi="Times New Roman" w:cs="Times New Roman"/>
          <w:color w:val="000000" w:themeColor="text1"/>
          <w:sz w:val="24"/>
        </w:rPr>
        <w:t>(Al Bloushi et al., 2020)</w:t>
      </w:r>
      <w:r w:rsidRPr="00597FFB">
        <w:rPr>
          <w:rFonts w:ascii="Times New Roman" w:eastAsia="Times New Roman" w:hAnsi="Times New Roman" w:cs="Times New Roman"/>
          <w:bCs/>
          <w:color w:val="000000" w:themeColor="text1"/>
          <w:sz w:val="24"/>
          <w:szCs w:val="24"/>
        </w:rPr>
        <w:t xml:space="preserve">. Although some companies have started campaigns to collect e-waste, local recycling initiatives have not been implemented. </w:t>
      </w:r>
      <w:r w:rsidRPr="00597FFB">
        <w:rPr>
          <w:rFonts w:ascii="Times New Roman" w:eastAsiaTheme="minorHAnsi" w:hAnsi="Times New Roman" w:cs="Times New Roman"/>
          <w:color w:val="000000" w:themeColor="text1"/>
          <w:sz w:val="24"/>
          <w:szCs w:val="24"/>
        </w:rPr>
        <w:t>Abdallah et al. (2021) suggest that this action entails that e-waste management in Middle Eastern countries is a discriminatory process that principally suppresses valuable, eco-friendly portions of IT e-waste and lacks appropriate disposal methods of nonrecyclable products. Thus, Ali et al. (2019)</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concludes that establishing a joint recycling service in the Arab world could likely be supported by a local group.</w:t>
      </w:r>
      <w:r w:rsidRPr="00597FFB">
        <w:rPr>
          <w:rFonts w:ascii="Times New Roman" w:eastAsia="Times New Roman" w:hAnsi="Times New Roman" w:cs="Times New Roman"/>
          <w:bCs/>
          <w:color w:val="000000" w:themeColor="text1"/>
          <w:sz w:val="24"/>
          <w:szCs w:val="24"/>
        </w:rPr>
        <w:t xml:space="preserve"> Accordingly, the UAE government has shown increasing interest in adopting solutions to address e-waste. For instance, the UAE is reported to have exported some 1 kiloton of e-waste in the form of electronic scrap that contained copper and precious metal compounds to the Republic of Korea in 2018 despite these challenges </w:t>
      </w:r>
      <w:r w:rsidRPr="00597FFB">
        <w:rPr>
          <w:rFonts w:ascii="Times New Roman" w:eastAsiaTheme="minorHAnsi" w:hAnsi="Times New Roman" w:cs="Times New Roman"/>
          <w:noProof/>
          <w:color w:val="000000" w:themeColor="text1"/>
          <w:sz w:val="24"/>
          <w:szCs w:val="24"/>
        </w:rPr>
        <w:t>(Iattoni, Vermeersch, Nnorom, Baldé, &amp; Kuehr, 2021)</w:t>
      </w:r>
      <w:r w:rsidRPr="00597FFB">
        <w:rPr>
          <w:rFonts w:ascii="Times New Roman" w:eastAsia="Times New Roman" w:hAnsi="Times New Roman" w:cs="Times New Roman"/>
          <w:bCs/>
          <w:color w:val="000000" w:themeColor="text1"/>
          <w:sz w:val="24"/>
          <w:szCs w:val="24"/>
        </w:rPr>
        <w:t>. Additionally, the UAE is constructing a facility at the Dubai Industrial Park, EnviroServe, to be the region’s primary center for managing e-waste in the Middle East. Its initial phase is to process 39 kilotons of e-waste annually</w:t>
      </w:r>
      <w:r w:rsidRPr="00597FFB">
        <w:rPr>
          <w:rFonts w:ascii="Times New Roman" w:eastAsiaTheme="minorHAnsi" w:hAnsi="Times New Roman" w:cs="Times New Roman"/>
          <w:color w:val="000000" w:themeColor="text1"/>
          <w:sz w:val="24"/>
          <w:szCs w:val="24"/>
        </w:rPr>
        <w:t xml:space="preserve"> (Abdallah et al., 2021). Furthermore, the UAE has been working towards launching the smartest, solar-powered e-waste bin in the world designed by Baharash Architecture, which is a London-based firm that develops innovative sustainable cities’ designs, to further aid in EWM </w:t>
      </w:r>
      <w:sdt>
        <w:sdtPr>
          <w:rPr>
            <w:rFonts w:ascii="Times New Roman" w:eastAsiaTheme="minorHAnsi" w:hAnsi="Times New Roman" w:cs="Times New Roman"/>
            <w:color w:val="000000" w:themeColor="text1"/>
            <w:sz w:val="24"/>
            <w:szCs w:val="24"/>
          </w:rPr>
          <w:id w:val="567236630"/>
          <w:citation/>
        </w:sdtPr>
        <w:sdtContent>
          <w:r w:rsidRPr="00597FFB">
            <w:rPr>
              <w:rFonts w:ascii="Times New Roman" w:eastAsiaTheme="minorHAnsi" w:hAnsi="Times New Roman" w:cs="Times New Roman"/>
              <w:color w:val="000000" w:themeColor="text1"/>
              <w:sz w:val="24"/>
              <w:szCs w:val="24"/>
            </w:rPr>
            <w:fldChar w:fldCharType="begin"/>
          </w:r>
          <w:r w:rsidRPr="00597FFB">
            <w:rPr>
              <w:rFonts w:ascii="Times New Roman" w:eastAsiaTheme="minorHAnsi" w:hAnsi="Times New Roman" w:cs="Times New Roman"/>
              <w:color w:val="000000" w:themeColor="text1"/>
              <w:sz w:val="24"/>
              <w:szCs w:val="24"/>
            </w:rPr>
            <w:instrText xml:space="preserve"> CITATION Att21 \l 1033 </w:instrText>
          </w:r>
          <w:r w:rsidRPr="00597FFB">
            <w:rPr>
              <w:rFonts w:ascii="Times New Roman" w:eastAsiaTheme="minorHAnsi" w:hAnsi="Times New Roman" w:cs="Times New Roman"/>
              <w:color w:val="000000" w:themeColor="text1"/>
              <w:sz w:val="24"/>
              <w:szCs w:val="24"/>
            </w:rPr>
            <w:fldChar w:fldCharType="separate"/>
          </w:r>
          <w:r w:rsidR="00F82F75" w:rsidRPr="00597FFB">
            <w:rPr>
              <w:rFonts w:ascii="Times New Roman" w:eastAsiaTheme="minorHAnsi" w:hAnsi="Times New Roman" w:cs="Times New Roman"/>
              <w:noProof/>
              <w:color w:val="000000" w:themeColor="text1"/>
              <w:sz w:val="24"/>
              <w:szCs w:val="24"/>
            </w:rPr>
            <w:t>(Attia, Soori, &amp; Ghaith, 2021)</w:t>
          </w:r>
          <w:r w:rsidRPr="00597FFB">
            <w:rPr>
              <w:rFonts w:ascii="Times New Roman" w:eastAsiaTheme="minorHAnsi" w:hAnsi="Times New Roman" w:cs="Times New Roman"/>
              <w:color w:val="000000" w:themeColor="text1"/>
              <w:sz w:val="24"/>
              <w:szCs w:val="24"/>
            </w:rPr>
            <w:fldChar w:fldCharType="end"/>
          </w:r>
        </w:sdtContent>
      </w:sdt>
      <w:r w:rsidRPr="00597FFB">
        <w:rPr>
          <w:rFonts w:ascii="Times New Roman" w:eastAsiaTheme="minorHAnsi" w:hAnsi="Times New Roman" w:cs="Times New Roman"/>
          <w:color w:val="000000" w:themeColor="text1"/>
          <w:sz w:val="24"/>
          <w:szCs w:val="24"/>
        </w:rPr>
        <w:t>.</w:t>
      </w:r>
    </w:p>
    <w:p w14:paraId="75FBCF75" w14:textId="2FDEC987" w:rsidR="0003140E" w:rsidRPr="00597FFB" w:rsidRDefault="0003140E" w:rsidP="00A558FE">
      <w:pPr>
        <w:spacing w:line="480" w:lineRule="auto"/>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The UAE has also inaugurated a sustainable economic development initiative as a top priority within the “Green Economic Agenda (2015-2030)” to become a leader in the transition to sustainable development. Other initiatives in the UAE involve the 2017 e-waste collection campaign that was driven by the business community and local authorities, such as the Dubai Internet City and Dubai Science Park (DSP), to collect nearly 2 tons of discarded electronics (e.g., laptops, printers, cameras, mobile phones) </w:t>
      </w:r>
      <w:r w:rsidRPr="00597FFB">
        <w:rPr>
          <w:rFonts w:ascii="Times New Roman" w:eastAsiaTheme="minorHAnsi" w:hAnsi="Times New Roman" w:cs="Times New Roman"/>
          <w:color w:val="000000" w:themeColor="text1"/>
          <w:sz w:val="24"/>
        </w:rPr>
        <w:t>(AlJaberi et al., 2020)</w:t>
      </w:r>
      <w:r w:rsidRPr="00597FFB">
        <w:rPr>
          <w:rFonts w:ascii="Times New Roman" w:eastAsia="Times New Roman" w:hAnsi="Times New Roman" w:cs="Times New Roman"/>
          <w:bCs/>
          <w:color w:val="000000" w:themeColor="text1"/>
          <w:sz w:val="24"/>
          <w:szCs w:val="24"/>
        </w:rPr>
        <w:t>.</w:t>
      </w:r>
    </w:p>
    <w:p w14:paraId="36A1773C" w14:textId="1F56B89D" w:rsidR="00465A8D" w:rsidRPr="00597FFB" w:rsidRDefault="0033320C" w:rsidP="00CC215B">
      <w:pPr>
        <w:pStyle w:val="Heading2"/>
        <w:spacing w:line="480" w:lineRule="auto"/>
        <w:rPr>
          <w:rFonts w:asciiTheme="majorBidi" w:hAnsiTheme="majorBidi"/>
          <w:b/>
          <w:bCs/>
          <w:color w:val="000000" w:themeColor="text1"/>
          <w:sz w:val="24"/>
          <w:szCs w:val="24"/>
        </w:rPr>
      </w:pPr>
      <w:bookmarkStart w:id="107" w:name="_Toc127170277"/>
      <w:r w:rsidRPr="00597FFB">
        <w:rPr>
          <w:rFonts w:asciiTheme="majorBidi" w:hAnsiTheme="majorBidi"/>
          <w:b/>
          <w:bCs/>
          <w:color w:val="000000" w:themeColor="text1"/>
          <w:sz w:val="24"/>
          <w:szCs w:val="24"/>
        </w:rPr>
        <w:t>2.4. E-waste Disposal</w:t>
      </w:r>
      <w:r w:rsidR="00CC215B" w:rsidRPr="00597FFB">
        <w:rPr>
          <w:rFonts w:asciiTheme="majorBidi" w:hAnsiTheme="majorBidi"/>
          <w:b/>
          <w:bCs/>
          <w:color w:val="000000" w:themeColor="text1"/>
          <w:sz w:val="24"/>
          <w:szCs w:val="24"/>
        </w:rPr>
        <w:t>.</w:t>
      </w:r>
      <w:bookmarkEnd w:id="107"/>
    </w:p>
    <w:p w14:paraId="7765729A" w14:textId="1B414602"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several developing countries such as India, the Philippines, Vietnam, and Cambodia, e-waste is disposed of in landfills </w:t>
      </w:r>
      <w:r w:rsidR="00641B70" w:rsidRPr="00597FFB">
        <w:rPr>
          <w:rFonts w:ascii="Times New Roman" w:eastAsia="Times New Roman" w:hAnsi="Times New Roman" w:cs="Times New Roman"/>
          <w:bCs/>
          <w:color w:val="000000" w:themeColor="text1"/>
          <w:sz w:val="24"/>
          <w:szCs w:val="24"/>
        </w:rPr>
        <w:t>together</w:t>
      </w:r>
      <w:r w:rsidRPr="00597FFB">
        <w:rPr>
          <w:rFonts w:ascii="Times New Roman" w:eastAsia="Times New Roman" w:hAnsi="Times New Roman" w:cs="Times New Roman"/>
          <w:bCs/>
          <w:color w:val="000000" w:themeColor="text1"/>
          <w:sz w:val="24"/>
          <w:szCs w:val="24"/>
        </w:rPr>
        <w:t xml:space="preserve"> with other</w:t>
      </w:r>
      <w:r w:rsidR="00641B70" w:rsidRPr="00597FFB">
        <w:rPr>
          <w:rFonts w:ascii="Times New Roman" w:eastAsia="Times New Roman" w:hAnsi="Times New Roman" w:cs="Times New Roman"/>
          <w:bCs/>
          <w:color w:val="000000" w:themeColor="text1"/>
          <w:sz w:val="24"/>
          <w:szCs w:val="24"/>
        </w:rPr>
        <w:t xml:space="preserve"> forms of</w:t>
      </w:r>
      <w:r w:rsidRPr="00597FFB">
        <w:rPr>
          <w:rFonts w:ascii="Times New Roman" w:eastAsia="Times New Roman" w:hAnsi="Times New Roman" w:cs="Times New Roman"/>
          <w:bCs/>
          <w:color w:val="000000" w:themeColor="text1"/>
          <w:sz w:val="24"/>
          <w:szCs w:val="24"/>
        </w:rPr>
        <w:t xml:space="preserve"> municipal waste, dumped or burned in open spaces. These practices </w:t>
      </w:r>
      <w:r w:rsidR="00496725" w:rsidRPr="00597FFB">
        <w:rPr>
          <w:rFonts w:ascii="Times New Roman" w:eastAsia="Times New Roman" w:hAnsi="Times New Roman" w:cs="Times New Roman"/>
          <w:bCs/>
          <w:color w:val="000000" w:themeColor="text1"/>
          <w:sz w:val="24"/>
          <w:szCs w:val="24"/>
        </w:rPr>
        <w:t xml:space="preserve">have been flagged for </w:t>
      </w:r>
      <w:r w:rsidRPr="00597FFB">
        <w:rPr>
          <w:rFonts w:ascii="Times New Roman" w:eastAsia="Times New Roman" w:hAnsi="Times New Roman" w:cs="Times New Roman"/>
          <w:bCs/>
          <w:color w:val="000000" w:themeColor="text1"/>
          <w:sz w:val="24"/>
          <w:szCs w:val="24"/>
        </w:rPr>
        <w:t>releas</w:t>
      </w:r>
      <w:r w:rsidR="00496725" w:rsidRPr="00597FFB">
        <w:rPr>
          <w:rFonts w:ascii="Times New Roman" w:eastAsia="Times New Roman" w:hAnsi="Times New Roman" w:cs="Times New Roman"/>
          <w:bCs/>
          <w:color w:val="000000" w:themeColor="text1"/>
          <w:sz w:val="24"/>
          <w:szCs w:val="24"/>
        </w:rPr>
        <w:t>ing</w:t>
      </w:r>
      <w:r w:rsidRPr="00597FFB">
        <w:rPr>
          <w:rFonts w:ascii="Times New Roman" w:eastAsia="Times New Roman" w:hAnsi="Times New Roman" w:cs="Times New Roman"/>
          <w:bCs/>
          <w:color w:val="000000" w:themeColor="text1"/>
          <w:sz w:val="24"/>
          <w:szCs w:val="24"/>
        </w:rPr>
        <w:t xml:space="preserve"> </w:t>
      </w:r>
      <w:r w:rsidR="00496725" w:rsidRPr="00597FFB">
        <w:rPr>
          <w:rFonts w:ascii="Times New Roman" w:eastAsia="Times New Roman" w:hAnsi="Times New Roman" w:cs="Times New Roman"/>
          <w:bCs/>
          <w:color w:val="000000" w:themeColor="text1"/>
          <w:sz w:val="24"/>
          <w:szCs w:val="24"/>
        </w:rPr>
        <w:t xml:space="preserve">toxic </w:t>
      </w:r>
      <w:r w:rsidRPr="00597FFB">
        <w:rPr>
          <w:rFonts w:ascii="Times New Roman" w:eastAsia="Times New Roman" w:hAnsi="Times New Roman" w:cs="Times New Roman"/>
          <w:bCs/>
          <w:color w:val="000000" w:themeColor="text1"/>
          <w:sz w:val="24"/>
          <w:szCs w:val="24"/>
        </w:rPr>
        <w:t xml:space="preserve">and </w:t>
      </w:r>
      <w:r w:rsidR="00496725" w:rsidRPr="00597FFB">
        <w:rPr>
          <w:rFonts w:ascii="Times New Roman" w:eastAsia="Times New Roman" w:hAnsi="Times New Roman" w:cs="Times New Roman"/>
          <w:bCs/>
          <w:color w:val="000000" w:themeColor="text1"/>
          <w:sz w:val="24"/>
          <w:szCs w:val="24"/>
        </w:rPr>
        <w:t xml:space="preserve">carcinogenic </w:t>
      </w:r>
      <w:r w:rsidRPr="00597FFB">
        <w:rPr>
          <w:rFonts w:ascii="Times New Roman" w:eastAsia="Times New Roman" w:hAnsi="Times New Roman" w:cs="Times New Roman"/>
          <w:bCs/>
          <w:color w:val="000000" w:themeColor="text1"/>
          <w:sz w:val="24"/>
          <w:szCs w:val="24"/>
        </w:rPr>
        <w:t xml:space="preserve">substances into the environment </w:t>
      </w:r>
      <w:r w:rsidRPr="00597FFB">
        <w:rPr>
          <w:rFonts w:ascii="Times New Roman" w:eastAsiaTheme="minorHAnsi" w:hAnsi="Times New Roman" w:cs="Times New Roman"/>
          <w:color w:val="000000" w:themeColor="text1"/>
          <w:sz w:val="24"/>
        </w:rPr>
        <w:t>(Borthakur &amp; Govind, 2017)</w:t>
      </w:r>
      <w:r w:rsidRPr="00597FFB">
        <w:rPr>
          <w:rFonts w:ascii="Times New Roman" w:eastAsia="Times New Roman" w:hAnsi="Times New Roman" w:cs="Times New Roman"/>
          <w:bCs/>
          <w:color w:val="000000" w:themeColor="text1"/>
          <w:sz w:val="24"/>
          <w:szCs w:val="24"/>
        </w:rPr>
        <w:t>.</w:t>
      </w:r>
    </w:p>
    <w:p w14:paraId="09EA862B" w14:textId="7FACEB1F" w:rsidR="0003140E" w:rsidRPr="00597FFB" w:rsidRDefault="00496725" w:rsidP="00496725">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Besides </w:t>
      </w:r>
      <w:r w:rsidR="0003140E" w:rsidRPr="00597FFB">
        <w:rPr>
          <w:rFonts w:ascii="Times New Roman" w:eastAsia="Times New Roman" w:hAnsi="Times New Roman" w:cs="Times New Roman"/>
          <w:bCs/>
          <w:color w:val="000000" w:themeColor="text1"/>
          <w:sz w:val="24"/>
          <w:szCs w:val="24"/>
        </w:rPr>
        <w:t xml:space="preserve">direct disposal, informal recycling </w:t>
      </w:r>
      <w:r w:rsidRPr="00597FFB">
        <w:rPr>
          <w:rFonts w:ascii="Times New Roman" w:eastAsia="Times New Roman" w:hAnsi="Times New Roman" w:cs="Times New Roman"/>
          <w:bCs/>
          <w:color w:val="000000" w:themeColor="text1"/>
          <w:sz w:val="24"/>
          <w:szCs w:val="24"/>
        </w:rPr>
        <w:t>has been</w:t>
      </w:r>
      <w:r w:rsidR="0003140E" w:rsidRPr="00597FFB">
        <w:rPr>
          <w:rFonts w:ascii="Times New Roman" w:eastAsia="Times New Roman" w:hAnsi="Times New Roman" w:cs="Times New Roman"/>
          <w:bCs/>
          <w:color w:val="000000" w:themeColor="text1"/>
          <w:sz w:val="24"/>
          <w:szCs w:val="24"/>
        </w:rPr>
        <w:t xml:space="preserve"> used </w:t>
      </w:r>
      <w:r w:rsidRPr="00597FFB">
        <w:rPr>
          <w:rFonts w:ascii="Times New Roman" w:eastAsia="Times New Roman" w:hAnsi="Times New Roman" w:cs="Times New Roman"/>
          <w:bCs/>
          <w:color w:val="000000" w:themeColor="text1"/>
          <w:sz w:val="24"/>
          <w:szCs w:val="24"/>
        </w:rPr>
        <w:t>for recovery of</w:t>
      </w:r>
      <w:r w:rsidR="0003140E" w:rsidRPr="00597FFB">
        <w:rPr>
          <w:rFonts w:ascii="Times New Roman" w:eastAsia="Times New Roman" w:hAnsi="Times New Roman" w:cs="Times New Roman"/>
          <w:bCs/>
          <w:color w:val="000000" w:themeColor="text1"/>
          <w:sz w:val="24"/>
          <w:szCs w:val="24"/>
        </w:rPr>
        <w:t xml:space="preserve"> ‘valuable’ </w:t>
      </w:r>
      <w:r w:rsidRPr="00597FFB">
        <w:rPr>
          <w:rFonts w:ascii="Times New Roman" w:eastAsia="Times New Roman" w:hAnsi="Times New Roman" w:cs="Times New Roman"/>
          <w:bCs/>
          <w:color w:val="000000" w:themeColor="text1"/>
          <w:sz w:val="24"/>
          <w:szCs w:val="24"/>
        </w:rPr>
        <w:t>metal components</w:t>
      </w:r>
      <w:r w:rsidR="0003140E" w:rsidRPr="00597FFB">
        <w:rPr>
          <w:rFonts w:ascii="Times New Roman" w:eastAsia="Times New Roman" w:hAnsi="Times New Roman" w:cs="Times New Roman"/>
          <w:bCs/>
          <w:color w:val="000000" w:themeColor="text1"/>
          <w:sz w:val="24"/>
          <w:szCs w:val="24"/>
        </w:rPr>
        <w:t xml:space="preserve"> (such as gold, </w:t>
      </w:r>
      <w:r w:rsidRPr="00597FFB">
        <w:rPr>
          <w:rFonts w:ascii="Times New Roman" w:eastAsia="Times New Roman" w:hAnsi="Times New Roman" w:cs="Times New Roman"/>
          <w:bCs/>
          <w:color w:val="000000" w:themeColor="text1"/>
          <w:sz w:val="24"/>
          <w:szCs w:val="24"/>
        </w:rPr>
        <w:t xml:space="preserve">aluminum, and </w:t>
      </w:r>
      <w:r w:rsidR="0003140E" w:rsidRPr="00597FFB">
        <w:rPr>
          <w:rFonts w:ascii="Times New Roman" w:eastAsia="Times New Roman" w:hAnsi="Times New Roman" w:cs="Times New Roman"/>
          <w:bCs/>
          <w:color w:val="000000" w:themeColor="text1"/>
          <w:sz w:val="24"/>
          <w:szCs w:val="24"/>
        </w:rPr>
        <w:t xml:space="preserve">silver) </w:t>
      </w:r>
      <w:r w:rsidRPr="00597FFB">
        <w:rPr>
          <w:rFonts w:ascii="Times New Roman" w:eastAsia="Times New Roman" w:hAnsi="Times New Roman" w:cs="Times New Roman"/>
          <w:bCs/>
          <w:color w:val="000000" w:themeColor="text1"/>
          <w:sz w:val="24"/>
          <w:szCs w:val="24"/>
        </w:rPr>
        <w:t>through</w:t>
      </w:r>
      <w:r w:rsidR="0003140E" w:rsidRPr="00597FFB">
        <w:rPr>
          <w:rFonts w:ascii="Times New Roman" w:eastAsia="Times New Roman" w:hAnsi="Times New Roman" w:cs="Times New Roman"/>
          <w:bCs/>
          <w:color w:val="000000" w:themeColor="text1"/>
          <w:sz w:val="24"/>
          <w:szCs w:val="24"/>
        </w:rPr>
        <w:t xml:space="preserve"> rudimentary </w:t>
      </w:r>
      <w:r w:rsidRPr="00597FFB">
        <w:rPr>
          <w:rFonts w:ascii="Times New Roman" w:eastAsia="Times New Roman" w:hAnsi="Times New Roman" w:cs="Times New Roman"/>
          <w:bCs/>
          <w:color w:val="000000" w:themeColor="text1"/>
          <w:sz w:val="24"/>
          <w:szCs w:val="24"/>
        </w:rPr>
        <w:t>techniques</w:t>
      </w:r>
      <w:r w:rsidR="0003140E" w:rsidRPr="00597FFB">
        <w:rPr>
          <w:rFonts w:ascii="Times New Roman" w:eastAsia="Times New Roman" w:hAnsi="Times New Roman" w:cs="Times New Roman"/>
          <w:bCs/>
          <w:color w:val="000000" w:themeColor="text1"/>
          <w:sz w:val="24"/>
          <w:szCs w:val="24"/>
        </w:rPr>
        <w:t xml:space="preserve"> in most </w:t>
      </w:r>
      <w:r w:rsidRPr="00597FFB">
        <w:rPr>
          <w:rFonts w:ascii="Times New Roman" w:eastAsia="Times New Roman" w:hAnsi="Times New Roman" w:cs="Times New Roman"/>
          <w:bCs/>
          <w:color w:val="000000" w:themeColor="text1"/>
          <w:sz w:val="24"/>
          <w:szCs w:val="24"/>
        </w:rPr>
        <w:t xml:space="preserve">transitional </w:t>
      </w:r>
      <w:r w:rsidR="0003140E"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 xml:space="preserve">developing </w:t>
      </w:r>
      <w:r w:rsidR="0003140E" w:rsidRPr="00597FFB">
        <w:rPr>
          <w:rFonts w:ascii="Times New Roman" w:eastAsia="Times New Roman" w:hAnsi="Times New Roman" w:cs="Times New Roman"/>
          <w:bCs/>
          <w:color w:val="000000" w:themeColor="text1"/>
          <w:sz w:val="24"/>
          <w:szCs w:val="24"/>
        </w:rPr>
        <w:t xml:space="preserve">countries. </w:t>
      </w:r>
      <w:r w:rsidRPr="00597FFB">
        <w:rPr>
          <w:rFonts w:ascii="Times New Roman" w:eastAsia="Times New Roman" w:hAnsi="Times New Roman" w:cs="Times New Roman"/>
          <w:bCs/>
          <w:color w:val="000000" w:themeColor="text1"/>
          <w:sz w:val="24"/>
          <w:szCs w:val="24"/>
        </w:rPr>
        <w:t>Contrastingly,</w:t>
      </w:r>
      <w:r w:rsidR="0003140E" w:rsidRPr="00597FFB">
        <w:rPr>
          <w:rFonts w:ascii="Times New Roman" w:eastAsia="Times New Roman" w:hAnsi="Times New Roman" w:cs="Times New Roman"/>
          <w:bCs/>
          <w:color w:val="000000" w:themeColor="text1"/>
          <w:sz w:val="24"/>
          <w:szCs w:val="24"/>
        </w:rPr>
        <w:t xml:space="preserve"> the formal recycling that </w:t>
      </w:r>
      <w:r w:rsidRPr="00597FFB">
        <w:rPr>
          <w:rFonts w:ascii="Times New Roman" w:eastAsia="Times New Roman" w:hAnsi="Times New Roman" w:cs="Times New Roman"/>
          <w:bCs/>
          <w:color w:val="000000" w:themeColor="text1"/>
          <w:sz w:val="24"/>
          <w:szCs w:val="24"/>
        </w:rPr>
        <w:t>happens</w:t>
      </w:r>
      <w:r w:rsidR="0003140E" w:rsidRPr="00597FFB">
        <w:rPr>
          <w:rFonts w:ascii="Times New Roman" w:eastAsia="Times New Roman" w:hAnsi="Times New Roman" w:cs="Times New Roman"/>
          <w:bCs/>
          <w:color w:val="000000" w:themeColor="text1"/>
          <w:sz w:val="24"/>
          <w:szCs w:val="24"/>
        </w:rPr>
        <w:t xml:space="preserve"> in several developed </w:t>
      </w:r>
      <w:r w:rsidRPr="00597FFB">
        <w:rPr>
          <w:rFonts w:ascii="Times New Roman" w:eastAsia="Times New Roman" w:hAnsi="Times New Roman" w:cs="Times New Roman"/>
          <w:bCs/>
          <w:color w:val="000000" w:themeColor="text1"/>
          <w:sz w:val="24"/>
          <w:szCs w:val="24"/>
        </w:rPr>
        <w:t>nations</w:t>
      </w:r>
      <w:r w:rsidR="0003140E" w:rsidRPr="00597FFB">
        <w:rPr>
          <w:rFonts w:ascii="Times New Roman" w:eastAsia="Times New Roman" w:hAnsi="Times New Roman" w:cs="Times New Roman"/>
          <w:bCs/>
          <w:color w:val="000000" w:themeColor="text1"/>
          <w:sz w:val="24"/>
          <w:szCs w:val="24"/>
        </w:rPr>
        <w:t xml:space="preserve"> with </w:t>
      </w:r>
      <w:r w:rsidRPr="00597FFB">
        <w:rPr>
          <w:rFonts w:ascii="Times New Roman" w:eastAsia="Times New Roman" w:hAnsi="Times New Roman" w:cs="Times New Roman"/>
          <w:bCs/>
          <w:color w:val="000000" w:themeColor="text1"/>
          <w:sz w:val="24"/>
          <w:szCs w:val="24"/>
        </w:rPr>
        <w:t>different</w:t>
      </w:r>
      <w:r w:rsidR="0003140E" w:rsidRPr="00597FFB">
        <w:rPr>
          <w:rFonts w:ascii="Times New Roman" w:eastAsia="Times New Roman" w:hAnsi="Times New Roman" w:cs="Times New Roman"/>
          <w:bCs/>
          <w:color w:val="000000" w:themeColor="text1"/>
          <w:sz w:val="24"/>
          <w:szCs w:val="24"/>
        </w:rPr>
        <w:t xml:space="preserve"> degrees of formalization in the processes involved </w:t>
      </w:r>
      <w:r w:rsidR="0003140E" w:rsidRPr="00597FFB">
        <w:rPr>
          <w:rFonts w:ascii="Times New Roman" w:eastAsiaTheme="minorHAnsi" w:hAnsi="Times New Roman" w:cs="Times New Roman"/>
          <w:color w:val="000000" w:themeColor="text1"/>
          <w:sz w:val="24"/>
        </w:rPr>
        <w:t>(Jayaraman et al., 2019)</w:t>
      </w:r>
      <w:r w:rsidR="0003140E" w:rsidRPr="00597FFB">
        <w:rPr>
          <w:rFonts w:ascii="Times New Roman" w:eastAsia="Times New Roman" w:hAnsi="Times New Roman" w:cs="Times New Roman"/>
          <w:bCs/>
          <w:color w:val="000000" w:themeColor="text1"/>
          <w:sz w:val="24"/>
          <w:szCs w:val="24"/>
        </w:rPr>
        <w:t xml:space="preserve">. For </w:t>
      </w:r>
      <w:r w:rsidRPr="00597FFB">
        <w:rPr>
          <w:rFonts w:ascii="Times New Roman" w:eastAsia="Times New Roman" w:hAnsi="Times New Roman" w:cs="Times New Roman"/>
          <w:bCs/>
          <w:color w:val="000000" w:themeColor="text1"/>
          <w:sz w:val="24"/>
          <w:szCs w:val="24"/>
        </w:rPr>
        <w:t>example</w:t>
      </w:r>
      <w:r w:rsidR="0003140E" w:rsidRPr="00597FFB">
        <w:rPr>
          <w:rFonts w:ascii="Times New Roman" w:eastAsia="Times New Roman" w:hAnsi="Times New Roman" w:cs="Times New Roman"/>
          <w:bCs/>
          <w:color w:val="000000" w:themeColor="text1"/>
          <w:sz w:val="24"/>
          <w:szCs w:val="24"/>
        </w:rPr>
        <w:t xml:space="preserve">, formal </w:t>
      </w:r>
      <w:r w:rsidRPr="00597FFB">
        <w:rPr>
          <w:rFonts w:ascii="Times New Roman" w:eastAsia="Times New Roman" w:hAnsi="Times New Roman" w:cs="Times New Roman"/>
          <w:bCs/>
          <w:color w:val="000000" w:themeColor="text1"/>
          <w:sz w:val="24"/>
          <w:szCs w:val="24"/>
        </w:rPr>
        <w:t xml:space="preserve">e-waste </w:t>
      </w:r>
      <w:r w:rsidR="0003140E" w:rsidRPr="00597FFB">
        <w:rPr>
          <w:rFonts w:ascii="Times New Roman" w:eastAsia="Times New Roman" w:hAnsi="Times New Roman" w:cs="Times New Roman"/>
          <w:bCs/>
          <w:color w:val="000000" w:themeColor="text1"/>
          <w:sz w:val="24"/>
          <w:szCs w:val="24"/>
        </w:rPr>
        <w:t xml:space="preserve">recycling using </w:t>
      </w:r>
      <w:r w:rsidRPr="00597FFB">
        <w:rPr>
          <w:rFonts w:ascii="Times New Roman" w:eastAsia="Times New Roman" w:hAnsi="Times New Roman" w:cs="Times New Roman"/>
          <w:bCs/>
          <w:color w:val="000000" w:themeColor="text1"/>
          <w:sz w:val="24"/>
          <w:szCs w:val="24"/>
        </w:rPr>
        <w:t>hi-tech</w:t>
      </w:r>
      <w:r w:rsidR="0003140E" w:rsidRPr="00597FFB">
        <w:rPr>
          <w:rFonts w:ascii="Times New Roman" w:eastAsia="Times New Roman" w:hAnsi="Times New Roman" w:cs="Times New Roman"/>
          <w:bCs/>
          <w:color w:val="000000" w:themeColor="text1"/>
          <w:sz w:val="24"/>
          <w:szCs w:val="24"/>
        </w:rPr>
        <w:t xml:space="preserve"> technology </w:t>
      </w:r>
      <w:r w:rsidRPr="00597FFB">
        <w:rPr>
          <w:rFonts w:ascii="Times New Roman" w:eastAsia="Times New Roman" w:hAnsi="Times New Roman" w:cs="Times New Roman"/>
          <w:bCs/>
          <w:color w:val="000000" w:themeColor="text1"/>
          <w:sz w:val="24"/>
          <w:szCs w:val="24"/>
        </w:rPr>
        <w:t xml:space="preserve">in the EU </w:t>
      </w:r>
      <w:r w:rsidR="0003140E" w:rsidRPr="00597FFB">
        <w:rPr>
          <w:rFonts w:ascii="Times New Roman" w:eastAsia="Times New Roman" w:hAnsi="Times New Roman" w:cs="Times New Roman"/>
          <w:bCs/>
          <w:color w:val="000000" w:themeColor="text1"/>
          <w:sz w:val="24"/>
          <w:szCs w:val="24"/>
        </w:rPr>
        <w:t xml:space="preserve">is approximately 40%, 24-28% in </w:t>
      </w:r>
      <w:r w:rsidRPr="00597FFB">
        <w:rPr>
          <w:rFonts w:ascii="Times New Roman" w:eastAsia="Times New Roman" w:hAnsi="Times New Roman" w:cs="Times New Roman"/>
          <w:bCs/>
          <w:color w:val="000000" w:themeColor="text1"/>
          <w:sz w:val="24"/>
          <w:szCs w:val="24"/>
        </w:rPr>
        <w:t xml:space="preserve">Japan </w:t>
      </w:r>
      <w:r w:rsidR="0003140E" w:rsidRPr="00597FFB">
        <w:rPr>
          <w:rFonts w:ascii="Times New Roman" w:eastAsia="Times New Roman" w:hAnsi="Times New Roman" w:cs="Times New Roman"/>
          <w:bCs/>
          <w:color w:val="000000" w:themeColor="text1"/>
          <w:sz w:val="24"/>
          <w:szCs w:val="24"/>
        </w:rPr>
        <w:t>and</w:t>
      </w:r>
      <w:r w:rsidRPr="00597FFB">
        <w:rPr>
          <w:rFonts w:ascii="Times New Roman" w:eastAsia="Times New Roman" w:hAnsi="Times New Roman" w:cs="Times New Roman"/>
          <w:bCs/>
          <w:color w:val="000000" w:themeColor="text1"/>
          <w:sz w:val="24"/>
          <w:szCs w:val="24"/>
        </w:rPr>
        <w:t xml:space="preserve"> China</w:t>
      </w:r>
      <w:r w:rsidR="0003140E" w:rsidRPr="00597FFB">
        <w:rPr>
          <w:rFonts w:ascii="Times New Roman" w:eastAsia="Times New Roman" w:hAnsi="Times New Roman" w:cs="Times New Roman"/>
          <w:bCs/>
          <w:color w:val="000000" w:themeColor="text1"/>
          <w:sz w:val="24"/>
          <w:szCs w:val="24"/>
        </w:rPr>
        <w:t>, 12% in the USA and Canada, and 1% in Australia. Less formalization involves collectin</w:t>
      </w:r>
      <w:r w:rsidRPr="00597FFB">
        <w:rPr>
          <w:rFonts w:ascii="Times New Roman" w:eastAsia="Times New Roman" w:hAnsi="Times New Roman" w:cs="Times New Roman"/>
          <w:bCs/>
          <w:color w:val="000000" w:themeColor="text1"/>
          <w:sz w:val="24"/>
          <w:szCs w:val="24"/>
        </w:rPr>
        <w:t>g</w:t>
      </w:r>
      <w:r w:rsidR="0003140E" w:rsidRPr="00597FFB">
        <w:rPr>
          <w:rFonts w:ascii="Times New Roman" w:eastAsia="Times New Roman" w:hAnsi="Times New Roman" w:cs="Times New Roman"/>
          <w:bCs/>
          <w:color w:val="000000" w:themeColor="text1"/>
          <w:sz w:val="24"/>
          <w:szCs w:val="24"/>
        </w:rPr>
        <w:t xml:space="preserve"> and dismantling</w:t>
      </w:r>
      <w:r w:rsidRPr="00597FFB">
        <w:rPr>
          <w:rFonts w:ascii="Times New Roman" w:eastAsia="Times New Roman" w:hAnsi="Times New Roman" w:cs="Times New Roman"/>
          <w:bCs/>
          <w:color w:val="000000" w:themeColor="text1"/>
          <w:sz w:val="24"/>
          <w:szCs w:val="24"/>
        </w:rPr>
        <w:t xml:space="preserve"> in an organized manner and exporting the</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parts </w:t>
      </w:r>
      <w:r w:rsidR="0003140E"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 xml:space="preserve">products </w:t>
      </w:r>
      <w:r w:rsidR="0003140E" w:rsidRPr="00597FFB">
        <w:rPr>
          <w:rFonts w:ascii="Times New Roman" w:eastAsia="Times New Roman" w:hAnsi="Times New Roman" w:cs="Times New Roman"/>
          <w:bCs/>
          <w:color w:val="000000" w:themeColor="text1"/>
          <w:sz w:val="24"/>
          <w:szCs w:val="24"/>
        </w:rPr>
        <w:t xml:space="preserve">to developing countries for </w:t>
      </w:r>
      <w:r w:rsidRPr="00597FFB">
        <w:rPr>
          <w:rFonts w:ascii="Times New Roman" w:eastAsia="Times New Roman" w:hAnsi="Times New Roman" w:cs="Times New Roman"/>
          <w:bCs/>
          <w:color w:val="000000" w:themeColor="text1"/>
          <w:sz w:val="24"/>
          <w:szCs w:val="24"/>
        </w:rPr>
        <w:t xml:space="preserve">informal recycling, reuse, or </w:t>
      </w:r>
      <w:r w:rsidR="0003140E" w:rsidRPr="00597FFB">
        <w:rPr>
          <w:rFonts w:ascii="Times New Roman" w:eastAsia="Times New Roman" w:hAnsi="Times New Roman" w:cs="Times New Roman"/>
          <w:bCs/>
          <w:color w:val="000000" w:themeColor="text1"/>
          <w:sz w:val="24"/>
          <w:szCs w:val="24"/>
        </w:rPr>
        <w:t xml:space="preserve">resale </w:t>
      </w:r>
      <w:r w:rsidR="0003140E" w:rsidRPr="00597FFB">
        <w:rPr>
          <w:rFonts w:ascii="Times New Roman" w:eastAsiaTheme="minorHAnsi" w:hAnsi="Times New Roman" w:cs="Times New Roman"/>
          <w:color w:val="000000" w:themeColor="text1"/>
          <w:sz w:val="24"/>
        </w:rPr>
        <w:t>(Wang et al., 2020)</w:t>
      </w:r>
      <w:r w:rsidR="0003140E" w:rsidRPr="00597FFB">
        <w:rPr>
          <w:rFonts w:ascii="Times New Roman" w:eastAsia="Times New Roman" w:hAnsi="Times New Roman" w:cs="Times New Roman"/>
          <w:bCs/>
          <w:color w:val="000000" w:themeColor="text1"/>
          <w:sz w:val="24"/>
          <w:szCs w:val="24"/>
        </w:rPr>
        <w:t>.</w:t>
      </w:r>
    </w:p>
    <w:p w14:paraId="0529DBCB" w14:textId="187D71AE"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The </w:t>
      </w:r>
      <w:r w:rsidR="00E44EB2" w:rsidRPr="00597FFB">
        <w:rPr>
          <w:rFonts w:ascii="Times New Roman" w:eastAsia="Times New Roman" w:hAnsi="Times New Roman" w:cs="Times New Roman"/>
          <w:bCs/>
          <w:color w:val="000000" w:themeColor="text1"/>
          <w:sz w:val="24"/>
          <w:szCs w:val="24"/>
        </w:rPr>
        <w:t xml:space="preserve">recycling rates </w:t>
      </w:r>
      <w:r w:rsidRPr="00597FFB">
        <w:rPr>
          <w:rFonts w:ascii="Times New Roman" w:eastAsia="Times New Roman" w:hAnsi="Times New Roman" w:cs="Times New Roman"/>
          <w:bCs/>
          <w:color w:val="000000" w:themeColor="text1"/>
          <w:sz w:val="24"/>
          <w:szCs w:val="24"/>
        </w:rPr>
        <w:t xml:space="preserve">or the </w:t>
      </w:r>
      <w:r w:rsidR="00E44EB2" w:rsidRPr="00597FFB">
        <w:rPr>
          <w:rFonts w:ascii="Times New Roman" w:eastAsia="Times New Roman" w:hAnsi="Times New Roman" w:cs="Times New Roman"/>
          <w:bCs/>
          <w:color w:val="000000" w:themeColor="text1"/>
          <w:sz w:val="24"/>
          <w:szCs w:val="24"/>
        </w:rPr>
        <w:t xml:space="preserve">decisions to recycle </w:t>
      </w:r>
      <w:r w:rsidRPr="00597FFB">
        <w:rPr>
          <w:rFonts w:ascii="Times New Roman" w:eastAsia="Times New Roman" w:hAnsi="Times New Roman" w:cs="Times New Roman"/>
          <w:bCs/>
          <w:color w:val="000000" w:themeColor="text1"/>
          <w:sz w:val="24"/>
          <w:szCs w:val="24"/>
        </w:rPr>
        <w:t>specific products depend</w:t>
      </w:r>
      <w:r w:rsidR="00E44EB2" w:rsidRPr="00597FFB">
        <w:rPr>
          <w:rFonts w:ascii="Times New Roman" w:eastAsia="Times New Roman" w:hAnsi="Times New Roman" w:cs="Times New Roman"/>
          <w:bCs/>
          <w:color w:val="000000" w:themeColor="text1"/>
          <w:sz w:val="24"/>
          <w:szCs w:val="24"/>
        </w:rPr>
        <w:t>s</w:t>
      </w:r>
      <w:r w:rsidRPr="00597FFB">
        <w:rPr>
          <w:rFonts w:ascii="Times New Roman" w:eastAsia="Times New Roman" w:hAnsi="Times New Roman" w:cs="Times New Roman"/>
          <w:bCs/>
          <w:color w:val="000000" w:themeColor="text1"/>
          <w:sz w:val="24"/>
          <w:szCs w:val="24"/>
        </w:rPr>
        <w:t xml:space="preserve"> on three principal factors </w:t>
      </w:r>
      <w:r w:rsidRPr="00597FFB">
        <w:rPr>
          <w:rFonts w:ascii="Times New Roman" w:eastAsiaTheme="minorHAnsi" w:hAnsi="Times New Roman" w:cs="Times New Roman"/>
          <w:color w:val="000000" w:themeColor="text1"/>
          <w:sz w:val="24"/>
        </w:rPr>
        <w:t>(Kumar, 2019)</w:t>
      </w:r>
      <w:r w:rsidRPr="00597FFB">
        <w:rPr>
          <w:rFonts w:ascii="Times New Roman" w:eastAsia="Times New Roman" w:hAnsi="Times New Roman" w:cs="Times New Roman"/>
          <w:bCs/>
          <w:color w:val="000000" w:themeColor="text1"/>
          <w:sz w:val="24"/>
          <w:szCs w:val="24"/>
        </w:rPr>
        <w:t xml:space="preserve">. The first one is the value of recovered material. The second factor is the ease of collection (e.g., a </w:t>
      </w:r>
      <w:r w:rsidR="00E44EB2" w:rsidRPr="00597FFB">
        <w:rPr>
          <w:rFonts w:ascii="Times New Roman" w:eastAsia="Times New Roman" w:hAnsi="Times New Roman" w:cs="Times New Roman"/>
          <w:bCs/>
          <w:color w:val="000000" w:themeColor="text1"/>
          <w:sz w:val="24"/>
          <w:szCs w:val="24"/>
        </w:rPr>
        <w:t>huge</w:t>
      </w:r>
      <w:r w:rsidRPr="00597FFB">
        <w:rPr>
          <w:rFonts w:ascii="Times New Roman" w:eastAsia="Times New Roman" w:hAnsi="Times New Roman" w:cs="Times New Roman"/>
          <w:bCs/>
          <w:color w:val="000000" w:themeColor="text1"/>
          <w:sz w:val="24"/>
          <w:szCs w:val="24"/>
        </w:rPr>
        <w:t xml:space="preserve"> number of dispersed collection sites increase the collection costs and, thus, make collection unattractive). The third factor was convenience and benefits of disposal for customers </w:t>
      </w:r>
      <w:r w:rsidRPr="00597FFB">
        <w:rPr>
          <w:rFonts w:ascii="Times New Roman" w:eastAsiaTheme="minorHAnsi" w:hAnsi="Times New Roman" w:cs="Times New Roman"/>
          <w:color w:val="000000" w:themeColor="text1"/>
          <w:sz w:val="24"/>
        </w:rPr>
        <w:t>(Kumar, 2019)</w:t>
      </w:r>
      <w:r w:rsidRPr="00597FFB">
        <w:rPr>
          <w:rFonts w:ascii="Times New Roman" w:eastAsia="Times New Roman" w:hAnsi="Times New Roman" w:cs="Times New Roman"/>
          <w:bCs/>
          <w:color w:val="000000" w:themeColor="text1"/>
          <w:sz w:val="24"/>
          <w:szCs w:val="24"/>
        </w:rPr>
        <w:t xml:space="preserve">. </w:t>
      </w:r>
    </w:p>
    <w:p w14:paraId="14722EC7" w14:textId="18AF1894" w:rsidR="0008340D"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Global estimates indicate that the fate of e-waste is unidentified </w:t>
      </w:r>
      <w:r w:rsidRPr="00597FFB">
        <w:rPr>
          <w:rFonts w:ascii="Times New Roman" w:eastAsiaTheme="minorHAnsi" w:hAnsi="Times New Roman" w:cs="Times New Roman"/>
          <w:color w:val="000000" w:themeColor="text1"/>
          <w:sz w:val="24"/>
        </w:rPr>
        <w:t>(Nasrollahi et al., 2020)</w:t>
      </w:r>
      <w:r w:rsidRPr="00597FFB">
        <w:rPr>
          <w:rFonts w:ascii="Times New Roman" w:eastAsia="Times New Roman" w:hAnsi="Times New Roman" w:cs="Times New Roman"/>
          <w:bCs/>
          <w:color w:val="000000" w:themeColor="text1"/>
          <w:sz w:val="24"/>
          <w:szCs w:val="24"/>
        </w:rPr>
        <w:t xml:space="preserve">. </w:t>
      </w:r>
      <w:r w:rsidR="002F4A65" w:rsidRPr="00597FFB">
        <w:rPr>
          <w:rFonts w:ascii="Times New Roman" w:eastAsia="Times New Roman" w:hAnsi="Times New Roman" w:cs="Times New Roman"/>
          <w:bCs/>
          <w:color w:val="000000" w:themeColor="text1"/>
          <w:sz w:val="24"/>
          <w:szCs w:val="24"/>
        </w:rPr>
        <w:t>Out of all the</w:t>
      </w:r>
      <w:r w:rsidRPr="00597FFB">
        <w:rPr>
          <w:rFonts w:ascii="Times New Roman" w:eastAsia="Times New Roman" w:hAnsi="Times New Roman" w:cs="Times New Roman"/>
          <w:bCs/>
          <w:color w:val="000000" w:themeColor="text1"/>
          <w:sz w:val="24"/>
          <w:szCs w:val="24"/>
        </w:rPr>
        <w:t xml:space="preserve"> e-waste produced</w:t>
      </w:r>
      <w:r w:rsidR="002F4A65" w:rsidRPr="00597FFB">
        <w:rPr>
          <w:rFonts w:ascii="Times New Roman" w:eastAsia="Times New Roman" w:hAnsi="Times New Roman" w:cs="Times New Roman"/>
          <w:bCs/>
          <w:color w:val="000000" w:themeColor="text1"/>
          <w:sz w:val="24"/>
          <w:szCs w:val="24"/>
        </w:rPr>
        <w:t xml:space="preserve"> globally</w:t>
      </w:r>
      <w:r w:rsidRPr="00597FFB">
        <w:rPr>
          <w:rFonts w:ascii="Times New Roman" w:eastAsia="Times New Roman" w:hAnsi="Times New Roman" w:cs="Times New Roman"/>
          <w:bCs/>
          <w:color w:val="000000" w:themeColor="text1"/>
          <w:sz w:val="24"/>
          <w:szCs w:val="24"/>
        </w:rPr>
        <w:t xml:space="preserve"> in 2014, only </w:t>
      </w:r>
      <w:r w:rsidR="002F4A65" w:rsidRPr="00597FFB">
        <w:rPr>
          <w:rFonts w:ascii="Times New Roman" w:eastAsia="Times New Roman" w:hAnsi="Times New Roman" w:cs="Times New Roman"/>
          <w:bCs/>
          <w:color w:val="000000" w:themeColor="text1"/>
          <w:sz w:val="24"/>
          <w:szCs w:val="24"/>
        </w:rPr>
        <w:t xml:space="preserve">about </w:t>
      </w:r>
      <w:r w:rsidRPr="00597FFB">
        <w:rPr>
          <w:rFonts w:ascii="Times New Roman" w:eastAsia="Times New Roman" w:hAnsi="Times New Roman" w:cs="Times New Roman"/>
          <w:bCs/>
          <w:color w:val="000000" w:themeColor="text1"/>
          <w:sz w:val="24"/>
          <w:szCs w:val="24"/>
        </w:rPr>
        <w:t xml:space="preserve">16% (6.5 Mt) was reported to be </w:t>
      </w:r>
      <w:r w:rsidR="002F4A65" w:rsidRPr="00597FFB">
        <w:rPr>
          <w:rFonts w:ascii="Times New Roman" w:eastAsia="Times New Roman" w:hAnsi="Times New Roman" w:cs="Times New Roman"/>
          <w:bCs/>
          <w:color w:val="000000" w:themeColor="text1"/>
          <w:sz w:val="24"/>
          <w:szCs w:val="24"/>
        </w:rPr>
        <w:t xml:space="preserve">collected and recycled </w:t>
      </w:r>
      <w:r w:rsidRPr="00597FFB">
        <w:rPr>
          <w:rFonts w:ascii="Times New Roman" w:eastAsia="Times New Roman" w:hAnsi="Times New Roman" w:cs="Times New Roman"/>
          <w:bCs/>
          <w:color w:val="000000" w:themeColor="text1"/>
          <w:sz w:val="24"/>
          <w:szCs w:val="24"/>
        </w:rPr>
        <w:t>formally, while the</w:t>
      </w:r>
      <w:r w:rsidR="002F4A65" w:rsidRPr="00597FFB">
        <w:rPr>
          <w:rFonts w:ascii="Times New Roman" w:eastAsia="Times New Roman" w:hAnsi="Times New Roman" w:cs="Times New Roman"/>
          <w:bCs/>
          <w:color w:val="000000" w:themeColor="text1"/>
          <w:sz w:val="24"/>
          <w:szCs w:val="24"/>
        </w:rPr>
        <w:t xml:space="preserve"> fate of the</w:t>
      </w:r>
      <w:r w:rsidRPr="00597FFB">
        <w:rPr>
          <w:rFonts w:ascii="Times New Roman" w:eastAsia="Times New Roman" w:hAnsi="Times New Roman" w:cs="Times New Roman"/>
          <w:bCs/>
          <w:color w:val="000000" w:themeColor="text1"/>
          <w:sz w:val="24"/>
          <w:szCs w:val="24"/>
        </w:rPr>
        <w:t xml:space="preserve"> remaining 84% (35.2 Mt) </w:t>
      </w:r>
      <w:r w:rsidR="002F4A65" w:rsidRPr="00597FFB">
        <w:rPr>
          <w:rFonts w:ascii="Times New Roman" w:eastAsia="Times New Roman" w:hAnsi="Times New Roman" w:cs="Times New Roman"/>
          <w:bCs/>
          <w:color w:val="000000" w:themeColor="text1"/>
          <w:sz w:val="24"/>
          <w:szCs w:val="24"/>
        </w:rPr>
        <w:t>remained unknown</w:t>
      </w:r>
      <w:r w:rsidRPr="00597FFB">
        <w:rPr>
          <w:rFonts w:ascii="Times New Roman" w:eastAsia="Times New Roman" w:hAnsi="Times New Roman" w:cs="Times New Roman"/>
          <w:bCs/>
          <w:color w:val="000000" w:themeColor="text1"/>
          <w:sz w:val="24"/>
          <w:szCs w:val="24"/>
        </w:rPr>
        <w:t xml:space="preserve">. Similarly, in 2016, only 20% (8.9 Mt) of the total e-waste was collected and treated formally, while 4% (1.7 Mt) was disposed in the landfill. The fate of the remaining 76% (34.1 Mt) remained unidentified. The e-waste that was sent to municipal waste was possibly disposed of in landfills and/or incinerated, while the unidentified e-waste could have been stockpiled, dumped, and recycled using informal methods, or exported to developing countries </w:t>
      </w:r>
      <w:r w:rsidRPr="00597FFB">
        <w:rPr>
          <w:rFonts w:ascii="Times New Roman" w:eastAsiaTheme="minorHAnsi" w:hAnsi="Times New Roman" w:cs="Times New Roman"/>
          <w:color w:val="000000" w:themeColor="text1"/>
          <w:sz w:val="24"/>
        </w:rPr>
        <w:t>(Khan et al., 2019)</w:t>
      </w:r>
      <w:r w:rsidRPr="00597FFB">
        <w:rPr>
          <w:rFonts w:ascii="Times New Roman" w:eastAsia="Times New Roman" w:hAnsi="Times New Roman" w:cs="Times New Roman"/>
          <w:bCs/>
          <w:color w:val="000000" w:themeColor="text1"/>
          <w:sz w:val="24"/>
          <w:szCs w:val="24"/>
        </w:rPr>
        <w:t xml:space="preserve">. In 2019, about 82.6% (44.3 Mt) of the e-waste generated globally was unidentified with only 17.4% (9.33 Mt) being collected formally (Forti et al., 2020), as shown in Table </w:t>
      </w:r>
      <w:r w:rsidR="00CF27C4" w:rsidRPr="00597FFB">
        <w:rPr>
          <w:rFonts w:ascii="Times New Roman" w:eastAsia="Times New Roman" w:hAnsi="Times New Roman" w:cs="Times New Roman"/>
          <w:bCs/>
          <w:color w:val="000000" w:themeColor="text1"/>
          <w:sz w:val="24"/>
          <w:szCs w:val="24"/>
        </w:rPr>
        <w:t>8</w:t>
      </w:r>
      <w:r w:rsidRPr="00597FFB">
        <w:rPr>
          <w:rFonts w:ascii="Times New Roman" w:eastAsia="Times New Roman" w:hAnsi="Times New Roman" w:cs="Times New Roman"/>
          <w:bCs/>
          <w:color w:val="000000" w:themeColor="text1"/>
          <w:sz w:val="24"/>
          <w:szCs w:val="24"/>
        </w:rPr>
        <w:t xml:space="preserve"> below. Table </w:t>
      </w:r>
      <w:r w:rsidR="00CF27C4" w:rsidRPr="00597FFB">
        <w:rPr>
          <w:rFonts w:ascii="Times New Roman" w:eastAsia="Times New Roman" w:hAnsi="Times New Roman" w:cs="Times New Roman"/>
          <w:bCs/>
          <w:color w:val="000000" w:themeColor="text1"/>
          <w:sz w:val="24"/>
          <w:szCs w:val="24"/>
        </w:rPr>
        <w:t>8</w:t>
      </w:r>
      <w:r w:rsidRPr="00597FFB">
        <w:rPr>
          <w:rFonts w:ascii="Times New Roman" w:eastAsia="Times New Roman" w:hAnsi="Times New Roman" w:cs="Times New Roman"/>
          <w:bCs/>
          <w:color w:val="000000" w:themeColor="text1"/>
          <w:sz w:val="24"/>
          <w:szCs w:val="24"/>
        </w:rPr>
        <w:t xml:space="preserve"> </w:t>
      </w:r>
      <w:r w:rsidR="00CF27C4" w:rsidRPr="00597FFB">
        <w:rPr>
          <w:rFonts w:ascii="Times New Roman" w:eastAsia="Times New Roman" w:hAnsi="Times New Roman" w:cs="Times New Roman"/>
          <w:bCs/>
          <w:color w:val="000000" w:themeColor="text1"/>
          <w:sz w:val="24"/>
          <w:szCs w:val="24"/>
        </w:rPr>
        <w:t>shows</w:t>
      </w:r>
      <w:r w:rsidRPr="00597FFB">
        <w:rPr>
          <w:rFonts w:ascii="Times New Roman" w:eastAsia="Times New Roman" w:hAnsi="Times New Roman" w:cs="Times New Roman"/>
          <w:bCs/>
          <w:color w:val="000000" w:themeColor="text1"/>
          <w:sz w:val="24"/>
          <w:szCs w:val="24"/>
        </w:rPr>
        <w:t xml:space="preserve"> data for formally collected e-waste and unidentified e-waste only covers the years 2014, 2016 and 2019. For these years, the percentage of unidentified e-waste is significantly higher than that of e-waste collected formally.</w:t>
      </w:r>
    </w:p>
    <w:p w14:paraId="45193A9C" w14:textId="5BF8A598" w:rsidR="0003140E" w:rsidRPr="00597FFB" w:rsidRDefault="0003140E" w:rsidP="00E00FEE">
      <w:pPr>
        <w:keepNext/>
        <w:spacing w:after="0" w:line="240" w:lineRule="auto"/>
        <w:ind w:left="1350" w:hanging="1350"/>
        <w:rPr>
          <w:rFonts w:ascii="Times New Roman" w:eastAsiaTheme="minorHAnsi" w:hAnsi="Times New Roman" w:cs="Times New Roman"/>
          <w:color w:val="000000" w:themeColor="text1"/>
        </w:rPr>
      </w:pPr>
      <w:r w:rsidRPr="00597FFB">
        <w:rPr>
          <w:rFonts w:ascii="Times New Roman" w:eastAsiaTheme="minorHAnsi" w:hAnsi="Times New Roman" w:cs="Times New Roman"/>
          <w:b/>
          <w:bCs/>
          <w:color w:val="000000" w:themeColor="text1"/>
        </w:rPr>
        <w:t xml:space="preserve">Table </w:t>
      </w:r>
      <w:r w:rsidR="00F94996" w:rsidRPr="00597FFB">
        <w:rPr>
          <w:rFonts w:ascii="Times New Roman" w:eastAsiaTheme="minorHAnsi" w:hAnsi="Times New Roman" w:cs="Times New Roman"/>
          <w:b/>
          <w:bCs/>
          <w:color w:val="000000" w:themeColor="text1"/>
        </w:rPr>
        <w:t>8</w:t>
      </w:r>
      <w:r w:rsidRPr="00597FFB">
        <w:rPr>
          <w:rFonts w:ascii="Times New Roman" w:eastAsiaTheme="minorHAnsi" w:hAnsi="Times New Roman" w:cs="Times New Roman"/>
          <w:b/>
          <w:bCs/>
          <w:color w:val="000000" w:themeColor="text1"/>
        </w:rPr>
        <w:t>:</w:t>
      </w:r>
      <w:r w:rsidRPr="00597FFB">
        <w:rPr>
          <w:rFonts w:ascii="Times New Roman" w:eastAsiaTheme="minorHAnsi" w:hAnsi="Times New Roman" w:cs="Times New Roman"/>
          <w:color w:val="000000" w:themeColor="text1"/>
        </w:rPr>
        <w:t xml:space="preserve"> </w:t>
      </w:r>
      <w:r w:rsidRPr="00597FFB">
        <w:rPr>
          <w:rFonts w:ascii="Times New Roman" w:eastAsiaTheme="minorHAnsi" w:hAnsi="Times New Roman" w:cs="Times New Roman"/>
          <w:i/>
          <w:iCs/>
          <w:color w:val="000000" w:themeColor="text1"/>
        </w:rPr>
        <w:t xml:space="preserve">Formally collected versus unidentified e-waste globally for the years 2014, 2016, and </w:t>
      </w:r>
      <w:r w:rsidR="00685040" w:rsidRPr="00597FFB">
        <w:rPr>
          <w:rFonts w:ascii="Times New Roman" w:eastAsiaTheme="minorHAnsi" w:hAnsi="Times New Roman" w:cs="Times New Roman"/>
          <w:i/>
          <w:iCs/>
          <w:color w:val="000000" w:themeColor="text1"/>
        </w:rPr>
        <w:t>2019.</w:t>
      </w:r>
    </w:p>
    <w:tbl>
      <w:tblPr>
        <w:tblStyle w:val="TableGrid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2869"/>
        <w:gridCol w:w="2637"/>
      </w:tblGrid>
      <w:tr w:rsidR="0003140E" w:rsidRPr="00597FFB" w14:paraId="3F23505A" w14:textId="77777777" w:rsidTr="001E19F2">
        <w:trPr>
          <w:jc w:val="center"/>
        </w:trPr>
        <w:tc>
          <w:tcPr>
            <w:tcW w:w="816" w:type="dxa"/>
            <w:tcBorders>
              <w:top w:val="single" w:sz="4" w:space="0" w:color="auto"/>
              <w:bottom w:val="single" w:sz="4" w:space="0" w:color="auto"/>
            </w:tcBorders>
          </w:tcPr>
          <w:p w14:paraId="73EA4BE9"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Year</w:t>
            </w:r>
          </w:p>
        </w:tc>
        <w:tc>
          <w:tcPr>
            <w:tcW w:w="2869" w:type="dxa"/>
            <w:tcBorders>
              <w:top w:val="single" w:sz="4" w:space="0" w:color="auto"/>
              <w:bottom w:val="single" w:sz="4" w:space="0" w:color="auto"/>
            </w:tcBorders>
          </w:tcPr>
          <w:p w14:paraId="7E6F104B"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Formally Collected</w:t>
            </w:r>
          </w:p>
        </w:tc>
        <w:tc>
          <w:tcPr>
            <w:tcW w:w="2637" w:type="dxa"/>
            <w:tcBorders>
              <w:top w:val="single" w:sz="4" w:space="0" w:color="auto"/>
              <w:bottom w:val="single" w:sz="4" w:space="0" w:color="auto"/>
            </w:tcBorders>
          </w:tcPr>
          <w:p w14:paraId="05D107C2"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Unidentified</w:t>
            </w:r>
          </w:p>
        </w:tc>
      </w:tr>
      <w:tr w:rsidR="0003140E" w:rsidRPr="00597FFB" w14:paraId="2534D6F3" w14:textId="77777777" w:rsidTr="001E19F2">
        <w:trPr>
          <w:jc w:val="center"/>
        </w:trPr>
        <w:tc>
          <w:tcPr>
            <w:tcW w:w="816" w:type="dxa"/>
            <w:tcBorders>
              <w:top w:val="single" w:sz="4" w:space="0" w:color="auto"/>
            </w:tcBorders>
          </w:tcPr>
          <w:p w14:paraId="48CE7359" w14:textId="77777777" w:rsidR="0003140E" w:rsidRPr="00597FFB" w:rsidRDefault="0003140E" w:rsidP="0003140E">
            <w:pPr>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2014</w:t>
            </w:r>
          </w:p>
        </w:tc>
        <w:tc>
          <w:tcPr>
            <w:tcW w:w="2869" w:type="dxa"/>
            <w:tcBorders>
              <w:top w:val="single" w:sz="4" w:space="0" w:color="auto"/>
            </w:tcBorders>
          </w:tcPr>
          <w:p w14:paraId="332BF154"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16% (6.5 Mt)</w:t>
            </w:r>
          </w:p>
        </w:tc>
        <w:tc>
          <w:tcPr>
            <w:tcW w:w="2637" w:type="dxa"/>
            <w:tcBorders>
              <w:top w:val="single" w:sz="4" w:space="0" w:color="auto"/>
            </w:tcBorders>
          </w:tcPr>
          <w:p w14:paraId="37D5EEBF"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84% (35.2 Mt)</w:t>
            </w:r>
          </w:p>
        </w:tc>
      </w:tr>
      <w:tr w:rsidR="0003140E" w:rsidRPr="00597FFB" w14:paraId="5D7E3F5D" w14:textId="77777777" w:rsidTr="001E19F2">
        <w:trPr>
          <w:jc w:val="center"/>
        </w:trPr>
        <w:tc>
          <w:tcPr>
            <w:tcW w:w="816" w:type="dxa"/>
          </w:tcPr>
          <w:p w14:paraId="7726FFA4" w14:textId="77777777" w:rsidR="0003140E" w:rsidRPr="00597FFB" w:rsidRDefault="0003140E" w:rsidP="0003140E">
            <w:pPr>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2016</w:t>
            </w:r>
          </w:p>
        </w:tc>
        <w:tc>
          <w:tcPr>
            <w:tcW w:w="2869" w:type="dxa"/>
          </w:tcPr>
          <w:p w14:paraId="2E2A2ED7"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20% (8.9 Mt)</w:t>
            </w:r>
          </w:p>
        </w:tc>
        <w:tc>
          <w:tcPr>
            <w:tcW w:w="2637" w:type="dxa"/>
          </w:tcPr>
          <w:p w14:paraId="2353B61D"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76% (34.1 Mt)</w:t>
            </w:r>
          </w:p>
        </w:tc>
      </w:tr>
      <w:tr w:rsidR="0003140E" w:rsidRPr="00597FFB" w14:paraId="222B9450" w14:textId="77777777" w:rsidTr="001E19F2">
        <w:trPr>
          <w:jc w:val="center"/>
        </w:trPr>
        <w:tc>
          <w:tcPr>
            <w:tcW w:w="816" w:type="dxa"/>
          </w:tcPr>
          <w:p w14:paraId="4F51C1E7" w14:textId="77777777" w:rsidR="0003140E" w:rsidRPr="00597FFB" w:rsidRDefault="0003140E" w:rsidP="0003140E">
            <w:pPr>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2019</w:t>
            </w:r>
          </w:p>
        </w:tc>
        <w:tc>
          <w:tcPr>
            <w:tcW w:w="2869" w:type="dxa"/>
          </w:tcPr>
          <w:p w14:paraId="0E88A312"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17.4% (9.33 Mt)</w:t>
            </w:r>
          </w:p>
        </w:tc>
        <w:tc>
          <w:tcPr>
            <w:tcW w:w="2637" w:type="dxa"/>
          </w:tcPr>
          <w:p w14:paraId="2AE4AF73" w14:textId="77777777" w:rsidR="0003140E" w:rsidRPr="00597FFB" w:rsidRDefault="0003140E" w:rsidP="0003140E">
            <w:pPr>
              <w:jc w:val="both"/>
              <w:rPr>
                <w:rFonts w:asciiTheme="majorBidi" w:eastAsia="Times New Roman" w:hAnsiTheme="majorBidi" w:cstheme="majorBidi"/>
                <w:bCs/>
                <w:color w:val="000000" w:themeColor="text1"/>
                <w:sz w:val="20"/>
                <w:szCs w:val="20"/>
              </w:rPr>
            </w:pPr>
            <w:r w:rsidRPr="00597FFB">
              <w:rPr>
                <w:rFonts w:asciiTheme="majorBidi" w:eastAsia="Times New Roman" w:hAnsiTheme="majorBidi" w:cstheme="majorBidi"/>
                <w:bCs/>
                <w:color w:val="000000" w:themeColor="text1"/>
                <w:sz w:val="20"/>
                <w:szCs w:val="20"/>
              </w:rPr>
              <w:t>82.6% (44.3 Mt)</w:t>
            </w:r>
          </w:p>
        </w:tc>
      </w:tr>
    </w:tbl>
    <w:p w14:paraId="7CE58A1D" w14:textId="77777777" w:rsidR="0003140E" w:rsidRPr="00597FFB" w:rsidRDefault="0003140E" w:rsidP="0003140E">
      <w:pPr>
        <w:spacing w:after="0" w:line="480" w:lineRule="auto"/>
        <w:rPr>
          <w:rFonts w:ascii="Times New Roman" w:eastAsia="Times New Roman" w:hAnsi="Times New Roman" w:cs="Times New Roman"/>
          <w:bCs/>
          <w:i/>
          <w:iCs/>
          <w:color w:val="000000" w:themeColor="text1"/>
          <w:sz w:val="20"/>
          <w:szCs w:val="20"/>
        </w:rPr>
      </w:pPr>
      <w:r w:rsidRPr="00597FFB">
        <w:rPr>
          <w:rFonts w:ascii="Times New Roman" w:eastAsia="Times New Roman" w:hAnsi="Times New Roman" w:cs="Times New Roman"/>
          <w:bCs/>
          <w:i/>
          <w:iCs/>
          <w:color w:val="000000" w:themeColor="text1"/>
          <w:sz w:val="20"/>
          <w:szCs w:val="20"/>
        </w:rPr>
        <w:t>Source: Khan et al. (2019, p. 50) and Forti et al. (2020, p. 23)</w:t>
      </w:r>
    </w:p>
    <w:p w14:paraId="01340FE4" w14:textId="4AC6C9DB"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Similar discrepancies are noted across Asia where powerful economies of industrialized countries (e.g., South Korea and Japan) or in oil-based economies in Arabia (e.g., Saudi Arabia, Oman, UAE, and Kuwait) generate significantly higher amounts of e-waste than the global average compared with the large emerging economies of China and India. The UAE is the richest country in the Arabian Peninsula, and its wealth contributes to it having one of the highest domestic e-waste generation rates compared with the much poorer surrounding countries (above 10 kg. per capita/yr.) </w:t>
      </w:r>
      <w:r w:rsidRPr="00597FFB">
        <w:rPr>
          <w:rFonts w:ascii="Times New Roman" w:eastAsiaTheme="minorHAnsi" w:hAnsi="Times New Roman" w:cs="Times New Roman"/>
          <w:color w:val="000000" w:themeColor="text1"/>
          <w:sz w:val="24"/>
        </w:rPr>
        <w:t>(Alghazo et al., 2019)</w:t>
      </w:r>
      <w:r w:rsidRPr="00597FFB">
        <w:rPr>
          <w:rFonts w:ascii="Times New Roman" w:eastAsia="Times New Roman" w:hAnsi="Times New Roman" w:cs="Times New Roman"/>
          <w:bCs/>
          <w:color w:val="000000" w:themeColor="text1"/>
          <w:sz w:val="24"/>
          <w:szCs w:val="24"/>
        </w:rPr>
        <w:t xml:space="preserve">. Indeed, Iatonni et al. (2021) reported that there is a positive correlation between GDP per capita and the e-waste generated in kilograms per inhabitant. Data extracted from Iatonni et al. (2021) and GDP per capita data from The World Bank Group (2022) were used to develop the statistics shown in Figure </w:t>
      </w:r>
      <w:r w:rsidR="00B549F2" w:rsidRPr="00597FFB">
        <w:rPr>
          <w:rFonts w:ascii="Times New Roman" w:eastAsia="Times New Roman" w:hAnsi="Times New Roman" w:cs="Times New Roman"/>
          <w:bCs/>
          <w:color w:val="000000" w:themeColor="text1"/>
          <w:sz w:val="24"/>
          <w:szCs w:val="24"/>
        </w:rPr>
        <w:t>4</w:t>
      </w:r>
      <w:r w:rsidRPr="00597FFB">
        <w:rPr>
          <w:rFonts w:ascii="Times New Roman" w:eastAsia="Times New Roman" w:hAnsi="Times New Roman" w:cs="Times New Roman"/>
          <w:bCs/>
          <w:color w:val="000000" w:themeColor="text1"/>
          <w:sz w:val="24"/>
          <w:szCs w:val="24"/>
        </w:rPr>
        <w:t xml:space="preserve"> to illustrate this relationship between GDP per capita in each country and e-waste generated per inhabitant annually in countries in the MENA region for the year 2019.</w:t>
      </w:r>
    </w:p>
    <w:p w14:paraId="3B85C661" w14:textId="2A432307" w:rsidR="00DC6527" w:rsidRDefault="0003140E" w:rsidP="00E57D0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As shown in Figure </w:t>
      </w:r>
      <w:r w:rsidR="00F81483" w:rsidRPr="00597FFB">
        <w:rPr>
          <w:rFonts w:ascii="Times New Roman" w:eastAsia="Times New Roman" w:hAnsi="Times New Roman" w:cs="Times New Roman"/>
          <w:bCs/>
          <w:color w:val="000000" w:themeColor="text1"/>
          <w:sz w:val="24"/>
          <w:szCs w:val="24"/>
        </w:rPr>
        <w:t>4</w:t>
      </w:r>
      <w:r w:rsidRPr="00597FFB">
        <w:rPr>
          <w:rFonts w:ascii="Times New Roman" w:eastAsia="Times New Roman" w:hAnsi="Times New Roman" w:cs="Times New Roman"/>
          <w:bCs/>
          <w:color w:val="000000" w:themeColor="text1"/>
          <w:sz w:val="24"/>
          <w:szCs w:val="24"/>
        </w:rPr>
        <w:t xml:space="preserve"> </w:t>
      </w:r>
      <w:r w:rsidR="006423BF" w:rsidRPr="00597FFB">
        <w:rPr>
          <w:rFonts w:ascii="Times New Roman" w:eastAsia="Times New Roman" w:hAnsi="Times New Roman" w:cs="Times New Roman"/>
          <w:bCs/>
          <w:color w:val="000000" w:themeColor="text1"/>
          <w:sz w:val="24"/>
          <w:szCs w:val="24"/>
        </w:rPr>
        <w:t>below</w:t>
      </w:r>
      <w:r w:rsidRPr="00597FFB">
        <w:rPr>
          <w:rFonts w:ascii="Times New Roman" w:eastAsia="Times New Roman" w:hAnsi="Times New Roman" w:cs="Times New Roman"/>
          <w:bCs/>
          <w:color w:val="000000" w:themeColor="text1"/>
          <w:sz w:val="24"/>
          <w:szCs w:val="24"/>
        </w:rPr>
        <w:t xml:space="preserve">, there is a trend denoting a relationship between GDP per capita and the amount of e-waste generated in kilograms per person per year. In other words, Figure 4 shows that countries with higher GDP per capita tend to record higher amounts of e-waste generated by inhabitants per year and vice versa. Consumers can contribute to the management of used EEE in three possible ways. These include disposing into municipal waste, informal disposal, and formal disposal. They are discussed in the three subsections below. </w:t>
      </w:r>
    </w:p>
    <w:p w14:paraId="53BEEA2E" w14:textId="77777777" w:rsidR="00E57D0E" w:rsidRDefault="00E57D0E" w:rsidP="00E57D0E">
      <w:pPr>
        <w:spacing w:line="480" w:lineRule="auto"/>
        <w:ind w:firstLine="720"/>
        <w:jc w:val="both"/>
        <w:rPr>
          <w:rFonts w:ascii="Times New Roman" w:eastAsia="Times New Roman" w:hAnsi="Times New Roman" w:cs="Times New Roman"/>
          <w:bCs/>
          <w:color w:val="000000" w:themeColor="text1"/>
          <w:sz w:val="24"/>
          <w:szCs w:val="24"/>
        </w:rPr>
      </w:pPr>
    </w:p>
    <w:p w14:paraId="1C1A864F" w14:textId="77777777" w:rsidR="00E57D0E" w:rsidRPr="00597FFB" w:rsidRDefault="00E57D0E" w:rsidP="00E57D0E">
      <w:pPr>
        <w:spacing w:line="480" w:lineRule="auto"/>
        <w:ind w:firstLine="720"/>
        <w:jc w:val="both"/>
        <w:rPr>
          <w:rFonts w:ascii="Times New Roman" w:eastAsia="Times New Roman" w:hAnsi="Times New Roman" w:cs="Times New Roman"/>
          <w:bCs/>
          <w:color w:val="000000" w:themeColor="text1"/>
          <w:sz w:val="24"/>
          <w:szCs w:val="24"/>
        </w:rPr>
      </w:pPr>
    </w:p>
    <w:p w14:paraId="014B176B" w14:textId="76AB88F5" w:rsidR="0003140E" w:rsidRPr="00597FFB" w:rsidRDefault="006423BF"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08" w:name="_Toc127170278"/>
      <w:r w:rsidRPr="00597FFB">
        <w:rPr>
          <w:rFonts w:ascii="Times New Roman" w:eastAsia="Calibri" w:hAnsi="Times New Roman" w:cs="Times New Roman"/>
          <w:i/>
          <w:iCs/>
          <w:color w:val="000000" w:themeColor="text1"/>
          <w:sz w:val="24"/>
          <w:szCs w:val="24"/>
        </w:rPr>
        <w:t xml:space="preserve">2.4.1. </w:t>
      </w:r>
      <w:r w:rsidR="0003140E" w:rsidRPr="00597FFB">
        <w:rPr>
          <w:rFonts w:ascii="Times New Roman" w:eastAsia="Calibri" w:hAnsi="Times New Roman" w:cs="Times New Roman"/>
          <w:i/>
          <w:iCs/>
          <w:color w:val="000000" w:themeColor="text1"/>
          <w:sz w:val="24"/>
          <w:szCs w:val="24"/>
        </w:rPr>
        <w:t xml:space="preserve">Disposal </w:t>
      </w:r>
      <w:r w:rsidR="001B68E4">
        <w:rPr>
          <w:rFonts w:ascii="Times New Roman" w:eastAsia="Calibri" w:hAnsi="Times New Roman" w:cs="Times New Roman"/>
          <w:i/>
          <w:iCs/>
          <w:color w:val="000000" w:themeColor="text1"/>
          <w:sz w:val="24"/>
          <w:szCs w:val="24"/>
        </w:rPr>
        <w:t>i</w:t>
      </w:r>
      <w:r w:rsidR="0003140E" w:rsidRPr="00597FFB">
        <w:rPr>
          <w:rFonts w:ascii="Times New Roman" w:eastAsia="Calibri" w:hAnsi="Times New Roman" w:cs="Times New Roman"/>
          <w:i/>
          <w:iCs/>
          <w:color w:val="000000" w:themeColor="text1"/>
          <w:sz w:val="24"/>
          <w:szCs w:val="24"/>
        </w:rPr>
        <w:t>nto Municipal Waste</w:t>
      </w:r>
      <w:r w:rsidR="00B3390E" w:rsidRPr="00597FFB">
        <w:rPr>
          <w:rFonts w:ascii="Times New Roman" w:eastAsia="Calibri" w:hAnsi="Times New Roman" w:cs="Times New Roman"/>
          <w:i/>
          <w:iCs/>
          <w:color w:val="000000" w:themeColor="text1"/>
          <w:sz w:val="24"/>
          <w:szCs w:val="24"/>
        </w:rPr>
        <w:t>.</w:t>
      </w:r>
      <w:bookmarkEnd w:id="108"/>
    </w:p>
    <w:p w14:paraId="10D60A2E" w14:textId="5E7E9943" w:rsidR="00A0274D"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Consumers could dispose of </w:t>
      </w:r>
      <w:r w:rsidR="00404A7F" w:rsidRPr="00597FFB">
        <w:rPr>
          <w:rFonts w:ascii="Times New Roman" w:eastAsia="Times New Roman" w:hAnsi="Times New Roman" w:cs="Times New Roman"/>
          <w:bCs/>
          <w:color w:val="000000" w:themeColor="text1"/>
          <w:sz w:val="24"/>
          <w:szCs w:val="24"/>
        </w:rPr>
        <w:t xml:space="preserve">damaged </w:t>
      </w:r>
      <w:r w:rsidRPr="00597FFB">
        <w:rPr>
          <w:rFonts w:ascii="Times New Roman" w:eastAsia="Times New Roman" w:hAnsi="Times New Roman" w:cs="Times New Roman"/>
          <w:bCs/>
          <w:color w:val="000000" w:themeColor="text1"/>
          <w:sz w:val="24"/>
          <w:szCs w:val="24"/>
        </w:rPr>
        <w:t xml:space="preserve">or </w:t>
      </w:r>
      <w:r w:rsidR="00404A7F" w:rsidRPr="00597FFB">
        <w:rPr>
          <w:rFonts w:ascii="Times New Roman" w:eastAsia="Times New Roman" w:hAnsi="Times New Roman" w:cs="Times New Roman"/>
          <w:bCs/>
          <w:color w:val="000000" w:themeColor="text1"/>
          <w:sz w:val="24"/>
          <w:szCs w:val="24"/>
        </w:rPr>
        <w:t xml:space="preserve">used </w:t>
      </w:r>
      <w:r w:rsidRPr="00597FFB">
        <w:rPr>
          <w:rFonts w:ascii="Times New Roman" w:eastAsia="Times New Roman" w:hAnsi="Times New Roman" w:cs="Times New Roman"/>
          <w:bCs/>
          <w:color w:val="000000" w:themeColor="text1"/>
          <w:sz w:val="24"/>
          <w:szCs w:val="24"/>
        </w:rPr>
        <w:t xml:space="preserve">equipment in </w:t>
      </w:r>
      <w:r w:rsidR="00404A7F" w:rsidRPr="00597FFB">
        <w:rPr>
          <w:rFonts w:ascii="Times New Roman" w:eastAsia="Times New Roman" w:hAnsi="Times New Roman" w:cs="Times New Roman"/>
          <w:bCs/>
          <w:color w:val="000000" w:themeColor="text1"/>
          <w:sz w:val="24"/>
          <w:szCs w:val="24"/>
        </w:rPr>
        <w:t xml:space="preserve">trash </w:t>
      </w:r>
      <w:r w:rsidRPr="00597FFB">
        <w:rPr>
          <w:rFonts w:ascii="Times New Roman" w:eastAsia="Times New Roman" w:hAnsi="Times New Roman" w:cs="Times New Roman"/>
          <w:bCs/>
          <w:color w:val="000000" w:themeColor="text1"/>
          <w:sz w:val="24"/>
          <w:szCs w:val="24"/>
        </w:rPr>
        <w:t xml:space="preserve">bins </w:t>
      </w:r>
      <w:r w:rsidR="00404A7F" w:rsidRPr="00597FFB">
        <w:rPr>
          <w:rFonts w:ascii="Times New Roman" w:eastAsia="Times New Roman" w:hAnsi="Times New Roman" w:cs="Times New Roman"/>
          <w:bCs/>
          <w:color w:val="000000" w:themeColor="text1"/>
          <w:sz w:val="24"/>
          <w:szCs w:val="24"/>
        </w:rPr>
        <w:t xml:space="preserve">together </w:t>
      </w:r>
      <w:r w:rsidRPr="00597FFB">
        <w:rPr>
          <w:rFonts w:ascii="Times New Roman" w:eastAsia="Times New Roman" w:hAnsi="Times New Roman" w:cs="Times New Roman"/>
          <w:bCs/>
          <w:color w:val="000000" w:themeColor="text1"/>
          <w:sz w:val="24"/>
          <w:szCs w:val="24"/>
        </w:rPr>
        <w:t xml:space="preserve">with </w:t>
      </w:r>
      <w:r w:rsidR="00404A7F" w:rsidRPr="00597FFB">
        <w:rPr>
          <w:rFonts w:ascii="Times New Roman" w:eastAsia="Times New Roman" w:hAnsi="Times New Roman" w:cs="Times New Roman"/>
          <w:bCs/>
          <w:color w:val="000000" w:themeColor="text1"/>
          <w:sz w:val="24"/>
          <w:szCs w:val="24"/>
        </w:rPr>
        <w:t>regular</w:t>
      </w:r>
      <w:r w:rsidRPr="00597FFB">
        <w:rPr>
          <w:rFonts w:ascii="Times New Roman" w:eastAsia="Times New Roman" w:hAnsi="Times New Roman" w:cs="Times New Roman"/>
          <w:bCs/>
          <w:color w:val="000000" w:themeColor="text1"/>
          <w:sz w:val="24"/>
          <w:szCs w:val="24"/>
        </w:rPr>
        <w:t xml:space="preserve"> </w:t>
      </w:r>
      <w:r w:rsidR="00404A7F" w:rsidRPr="00597FFB">
        <w:rPr>
          <w:rFonts w:ascii="Times New Roman" w:eastAsia="Times New Roman" w:hAnsi="Times New Roman" w:cs="Times New Roman"/>
          <w:bCs/>
          <w:color w:val="000000" w:themeColor="text1"/>
          <w:sz w:val="24"/>
          <w:szCs w:val="24"/>
        </w:rPr>
        <w:t xml:space="preserve">municipal </w:t>
      </w:r>
      <w:r w:rsidRPr="00597FFB">
        <w:rPr>
          <w:rFonts w:ascii="Times New Roman" w:eastAsia="Times New Roman" w:hAnsi="Times New Roman" w:cs="Times New Roman"/>
          <w:bCs/>
          <w:color w:val="000000" w:themeColor="text1"/>
          <w:sz w:val="24"/>
          <w:szCs w:val="24"/>
        </w:rPr>
        <w:t xml:space="preserve">or </w:t>
      </w:r>
      <w:r w:rsidR="00404A7F" w:rsidRPr="00597FFB">
        <w:rPr>
          <w:rFonts w:ascii="Times New Roman" w:eastAsia="Times New Roman" w:hAnsi="Times New Roman" w:cs="Times New Roman"/>
          <w:bCs/>
          <w:color w:val="000000" w:themeColor="text1"/>
          <w:sz w:val="24"/>
          <w:szCs w:val="24"/>
        </w:rPr>
        <w:t xml:space="preserve">household </w:t>
      </w:r>
      <w:r w:rsidRPr="00597FFB">
        <w:rPr>
          <w:rFonts w:ascii="Times New Roman" w:eastAsia="Times New Roman" w:hAnsi="Times New Roman" w:cs="Times New Roman"/>
          <w:bCs/>
          <w:color w:val="000000" w:themeColor="text1"/>
          <w:sz w:val="24"/>
          <w:szCs w:val="24"/>
        </w:rPr>
        <w:t xml:space="preserve">waste. </w:t>
      </w:r>
      <w:r w:rsidR="00404A7F" w:rsidRPr="00597FFB">
        <w:rPr>
          <w:rFonts w:ascii="Times New Roman" w:eastAsia="Times New Roman" w:hAnsi="Times New Roman" w:cs="Times New Roman"/>
          <w:bCs/>
          <w:color w:val="000000" w:themeColor="text1"/>
          <w:sz w:val="24"/>
          <w:szCs w:val="24"/>
        </w:rPr>
        <w:t>Depending on the country or region, such waste</w:t>
      </w:r>
      <w:r w:rsidRPr="00597FFB">
        <w:rPr>
          <w:rFonts w:ascii="Times New Roman" w:eastAsia="Times New Roman" w:hAnsi="Times New Roman" w:cs="Times New Roman"/>
          <w:bCs/>
          <w:color w:val="000000" w:themeColor="text1"/>
          <w:sz w:val="24"/>
          <w:szCs w:val="24"/>
        </w:rPr>
        <w:t xml:space="preserve"> </w:t>
      </w:r>
      <w:r w:rsidR="00404A7F" w:rsidRPr="00597FFB">
        <w:rPr>
          <w:rFonts w:ascii="Times New Roman" w:eastAsia="Times New Roman" w:hAnsi="Times New Roman" w:cs="Times New Roman"/>
          <w:bCs/>
          <w:color w:val="000000" w:themeColor="text1"/>
          <w:sz w:val="24"/>
          <w:szCs w:val="24"/>
        </w:rPr>
        <w:t>could</w:t>
      </w:r>
      <w:r w:rsidRPr="00597FFB">
        <w:rPr>
          <w:rFonts w:ascii="Times New Roman" w:eastAsia="Times New Roman" w:hAnsi="Times New Roman" w:cs="Times New Roman"/>
          <w:bCs/>
          <w:color w:val="000000" w:themeColor="text1"/>
          <w:sz w:val="24"/>
          <w:szCs w:val="24"/>
        </w:rPr>
        <w:t xml:space="preserve"> then be disposed in waste incinerator</w:t>
      </w:r>
      <w:r w:rsidR="00404A7F" w:rsidRPr="00597FFB">
        <w:rPr>
          <w:rFonts w:ascii="Times New Roman" w:eastAsia="Times New Roman" w:hAnsi="Times New Roman" w:cs="Times New Roman"/>
          <w:bCs/>
          <w:color w:val="000000" w:themeColor="text1"/>
          <w:sz w:val="24"/>
          <w:szCs w:val="24"/>
        </w:rPr>
        <w:t>s or landfills</w:t>
      </w:r>
      <w:r w:rsidRPr="00597FFB">
        <w:rPr>
          <w:rFonts w:ascii="Times New Roman" w:eastAsia="Times New Roman" w:hAnsi="Times New Roman" w:cs="Times New Roman"/>
          <w:bCs/>
          <w:color w:val="000000" w:themeColor="text1"/>
          <w:sz w:val="24"/>
          <w:szCs w:val="24"/>
        </w:rPr>
        <w:t>, where the chances of</w:t>
      </w:r>
      <w:r w:rsidR="00404A7F" w:rsidRPr="00597FFB">
        <w:rPr>
          <w:rFonts w:ascii="Times New Roman" w:eastAsia="Times New Roman" w:hAnsi="Times New Roman" w:cs="Times New Roman"/>
          <w:bCs/>
          <w:color w:val="000000" w:themeColor="text1"/>
          <w:sz w:val="24"/>
          <w:szCs w:val="24"/>
        </w:rPr>
        <w:t xml:space="preserve"> being</w:t>
      </w:r>
      <w:r w:rsidRPr="00597FFB">
        <w:rPr>
          <w:rFonts w:ascii="Times New Roman" w:eastAsia="Times New Roman" w:hAnsi="Times New Roman" w:cs="Times New Roman"/>
          <w:bCs/>
          <w:color w:val="000000" w:themeColor="text1"/>
          <w:sz w:val="24"/>
          <w:szCs w:val="24"/>
        </w:rPr>
        <w:t xml:space="preserve"> separat</w:t>
      </w:r>
      <w:r w:rsidR="00404A7F" w:rsidRPr="00597FFB">
        <w:rPr>
          <w:rFonts w:ascii="Times New Roman" w:eastAsia="Times New Roman" w:hAnsi="Times New Roman" w:cs="Times New Roman"/>
          <w:bCs/>
          <w:color w:val="000000" w:themeColor="text1"/>
          <w:sz w:val="24"/>
          <w:szCs w:val="24"/>
        </w:rPr>
        <w:t>ed</w:t>
      </w:r>
      <w:r w:rsidRPr="00597FFB">
        <w:rPr>
          <w:rFonts w:ascii="Times New Roman" w:eastAsia="Times New Roman" w:hAnsi="Times New Roman" w:cs="Times New Roman"/>
          <w:bCs/>
          <w:color w:val="000000" w:themeColor="text1"/>
          <w:sz w:val="24"/>
          <w:szCs w:val="24"/>
        </w:rPr>
        <w:t>, sort</w:t>
      </w:r>
      <w:r w:rsidR="00404A7F" w:rsidRPr="00597FFB">
        <w:rPr>
          <w:rFonts w:ascii="Times New Roman" w:eastAsia="Times New Roman" w:hAnsi="Times New Roman" w:cs="Times New Roman"/>
          <w:bCs/>
          <w:color w:val="000000" w:themeColor="text1"/>
          <w:sz w:val="24"/>
          <w:szCs w:val="24"/>
        </w:rPr>
        <w:t>ed</w:t>
      </w:r>
      <w:r w:rsidRPr="00597FFB">
        <w:rPr>
          <w:rFonts w:ascii="Times New Roman" w:eastAsia="Times New Roman" w:hAnsi="Times New Roman" w:cs="Times New Roman"/>
          <w:bCs/>
          <w:color w:val="000000" w:themeColor="text1"/>
          <w:sz w:val="24"/>
          <w:szCs w:val="24"/>
        </w:rPr>
        <w:t xml:space="preserve"> and recycl</w:t>
      </w:r>
      <w:r w:rsidR="00404A7F" w:rsidRPr="00597FFB">
        <w:rPr>
          <w:rFonts w:ascii="Times New Roman" w:eastAsia="Times New Roman" w:hAnsi="Times New Roman" w:cs="Times New Roman"/>
          <w:bCs/>
          <w:color w:val="000000" w:themeColor="text1"/>
          <w:sz w:val="24"/>
          <w:szCs w:val="24"/>
        </w:rPr>
        <w:t>ed</w:t>
      </w:r>
      <w:r w:rsidRPr="00597FFB">
        <w:rPr>
          <w:rFonts w:ascii="Times New Roman" w:eastAsia="Times New Roman" w:hAnsi="Times New Roman" w:cs="Times New Roman"/>
          <w:bCs/>
          <w:color w:val="000000" w:themeColor="text1"/>
          <w:sz w:val="24"/>
          <w:szCs w:val="24"/>
        </w:rPr>
        <w:t xml:space="preserve"> are </w:t>
      </w:r>
      <w:r w:rsidR="00404A7F" w:rsidRPr="00597FFB">
        <w:rPr>
          <w:rFonts w:ascii="Times New Roman" w:eastAsia="Times New Roman" w:hAnsi="Times New Roman" w:cs="Times New Roman"/>
          <w:bCs/>
          <w:color w:val="000000" w:themeColor="text1"/>
          <w:sz w:val="24"/>
          <w:szCs w:val="24"/>
        </w:rPr>
        <w:t>very low</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(Park &amp; Lin, 2020)</w:t>
      </w:r>
      <w:r w:rsidRPr="00597FFB">
        <w:rPr>
          <w:rFonts w:ascii="Times New Roman" w:eastAsia="Times New Roman" w:hAnsi="Times New Roman" w:cs="Times New Roman"/>
          <w:bCs/>
          <w:color w:val="000000" w:themeColor="text1"/>
          <w:sz w:val="24"/>
          <w:szCs w:val="24"/>
        </w:rPr>
        <w:t xml:space="preserve">. Small </w:t>
      </w:r>
      <w:r w:rsidR="00404A7F" w:rsidRPr="00597FFB">
        <w:rPr>
          <w:rFonts w:ascii="Times New Roman" w:eastAsia="Times New Roman" w:hAnsi="Times New Roman" w:cs="Times New Roman"/>
          <w:bCs/>
          <w:color w:val="000000" w:themeColor="text1"/>
          <w:sz w:val="24"/>
          <w:szCs w:val="24"/>
        </w:rPr>
        <w:t>IT products, lamps</w:t>
      </w:r>
      <w:r w:rsidRPr="00597FFB">
        <w:rPr>
          <w:rFonts w:ascii="Times New Roman" w:eastAsia="Times New Roman" w:hAnsi="Times New Roman" w:cs="Times New Roman"/>
          <w:bCs/>
          <w:color w:val="000000" w:themeColor="text1"/>
          <w:sz w:val="24"/>
          <w:szCs w:val="24"/>
        </w:rPr>
        <w:t xml:space="preserve">, and </w:t>
      </w:r>
      <w:r w:rsidR="00404A7F" w:rsidRPr="00597FFB">
        <w:rPr>
          <w:rFonts w:ascii="Times New Roman" w:eastAsia="Times New Roman" w:hAnsi="Times New Roman" w:cs="Times New Roman"/>
          <w:bCs/>
          <w:color w:val="000000" w:themeColor="text1"/>
          <w:sz w:val="24"/>
          <w:szCs w:val="24"/>
        </w:rPr>
        <w:t xml:space="preserve">equipment </w:t>
      </w:r>
      <w:r w:rsidRPr="00597FFB">
        <w:rPr>
          <w:rFonts w:ascii="Times New Roman" w:eastAsia="Times New Roman" w:hAnsi="Times New Roman" w:cs="Times New Roman"/>
          <w:bCs/>
          <w:color w:val="000000" w:themeColor="text1"/>
          <w:sz w:val="24"/>
          <w:szCs w:val="24"/>
        </w:rPr>
        <w:t xml:space="preserve">are </w:t>
      </w:r>
      <w:r w:rsidR="00404A7F" w:rsidRPr="00597FFB">
        <w:rPr>
          <w:rFonts w:ascii="Times New Roman" w:eastAsia="Times New Roman" w:hAnsi="Times New Roman" w:cs="Times New Roman"/>
          <w:bCs/>
          <w:color w:val="000000" w:themeColor="text1"/>
          <w:sz w:val="24"/>
          <w:szCs w:val="24"/>
        </w:rPr>
        <w:t>often</w:t>
      </w:r>
      <w:r w:rsidRPr="00597FFB">
        <w:rPr>
          <w:rFonts w:ascii="Times New Roman" w:eastAsia="Times New Roman" w:hAnsi="Times New Roman" w:cs="Times New Roman"/>
          <w:bCs/>
          <w:color w:val="000000" w:themeColor="text1"/>
          <w:sz w:val="24"/>
          <w:szCs w:val="24"/>
        </w:rPr>
        <w:t xml:space="preserve"> disposed of in municipal waste. This </w:t>
      </w:r>
      <w:r w:rsidR="00404A7F" w:rsidRPr="00597FFB">
        <w:rPr>
          <w:rFonts w:ascii="Times New Roman" w:eastAsia="Times New Roman" w:hAnsi="Times New Roman" w:cs="Times New Roman"/>
          <w:bCs/>
          <w:color w:val="000000" w:themeColor="text1"/>
          <w:sz w:val="24"/>
          <w:szCs w:val="24"/>
        </w:rPr>
        <w:t xml:space="preserve">method of </w:t>
      </w:r>
      <w:r w:rsidRPr="00597FFB">
        <w:rPr>
          <w:rFonts w:ascii="Times New Roman" w:eastAsia="Times New Roman" w:hAnsi="Times New Roman" w:cs="Times New Roman"/>
          <w:bCs/>
          <w:color w:val="000000" w:themeColor="text1"/>
          <w:sz w:val="24"/>
          <w:szCs w:val="24"/>
        </w:rPr>
        <w:t xml:space="preserve">disposal exists in both </w:t>
      </w:r>
      <w:r w:rsidR="00404A7F" w:rsidRPr="00597FFB">
        <w:rPr>
          <w:rFonts w:ascii="Times New Roman" w:eastAsia="Times New Roman" w:hAnsi="Times New Roman" w:cs="Times New Roman"/>
          <w:bCs/>
          <w:color w:val="000000" w:themeColor="text1"/>
          <w:sz w:val="24"/>
          <w:szCs w:val="24"/>
        </w:rPr>
        <w:t xml:space="preserve">developing </w:t>
      </w:r>
      <w:r w:rsidRPr="00597FFB">
        <w:rPr>
          <w:rFonts w:ascii="Times New Roman" w:eastAsia="Times New Roman" w:hAnsi="Times New Roman" w:cs="Times New Roman"/>
          <w:bCs/>
          <w:color w:val="000000" w:themeColor="text1"/>
          <w:sz w:val="24"/>
          <w:szCs w:val="24"/>
        </w:rPr>
        <w:t xml:space="preserve">and </w:t>
      </w:r>
      <w:r w:rsidR="00404A7F" w:rsidRPr="00597FFB">
        <w:rPr>
          <w:rFonts w:ascii="Times New Roman" w:eastAsia="Times New Roman" w:hAnsi="Times New Roman" w:cs="Times New Roman"/>
          <w:bCs/>
          <w:color w:val="000000" w:themeColor="text1"/>
          <w:sz w:val="24"/>
          <w:szCs w:val="24"/>
        </w:rPr>
        <w:t>developed nations</w:t>
      </w:r>
      <w:r w:rsidRPr="00597FFB">
        <w:rPr>
          <w:rFonts w:ascii="Times New Roman" w:eastAsia="Times New Roman" w:hAnsi="Times New Roman" w:cs="Times New Roman"/>
          <w:bCs/>
          <w:color w:val="000000" w:themeColor="text1"/>
          <w:sz w:val="24"/>
          <w:szCs w:val="24"/>
        </w:rPr>
        <w:t xml:space="preserve"> and leads to </w:t>
      </w:r>
      <w:r w:rsidR="00404A7F" w:rsidRPr="00597FFB">
        <w:rPr>
          <w:rFonts w:ascii="Times New Roman" w:eastAsia="Times New Roman" w:hAnsi="Times New Roman" w:cs="Times New Roman"/>
          <w:bCs/>
          <w:color w:val="000000" w:themeColor="text1"/>
          <w:sz w:val="24"/>
          <w:szCs w:val="24"/>
        </w:rPr>
        <w:t>massive</w:t>
      </w:r>
      <w:r w:rsidRPr="00597FFB">
        <w:rPr>
          <w:rFonts w:ascii="Times New Roman" w:eastAsia="Times New Roman" w:hAnsi="Times New Roman" w:cs="Times New Roman"/>
          <w:bCs/>
          <w:color w:val="000000" w:themeColor="text1"/>
          <w:sz w:val="24"/>
          <w:szCs w:val="24"/>
        </w:rPr>
        <w:t xml:space="preserve"> environmental</w:t>
      </w:r>
      <w:r w:rsidR="00404A7F" w:rsidRPr="00597FFB">
        <w:rPr>
          <w:rFonts w:ascii="Times New Roman" w:eastAsia="Times New Roman" w:hAnsi="Times New Roman" w:cs="Times New Roman"/>
          <w:bCs/>
          <w:color w:val="000000" w:themeColor="text1"/>
          <w:sz w:val="24"/>
          <w:szCs w:val="24"/>
        </w:rPr>
        <w:t xml:space="preserve"> destruction</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(Nasrollahi et al., 2020)</w:t>
      </w:r>
      <w:r w:rsidRPr="00597FFB">
        <w:rPr>
          <w:rFonts w:ascii="Times New Roman" w:eastAsia="Times New Roman" w:hAnsi="Times New Roman" w:cs="Times New Roman"/>
          <w:bCs/>
          <w:color w:val="000000" w:themeColor="text1"/>
          <w:sz w:val="24"/>
          <w:szCs w:val="24"/>
        </w:rPr>
        <w:t>.</w:t>
      </w:r>
    </w:p>
    <w:p w14:paraId="56EF3128" w14:textId="7DC66FDB" w:rsidR="0003140E" w:rsidRPr="00597FFB" w:rsidRDefault="00EB1C0F" w:rsidP="0003140E">
      <w:pPr>
        <w:keepNext/>
        <w:spacing w:after="0" w:line="240" w:lineRule="auto"/>
        <w:ind w:left="1170" w:hanging="1170"/>
        <w:rPr>
          <w:rFonts w:ascii="Times New Roman" w:eastAsiaTheme="minorHAnsi" w:hAnsi="Times New Roman" w:cs="Times New Roman"/>
          <w:color w:val="000000" w:themeColor="text1"/>
        </w:rPr>
      </w:pPr>
      <w:r w:rsidRPr="00597FFB">
        <w:rPr>
          <w:rFonts w:eastAsiaTheme="minorHAnsi"/>
          <w:noProof/>
          <w:color w:val="000000" w:themeColor="text1"/>
          <w:sz w:val="20"/>
          <w:szCs w:val="20"/>
          <w:lang w:val="en-GB"/>
        </w:rPr>
        <w:drawing>
          <wp:anchor distT="0" distB="0" distL="114300" distR="114300" simplePos="0" relativeHeight="251659264" behindDoc="0" locked="0" layoutInCell="1" allowOverlap="1" wp14:anchorId="21BA324E" wp14:editId="7F28959A">
            <wp:simplePos x="0" y="0"/>
            <wp:positionH relativeFrom="margin">
              <wp:posOffset>0</wp:posOffset>
            </wp:positionH>
            <wp:positionV relativeFrom="paragraph">
              <wp:posOffset>457200</wp:posOffset>
            </wp:positionV>
            <wp:extent cx="4654550" cy="3348355"/>
            <wp:effectExtent l="0" t="0" r="12700" b="4445"/>
            <wp:wrapThrough wrapText="bothSides">
              <wp:wrapPolygon edited="0">
                <wp:start x="0" y="0"/>
                <wp:lineTo x="0" y="21506"/>
                <wp:lineTo x="21571" y="21506"/>
                <wp:lineTo x="21571" y="0"/>
                <wp:lineTo x="0" y="0"/>
              </wp:wrapPolygon>
            </wp:wrapThrough>
            <wp:docPr id="6" name="Chart 6">
              <a:extLst xmlns:a="http://schemas.openxmlformats.org/drawingml/2006/main">
                <a:ext uri="{FF2B5EF4-FFF2-40B4-BE49-F238E27FC236}">
                  <a16:creationId xmlns:a16="http://schemas.microsoft.com/office/drawing/2014/main" id="{98EE113A-1087-4440-AEAA-F8E710FA1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03140E" w:rsidRPr="00597FFB">
        <w:rPr>
          <w:rFonts w:ascii="Times New Roman" w:eastAsiaTheme="minorHAnsi" w:hAnsi="Times New Roman" w:cs="Times New Roman"/>
          <w:b/>
          <w:bCs/>
          <w:color w:val="000000" w:themeColor="text1"/>
        </w:rPr>
        <w:t xml:space="preserve">Figure </w:t>
      </w:r>
      <w:r w:rsidR="00B3390E" w:rsidRPr="00597FFB">
        <w:rPr>
          <w:rFonts w:ascii="Times New Roman" w:eastAsiaTheme="minorHAnsi" w:hAnsi="Times New Roman" w:cs="Times New Roman"/>
          <w:b/>
          <w:bCs/>
          <w:color w:val="000000" w:themeColor="text1"/>
        </w:rPr>
        <w:t>4:</w:t>
      </w:r>
      <w:r w:rsidR="00B3390E" w:rsidRPr="00597FFB">
        <w:rPr>
          <w:rFonts w:ascii="Times New Roman" w:eastAsiaTheme="minorHAnsi" w:hAnsi="Times New Roman" w:cs="Times New Roman"/>
          <w:i/>
          <w:iCs/>
          <w:color w:val="000000" w:themeColor="text1"/>
        </w:rPr>
        <w:t xml:space="preserve"> GDP</w:t>
      </w:r>
      <w:r w:rsidR="0003140E" w:rsidRPr="00597FFB">
        <w:rPr>
          <w:rFonts w:ascii="Times New Roman" w:eastAsiaTheme="minorHAnsi" w:hAnsi="Times New Roman" w:cs="Times New Roman"/>
          <w:i/>
          <w:iCs/>
          <w:color w:val="000000" w:themeColor="text1"/>
        </w:rPr>
        <w:t xml:space="preserve"> Per Capita </w:t>
      </w:r>
      <w:r w:rsidR="00B3390E" w:rsidRPr="00597FFB">
        <w:rPr>
          <w:rFonts w:ascii="Times New Roman" w:eastAsiaTheme="minorHAnsi" w:hAnsi="Times New Roman" w:cs="Times New Roman"/>
          <w:i/>
          <w:iCs/>
          <w:color w:val="000000" w:themeColor="text1"/>
        </w:rPr>
        <w:t>(</w:t>
      </w:r>
      <w:r w:rsidR="0003140E" w:rsidRPr="00597FFB">
        <w:rPr>
          <w:rFonts w:ascii="Times New Roman" w:eastAsiaTheme="minorHAnsi" w:hAnsi="Times New Roman" w:cs="Times New Roman"/>
          <w:i/>
          <w:iCs/>
          <w:color w:val="000000" w:themeColor="text1"/>
        </w:rPr>
        <w:t xml:space="preserve">USD </w:t>
      </w:r>
      <w:r w:rsidR="00B3390E" w:rsidRPr="00597FFB">
        <w:rPr>
          <w:rFonts w:ascii="Times New Roman" w:eastAsiaTheme="minorHAnsi" w:hAnsi="Times New Roman" w:cs="Times New Roman"/>
          <w:i/>
          <w:iCs/>
          <w:color w:val="000000" w:themeColor="text1"/>
        </w:rPr>
        <w:t xml:space="preserve">'000) </w:t>
      </w:r>
      <w:r w:rsidR="00A56EE5" w:rsidRPr="00597FFB">
        <w:rPr>
          <w:rFonts w:ascii="Times New Roman" w:eastAsiaTheme="minorHAnsi" w:hAnsi="Times New Roman" w:cs="Times New Roman"/>
          <w:i/>
          <w:iCs/>
          <w:color w:val="000000" w:themeColor="text1"/>
        </w:rPr>
        <w:t>a</w:t>
      </w:r>
      <w:r w:rsidR="00B3390E" w:rsidRPr="00597FFB">
        <w:rPr>
          <w:rFonts w:ascii="Times New Roman" w:eastAsiaTheme="minorHAnsi" w:hAnsi="Times New Roman" w:cs="Times New Roman"/>
          <w:i/>
          <w:iCs/>
          <w:color w:val="000000" w:themeColor="text1"/>
        </w:rPr>
        <w:t xml:space="preserve">nd </w:t>
      </w:r>
      <w:r w:rsidR="0003140E" w:rsidRPr="00597FFB">
        <w:rPr>
          <w:rFonts w:ascii="Times New Roman" w:eastAsiaTheme="minorHAnsi" w:hAnsi="Times New Roman" w:cs="Times New Roman"/>
          <w:i/>
          <w:iCs/>
          <w:color w:val="000000" w:themeColor="text1"/>
        </w:rPr>
        <w:t>Annual E</w:t>
      </w:r>
      <w:r w:rsidR="00B3390E" w:rsidRPr="00597FFB">
        <w:rPr>
          <w:rFonts w:ascii="Times New Roman" w:eastAsiaTheme="minorHAnsi" w:hAnsi="Times New Roman" w:cs="Times New Roman"/>
          <w:i/>
          <w:iCs/>
          <w:color w:val="000000" w:themeColor="text1"/>
        </w:rPr>
        <w:t xml:space="preserve">-Waste </w:t>
      </w:r>
      <w:r w:rsidR="00A56EE5" w:rsidRPr="00597FFB">
        <w:rPr>
          <w:rFonts w:ascii="Times New Roman" w:eastAsiaTheme="minorHAnsi" w:hAnsi="Times New Roman" w:cs="Times New Roman"/>
          <w:i/>
          <w:iCs/>
          <w:color w:val="000000" w:themeColor="text1"/>
        </w:rPr>
        <w:t>Generation i</w:t>
      </w:r>
      <w:r w:rsidR="00B3390E" w:rsidRPr="00597FFB">
        <w:rPr>
          <w:rFonts w:ascii="Times New Roman" w:eastAsiaTheme="minorHAnsi" w:hAnsi="Times New Roman" w:cs="Times New Roman"/>
          <w:i/>
          <w:iCs/>
          <w:color w:val="000000" w:themeColor="text1"/>
        </w:rPr>
        <w:t xml:space="preserve">n </w:t>
      </w:r>
      <w:r w:rsidR="0003140E" w:rsidRPr="00597FFB">
        <w:rPr>
          <w:rFonts w:ascii="Times New Roman" w:eastAsiaTheme="minorHAnsi" w:hAnsi="Times New Roman" w:cs="Times New Roman"/>
          <w:i/>
          <w:iCs/>
          <w:color w:val="000000" w:themeColor="text1"/>
        </w:rPr>
        <w:t xml:space="preserve">Kilograms Per Inhabitant </w:t>
      </w:r>
      <w:r w:rsidR="00A56EE5" w:rsidRPr="00597FFB">
        <w:rPr>
          <w:rFonts w:ascii="Times New Roman" w:eastAsiaTheme="minorHAnsi" w:hAnsi="Times New Roman" w:cs="Times New Roman"/>
          <w:i/>
          <w:iCs/>
          <w:color w:val="000000" w:themeColor="text1"/>
        </w:rPr>
        <w:t>f</w:t>
      </w:r>
      <w:r w:rsidR="00B3390E" w:rsidRPr="00597FFB">
        <w:rPr>
          <w:rFonts w:ascii="Times New Roman" w:eastAsiaTheme="minorHAnsi" w:hAnsi="Times New Roman" w:cs="Times New Roman"/>
          <w:i/>
          <w:iCs/>
          <w:color w:val="000000" w:themeColor="text1"/>
        </w:rPr>
        <w:t xml:space="preserve">or The </w:t>
      </w:r>
      <w:r w:rsidR="0003140E" w:rsidRPr="00597FFB">
        <w:rPr>
          <w:rFonts w:ascii="Times New Roman" w:eastAsiaTheme="minorHAnsi" w:hAnsi="Times New Roman" w:cs="Times New Roman"/>
          <w:i/>
          <w:iCs/>
          <w:color w:val="000000" w:themeColor="text1"/>
        </w:rPr>
        <w:t xml:space="preserve">Year </w:t>
      </w:r>
      <w:r w:rsidR="00B3390E" w:rsidRPr="00597FFB">
        <w:rPr>
          <w:rFonts w:ascii="Times New Roman" w:eastAsiaTheme="minorHAnsi" w:hAnsi="Times New Roman" w:cs="Times New Roman"/>
          <w:i/>
          <w:iCs/>
          <w:color w:val="000000" w:themeColor="text1"/>
        </w:rPr>
        <w:t>2019</w:t>
      </w:r>
      <w:r w:rsidR="00A56EE5" w:rsidRPr="00597FFB">
        <w:rPr>
          <w:rFonts w:ascii="Times New Roman" w:eastAsiaTheme="minorHAnsi" w:hAnsi="Times New Roman" w:cs="Times New Roman"/>
          <w:i/>
          <w:iCs/>
          <w:color w:val="000000" w:themeColor="text1"/>
        </w:rPr>
        <w:t>i</w:t>
      </w:r>
      <w:r w:rsidR="00B3390E" w:rsidRPr="00597FFB">
        <w:rPr>
          <w:rFonts w:ascii="Times New Roman" w:eastAsiaTheme="minorHAnsi" w:hAnsi="Times New Roman" w:cs="Times New Roman"/>
          <w:i/>
          <w:iCs/>
          <w:color w:val="000000" w:themeColor="text1"/>
        </w:rPr>
        <w:t xml:space="preserve">In </w:t>
      </w:r>
      <w:r w:rsidR="0003140E" w:rsidRPr="00597FFB">
        <w:rPr>
          <w:rFonts w:ascii="Times New Roman" w:eastAsiaTheme="minorHAnsi" w:hAnsi="Times New Roman" w:cs="Times New Roman"/>
          <w:i/>
          <w:iCs/>
          <w:color w:val="000000" w:themeColor="text1"/>
        </w:rPr>
        <w:t>MENA Countries</w:t>
      </w:r>
    </w:p>
    <w:p w14:paraId="313DB721" w14:textId="69A290D4" w:rsidR="0003140E" w:rsidRPr="00597FFB" w:rsidRDefault="0003140E" w:rsidP="0003140E">
      <w:pPr>
        <w:spacing w:after="0" w:line="240" w:lineRule="auto"/>
        <w:rPr>
          <w:rFonts w:ascii="Times New Roman" w:eastAsia="Times New Roman" w:hAnsi="Times New Roman" w:cs="Times New Roman"/>
          <w:bCs/>
          <w:color w:val="000000" w:themeColor="text1"/>
          <w:sz w:val="20"/>
          <w:szCs w:val="20"/>
        </w:rPr>
      </w:pPr>
      <w:r w:rsidRPr="00597FFB">
        <w:rPr>
          <w:rFonts w:ascii="Times New Roman" w:eastAsia="Times New Roman" w:hAnsi="Times New Roman" w:cs="Times New Roman"/>
          <w:bCs/>
          <w:i/>
          <w:iCs/>
          <w:color w:val="000000" w:themeColor="text1"/>
          <w:sz w:val="20"/>
          <w:szCs w:val="20"/>
        </w:rPr>
        <w:t>Source: Iattoni et al. (2021, p. 40) and The World Bank Group (2022)</w:t>
      </w:r>
    </w:p>
    <w:p w14:paraId="06030F3E" w14:textId="77777777" w:rsidR="00A56EE5" w:rsidRPr="00597FFB" w:rsidRDefault="00A56EE5" w:rsidP="00A558FE">
      <w:pPr>
        <w:spacing w:after="0" w:line="480" w:lineRule="auto"/>
        <w:jc w:val="both"/>
        <w:rPr>
          <w:rFonts w:ascii="Times New Roman" w:eastAsia="Times New Roman" w:hAnsi="Times New Roman" w:cs="Times New Roman"/>
          <w:bCs/>
          <w:color w:val="000000" w:themeColor="text1"/>
          <w:sz w:val="24"/>
          <w:szCs w:val="24"/>
        </w:rPr>
      </w:pPr>
    </w:p>
    <w:p w14:paraId="60CAC864" w14:textId="04133E9E" w:rsidR="0008340D" w:rsidRPr="00597FFB" w:rsidRDefault="0003140E" w:rsidP="00A558FE">
      <w:pPr>
        <w:spacing w:after="0"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Disposal into municipal waste bins is normally backed by drop-off and pickup or collection points and this is especially common in European countries. For example, in Belarus, 23 kilotons of e-waste were collected through municipal waste plans in 2019 (Forti et al., 2020). Altogether, the nature of municipal collection points differs across various countries and contexts (Iatonni et al., 2021). This variation is traceable to the fact that e-waste collection schemes often involve various actors and partners including municipal authorities and informal retailers and collectors in different territories and countries. Accordingly, municipal authorities can organize the collection points or run producer take-back schemes that include both drop-off and pickup services. In the UAE and other Arab countries like Oman, Algeria, Sudan, Egypt, Qatar, Jordan, Mauritania, Saudi Arabia, and Lebanon, the environment ministry collaborates with municipal authorities to not only collect e-waste, but to enforce compliance with any regulations and laws.  Municipal authorities in the UAE also collect e-waste in addition to promoting voluntary disposal at formal UAE waste collection centers (Iatonni et al., 2021). In the UAE, there are designated drop-off and pickup points in every emirate and it is possible to schedule pickups in case the items that a consumer intends to dispose of are bulky </w:t>
      </w:r>
      <w:sdt>
        <w:sdtPr>
          <w:rPr>
            <w:rFonts w:ascii="Times New Roman" w:eastAsia="Times New Roman" w:hAnsi="Times New Roman" w:cs="Times New Roman"/>
            <w:bCs/>
            <w:color w:val="000000" w:themeColor="text1"/>
            <w:sz w:val="24"/>
            <w:szCs w:val="24"/>
          </w:rPr>
          <w:id w:val="565388026"/>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Tab20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(Tabrez, 2020)</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Table </w:t>
      </w:r>
      <w:r w:rsidR="0091411A" w:rsidRPr="00597FFB">
        <w:rPr>
          <w:rFonts w:ascii="Times New Roman" w:eastAsia="Times New Roman" w:hAnsi="Times New Roman" w:cs="Times New Roman"/>
          <w:bCs/>
          <w:color w:val="000000" w:themeColor="text1"/>
          <w:sz w:val="24"/>
          <w:szCs w:val="24"/>
        </w:rPr>
        <w:t>9</w:t>
      </w:r>
      <w:r w:rsidRPr="00597FFB">
        <w:rPr>
          <w:rFonts w:ascii="Times New Roman" w:eastAsia="Times New Roman" w:hAnsi="Times New Roman" w:cs="Times New Roman"/>
          <w:bCs/>
          <w:color w:val="000000" w:themeColor="text1"/>
          <w:sz w:val="24"/>
          <w:szCs w:val="24"/>
        </w:rPr>
        <w:t xml:space="preserve"> illustrates some of the municipal collection centers in the emirates of Dubai, Abu Dhabi, Sharjah, Ajman, and Ras Al Khaimah.</w:t>
      </w:r>
    </w:p>
    <w:p w14:paraId="0778ECB6" w14:textId="67E35511" w:rsidR="0003140E" w:rsidRPr="00597FFB" w:rsidRDefault="0003140E" w:rsidP="0003140E">
      <w:pPr>
        <w:keepNext/>
        <w:spacing w:after="0" w:line="240" w:lineRule="auto"/>
        <w:ind w:left="1530" w:hanging="1530"/>
        <w:rPr>
          <w:rFonts w:ascii="Times New Roman" w:eastAsia="Times New Roman" w:hAnsi="Times New Roman" w:cs="Times New Roman"/>
          <w:bCs/>
          <w:i/>
          <w:iCs/>
          <w:color w:val="000000" w:themeColor="text1"/>
        </w:rPr>
      </w:pPr>
      <w:r w:rsidRPr="00597FFB">
        <w:rPr>
          <w:rFonts w:ascii="Times New Roman" w:eastAsiaTheme="minorHAnsi" w:hAnsi="Times New Roman" w:cs="Times New Roman"/>
          <w:b/>
          <w:bCs/>
          <w:color w:val="000000" w:themeColor="text1"/>
        </w:rPr>
        <w:t>Table</w:t>
      </w:r>
      <w:r w:rsidR="002F1EA2" w:rsidRPr="00597FFB">
        <w:rPr>
          <w:rFonts w:ascii="Times New Roman" w:eastAsiaTheme="minorHAnsi" w:hAnsi="Times New Roman" w:cs="Times New Roman"/>
          <w:b/>
          <w:bCs/>
          <w:color w:val="000000" w:themeColor="text1"/>
        </w:rPr>
        <w:t xml:space="preserve"> </w:t>
      </w:r>
      <w:r w:rsidR="00A0274D" w:rsidRPr="00597FFB">
        <w:rPr>
          <w:rFonts w:ascii="Times New Roman" w:eastAsiaTheme="minorHAnsi" w:hAnsi="Times New Roman" w:cs="Times New Roman"/>
          <w:b/>
          <w:bCs/>
          <w:color w:val="000000" w:themeColor="text1"/>
        </w:rPr>
        <w:t xml:space="preserve">9: </w:t>
      </w:r>
      <w:r w:rsidRPr="00597FFB">
        <w:rPr>
          <w:rFonts w:ascii="Times New Roman" w:eastAsiaTheme="minorHAnsi" w:hAnsi="Times New Roman" w:cs="Times New Roman"/>
          <w:i/>
          <w:iCs/>
          <w:color w:val="000000" w:themeColor="text1"/>
        </w:rPr>
        <w:t xml:space="preserve">Municipal </w:t>
      </w:r>
      <w:r w:rsidR="00A0274D" w:rsidRPr="00597FFB">
        <w:rPr>
          <w:rFonts w:ascii="Times New Roman" w:eastAsiaTheme="minorHAnsi" w:hAnsi="Times New Roman" w:cs="Times New Roman"/>
          <w:i/>
          <w:iCs/>
          <w:color w:val="000000" w:themeColor="text1"/>
        </w:rPr>
        <w:t xml:space="preserve">Collection Centers </w:t>
      </w:r>
      <w:r w:rsidR="00A56EE5" w:rsidRPr="00597FFB">
        <w:rPr>
          <w:rFonts w:ascii="Times New Roman" w:eastAsiaTheme="minorHAnsi" w:hAnsi="Times New Roman" w:cs="Times New Roman"/>
          <w:i/>
          <w:iCs/>
          <w:color w:val="000000" w:themeColor="text1"/>
        </w:rPr>
        <w:t>i</w:t>
      </w:r>
      <w:r w:rsidR="00A0274D" w:rsidRPr="00597FFB">
        <w:rPr>
          <w:rFonts w:ascii="Times New Roman" w:eastAsiaTheme="minorHAnsi" w:hAnsi="Times New Roman" w:cs="Times New Roman"/>
          <w:i/>
          <w:iCs/>
          <w:color w:val="000000" w:themeColor="text1"/>
        </w:rPr>
        <w:t>n</w:t>
      </w:r>
      <w:r w:rsidR="00A0274D" w:rsidRPr="00597FFB">
        <w:rPr>
          <w:rFonts w:ascii="Times New Roman" w:eastAsia="Times New Roman" w:hAnsi="Times New Roman" w:cs="Times New Roman"/>
          <w:bCs/>
          <w:i/>
          <w:iCs/>
          <w:color w:val="000000" w:themeColor="text1"/>
        </w:rPr>
        <w:t xml:space="preserve"> </w:t>
      </w:r>
      <w:r w:rsidRPr="00597FFB">
        <w:rPr>
          <w:rFonts w:ascii="Times New Roman" w:eastAsia="Times New Roman" w:hAnsi="Times New Roman" w:cs="Times New Roman"/>
          <w:bCs/>
          <w:i/>
          <w:iCs/>
          <w:color w:val="000000" w:themeColor="text1"/>
        </w:rPr>
        <w:t>Dubai</w:t>
      </w:r>
      <w:r w:rsidR="00A0274D" w:rsidRPr="00597FFB">
        <w:rPr>
          <w:rFonts w:ascii="Times New Roman" w:eastAsia="Times New Roman" w:hAnsi="Times New Roman" w:cs="Times New Roman"/>
          <w:bCs/>
          <w:i/>
          <w:iCs/>
          <w:color w:val="000000" w:themeColor="text1"/>
        </w:rPr>
        <w:t xml:space="preserve">, </w:t>
      </w:r>
      <w:r w:rsidRPr="00597FFB">
        <w:rPr>
          <w:rFonts w:ascii="Times New Roman" w:eastAsia="Times New Roman" w:hAnsi="Times New Roman" w:cs="Times New Roman"/>
          <w:bCs/>
          <w:i/>
          <w:iCs/>
          <w:color w:val="000000" w:themeColor="text1"/>
        </w:rPr>
        <w:t>Abu Dhabi</w:t>
      </w:r>
      <w:r w:rsidR="00A0274D" w:rsidRPr="00597FFB">
        <w:rPr>
          <w:rFonts w:ascii="Times New Roman" w:eastAsia="Times New Roman" w:hAnsi="Times New Roman" w:cs="Times New Roman"/>
          <w:bCs/>
          <w:i/>
          <w:iCs/>
          <w:color w:val="000000" w:themeColor="text1"/>
        </w:rPr>
        <w:t xml:space="preserve">, </w:t>
      </w:r>
      <w:r w:rsidRPr="00597FFB">
        <w:rPr>
          <w:rFonts w:ascii="Times New Roman" w:eastAsia="Times New Roman" w:hAnsi="Times New Roman" w:cs="Times New Roman"/>
          <w:bCs/>
          <w:i/>
          <w:iCs/>
          <w:color w:val="000000" w:themeColor="text1"/>
        </w:rPr>
        <w:t>Sharjah</w:t>
      </w:r>
      <w:r w:rsidR="00A0274D" w:rsidRPr="00597FFB">
        <w:rPr>
          <w:rFonts w:ascii="Times New Roman" w:eastAsia="Times New Roman" w:hAnsi="Times New Roman" w:cs="Times New Roman"/>
          <w:bCs/>
          <w:i/>
          <w:iCs/>
          <w:color w:val="000000" w:themeColor="text1"/>
        </w:rPr>
        <w:t xml:space="preserve">, </w:t>
      </w:r>
      <w:r w:rsidRPr="00597FFB">
        <w:rPr>
          <w:rFonts w:ascii="Times New Roman" w:eastAsia="Times New Roman" w:hAnsi="Times New Roman" w:cs="Times New Roman"/>
          <w:bCs/>
          <w:i/>
          <w:iCs/>
          <w:color w:val="000000" w:themeColor="text1"/>
        </w:rPr>
        <w:t>Ajman</w:t>
      </w:r>
      <w:r w:rsidR="00A0274D" w:rsidRPr="00597FFB">
        <w:rPr>
          <w:rFonts w:ascii="Times New Roman" w:eastAsia="Times New Roman" w:hAnsi="Times New Roman" w:cs="Times New Roman"/>
          <w:bCs/>
          <w:i/>
          <w:iCs/>
          <w:color w:val="000000" w:themeColor="text1"/>
        </w:rPr>
        <w:t xml:space="preserve">, And </w:t>
      </w:r>
      <w:r w:rsidRPr="00597FFB">
        <w:rPr>
          <w:rFonts w:ascii="Times New Roman" w:eastAsia="Times New Roman" w:hAnsi="Times New Roman" w:cs="Times New Roman"/>
          <w:bCs/>
          <w:i/>
          <w:iCs/>
          <w:color w:val="000000" w:themeColor="text1"/>
        </w:rPr>
        <w:t>Ras Al Khaimah</w:t>
      </w:r>
      <w:r w:rsidR="00A0274D" w:rsidRPr="00597FFB">
        <w:rPr>
          <w:rFonts w:ascii="Times New Roman" w:eastAsia="Times New Roman" w:hAnsi="Times New Roman" w:cs="Times New Roman"/>
          <w:bCs/>
          <w:i/>
          <w:iCs/>
          <w:color w:val="000000" w:themeColor="text1"/>
        </w:rPr>
        <w:t>.</w:t>
      </w: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4223"/>
        <w:gridCol w:w="1549"/>
      </w:tblGrid>
      <w:tr w:rsidR="0003140E" w:rsidRPr="00597FFB" w14:paraId="765FAB41" w14:textId="77777777" w:rsidTr="001E19F2">
        <w:tc>
          <w:tcPr>
            <w:tcW w:w="1989" w:type="dxa"/>
            <w:tcBorders>
              <w:top w:val="single" w:sz="4" w:space="0" w:color="auto"/>
              <w:bottom w:val="single" w:sz="4" w:space="0" w:color="auto"/>
            </w:tcBorders>
          </w:tcPr>
          <w:p w14:paraId="451DC2C8"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Emirate</w:t>
            </w:r>
          </w:p>
        </w:tc>
        <w:tc>
          <w:tcPr>
            <w:tcW w:w="4283" w:type="dxa"/>
            <w:tcBorders>
              <w:top w:val="single" w:sz="4" w:space="0" w:color="auto"/>
              <w:bottom w:val="single" w:sz="4" w:space="0" w:color="auto"/>
            </w:tcBorders>
          </w:tcPr>
          <w:p w14:paraId="21C64322"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Municipality Pickup Centers</w:t>
            </w:r>
          </w:p>
        </w:tc>
        <w:tc>
          <w:tcPr>
            <w:tcW w:w="1648" w:type="dxa"/>
            <w:tcBorders>
              <w:top w:val="single" w:sz="4" w:space="0" w:color="auto"/>
              <w:bottom w:val="single" w:sz="4" w:space="0" w:color="auto"/>
            </w:tcBorders>
          </w:tcPr>
          <w:p w14:paraId="4E0A25F9" w14:textId="77777777" w:rsidR="0003140E" w:rsidRPr="00597FFB" w:rsidRDefault="0003140E" w:rsidP="0003140E">
            <w:pPr>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Region in UAE</w:t>
            </w:r>
          </w:p>
        </w:tc>
      </w:tr>
      <w:tr w:rsidR="0003140E" w:rsidRPr="00597FFB" w14:paraId="0A41310E" w14:textId="77777777" w:rsidTr="001E19F2">
        <w:trPr>
          <w:trHeight w:val="1556"/>
        </w:trPr>
        <w:tc>
          <w:tcPr>
            <w:tcW w:w="1989" w:type="dxa"/>
            <w:tcBorders>
              <w:top w:val="single" w:sz="4" w:space="0" w:color="auto"/>
            </w:tcBorders>
          </w:tcPr>
          <w:p w14:paraId="4F39C8BC"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Dubai</w:t>
            </w:r>
          </w:p>
        </w:tc>
        <w:tc>
          <w:tcPr>
            <w:tcW w:w="4283" w:type="dxa"/>
            <w:tcBorders>
              <w:top w:val="single" w:sz="4" w:space="0" w:color="auto"/>
            </w:tcBorders>
          </w:tcPr>
          <w:p w14:paraId="76D6B254" w14:textId="77777777" w:rsidR="0003140E" w:rsidRPr="00597FFB" w:rsidRDefault="0003140E" w:rsidP="00873BC3">
            <w:pPr>
              <w:numPr>
                <w:ilvl w:val="0"/>
                <w:numId w:val="14"/>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Dubai Municipality Center</w:t>
            </w:r>
          </w:p>
          <w:p w14:paraId="25843F25" w14:textId="77777777" w:rsidR="0003140E" w:rsidRPr="00597FFB" w:rsidRDefault="0003140E" w:rsidP="00873BC3">
            <w:pPr>
              <w:numPr>
                <w:ilvl w:val="0"/>
                <w:numId w:val="14"/>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Al Twar</w:t>
            </w:r>
          </w:p>
          <w:p w14:paraId="5D774761" w14:textId="77777777" w:rsidR="0003140E" w:rsidRPr="00597FFB" w:rsidRDefault="0003140E" w:rsidP="00873BC3">
            <w:pPr>
              <w:numPr>
                <w:ilvl w:val="0"/>
                <w:numId w:val="14"/>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Al Kifaf (near Jaffliyah)</w:t>
            </w:r>
          </w:p>
          <w:p w14:paraId="43FA4561" w14:textId="77777777" w:rsidR="0003140E" w:rsidRPr="00597FFB" w:rsidRDefault="0003140E" w:rsidP="00873BC3">
            <w:pPr>
              <w:numPr>
                <w:ilvl w:val="0"/>
                <w:numId w:val="14"/>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Al Manara (Sheikh Zayed Road)</w:t>
            </w:r>
          </w:p>
          <w:p w14:paraId="73447EB7" w14:textId="77777777" w:rsidR="0003140E" w:rsidRPr="00597FFB" w:rsidRDefault="0003140E" w:rsidP="00873BC3">
            <w:pPr>
              <w:numPr>
                <w:ilvl w:val="0"/>
                <w:numId w:val="14"/>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Tadweer recycling company</w:t>
            </w:r>
          </w:p>
        </w:tc>
        <w:tc>
          <w:tcPr>
            <w:tcW w:w="1648" w:type="dxa"/>
            <w:tcBorders>
              <w:top w:val="single" w:sz="4" w:space="0" w:color="auto"/>
            </w:tcBorders>
            <w:vAlign w:val="center"/>
          </w:tcPr>
          <w:p w14:paraId="25BE2293" w14:textId="77777777" w:rsidR="0003140E" w:rsidRPr="00597FFB" w:rsidRDefault="0003140E" w:rsidP="0003140E">
            <w:pPr>
              <w:jc w:val="center"/>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North-west</w:t>
            </w:r>
          </w:p>
        </w:tc>
      </w:tr>
      <w:tr w:rsidR="0003140E" w:rsidRPr="00597FFB" w14:paraId="0FB94B23" w14:textId="77777777" w:rsidTr="001E19F2">
        <w:trPr>
          <w:trHeight w:val="450"/>
        </w:trPr>
        <w:tc>
          <w:tcPr>
            <w:tcW w:w="1989" w:type="dxa"/>
          </w:tcPr>
          <w:p w14:paraId="02039CCA"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Abu Dhabi</w:t>
            </w:r>
          </w:p>
        </w:tc>
        <w:tc>
          <w:tcPr>
            <w:tcW w:w="4283" w:type="dxa"/>
          </w:tcPr>
          <w:p w14:paraId="5FA2956C" w14:textId="77777777" w:rsidR="0003140E" w:rsidRPr="00597FFB" w:rsidRDefault="0003140E" w:rsidP="00873BC3">
            <w:pPr>
              <w:numPr>
                <w:ilvl w:val="0"/>
                <w:numId w:val="15"/>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Abu Dhabi Tadweer Waste</w:t>
            </w:r>
          </w:p>
        </w:tc>
        <w:tc>
          <w:tcPr>
            <w:tcW w:w="1648" w:type="dxa"/>
            <w:vAlign w:val="center"/>
          </w:tcPr>
          <w:p w14:paraId="7B4B383C" w14:textId="1A363D23" w:rsidR="0003140E" w:rsidRPr="00597FFB" w:rsidRDefault="00971249" w:rsidP="0003140E">
            <w:pPr>
              <w:jc w:val="center"/>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Southwest</w:t>
            </w:r>
          </w:p>
        </w:tc>
      </w:tr>
      <w:tr w:rsidR="0003140E" w:rsidRPr="00597FFB" w14:paraId="066E5C50" w14:textId="77777777" w:rsidTr="001E19F2">
        <w:trPr>
          <w:trHeight w:val="720"/>
        </w:trPr>
        <w:tc>
          <w:tcPr>
            <w:tcW w:w="1989" w:type="dxa"/>
          </w:tcPr>
          <w:p w14:paraId="52844293"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Sharjah</w:t>
            </w:r>
          </w:p>
        </w:tc>
        <w:tc>
          <w:tcPr>
            <w:tcW w:w="4283" w:type="dxa"/>
          </w:tcPr>
          <w:p w14:paraId="36FAD878" w14:textId="77777777" w:rsidR="0003140E" w:rsidRPr="00597FFB" w:rsidRDefault="0003140E" w:rsidP="00873BC3">
            <w:pPr>
              <w:numPr>
                <w:ilvl w:val="0"/>
                <w:numId w:val="15"/>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Bee’ah – Tandeef</w:t>
            </w:r>
          </w:p>
          <w:p w14:paraId="504F4FFB" w14:textId="77777777" w:rsidR="0003140E" w:rsidRPr="00597FFB" w:rsidRDefault="0003140E" w:rsidP="00873BC3">
            <w:pPr>
              <w:numPr>
                <w:ilvl w:val="0"/>
                <w:numId w:val="15"/>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Al Qasba recycling bin</w:t>
            </w:r>
          </w:p>
        </w:tc>
        <w:tc>
          <w:tcPr>
            <w:tcW w:w="1648" w:type="dxa"/>
            <w:vAlign w:val="center"/>
          </w:tcPr>
          <w:p w14:paraId="0DBC289A" w14:textId="77777777" w:rsidR="0003140E" w:rsidRPr="00597FFB" w:rsidRDefault="0003140E" w:rsidP="0003140E">
            <w:pPr>
              <w:jc w:val="center"/>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Eastern</w:t>
            </w:r>
          </w:p>
        </w:tc>
      </w:tr>
      <w:tr w:rsidR="0003140E" w:rsidRPr="00597FFB" w14:paraId="79E84D55" w14:textId="77777777" w:rsidTr="001E19F2">
        <w:trPr>
          <w:trHeight w:val="1251"/>
        </w:trPr>
        <w:tc>
          <w:tcPr>
            <w:tcW w:w="1989" w:type="dxa"/>
          </w:tcPr>
          <w:p w14:paraId="52D81DA9"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Ajman</w:t>
            </w:r>
          </w:p>
        </w:tc>
        <w:tc>
          <w:tcPr>
            <w:tcW w:w="4283" w:type="dxa"/>
          </w:tcPr>
          <w:p w14:paraId="47F6C9DD" w14:textId="77777777" w:rsidR="0003140E" w:rsidRPr="00597FFB" w:rsidRDefault="0003140E" w:rsidP="00873BC3">
            <w:pPr>
              <w:numPr>
                <w:ilvl w:val="0"/>
                <w:numId w:val="16"/>
              </w:numPr>
              <w:contextualSpacing/>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Residents need to call Ajman Municipality via 800 70 after registering online via https://online.am.gov.ae/en/index.html</w:t>
            </w:r>
          </w:p>
        </w:tc>
        <w:tc>
          <w:tcPr>
            <w:tcW w:w="1648" w:type="dxa"/>
            <w:vAlign w:val="center"/>
          </w:tcPr>
          <w:p w14:paraId="61AB0B95" w14:textId="77777777" w:rsidR="0003140E" w:rsidRPr="00597FFB" w:rsidRDefault="0003140E" w:rsidP="0003140E">
            <w:pPr>
              <w:jc w:val="center"/>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Northern</w:t>
            </w:r>
          </w:p>
        </w:tc>
      </w:tr>
      <w:tr w:rsidR="0003140E" w:rsidRPr="00597FFB" w14:paraId="7612FE53" w14:textId="77777777" w:rsidTr="001E19F2">
        <w:tc>
          <w:tcPr>
            <w:tcW w:w="1989" w:type="dxa"/>
          </w:tcPr>
          <w:p w14:paraId="5FEBBFE5" w14:textId="77777777" w:rsidR="0003140E" w:rsidRPr="00597FFB" w:rsidRDefault="0003140E" w:rsidP="0003140E">
            <w:pPr>
              <w:jc w:val="both"/>
              <w:rPr>
                <w:rFonts w:asciiTheme="majorBidi" w:eastAsia="Times New Roman" w:hAnsiTheme="majorBidi" w:cstheme="majorBidi"/>
                <w:b/>
                <w:color w:val="000000" w:themeColor="text1"/>
              </w:rPr>
            </w:pPr>
            <w:r w:rsidRPr="00597FFB">
              <w:rPr>
                <w:rFonts w:asciiTheme="majorBidi" w:eastAsia="Times New Roman" w:hAnsiTheme="majorBidi" w:cstheme="majorBidi"/>
                <w:b/>
                <w:color w:val="000000" w:themeColor="text1"/>
              </w:rPr>
              <w:t>Ras Al Khaimah</w:t>
            </w:r>
          </w:p>
        </w:tc>
        <w:tc>
          <w:tcPr>
            <w:tcW w:w="4283" w:type="dxa"/>
          </w:tcPr>
          <w:p w14:paraId="722DA482" w14:textId="77777777" w:rsidR="0003140E" w:rsidRPr="00597FFB" w:rsidRDefault="0003140E" w:rsidP="00873BC3">
            <w:pPr>
              <w:numPr>
                <w:ilvl w:val="0"/>
                <w:numId w:val="15"/>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Behind Al Hamra Mall</w:t>
            </w:r>
          </w:p>
          <w:p w14:paraId="5C0CF3C7" w14:textId="77777777" w:rsidR="0003140E" w:rsidRPr="00597FFB" w:rsidRDefault="0003140E" w:rsidP="00873BC3">
            <w:pPr>
              <w:numPr>
                <w:ilvl w:val="0"/>
                <w:numId w:val="15"/>
              </w:numPr>
              <w:contextualSpacing/>
              <w:jc w:val="both"/>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RAK Mall parking lot</w:t>
            </w:r>
          </w:p>
        </w:tc>
        <w:tc>
          <w:tcPr>
            <w:tcW w:w="1648" w:type="dxa"/>
            <w:vAlign w:val="center"/>
          </w:tcPr>
          <w:p w14:paraId="77F11080" w14:textId="77777777" w:rsidR="0003140E" w:rsidRPr="00597FFB" w:rsidRDefault="0003140E" w:rsidP="0003140E">
            <w:pPr>
              <w:jc w:val="center"/>
              <w:rPr>
                <w:rFonts w:asciiTheme="majorBidi" w:eastAsia="Times New Roman" w:hAnsiTheme="majorBidi" w:cstheme="majorBidi"/>
                <w:bCs/>
                <w:color w:val="000000" w:themeColor="text1"/>
              </w:rPr>
            </w:pPr>
            <w:r w:rsidRPr="00597FFB">
              <w:rPr>
                <w:rFonts w:asciiTheme="majorBidi" w:eastAsia="Times New Roman" w:hAnsiTheme="majorBidi" w:cstheme="majorBidi"/>
                <w:bCs/>
                <w:color w:val="000000" w:themeColor="text1"/>
              </w:rPr>
              <w:t>Northern</w:t>
            </w:r>
          </w:p>
        </w:tc>
      </w:tr>
    </w:tbl>
    <w:p w14:paraId="75BB1A90" w14:textId="7EB1FECF" w:rsidR="0003140E" w:rsidRPr="00597FFB" w:rsidRDefault="0003140E" w:rsidP="00A56EE5">
      <w:pPr>
        <w:spacing w:after="0" w:line="480" w:lineRule="auto"/>
        <w:jc w:val="both"/>
        <w:rPr>
          <w:rFonts w:ascii="Times New Roman" w:eastAsia="Times New Roman" w:hAnsi="Times New Roman" w:cs="Times New Roman"/>
          <w:bCs/>
          <w:i/>
          <w:iCs/>
          <w:color w:val="FF0000"/>
          <w:sz w:val="20"/>
          <w:szCs w:val="20"/>
        </w:rPr>
      </w:pPr>
      <w:r w:rsidRPr="00597FFB">
        <w:rPr>
          <w:rFonts w:ascii="Times New Roman" w:eastAsia="Times New Roman" w:hAnsi="Times New Roman" w:cs="Times New Roman"/>
          <w:b/>
          <w:i/>
          <w:iCs/>
          <w:color w:val="000000" w:themeColor="text1"/>
          <w:sz w:val="24"/>
          <w:szCs w:val="24"/>
        </w:rPr>
        <w:t xml:space="preserve"> </w:t>
      </w:r>
      <w:r w:rsidRPr="00597FFB">
        <w:rPr>
          <w:rFonts w:ascii="Times New Roman" w:eastAsia="Times New Roman" w:hAnsi="Times New Roman" w:cs="Times New Roman"/>
          <w:bCs/>
          <w:i/>
          <w:iCs/>
          <w:color w:val="000000" w:themeColor="text1"/>
          <w:sz w:val="20"/>
          <w:szCs w:val="20"/>
        </w:rPr>
        <w:t>Source: Tabrez (2020)</w:t>
      </w:r>
      <w:r w:rsidR="00A56EE5" w:rsidRPr="00597FFB">
        <w:rPr>
          <w:rFonts w:ascii="Times New Roman" w:eastAsia="Times New Roman" w:hAnsi="Times New Roman" w:cs="Times New Roman"/>
          <w:bCs/>
          <w:i/>
          <w:iCs/>
          <w:color w:val="000000" w:themeColor="text1"/>
          <w:sz w:val="20"/>
          <w:szCs w:val="20"/>
        </w:rPr>
        <w:t>.</w:t>
      </w:r>
    </w:p>
    <w:p w14:paraId="25F6F7C2" w14:textId="4A2CBA56" w:rsidR="0003140E" w:rsidRPr="00597FFB" w:rsidRDefault="00841E4B" w:rsidP="00841E4B">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09" w:name="_Toc127170279"/>
      <w:r w:rsidRPr="00597FFB">
        <w:rPr>
          <w:rFonts w:ascii="Times New Roman" w:eastAsia="Calibri" w:hAnsi="Times New Roman" w:cs="Times New Roman"/>
          <w:i/>
          <w:iCs/>
          <w:color w:val="000000" w:themeColor="text1"/>
          <w:sz w:val="24"/>
          <w:szCs w:val="24"/>
        </w:rPr>
        <w:t xml:space="preserve">2.4.2. </w:t>
      </w:r>
      <w:r w:rsidR="0003140E" w:rsidRPr="00597FFB">
        <w:rPr>
          <w:rFonts w:ascii="Times New Roman" w:eastAsia="Calibri" w:hAnsi="Times New Roman" w:cs="Times New Roman"/>
          <w:i/>
          <w:iCs/>
          <w:color w:val="000000" w:themeColor="text1"/>
          <w:sz w:val="24"/>
          <w:szCs w:val="24"/>
        </w:rPr>
        <w:t>Informal Disposal</w:t>
      </w:r>
      <w:r w:rsidR="00C16429" w:rsidRPr="00597FFB">
        <w:rPr>
          <w:rFonts w:ascii="Times New Roman" w:eastAsia="Calibri" w:hAnsi="Times New Roman" w:cs="Times New Roman"/>
          <w:i/>
          <w:iCs/>
          <w:color w:val="000000" w:themeColor="text1"/>
          <w:sz w:val="24"/>
          <w:szCs w:val="24"/>
        </w:rPr>
        <w:t>.</w:t>
      </w:r>
      <w:bookmarkEnd w:id="109"/>
    </w:p>
    <w:p w14:paraId="0E8B8141" w14:textId="76DE4EE0"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developing </w:t>
      </w:r>
      <w:r w:rsidR="0056705A" w:rsidRPr="00597FFB">
        <w:rPr>
          <w:rFonts w:ascii="Times New Roman" w:eastAsia="Times New Roman" w:hAnsi="Times New Roman" w:cs="Times New Roman"/>
          <w:bCs/>
          <w:color w:val="000000" w:themeColor="text1"/>
          <w:sz w:val="24"/>
          <w:szCs w:val="24"/>
        </w:rPr>
        <w:t>countries</w:t>
      </w:r>
      <w:r w:rsidRPr="00597FFB">
        <w:rPr>
          <w:rFonts w:ascii="Times New Roman" w:eastAsia="Times New Roman" w:hAnsi="Times New Roman" w:cs="Times New Roman"/>
          <w:bCs/>
          <w:color w:val="000000" w:themeColor="text1"/>
          <w:sz w:val="24"/>
          <w:szCs w:val="24"/>
        </w:rPr>
        <w:t xml:space="preserve">, the EWM </w:t>
      </w:r>
      <w:r w:rsidR="0056705A" w:rsidRPr="00597FFB">
        <w:rPr>
          <w:rFonts w:ascii="Times New Roman" w:eastAsia="Times New Roman" w:hAnsi="Times New Roman" w:cs="Times New Roman"/>
          <w:bCs/>
          <w:color w:val="000000" w:themeColor="text1"/>
          <w:sz w:val="24"/>
          <w:szCs w:val="24"/>
        </w:rPr>
        <w:t xml:space="preserve">infrastructure </w:t>
      </w:r>
      <w:r w:rsidRPr="00597FFB">
        <w:rPr>
          <w:rFonts w:ascii="Times New Roman" w:eastAsia="Times New Roman" w:hAnsi="Times New Roman" w:cs="Times New Roman"/>
          <w:bCs/>
          <w:color w:val="000000" w:themeColor="text1"/>
          <w:sz w:val="24"/>
          <w:szCs w:val="24"/>
        </w:rPr>
        <w:t xml:space="preserve">and </w:t>
      </w:r>
      <w:r w:rsidR="0056705A" w:rsidRPr="00597FFB">
        <w:rPr>
          <w:rFonts w:ascii="Times New Roman" w:eastAsia="Times New Roman" w:hAnsi="Times New Roman" w:cs="Times New Roman"/>
          <w:bCs/>
          <w:color w:val="000000" w:themeColor="text1"/>
          <w:sz w:val="24"/>
          <w:szCs w:val="24"/>
        </w:rPr>
        <w:t xml:space="preserve">system </w:t>
      </w:r>
      <w:r w:rsidRPr="00597FFB">
        <w:rPr>
          <w:rFonts w:ascii="Times New Roman" w:eastAsia="Times New Roman" w:hAnsi="Times New Roman" w:cs="Times New Roman"/>
          <w:bCs/>
          <w:color w:val="000000" w:themeColor="text1"/>
          <w:sz w:val="24"/>
          <w:szCs w:val="24"/>
        </w:rPr>
        <w:t xml:space="preserve">are </w:t>
      </w:r>
      <w:r w:rsidR="0056705A" w:rsidRPr="00597FFB">
        <w:rPr>
          <w:rFonts w:ascii="Times New Roman" w:eastAsia="Times New Roman" w:hAnsi="Times New Roman" w:cs="Times New Roman"/>
          <w:bCs/>
          <w:color w:val="000000" w:themeColor="text1"/>
          <w:sz w:val="24"/>
          <w:szCs w:val="24"/>
        </w:rPr>
        <w:t>under</w:t>
      </w:r>
      <w:r w:rsidRPr="00597FFB">
        <w:rPr>
          <w:rFonts w:ascii="Times New Roman" w:eastAsia="Times New Roman" w:hAnsi="Times New Roman" w:cs="Times New Roman"/>
          <w:bCs/>
          <w:color w:val="000000" w:themeColor="text1"/>
          <w:sz w:val="24"/>
          <w:szCs w:val="24"/>
        </w:rPr>
        <w:t xml:space="preserve">developed (Forti et al., 2020; Iatonni et al., 2021). Therefore, the </w:t>
      </w:r>
      <w:r w:rsidR="0056705A" w:rsidRPr="00597FFB">
        <w:rPr>
          <w:rFonts w:ascii="Times New Roman" w:eastAsia="Times New Roman" w:hAnsi="Times New Roman" w:cs="Times New Roman"/>
          <w:bCs/>
          <w:color w:val="000000" w:themeColor="text1"/>
          <w:sz w:val="24"/>
          <w:szCs w:val="24"/>
        </w:rPr>
        <w:t xml:space="preserve">informal </w:t>
      </w:r>
      <w:r w:rsidRPr="00597FFB">
        <w:rPr>
          <w:rFonts w:ascii="Times New Roman" w:eastAsia="Times New Roman" w:hAnsi="Times New Roman" w:cs="Times New Roman"/>
          <w:bCs/>
          <w:color w:val="000000" w:themeColor="text1"/>
          <w:sz w:val="24"/>
          <w:szCs w:val="24"/>
        </w:rPr>
        <w:t xml:space="preserve">or </w:t>
      </w:r>
      <w:r w:rsidR="0056705A" w:rsidRPr="00597FFB">
        <w:rPr>
          <w:rFonts w:ascii="Times New Roman" w:eastAsia="Times New Roman" w:hAnsi="Times New Roman" w:cs="Times New Roman"/>
          <w:bCs/>
          <w:color w:val="000000" w:themeColor="text1"/>
          <w:sz w:val="24"/>
          <w:szCs w:val="24"/>
        </w:rPr>
        <w:t xml:space="preserve">unofficial </w:t>
      </w:r>
      <w:r w:rsidRPr="00597FFB">
        <w:rPr>
          <w:rFonts w:ascii="Times New Roman" w:eastAsia="Times New Roman" w:hAnsi="Times New Roman" w:cs="Times New Roman"/>
          <w:bCs/>
          <w:color w:val="000000" w:themeColor="text1"/>
          <w:sz w:val="24"/>
          <w:szCs w:val="24"/>
        </w:rPr>
        <w:t>disposal process</w:t>
      </w:r>
      <w:r w:rsidR="0056705A" w:rsidRPr="00597FFB">
        <w:rPr>
          <w:rFonts w:ascii="Times New Roman" w:eastAsia="Times New Roman" w:hAnsi="Times New Roman" w:cs="Times New Roman"/>
          <w:bCs/>
          <w:color w:val="000000" w:themeColor="text1"/>
          <w:sz w:val="24"/>
          <w:szCs w:val="24"/>
        </w:rPr>
        <w:t xml:space="preserve">es entail waste </w:t>
      </w:r>
      <w:r w:rsidRPr="00597FFB">
        <w:rPr>
          <w:rFonts w:ascii="Times New Roman" w:eastAsia="Times New Roman" w:hAnsi="Times New Roman" w:cs="Times New Roman"/>
          <w:bCs/>
          <w:color w:val="000000" w:themeColor="text1"/>
          <w:sz w:val="24"/>
          <w:szCs w:val="24"/>
        </w:rPr>
        <w:t xml:space="preserve">collection by local collectors who buy waste from consumers door-to-door to sell to local residents who refurbish the waste or recycle. The waste is then crudely recycled in open backyards without proper facilities </w:t>
      </w:r>
      <w:r w:rsidRPr="00597FFB">
        <w:rPr>
          <w:rFonts w:ascii="Times New Roman" w:eastAsiaTheme="minorHAnsi" w:hAnsi="Times New Roman" w:cs="Times New Roman"/>
          <w:color w:val="000000" w:themeColor="text1"/>
          <w:sz w:val="24"/>
        </w:rPr>
        <w:t>(Wang, 2019)</w:t>
      </w:r>
      <w:r w:rsidRPr="00597FFB">
        <w:rPr>
          <w:rFonts w:ascii="Times New Roman" w:eastAsia="Times New Roman" w:hAnsi="Times New Roman" w:cs="Times New Roman"/>
          <w:bCs/>
          <w:color w:val="000000" w:themeColor="text1"/>
          <w:sz w:val="24"/>
          <w:szCs w:val="24"/>
        </w:rPr>
        <w:t xml:space="preserve">. The informal e-waste disposal sector is dominant in such developing countries as Mexico </w:t>
      </w:r>
      <w:sdt>
        <w:sdtPr>
          <w:rPr>
            <w:rFonts w:ascii="Times New Roman" w:eastAsia="Times New Roman" w:hAnsi="Times New Roman" w:cs="Times New Roman"/>
            <w:bCs/>
            <w:color w:val="000000" w:themeColor="text1"/>
            <w:sz w:val="24"/>
            <w:szCs w:val="24"/>
          </w:rPr>
          <w:id w:val="1429459566"/>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Tsy19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(Tsydenova &amp; Heyken, 2019)</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Indonesia </w:t>
      </w:r>
      <w:sdt>
        <w:sdtPr>
          <w:rPr>
            <w:rFonts w:ascii="Times New Roman" w:eastAsia="Times New Roman" w:hAnsi="Times New Roman" w:cs="Times New Roman"/>
            <w:bCs/>
            <w:color w:val="000000" w:themeColor="text1"/>
            <w:sz w:val="24"/>
            <w:szCs w:val="24"/>
          </w:rPr>
          <w:id w:val="925464788"/>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CITATION Mah20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(Maheswari, Yudoko, Adhiutama, &amp; Agustina, 2020)</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China , India </w:t>
      </w:r>
      <w:sdt>
        <w:sdtPr>
          <w:rPr>
            <w:rFonts w:ascii="Times New Roman" w:eastAsia="Times New Roman" w:hAnsi="Times New Roman" w:cs="Times New Roman"/>
            <w:bCs/>
            <w:color w:val="000000" w:themeColor="text1"/>
            <w:sz w:val="24"/>
            <w:szCs w:val="24"/>
          </w:rPr>
          <w:id w:val="-1457870811"/>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Dut21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(Dutta &amp; Goel,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and Ghana </w:t>
      </w:r>
      <w:sdt>
        <w:sdtPr>
          <w:rPr>
            <w:rFonts w:ascii="Times New Roman" w:eastAsia="Times New Roman" w:hAnsi="Times New Roman" w:cs="Times New Roman"/>
            <w:bCs/>
            <w:color w:val="000000" w:themeColor="text1"/>
            <w:sz w:val="24"/>
            <w:szCs w:val="24"/>
          </w:rPr>
          <w:id w:val="1519505852"/>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Ama17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(Amankwaa, Tsikudo, &amp; Bowman, 2017)</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The most recent report on the global state of e-waste and ERM by the United Nations </w:t>
      </w:r>
      <w:r w:rsidR="00D619B9" w:rsidRPr="00597FFB">
        <w:rPr>
          <w:rFonts w:ascii="Times New Roman" w:eastAsia="Times New Roman" w:hAnsi="Times New Roman" w:cs="Times New Roman"/>
          <w:bCs/>
          <w:color w:val="000000" w:themeColor="text1"/>
          <w:sz w:val="24"/>
          <w:szCs w:val="24"/>
        </w:rPr>
        <w:t>University (</w:t>
      </w:r>
      <w:r w:rsidRPr="00597FFB">
        <w:rPr>
          <w:rFonts w:ascii="Times New Roman" w:eastAsia="Times New Roman" w:hAnsi="Times New Roman" w:cs="Times New Roman"/>
          <w:bCs/>
          <w:color w:val="000000" w:themeColor="text1"/>
          <w:sz w:val="24"/>
          <w:szCs w:val="24"/>
        </w:rPr>
        <w:t>UNU)/United Nations Institute for Training and Research (UNITAR)</w:t>
      </w:r>
      <w:r w:rsidR="008A15D7" w:rsidRPr="00597FFB">
        <w:t xml:space="preserve"> </w:t>
      </w:r>
      <w:r w:rsidR="008A15D7" w:rsidRPr="00597FFB">
        <w:rPr>
          <w:rFonts w:ascii="Times New Roman" w:eastAsia="Times New Roman" w:hAnsi="Times New Roman" w:cs="Times New Roman"/>
          <w:bCs/>
          <w:color w:val="000000" w:themeColor="text1"/>
          <w:sz w:val="24"/>
          <w:szCs w:val="24"/>
        </w:rPr>
        <w:t>(Forti, Baldé, Kuehr, &amp; Bel, 2020</w:t>
      </w:r>
      <w:r w:rsidR="00A05593" w:rsidRPr="00597FFB">
        <w:rPr>
          <w:rFonts w:ascii="Times New Roman" w:eastAsia="Times New Roman" w:hAnsi="Times New Roman" w:cs="Times New Roman"/>
          <w:bCs/>
          <w:color w:val="000000" w:themeColor="text1"/>
          <w:sz w:val="24"/>
          <w:szCs w:val="24"/>
        </w:rPr>
        <w:t>) revealed</w:t>
      </w:r>
      <w:r w:rsidRPr="00597FFB">
        <w:rPr>
          <w:rFonts w:ascii="Times New Roman" w:eastAsia="Times New Roman" w:hAnsi="Times New Roman" w:cs="Times New Roman"/>
          <w:bCs/>
          <w:color w:val="000000" w:themeColor="text1"/>
          <w:sz w:val="24"/>
          <w:szCs w:val="24"/>
        </w:rPr>
        <w:t xml:space="preserve"> that about 82.6% or 44.3 metric tons of e-waste generated in 2019 could not be accounted for and was suspected to end up in the informal sector. As shown in Figure </w:t>
      </w:r>
      <w:r w:rsidR="00A2131A" w:rsidRPr="00597FFB">
        <w:rPr>
          <w:rFonts w:ascii="Times New Roman" w:eastAsia="Times New Roman" w:hAnsi="Times New Roman" w:cs="Times New Roman"/>
          <w:bCs/>
          <w:color w:val="000000" w:themeColor="text1"/>
          <w:sz w:val="24"/>
          <w:szCs w:val="24"/>
        </w:rPr>
        <w:t>5</w:t>
      </w:r>
      <w:r w:rsidRPr="00597FFB">
        <w:rPr>
          <w:rFonts w:ascii="Times New Roman" w:eastAsia="Times New Roman" w:hAnsi="Times New Roman" w:cs="Times New Roman"/>
          <w:bCs/>
          <w:color w:val="000000" w:themeColor="text1"/>
          <w:sz w:val="24"/>
          <w:szCs w:val="24"/>
        </w:rPr>
        <w:t xml:space="preserve"> below, the amount of e-waste generated globally has been rising from 44.4 metric tons to 53.6 metric tons in 2019 and has been projected to increase to 74.7 metric tons in 2030. Furthermore, Figure </w:t>
      </w:r>
      <w:r w:rsidR="00B039AB" w:rsidRPr="00597FFB">
        <w:rPr>
          <w:rFonts w:ascii="Times New Roman" w:eastAsia="Times New Roman" w:hAnsi="Times New Roman" w:cs="Times New Roman"/>
          <w:bCs/>
          <w:color w:val="000000" w:themeColor="text1"/>
          <w:sz w:val="24"/>
          <w:szCs w:val="24"/>
        </w:rPr>
        <w:t>5</w:t>
      </w:r>
      <w:r w:rsidRPr="00597FFB">
        <w:rPr>
          <w:rFonts w:ascii="Times New Roman" w:eastAsia="Times New Roman" w:hAnsi="Times New Roman" w:cs="Times New Roman"/>
          <w:bCs/>
          <w:color w:val="000000" w:themeColor="text1"/>
          <w:sz w:val="24"/>
          <w:szCs w:val="24"/>
        </w:rPr>
        <w:t xml:space="preserve"> shows that the amount of e-waste that is documented to have been collected properly was only 17.0% in 2014 and this reduced to about 17.4% in 2019.</w:t>
      </w:r>
    </w:p>
    <w:p w14:paraId="18EA61CC" w14:textId="71450EEC"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developed </w:t>
      </w:r>
      <w:r w:rsidR="0056705A" w:rsidRPr="00597FFB">
        <w:rPr>
          <w:rFonts w:ascii="Times New Roman" w:eastAsia="Times New Roman" w:hAnsi="Times New Roman" w:cs="Times New Roman"/>
          <w:bCs/>
          <w:color w:val="000000" w:themeColor="text1"/>
          <w:sz w:val="24"/>
          <w:szCs w:val="24"/>
        </w:rPr>
        <w:t>countries</w:t>
      </w:r>
      <w:r w:rsidRPr="00597FFB">
        <w:rPr>
          <w:rFonts w:ascii="Times New Roman" w:eastAsia="Times New Roman" w:hAnsi="Times New Roman" w:cs="Times New Roman"/>
          <w:bCs/>
          <w:color w:val="000000" w:themeColor="text1"/>
          <w:sz w:val="24"/>
          <w:szCs w:val="24"/>
        </w:rPr>
        <w:t xml:space="preserve">, </w:t>
      </w:r>
      <w:r w:rsidR="0056705A" w:rsidRPr="00597FFB">
        <w:rPr>
          <w:rFonts w:ascii="Times New Roman" w:eastAsia="Times New Roman" w:hAnsi="Times New Roman" w:cs="Times New Roman"/>
          <w:bCs/>
          <w:color w:val="000000" w:themeColor="text1"/>
          <w:sz w:val="24"/>
          <w:szCs w:val="24"/>
        </w:rPr>
        <w:t xml:space="preserve">waste </w:t>
      </w:r>
      <w:r w:rsidRPr="00597FFB">
        <w:rPr>
          <w:rFonts w:ascii="Times New Roman" w:eastAsia="Times New Roman" w:hAnsi="Times New Roman" w:cs="Times New Roman"/>
          <w:bCs/>
          <w:color w:val="000000" w:themeColor="text1"/>
          <w:sz w:val="24"/>
          <w:szCs w:val="24"/>
        </w:rPr>
        <w:t>collection outside</w:t>
      </w:r>
      <w:r w:rsidR="0056705A" w:rsidRPr="00597FFB">
        <w:rPr>
          <w:rFonts w:ascii="Times New Roman" w:eastAsia="Times New Roman" w:hAnsi="Times New Roman" w:cs="Times New Roman"/>
          <w:bCs/>
          <w:color w:val="000000" w:themeColor="text1"/>
          <w:sz w:val="24"/>
          <w:szCs w:val="24"/>
        </w:rPr>
        <w:t xml:space="preserve"> of</w:t>
      </w:r>
      <w:r w:rsidRPr="00597FFB">
        <w:rPr>
          <w:rFonts w:ascii="Times New Roman" w:eastAsia="Times New Roman" w:hAnsi="Times New Roman" w:cs="Times New Roman"/>
          <w:bCs/>
          <w:color w:val="000000" w:themeColor="text1"/>
          <w:sz w:val="24"/>
          <w:szCs w:val="24"/>
        </w:rPr>
        <w:t xml:space="preserve"> the official takeback system is conducted by individual waste </w:t>
      </w:r>
      <w:r w:rsidR="0056705A" w:rsidRPr="00597FFB">
        <w:rPr>
          <w:rFonts w:ascii="Times New Roman" w:eastAsia="Times New Roman" w:hAnsi="Times New Roman" w:cs="Times New Roman"/>
          <w:bCs/>
          <w:color w:val="000000" w:themeColor="text1"/>
          <w:sz w:val="24"/>
          <w:szCs w:val="24"/>
        </w:rPr>
        <w:t xml:space="preserve">companies </w:t>
      </w:r>
      <w:r w:rsidRPr="00597FFB">
        <w:rPr>
          <w:rFonts w:ascii="Times New Roman" w:eastAsia="Times New Roman" w:hAnsi="Times New Roman" w:cs="Times New Roman"/>
          <w:bCs/>
          <w:color w:val="000000" w:themeColor="text1"/>
          <w:sz w:val="24"/>
          <w:szCs w:val="24"/>
        </w:rPr>
        <w:t xml:space="preserve">or </w:t>
      </w:r>
      <w:r w:rsidR="0056705A" w:rsidRPr="00597FFB">
        <w:rPr>
          <w:rFonts w:ascii="Times New Roman" w:eastAsia="Times New Roman" w:hAnsi="Times New Roman" w:cs="Times New Roman"/>
          <w:bCs/>
          <w:color w:val="000000" w:themeColor="text1"/>
          <w:sz w:val="24"/>
          <w:szCs w:val="24"/>
        </w:rPr>
        <w:t xml:space="preserve">dealers </w:t>
      </w:r>
      <w:r w:rsidRPr="00597FFB">
        <w:rPr>
          <w:rFonts w:ascii="Times New Roman" w:eastAsia="Times New Roman" w:hAnsi="Times New Roman" w:cs="Times New Roman"/>
          <w:bCs/>
          <w:color w:val="000000" w:themeColor="text1"/>
          <w:sz w:val="24"/>
          <w:szCs w:val="24"/>
        </w:rPr>
        <w:t xml:space="preserve">that </w:t>
      </w:r>
      <w:r w:rsidR="0056705A" w:rsidRPr="00597FFB">
        <w:rPr>
          <w:rFonts w:ascii="Times New Roman" w:eastAsia="Times New Roman" w:hAnsi="Times New Roman" w:cs="Times New Roman"/>
          <w:bCs/>
          <w:color w:val="000000" w:themeColor="text1"/>
          <w:sz w:val="24"/>
          <w:szCs w:val="24"/>
        </w:rPr>
        <w:t xml:space="preserve">sell </w:t>
      </w:r>
      <w:r w:rsidRPr="00597FFB">
        <w:rPr>
          <w:rFonts w:ascii="Times New Roman" w:eastAsia="Times New Roman" w:hAnsi="Times New Roman" w:cs="Times New Roman"/>
          <w:bCs/>
          <w:color w:val="000000" w:themeColor="text1"/>
          <w:sz w:val="24"/>
          <w:szCs w:val="24"/>
        </w:rPr>
        <w:t xml:space="preserve">or </w:t>
      </w:r>
      <w:r w:rsidR="0056705A" w:rsidRPr="00597FFB">
        <w:rPr>
          <w:rFonts w:ascii="Times New Roman" w:eastAsia="Times New Roman" w:hAnsi="Times New Roman" w:cs="Times New Roman"/>
          <w:bCs/>
          <w:color w:val="000000" w:themeColor="text1"/>
          <w:sz w:val="24"/>
          <w:szCs w:val="24"/>
        </w:rPr>
        <w:t xml:space="preserve">dispose </w:t>
      </w:r>
      <w:r w:rsidRPr="00597FFB">
        <w:rPr>
          <w:rFonts w:ascii="Times New Roman" w:eastAsia="Times New Roman" w:hAnsi="Times New Roman" w:cs="Times New Roman"/>
          <w:bCs/>
          <w:color w:val="000000" w:themeColor="text1"/>
          <w:sz w:val="24"/>
          <w:szCs w:val="24"/>
        </w:rPr>
        <w:t xml:space="preserve">e-waste via </w:t>
      </w:r>
      <w:r w:rsidR="0056705A" w:rsidRPr="00597FFB">
        <w:rPr>
          <w:rFonts w:ascii="Times New Roman" w:eastAsia="Times New Roman" w:hAnsi="Times New Roman" w:cs="Times New Roman"/>
          <w:bCs/>
          <w:color w:val="000000" w:themeColor="text1"/>
          <w:sz w:val="24"/>
          <w:szCs w:val="24"/>
        </w:rPr>
        <w:t>various</w:t>
      </w:r>
      <w:r w:rsidRPr="00597FFB">
        <w:rPr>
          <w:rFonts w:ascii="Times New Roman" w:eastAsia="Times New Roman" w:hAnsi="Times New Roman" w:cs="Times New Roman"/>
          <w:bCs/>
          <w:color w:val="000000" w:themeColor="text1"/>
          <w:sz w:val="24"/>
          <w:szCs w:val="24"/>
        </w:rPr>
        <w:t xml:space="preserve"> channels </w:t>
      </w:r>
      <w:r w:rsidR="0056705A" w:rsidRPr="00597FFB">
        <w:rPr>
          <w:rFonts w:ascii="Times New Roman" w:eastAsia="Times New Roman" w:hAnsi="Times New Roman" w:cs="Times New Roman"/>
          <w:bCs/>
          <w:color w:val="000000" w:themeColor="text1"/>
          <w:sz w:val="24"/>
          <w:szCs w:val="24"/>
        </w:rPr>
        <w:t>depending on the condition of the</w:t>
      </w:r>
      <w:r w:rsidRPr="00597FFB">
        <w:rPr>
          <w:rFonts w:ascii="Times New Roman" w:eastAsia="Times New Roman" w:hAnsi="Times New Roman" w:cs="Times New Roman"/>
          <w:bCs/>
          <w:color w:val="000000" w:themeColor="text1"/>
          <w:sz w:val="24"/>
          <w:szCs w:val="24"/>
        </w:rPr>
        <w:t xml:space="preserve"> equipment</w:t>
      </w:r>
      <w:r w:rsidR="0056705A"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(Onac et al., 2020)</w:t>
      </w:r>
      <w:r w:rsidRPr="00597FFB">
        <w:rPr>
          <w:rFonts w:ascii="Times New Roman" w:eastAsia="Times New Roman" w:hAnsi="Times New Roman" w:cs="Times New Roman"/>
          <w:bCs/>
          <w:color w:val="000000" w:themeColor="text1"/>
          <w:sz w:val="24"/>
          <w:szCs w:val="24"/>
        </w:rPr>
        <w:t xml:space="preserve">. Developed </w:t>
      </w:r>
      <w:r w:rsidR="0056705A" w:rsidRPr="00597FFB">
        <w:rPr>
          <w:rFonts w:ascii="Times New Roman" w:eastAsia="Times New Roman" w:hAnsi="Times New Roman" w:cs="Times New Roman"/>
          <w:bCs/>
          <w:color w:val="000000" w:themeColor="text1"/>
          <w:sz w:val="24"/>
          <w:szCs w:val="24"/>
        </w:rPr>
        <w:t>nations</w:t>
      </w:r>
      <w:r w:rsidRPr="00597FFB">
        <w:rPr>
          <w:rFonts w:ascii="Times New Roman" w:eastAsia="Times New Roman" w:hAnsi="Times New Roman" w:cs="Times New Roman"/>
          <w:bCs/>
          <w:color w:val="000000" w:themeColor="text1"/>
          <w:sz w:val="24"/>
          <w:szCs w:val="24"/>
        </w:rPr>
        <w:t xml:space="preserve"> have </w:t>
      </w:r>
      <w:r w:rsidR="000127CD" w:rsidRPr="00597FFB">
        <w:rPr>
          <w:rFonts w:ascii="Times New Roman" w:eastAsia="Times New Roman" w:hAnsi="Times New Roman" w:cs="Times New Roman"/>
          <w:bCs/>
          <w:color w:val="000000" w:themeColor="text1"/>
          <w:sz w:val="24"/>
          <w:szCs w:val="24"/>
        </w:rPr>
        <w:t xml:space="preserve">legislation for </w:t>
      </w:r>
      <w:r w:rsidRPr="00597FFB">
        <w:rPr>
          <w:rFonts w:ascii="Times New Roman" w:eastAsia="Times New Roman" w:hAnsi="Times New Roman" w:cs="Times New Roman"/>
          <w:bCs/>
          <w:color w:val="000000" w:themeColor="text1"/>
          <w:sz w:val="24"/>
          <w:szCs w:val="24"/>
        </w:rPr>
        <w:t xml:space="preserve">e-waste </w:t>
      </w:r>
      <w:r w:rsidR="0056705A" w:rsidRPr="00597FFB">
        <w:rPr>
          <w:rFonts w:ascii="Times New Roman" w:eastAsia="Times New Roman" w:hAnsi="Times New Roman" w:cs="Times New Roman"/>
          <w:bCs/>
          <w:color w:val="000000" w:themeColor="text1"/>
          <w:sz w:val="24"/>
          <w:szCs w:val="24"/>
        </w:rPr>
        <w:t>and</w:t>
      </w:r>
      <w:r w:rsidRPr="00597FFB">
        <w:rPr>
          <w:rFonts w:ascii="Times New Roman" w:eastAsia="Times New Roman" w:hAnsi="Times New Roman" w:cs="Times New Roman"/>
          <w:bCs/>
          <w:color w:val="000000" w:themeColor="text1"/>
          <w:sz w:val="24"/>
          <w:szCs w:val="24"/>
        </w:rPr>
        <w:t xml:space="preserve"> yet the e-waste </w:t>
      </w:r>
      <w:r w:rsidR="0056705A" w:rsidRPr="00597FFB">
        <w:rPr>
          <w:rFonts w:ascii="Times New Roman" w:eastAsia="Times New Roman" w:hAnsi="Times New Roman" w:cs="Times New Roman"/>
          <w:bCs/>
          <w:color w:val="000000" w:themeColor="text1"/>
          <w:sz w:val="24"/>
          <w:szCs w:val="24"/>
        </w:rPr>
        <w:t xml:space="preserve">they </w:t>
      </w:r>
      <w:r w:rsidRPr="00597FFB">
        <w:rPr>
          <w:rFonts w:ascii="Times New Roman" w:eastAsia="Times New Roman" w:hAnsi="Times New Roman" w:cs="Times New Roman"/>
          <w:bCs/>
          <w:color w:val="000000" w:themeColor="text1"/>
          <w:sz w:val="24"/>
          <w:szCs w:val="24"/>
        </w:rPr>
        <w:t>collect</w:t>
      </w:r>
      <w:r w:rsidR="0056705A"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may still </w:t>
      </w:r>
      <w:r w:rsidR="000127CD" w:rsidRPr="00597FFB">
        <w:rPr>
          <w:rFonts w:ascii="Times New Roman" w:eastAsia="Times New Roman" w:hAnsi="Times New Roman" w:cs="Times New Roman"/>
          <w:bCs/>
          <w:color w:val="000000" w:themeColor="text1"/>
          <w:sz w:val="24"/>
          <w:szCs w:val="24"/>
        </w:rPr>
        <w:t xml:space="preserve">not </w:t>
      </w:r>
      <w:r w:rsidR="0056705A" w:rsidRPr="00597FFB">
        <w:rPr>
          <w:rFonts w:ascii="Times New Roman" w:eastAsia="Times New Roman" w:hAnsi="Times New Roman" w:cs="Times New Roman"/>
          <w:bCs/>
          <w:color w:val="000000" w:themeColor="text1"/>
          <w:sz w:val="24"/>
          <w:szCs w:val="24"/>
        </w:rPr>
        <w:t>undergo</w:t>
      </w:r>
      <w:r w:rsidRPr="00597FFB">
        <w:rPr>
          <w:rFonts w:ascii="Times New Roman" w:eastAsia="Times New Roman" w:hAnsi="Times New Roman" w:cs="Times New Roman"/>
          <w:bCs/>
          <w:color w:val="000000" w:themeColor="text1"/>
          <w:sz w:val="24"/>
          <w:szCs w:val="24"/>
        </w:rPr>
        <w:t xml:space="preserve"> formal or specialized </w:t>
      </w:r>
      <w:r w:rsidR="00E31847" w:rsidRPr="00597FFB">
        <w:rPr>
          <w:rFonts w:ascii="Times New Roman" w:eastAsia="Times New Roman" w:hAnsi="Times New Roman" w:cs="Times New Roman"/>
          <w:bCs/>
          <w:color w:val="000000" w:themeColor="text1"/>
          <w:sz w:val="24"/>
          <w:szCs w:val="24"/>
        </w:rPr>
        <w:t>treatment</w:t>
      </w:r>
      <w:r w:rsidRPr="00597FFB">
        <w:rPr>
          <w:rFonts w:ascii="Times New Roman" w:eastAsia="Times New Roman" w:hAnsi="Times New Roman" w:cs="Times New Roman"/>
          <w:bCs/>
          <w:color w:val="000000" w:themeColor="text1"/>
          <w:sz w:val="24"/>
          <w:szCs w:val="24"/>
        </w:rPr>
        <w:t xml:space="preserve"> with some e-waste being exported to developing </w:t>
      </w:r>
      <w:r w:rsidR="00E31847" w:rsidRPr="00597FFB">
        <w:rPr>
          <w:rFonts w:ascii="Times New Roman" w:eastAsia="Times New Roman" w:hAnsi="Times New Roman" w:cs="Times New Roman"/>
          <w:bCs/>
          <w:color w:val="000000" w:themeColor="text1"/>
          <w:sz w:val="24"/>
          <w:szCs w:val="24"/>
        </w:rPr>
        <w:t>nations</w:t>
      </w:r>
      <w:r w:rsidRPr="00597FFB">
        <w:rPr>
          <w:rFonts w:ascii="Times New Roman" w:eastAsia="Times New Roman" w:hAnsi="Times New Roman" w:cs="Times New Roman"/>
          <w:bCs/>
          <w:color w:val="000000" w:themeColor="text1"/>
          <w:sz w:val="24"/>
          <w:szCs w:val="24"/>
        </w:rPr>
        <w:t xml:space="preserve">. For example, the amount of transboundary EEE movement was estimated to be between 7% and 20% of the total e-waste generated in 2019 </w:t>
      </w:r>
      <w:r w:rsidRPr="00597FFB">
        <w:rPr>
          <w:rFonts w:ascii="Times New Roman" w:eastAsia="Times New Roman" w:hAnsi="Times New Roman" w:cs="Times New Roman"/>
          <w:noProof/>
          <w:color w:val="000000" w:themeColor="text1"/>
          <w:sz w:val="24"/>
          <w:szCs w:val="24"/>
        </w:rPr>
        <w:t>(Forti et al., 2020)</w:t>
      </w:r>
      <w:sdt>
        <w:sdtPr>
          <w:rPr>
            <w:rFonts w:ascii="Times New Roman" w:eastAsia="Times New Roman" w:hAnsi="Times New Roman" w:cs="Times New Roman"/>
            <w:noProof/>
            <w:color w:val="000000" w:themeColor="text1"/>
            <w:sz w:val="24"/>
            <w:szCs w:val="24"/>
          </w:rPr>
          <w:id w:val="1211220571"/>
          <w:citation/>
        </w:sdtPr>
        <w:sdtEndPr>
          <w:rPr>
            <w:bCs/>
            <w:noProof w:val="0"/>
          </w:rPr>
        </w:sdtEndPr>
        <w:sdtContent/>
      </w:sdt>
      <w:r w:rsidRPr="00597FFB">
        <w:rPr>
          <w:rFonts w:ascii="Times New Roman" w:eastAsia="Times New Roman" w:hAnsi="Times New Roman" w:cs="Times New Roman"/>
          <w:bCs/>
          <w:color w:val="000000" w:themeColor="text1"/>
          <w:sz w:val="24"/>
          <w:szCs w:val="24"/>
        </w:rPr>
        <w:t xml:space="preserve">. The e-waste collected via </w:t>
      </w:r>
      <w:r w:rsidR="00A05593" w:rsidRPr="00597FFB">
        <w:rPr>
          <w:rFonts w:ascii="Times New Roman" w:eastAsia="Times New Roman" w:hAnsi="Times New Roman" w:cs="Times New Roman"/>
          <w:bCs/>
          <w:color w:val="000000" w:themeColor="text1"/>
          <w:sz w:val="24"/>
          <w:szCs w:val="24"/>
        </w:rPr>
        <w:t>these informal methods of disposal</w:t>
      </w:r>
      <w:r w:rsidRPr="00597FFB">
        <w:rPr>
          <w:rFonts w:ascii="Times New Roman" w:eastAsia="Times New Roman" w:hAnsi="Times New Roman" w:cs="Times New Roman"/>
          <w:bCs/>
          <w:color w:val="000000" w:themeColor="text1"/>
          <w:sz w:val="24"/>
          <w:szCs w:val="24"/>
        </w:rPr>
        <w:t xml:space="preserve"> include </w:t>
      </w:r>
      <w:r w:rsidR="00D35E3D" w:rsidRPr="00597FFB">
        <w:rPr>
          <w:rFonts w:ascii="Times New Roman" w:eastAsia="Times New Roman" w:hAnsi="Times New Roman" w:cs="Times New Roman"/>
          <w:bCs/>
          <w:color w:val="000000" w:themeColor="text1"/>
          <w:sz w:val="24"/>
          <w:szCs w:val="24"/>
        </w:rPr>
        <w:t>temperature exchange equipment, huge</w:t>
      </w:r>
      <w:r w:rsidRPr="00597FFB">
        <w:rPr>
          <w:rFonts w:ascii="Times New Roman" w:eastAsia="Times New Roman" w:hAnsi="Times New Roman" w:cs="Times New Roman"/>
          <w:bCs/>
          <w:color w:val="000000" w:themeColor="text1"/>
          <w:sz w:val="24"/>
          <w:szCs w:val="24"/>
        </w:rPr>
        <w:t xml:space="preserve"> equipment, </w:t>
      </w:r>
      <w:r w:rsidR="00D35E3D"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 xml:space="preserve">IT equipment </w:t>
      </w:r>
      <w:r w:rsidRPr="00597FFB">
        <w:rPr>
          <w:rFonts w:ascii="Times New Roman" w:eastAsiaTheme="minorHAnsi" w:hAnsi="Times New Roman" w:cs="Times New Roman"/>
          <w:color w:val="000000" w:themeColor="text1"/>
          <w:sz w:val="24"/>
        </w:rPr>
        <w:t>(Piprani et al., 2020)</w:t>
      </w:r>
      <w:r w:rsidRPr="00597FFB">
        <w:rPr>
          <w:rFonts w:ascii="Times New Roman" w:eastAsia="Times New Roman" w:hAnsi="Times New Roman" w:cs="Times New Roman"/>
          <w:bCs/>
          <w:color w:val="000000" w:themeColor="text1"/>
          <w:sz w:val="24"/>
          <w:szCs w:val="24"/>
        </w:rPr>
        <w:t xml:space="preserve">. </w:t>
      </w:r>
    </w:p>
    <w:p w14:paraId="42ECC241" w14:textId="4153EBDD" w:rsidR="0008340D" w:rsidRPr="00597FFB" w:rsidRDefault="0008340D"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Although the informal e-waste disposal and recycling sector accounts for a significant fraction of ERW especially in developing countries, the fact that it is not legalized by any government agencies and has no regulations or laws that govern it opens it up to some social and economic challenges </w:t>
      </w:r>
      <w:sdt>
        <w:sdtPr>
          <w:rPr>
            <w:rFonts w:ascii="Times New Roman" w:eastAsia="Times New Roman" w:hAnsi="Times New Roman" w:cs="Times New Roman"/>
            <w:bCs/>
            <w:color w:val="000000" w:themeColor="text1"/>
            <w:sz w:val="24"/>
            <w:szCs w:val="24"/>
          </w:rPr>
          <w:id w:val="-800760656"/>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Ama17 \l 1033  \m Tsy19 \m Dut21</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(Amankwaa, Tsikudo, &amp; Bowman, 2017; Tsydenova &amp; Heyken, 2019; Dutta &amp; Goel,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For example, it often employs the uneducated and poor children, women, and men who live in slum areas </w:t>
      </w:r>
      <w:sdt>
        <w:sdtPr>
          <w:rPr>
            <w:rFonts w:ascii="Times New Roman" w:eastAsia="Times New Roman" w:hAnsi="Times New Roman" w:cs="Times New Roman"/>
            <w:bCs/>
            <w:color w:val="000000" w:themeColor="text1"/>
            <w:sz w:val="24"/>
            <w:szCs w:val="24"/>
          </w:rPr>
          <w:id w:val="-1915386196"/>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Dut21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(Dutta &amp; Goel,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Almost always, people working in the informal e-waste disposal and recycling sectors across many developing counties earn their living from it by recovering precious metals using unsafe procedures and techniques. Such procedures and techniques like incineration harm the environment more through pollution and pose health hazards to the workers and those around the e-waste disposal and recycling areas </w:t>
      </w:r>
      <w:sdt>
        <w:sdtPr>
          <w:rPr>
            <w:rFonts w:ascii="Times New Roman" w:eastAsia="Times New Roman" w:hAnsi="Times New Roman" w:cs="Times New Roman"/>
            <w:bCs/>
            <w:color w:val="000000" w:themeColor="text1"/>
            <w:sz w:val="24"/>
            <w:szCs w:val="24"/>
          </w:rPr>
          <w:id w:val="178166883"/>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Ama17 \l 1033  \m Dut21</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(Amankwaa, Tsikudo, &amp; Bowman, 2017; Dutta &amp; Goel,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Even with these demerits, the informal e-waste sector supports the formal e-waste sector at times. For example, there is evidence (Iatonni et al., 2021) that the informal sector hands over intact e-waste products to the formal sector.</w:t>
      </w:r>
    </w:p>
    <w:p w14:paraId="47139C58" w14:textId="77777777" w:rsidR="009F34D5" w:rsidRPr="00597FFB" w:rsidRDefault="009F34D5"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10" w:name="_Toc127170280"/>
      <w:r w:rsidRPr="00597FFB">
        <w:rPr>
          <w:rFonts w:ascii="Times New Roman" w:eastAsia="Calibri" w:hAnsi="Times New Roman" w:cs="Times New Roman"/>
          <w:i/>
          <w:iCs/>
          <w:color w:val="000000" w:themeColor="text1"/>
          <w:sz w:val="24"/>
          <w:szCs w:val="24"/>
        </w:rPr>
        <w:t>2.4.3. Formal Disposal.</w:t>
      </w:r>
      <w:bookmarkEnd w:id="110"/>
    </w:p>
    <w:p w14:paraId="581CA4A8" w14:textId="4F7C8812" w:rsidR="0008340D" w:rsidRDefault="009F34D5"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Formal disposal is </w:t>
      </w:r>
      <w:r w:rsidR="00D35E3D" w:rsidRPr="00597FFB">
        <w:rPr>
          <w:rFonts w:ascii="Times New Roman" w:eastAsia="Times New Roman" w:hAnsi="Times New Roman" w:cs="Times New Roman"/>
          <w:bCs/>
          <w:color w:val="000000" w:themeColor="text1"/>
          <w:sz w:val="24"/>
          <w:szCs w:val="24"/>
        </w:rPr>
        <w:t xml:space="preserve">largely </w:t>
      </w:r>
      <w:r w:rsidRPr="00597FFB">
        <w:rPr>
          <w:rFonts w:ascii="Times New Roman" w:eastAsia="Times New Roman" w:hAnsi="Times New Roman" w:cs="Times New Roman"/>
          <w:bCs/>
          <w:color w:val="000000" w:themeColor="text1"/>
          <w:sz w:val="24"/>
          <w:szCs w:val="24"/>
        </w:rPr>
        <w:t xml:space="preserve">prevalent in developed countries and especially those with infrastructure backed by national e-waste legislation and regulation </w:t>
      </w:r>
      <w:r w:rsidRPr="00597FFB">
        <w:rPr>
          <w:rFonts w:ascii="Times New Roman" w:eastAsia="Times New Roman" w:hAnsi="Times New Roman" w:cs="Times New Roman"/>
          <w:noProof/>
          <w:color w:val="000000" w:themeColor="text1"/>
          <w:sz w:val="24"/>
          <w:szCs w:val="24"/>
        </w:rPr>
        <w:t>(Forti et al., 2020)</w:t>
      </w:r>
      <w:r w:rsidRPr="00597FFB">
        <w:rPr>
          <w:rFonts w:ascii="Times New Roman" w:eastAsia="Times New Roman" w:hAnsi="Times New Roman" w:cs="Times New Roman"/>
          <w:bCs/>
          <w:color w:val="000000" w:themeColor="text1"/>
          <w:sz w:val="24"/>
          <w:szCs w:val="24"/>
        </w:rPr>
        <w:t>. Additionally, these countries have designated stakeholders</w:t>
      </w:r>
      <w:r w:rsidR="00D35E3D" w:rsidRPr="00597FFB">
        <w:rPr>
          <w:rFonts w:ascii="Times New Roman" w:eastAsia="Times New Roman" w:hAnsi="Times New Roman" w:cs="Times New Roman"/>
          <w:bCs/>
          <w:color w:val="000000" w:themeColor="text1"/>
          <w:sz w:val="24"/>
          <w:szCs w:val="24"/>
        </w:rPr>
        <w:t xml:space="preserve"> including</w:t>
      </w:r>
      <w:r w:rsidRPr="00597FFB">
        <w:rPr>
          <w:rFonts w:ascii="Times New Roman" w:eastAsia="Times New Roman" w:hAnsi="Times New Roman" w:cs="Times New Roman"/>
          <w:bCs/>
          <w:color w:val="000000" w:themeColor="text1"/>
          <w:sz w:val="24"/>
          <w:szCs w:val="24"/>
        </w:rPr>
        <w:t xml:space="preserve"> producers, </w:t>
      </w:r>
      <w:r w:rsidR="00D35E3D" w:rsidRPr="00597FFB">
        <w:rPr>
          <w:rFonts w:ascii="Times New Roman" w:eastAsia="Times New Roman" w:hAnsi="Times New Roman" w:cs="Times New Roman"/>
          <w:bCs/>
          <w:color w:val="000000" w:themeColor="text1"/>
          <w:sz w:val="24"/>
          <w:szCs w:val="24"/>
        </w:rPr>
        <w:t xml:space="preserve">the government, or </w:t>
      </w:r>
      <w:r w:rsidRPr="00597FFB">
        <w:rPr>
          <w:rFonts w:ascii="Times New Roman" w:eastAsia="Times New Roman" w:hAnsi="Times New Roman" w:cs="Times New Roman"/>
          <w:bCs/>
          <w:color w:val="000000" w:themeColor="text1"/>
          <w:sz w:val="24"/>
          <w:szCs w:val="24"/>
        </w:rPr>
        <w:t>other organizations for collectin</w:t>
      </w:r>
      <w:r w:rsidR="00D35E3D" w:rsidRPr="00597FFB">
        <w:rPr>
          <w:rFonts w:ascii="Times New Roman" w:eastAsia="Times New Roman" w:hAnsi="Times New Roman" w:cs="Times New Roman"/>
          <w:bCs/>
          <w:color w:val="000000" w:themeColor="text1"/>
          <w:sz w:val="24"/>
          <w:szCs w:val="24"/>
        </w:rPr>
        <w:t>g</w:t>
      </w:r>
      <w:r w:rsidRPr="00597FFB">
        <w:rPr>
          <w:rFonts w:ascii="Times New Roman" w:eastAsia="Times New Roman" w:hAnsi="Times New Roman" w:cs="Times New Roman"/>
          <w:bCs/>
          <w:color w:val="000000" w:themeColor="text1"/>
          <w:sz w:val="24"/>
          <w:szCs w:val="24"/>
        </w:rPr>
        <w:t xml:space="preserve"> and treat</w:t>
      </w:r>
      <w:r w:rsidR="00D35E3D" w:rsidRPr="00597FFB">
        <w:rPr>
          <w:rFonts w:ascii="Times New Roman" w:eastAsia="Times New Roman" w:hAnsi="Times New Roman" w:cs="Times New Roman"/>
          <w:bCs/>
          <w:color w:val="000000" w:themeColor="text1"/>
          <w:sz w:val="24"/>
          <w:szCs w:val="24"/>
        </w:rPr>
        <w:t>ing</w:t>
      </w:r>
      <w:r w:rsidRPr="00597FFB">
        <w:rPr>
          <w:rFonts w:ascii="Times New Roman" w:eastAsia="Times New Roman" w:hAnsi="Times New Roman" w:cs="Times New Roman"/>
          <w:bCs/>
          <w:color w:val="000000" w:themeColor="text1"/>
          <w:sz w:val="24"/>
          <w:szCs w:val="24"/>
        </w:rPr>
        <w:t xml:space="preserve"> e-waste </w:t>
      </w:r>
      <w:r w:rsidRPr="00597FFB">
        <w:rPr>
          <w:rFonts w:ascii="Times New Roman" w:eastAsiaTheme="minorHAnsi" w:hAnsi="Times New Roman" w:cs="Times New Roman"/>
          <w:color w:val="000000" w:themeColor="text1"/>
          <w:sz w:val="24"/>
        </w:rPr>
        <w:t>(Oudah et al., 2019)</w:t>
      </w:r>
      <w:r w:rsidRPr="00597FFB">
        <w:rPr>
          <w:rFonts w:ascii="Times New Roman" w:eastAsia="Times New Roman" w:hAnsi="Times New Roman" w:cs="Times New Roman"/>
          <w:bCs/>
          <w:color w:val="000000" w:themeColor="text1"/>
          <w:sz w:val="24"/>
          <w:szCs w:val="24"/>
        </w:rPr>
        <w:t xml:space="preserve">. With formal disposal of e-waste, the underlying assumption is that most of the e-waste is collected, treated, and disposed in ways that are legally compliant. Subsequently, it is assumed that such legally compliant approaches consider the implicated safety, health, and environmental aspects of disposing e-waste </w:t>
      </w:r>
      <w:r w:rsidRPr="00597FFB">
        <w:rPr>
          <w:rFonts w:ascii="Times New Roman" w:eastAsia="Times New Roman" w:hAnsi="Times New Roman" w:cs="Times New Roman"/>
          <w:noProof/>
          <w:color w:val="000000" w:themeColor="text1"/>
          <w:sz w:val="24"/>
          <w:szCs w:val="24"/>
        </w:rPr>
        <w:t>(Forti et al., 2020)</w:t>
      </w:r>
      <w:r w:rsidRPr="00597FFB">
        <w:rPr>
          <w:rFonts w:ascii="Times New Roman" w:eastAsia="Times New Roman" w:hAnsi="Times New Roman" w:cs="Times New Roman"/>
          <w:bCs/>
          <w:color w:val="000000" w:themeColor="text1"/>
          <w:sz w:val="24"/>
          <w:szCs w:val="24"/>
        </w:rPr>
        <w:t xml:space="preserve">. In most cases, </w:t>
      </w:r>
      <w:r w:rsidR="00B950AB" w:rsidRPr="00597FFB">
        <w:rPr>
          <w:rFonts w:ascii="Times New Roman" w:eastAsia="Times New Roman" w:hAnsi="Times New Roman" w:cs="Times New Roman"/>
          <w:bCs/>
          <w:color w:val="000000" w:themeColor="text1"/>
          <w:sz w:val="24"/>
          <w:szCs w:val="24"/>
        </w:rPr>
        <w:t>e-waste</w:t>
      </w:r>
      <w:r w:rsidRPr="00597FFB">
        <w:rPr>
          <w:rFonts w:ascii="Times New Roman" w:eastAsia="Times New Roman" w:hAnsi="Times New Roman" w:cs="Times New Roman"/>
          <w:bCs/>
          <w:color w:val="000000" w:themeColor="text1"/>
          <w:sz w:val="24"/>
          <w:szCs w:val="24"/>
        </w:rPr>
        <w:t xml:space="preserve"> collection occurs</w:t>
      </w:r>
      <w:r w:rsidR="00B950AB" w:rsidRPr="00597FFB">
        <w:rPr>
          <w:rFonts w:ascii="Times New Roman" w:eastAsia="Times New Roman" w:hAnsi="Times New Roman" w:cs="Times New Roman"/>
          <w:bCs/>
          <w:color w:val="000000" w:themeColor="text1"/>
          <w:sz w:val="24"/>
          <w:szCs w:val="24"/>
        </w:rPr>
        <w:t xml:space="preserve"> through</w:t>
      </w:r>
      <w:r w:rsidRPr="00597FFB">
        <w:rPr>
          <w:rFonts w:ascii="Times New Roman" w:eastAsia="Times New Roman" w:hAnsi="Times New Roman" w:cs="Times New Roman"/>
          <w:bCs/>
          <w:color w:val="000000" w:themeColor="text1"/>
          <w:sz w:val="24"/>
          <w:szCs w:val="24"/>
        </w:rPr>
        <w:t xml:space="preserve"> municipal collection </w:t>
      </w:r>
      <w:r w:rsidR="00B950AB" w:rsidRPr="00597FFB">
        <w:rPr>
          <w:rFonts w:ascii="Times New Roman" w:eastAsia="Times New Roman" w:hAnsi="Times New Roman" w:cs="Times New Roman"/>
          <w:bCs/>
          <w:color w:val="000000" w:themeColor="text1"/>
          <w:sz w:val="24"/>
          <w:szCs w:val="24"/>
        </w:rPr>
        <w:t>sites</w:t>
      </w:r>
      <w:r w:rsidRPr="00597FFB">
        <w:rPr>
          <w:rFonts w:ascii="Times New Roman" w:eastAsia="Times New Roman" w:hAnsi="Times New Roman" w:cs="Times New Roman"/>
          <w:bCs/>
          <w:color w:val="000000" w:themeColor="text1"/>
          <w:sz w:val="24"/>
          <w:szCs w:val="24"/>
        </w:rPr>
        <w:t xml:space="preserve">, </w:t>
      </w:r>
      <w:r w:rsidR="00B950AB" w:rsidRPr="00597FFB">
        <w:rPr>
          <w:rFonts w:ascii="Times New Roman" w:eastAsia="Times New Roman" w:hAnsi="Times New Roman" w:cs="Times New Roman"/>
          <w:bCs/>
          <w:color w:val="000000" w:themeColor="text1"/>
          <w:sz w:val="24"/>
          <w:szCs w:val="24"/>
        </w:rPr>
        <w:t xml:space="preserve">retailers </w:t>
      </w:r>
      <w:r w:rsidRPr="00597FFB">
        <w:rPr>
          <w:rFonts w:ascii="Times New Roman" w:eastAsia="Times New Roman" w:hAnsi="Times New Roman" w:cs="Times New Roman"/>
          <w:bCs/>
          <w:color w:val="000000" w:themeColor="text1"/>
          <w:sz w:val="24"/>
          <w:szCs w:val="24"/>
        </w:rPr>
        <w:t>or</w:t>
      </w:r>
      <w:r w:rsidR="00B950AB" w:rsidRPr="00597FFB">
        <w:rPr>
          <w:rFonts w:ascii="Times New Roman" w:eastAsia="Times New Roman" w:hAnsi="Times New Roman" w:cs="Times New Roman"/>
          <w:bCs/>
          <w:color w:val="000000" w:themeColor="text1"/>
          <w:sz w:val="24"/>
          <w:szCs w:val="24"/>
        </w:rPr>
        <w:t xml:space="preserve"> pickup services</w:t>
      </w:r>
      <w:r w:rsidRPr="00597FFB">
        <w:rPr>
          <w:rFonts w:ascii="Times New Roman" w:eastAsia="Times New Roman" w:hAnsi="Times New Roman" w:cs="Times New Roman"/>
          <w:bCs/>
          <w:color w:val="000000" w:themeColor="text1"/>
          <w:sz w:val="24"/>
          <w:szCs w:val="24"/>
        </w:rPr>
        <w:t xml:space="preserve">, which then </w:t>
      </w:r>
      <w:r w:rsidR="00B950AB" w:rsidRPr="00597FFB">
        <w:rPr>
          <w:rFonts w:ascii="Times New Roman" w:eastAsia="Times New Roman" w:hAnsi="Times New Roman" w:cs="Times New Roman"/>
          <w:bCs/>
          <w:color w:val="000000" w:themeColor="text1"/>
          <w:sz w:val="24"/>
          <w:szCs w:val="24"/>
        </w:rPr>
        <w:t>undergo treatment</w:t>
      </w:r>
      <w:r w:rsidRPr="00597FFB">
        <w:rPr>
          <w:rFonts w:ascii="Times New Roman" w:eastAsia="Times New Roman" w:hAnsi="Times New Roman" w:cs="Times New Roman"/>
          <w:bCs/>
          <w:color w:val="000000" w:themeColor="text1"/>
          <w:sz w:val="24"/>
          <w:szCs w:val="24"/>
        </w:rPr>
        <w:t xml:space="preserve"> in </w:t>
      </w:r>
      <w:r w:rsidR="00B950AB" w:rsidRPr="00597FFB">
        <w:rPr>
          <w:rFonts w:ascii="Times New Roman" w:eastAsia="Times New Roman" w:hAnsi="Times New Roman" w:cs="Times New Roman"/>
          <w:bCs/>
          <w:color w:val="000000" w:themeColor="text1"/>
          <w:sz w:val="24"/>
          <w:szCs w:val="24"/>
        </w:rPr>
        <w:t>hi-tech</w:t>
      </w:r>
      <w:r w:rsidRPr="00597FFB">
        <w:rPr>
          <w:rFonts w:ascii="Times New Roman" w:eastAsia="Times New Roman" w:hAnsi="Times New Roman" w:cs="Times New Roman"/>
          <w:bCs/>
          <w:color w:val="000000" w:themeColor="text1"/>
          <w:sz w:val="24"/>
          <w:szCs w:val="24"/>
        </w:rPr>
        <w:t xml:space="preserve"> recycling facilities that impact the environment and health minimally. The laws </w:t>
      </w:r>
      <w:r w:rsidR="00B950AB" w:rsidRPr="00597FFB">
        <w:rPr>
          <w:rFonts w:ascii="Times New Roman" w:eastAsia="Times New Roman" w:hAnsi="Times New Roman" w:cs="Times New Roman"/>
          <w:bCs/>
          <w:color w:val="000000" w:themeColor="text1"/>
          <w:sz w:val="24"/>
          <w:szCs w:val="24"/>
        </w:rPr>
        <w:t xml:space="preserve">provide </w:t>
      </w:r>
      <w:r w:rsidRPr="00597FFB">
        <w:rPr>
          <w:rFonts w:ascii="Times New Roman" w:eastAsia="Times New Roman" w:hAnsi="Times New Roman" w:cs="Times New Roman"/>
          <w:bCs/>
          <w:color w:val="000000" w:themeColor="text1"/>
          <w:sz w:val="24"/>
          <w:szCs w:val="24"/>
        </w:rPr>
        <w:t>govern</w:t>
      </w:r>
      <w:r w:rsidR="00B950AB" w:rsidRPr="00597FFB">
        <w:rPr>
          <w:rFonts w:ascii="Times New Roman" w:eastAsia="Times New Roman" w:hAnsi="Times New Roman" w:cs="Times New Roman"/>
          <w:bCs/>
          <w:color w:val="000000" w:themeColor="text1"/>
          <w:sz w:val="24"/>
          <w:szCs w:val="24"/>
        </w:rPr>
        <w:t>ance</w:t>
      </w:r>
      <w:r w:rsidRPr="00597FFB">
        <w:rPr>
          <w:rFonts w:ascii="Times New Roman" w:eastAsia="Times New Roman" w:hAnsi="Times New Roman" w:cs="Times New Roman"/>
          <w:bCs/>
          <w:color w:val="000000" w:themeColor="text1"/>
          <w:sz w:val="24"/>
          <w:szCs w:val="24"/>
        </w:rPr>
        <w:t xml:space="preserve"> control mechanisms related to </w:t>
      </w:r>
      <w:r w:rsidR="00B950AB" w:rsidRPr="00597FFB">
        <w:rPr>
          <w:rFonts w:ascii="Times New Roman" w:eastAsia="Times New Roman" w:hAnsi="Times New Roman" w:cs="Times New Roman"/>
          <w:bCs/>
          <w:color w:val="000000" w:themeColor="text1"/>
          <w:sz w:val="24"/>
          <w:szCs w:val="24"/>
        </w:rPr>
        <w:t xml:space="preserve">collection targets </w:t>
      </w:r>
      <w:r w:rsidRPr="00597FFB">
        <w:rPr>
          <w:rFonts w:ascii="Times New Roman" w:eastAsia="Times New Roman" w:hAnsi="Times New Roman" w:cs="Times New Roman"/>
          <w:bCs/>
          <w:color w:val="000000" w:themeColor="text1"/>
          <w:sz w:val="24"/>
          <w:szCs w:val="24"/>
        </w:rPr>
        <w:t xml:space="preserve">and </w:t>
      </w:r>
      <w:r w:rsidR="00B950AB" w:rsidRPr="00597FFB">
        <w:rPr>
          <w:rFonts w:ascii="Times New Roman" w:eastAsia="Times New Roman" w:hAnsi="Times New Roman" w:cs="Times New Roman"/>
          <w:bCs/>
          <w:color w:val="000000" w:themeColor="text1"/>
          <w:sz w:val="24"/>
          <w:szCs w:val="24"/>
        </w:rPr>
        <w:t xml:space="preserve">recycling processes </w:t>
      </w:r>
      <w:r w:rsidRPr="00597FFB">
        <w:rPr>
          <w:rFonts w:ascii="Times New Roman" w:eastAsiaTheme="minorHAnsi" w:hAnsi="Times New Roman" w:cs="Times New Roman"/>
          <w:color w:val="000000" w:themeColor="text1"/>
          <w:sz w:val="24"/>
        </w:rPr>
        <w:t>(Ramzan et al., 2019)</w:t>
      </w:r>
      <w:r w:rsidRPr="00597FFB">
        <w:rPr>
          <w:rFonts w:ascii="Times New Roman" w:eastAsia="Times New Roman" w:hAnsi="Times New Roman" w:cs="Times New Roman"/>
          <w:bCs/>
          <w:color w:val="000000" w:themeColor="text1"/>
          <w:sz w:val="24"/>
          <w:szCs w:val="24"/>
        </w:rPr>
        <w:t>.</w:t>
      </w:r>
    </w:p>
    <w:p w14:paraId="41928643" w14:textId="5C9A4156" w:rsidR="00DC6527" w:rsidRPr="00597FFB" w:rsidRDefault="00E57D0E" w:rsidP="00E57D0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From the Global E-waste Monitor 2020 </w:t>
      </w:r>
      <w:r w:rsidRPr="00597FFB">
        <w:rPr>
          <w:rFonts w:ascii="Times New Roman" w:eastAsia="Times New Roman" w:hAnsi="Times New Roman" w:cs="Times New Roman"/>
          <w:noProof/>
          <w:color w:val="000000" w:themeColor="text1"/>
          <w:sz w:val="24"/>
          <w:szCs w:val="24"/>
        </w:rPr>
        <w:t>(Forti et al., 2020)</w:t>
      </w:r>
      <w:r w:rsidRPr="00597FFB">
        <w:rPr>
          <w:rFonts w:ascii="Times New Roman" w:eastAsia="Times New Roman" w:hAnsi="Times New Roman" w:cs="Times New Roman"/>
          <w:bCs/>
          <w:color w:val="000000" w:themeColor="text1"/>
          <w:sz w:val="24"/>
          <w:szCs w:val="24"/>
        </w:rPr>
        <w:t xml:space="preserve">, only 78 countries around the world were reported to have some form of regulation, policy, and/or legislation by 2019. This was an increase from 61 countries in 2014. Even then, regional regulatory advances remain slow in some places with enforcement being poor thereby inhibiting proper e-waste management and collection mainly because of lack of political goodwill and low investments </w:t>
      </w:r>
      <w:r w:rsidRPr="00597FFB">
        <w:rPr>
          <w:rFonts w:ascii="Times New Roman" w:eastAsia="Times New Roman" w:hAnsi="Times New Roman" w:cs="Times New Roman"/>
          <w:noProof/>
          <w:color w:val="000000" w:themeColor="text1"/>
          <w:sz w:val="24"/>
          <w:szCs w:val="24"/>
        </w:rPr>
        <w:t>(Forti et al., 2020)</w:t>
      </w:r>
      <w:r w:rsidRPr="00597FFB">
        <w:rPr>
          <w:rFonts w:ascii="Times New Roman" w:eastAsia="Times New Roman" w:hAnsi="Times New Roman" w:cs="Times New Roman"/>
          <w:bCs/>
          <w:color w:val="000000" w:themeColor="text1"/>
          <w:sz w:val="24"/>
          <w:szCs w:val="24"/>
        </w:rPr>
        <w:t>. Even in the UAE with the EPR and potentially the most developed infrastructure for collecting e-waste among the Arab countries, only 0.4% of the e-waste was collected in 2021 possibly because the EPR was still being defined in terms of the full products’ list that it covered (Iatonni et al., 2021).</w:t>
      </w:r>
    </w:p>
    <w:p w14:paraId="72B69803" w14:textId="0DBB93EC" w:rsidR="0003140E" w:rsidRPr="00597FFB" w:rsidRDefault="0003140E" w:rsidP="0003140E">
      <w:pPr>
        <w:keepNext/>
        <w:spacing w:after="0" w:line="240" w:lineRule="auto"/>
        <w:rPr>
          <w:rFonts w:ascii="Times New Roman" w:eastAsiaTheme="minorHAnsi" w:hAnsi="Times New Roman" w:cs="Times New Roman"/>
          <w:color w:val="000000" w:themeColor="text1"/>
        </w:rPr>
      </w:pPr>
      <w:r w:rsidRPr="00597FFB">
        <w:rPr>
          <w:rFonts w:ascii="Times New Roman" w:eastAsiaTheme="minorHAnsi" w:hAnsi="Times New Roman" w:cs="Times New Roman"/>
          <w:b/>
          <w:bCs/>
          <w:color w:val="000000" w:themeColor="text1"/>
        </w:rPr>
        <w:t xml:space="preserve">Figure </w:t>
      </w:r>
      <w:r w:rsidR="00E957F0" w:rsidRPr="00597FFB">
        <w:rPr>
          <w:rFonts w:ascii="Times New Roman" w:eastAsiaTheme="minorHAnsi" w:hAnsi="Times New Roman" w:cs="Times New Roman"/>
          <w:b/>
          <w:bCs/>
          <w:color w:val="000000" w:themeColor="text1"/>
        </w:rPr>
        <w:t xml:space="preserve">5: </w:t>
      </w:r>
      <w:r w:rsidRPr="00597FFB">
        <w:rPr>
          <w:rFonts w:ascii="Times New Roman" w:eastAsiaTheme="minorHAnsi" w:hAnsi="Times New Roman" w:cs="Times New Roman"/>
          <w:i/>
          <w:iCs/>
          <w:color w:val="000000" w:themeColor="text1"/>
        </w:rPr>
        <w:t xml:space="preserve">An </w:t>
      </w:r>
      <w:r w:rsidR="00E957F0" w:rsidRPr="00597FFB">
        <w:rPr>
          <w:rFonts w:ascii="Times New Roman" w:eastAsiaTheme="minorHAnsi" w:hAnsi="Times New Roman" w:cs="Times New Roman"/>
          <w:i/>
          <w:iCs/>
          <w:color w:val="000000" w:themeColor="text1"/>
        </w:rPr>
        <w:t xml:space="preserve">Illustration </w:t>
      </w:r>
      <w:r w:rsidR="00A56EE5" w:rsidRPr="00597FFB">
        <w:rPr>
          <w:rFonts w:ascii="Times New Roman" w:eastAsiaTheme="minorHAnsi" w:hAnsi="Times New Roman" w:cs="Times New Roman"/>
          <w:i/>
          <w:iCs/>
          <w:color w:val="000000" w:themeColor="text1"/>
        </w:rPr>
        <w:t>o</w:t>
      </w:r>
      <w:r w:rsidR="00E957F0" w:rsidRPr="00597FFB">
        <w:rPr>
          <w:rFonts w:ascii="Times New Roman" w:eastAsiaTheme="minorHAnsi" w:hAnsi="Times New Roman" w:cs="Times New Roman"/>
          <w:i/>
          <w:iCs/>
          <w:color w:val="000000" w:themeColor="text1"/>
        </w:rPr>
        <w:t xml:space="preserve">f </w:t>
      </w:r>
      <w:r w:rsidR="00A56EE5" w:rsidRPr="00597FFB">
        <w:rPr>
          <w:rFonts w:ascii="Times New Roman" w:eastAsiaTheme="minorHAnsi" w:hAnsi="Times New Roman" w:cs="Times New Roman"/>
          <w:i/>
          <w:iCs/>
          <w:color w:val="000000" w:themeColor="text1"/>
        </w:rPr>
        <w:t>t</w:t>
      </w:r>
      <w:r w:rsidR="00E957F0" w:rsidRPr="00597FFB">
        <w:rPr>
          <w:rFonts w:ascii="Times New Roman" w:eastAsiaTheme="minorHAnsi" w:hAnsi="Times New Roman" w:cs="Times New Roman"/>
          <w:i/>
          <w:iCs/>
          <w:color w:val="000000" w:themeColor="text1"/>
        </w:rPr>
        <w:t xml:space="preserve">he Path </w:t>
      </w:r>
      <w:r w:rsidR="00A56EE5" w:rsidRPr="00597FFB">
        <w:rPr>
          <w:rFonts w:ascii="Times New Roman" w:eastAsiaTheme="minorHAnsi" w:hAnsi="Times New Roman" w:cs="Times New Roman"/>
          <w:i/>
          <w:iCs/>
          <w:color w:val="000000" w:themeColor="text1"/>
        </w:rPr>
        <w:t>o</w:t>
      </w:r>
      <w:r w:rsidR="00E957F0" w:rsidRPr="00597FFB">
        <w:rPr>
          <w:rFonts w:ascii="Times New Roman" w:eastAsiaTheme="minorHAnsi" w:hAnsi="Times New Roman" w:cs="Times New Roman"/>
          <w:i/>
          <w:iCs/>
          <w:color w:val="000000" w:themeColor="text1"/>
        </w:rPr>
        <w:t>f Global E-Waste Generated</w:t>
      </w:r>
      <w:r w:rsidR="00A56EE5" w:rsidRPr="00597FFB">
        <w:rPr>
          <w:rFonts w:ascii="Times New Roman" w:eastAsiaTheme="minorHAnsi" w:hAnsi="Times New Roman" w:cs="Times New Roman"/>
          <w:i/>
          <w:iCs/>
          <w:color w:val="000000" w:themeColor="text1"/>
        </w:rPr>
        <w:t xml:space="preserve"> i</w:t>
      </w:r>
      <w:r w:rsidR="00E957F0" w:rsidRPr="00597FFB">
        <w:rPr>
          <w:rFonts w:ascii="Times New Roman" w:eastAsiaTheme="minorHAnsi" w:hAnsi="Times New Roman" w:cs="Times New Roman"/>
          <w:i/>
          <w:iCs/>
          <w:color w:val="000000" w:themeColor="text1"/>
        </w:rPr>
        <w:t>n 2019.</w:t>
      </w:r>
    </w:p>
    <w:p w14:paraId="61F2A12D" w14:textId="77777777" w:rsidR="0003140E" w:rsidRPr="00597FFB" w:rsidRDefault="0003140E" w:rsidP="0003140E">
      <w:pPr>
        <w:spacing w:after="0" w:line="240" w:lineRule="auto"/>
        <w:jc w:val="both"/>
        <w:rPr>
          <w:rFonts w:ascii="Times New Roman" w:eastAsia="Times New Roman" w:hAnsi="Times New Roman" w:cs="Times New Roman"/>
          <w:bCs/>
          <w:color w:val="000000" w:themeColor="text1"/>
          <w:sz w:val="24"/>
          <w:szCs w:val="24"/>
        </w:rPr>
      </w:pPr>
    </w:p>
    <w:p w14:paraId="341E1F61" w14:textId="77777777" w:rsidR="0003140E" w:rsidRPr="00597FFB" w:rsidRDefault="0003140E" w:rsidP="0003140E">
      <w:pPr>
        <w:spacing w:line="240" w:lineRule="auto"/>
        <w:rPr>
          <w:rFonts w:ascii="Times New Roman" w:eastAsia="Times New Roman" w:hAnsi="Times New Roman" w:cs="Times New Roman"/>
          <w:bCs/>
          <w:i/>
          <w:iCs/>
          <w:color w:val="000000" w:themeColor="text1"/>
        </w:rPr>
      </w:pPr>
      <w:r w:rsidRPr="00597FFB">
        <w:rPr>
          <w:rFonts w:eastAsiaTheme="minorHAnsi"/>
          <w:noProof/>
          <w:color w:val="000000" w:themeColor="text1"/>
        </w:rPr>
        <w:drawing>
          <wp:inline distT="0" distB="0" distL="0" distR="0" wp14:anchorId="74B6C880" wp14:editId="2336C146">
            <wp:extent cx="5029200" cy="2429510"/>
            <wp:effectExtent l="0" t="0" r="0" b="889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5029200" cy="2429510"/>
                    </a:xfrm>
                    <a:prstGeom prst="rect">
                      <a:avLst/>
                    </a:prstGeom>
                    <a:ln>
                      <a:noFill/>
                    </a:ln>
                    <a:extLst>
                      <a:ext uri="{53640926-AAD7-44D8-BBD7-CCE9431645EC}">
                        <a14:shadowObscured xmlns:a14="http://schemas.microsoft.com/office/drawing/2010/main"/>
                      </a:ext>
                    </a:extLst>
                  </pic:spPr>
                </pic:pic>
              </a:graphicData>
            </a:graphic>
          </wp:inline>
        </w:drawing>
      </w:r>
    </w:p>
    <w:p w14:paraId="3386DA5E" w14:textId="446A3D7E" w:rsidR="0008340D" w:rsidRPr="00597FFB" w:rsidRDefault="0003140E" w:rsidP="00A56EE5">
      <w:pPr>
        <w:spacing w:line="240" w:lineRule="auto"/>
        <w:rPr>
          <w:rFonts w:ascii="Times New Roman" w:eastAsia="Times New Roman" w:hAnsi="Times New Roman" w:cs="Times New Roman"/>
          <w:bCs/>
          <w:color w:val="000000" w:themeColor="text1"/>
          <w:sz w:val="20"/>
          <w:szCs w:val="20"/>
        </w:rPr>
      </w:pPr>
      <w:r w:rsidRPr="00597FFB">
        <w:rPr>
          <w:rFonts w:ascii="Times New Roman" w:eastAsia="Times New Roman" w:hAnsi="Times New Roman" w:cs="Times New Roman"/>
          <w:bCs/>
          <w:i/>
          <w:iCs/>
          <w:color w:val="000000" w:themeColor="text1"/>
          <w:sz w:val="20"/>
          <w:szCs w:val="20"/>
        </w:rPr>
        <w:t>Source: Forti et al. (2020, p. 23)</w:t>
      </w:r>
    </w:p>
    <w:p w14:paraId="5D09DC87" w14:textId="2F94D389" w:rsidR="00E56602" w:rsidRPr="00597FFB" w:rsidRDefault="00E56602" w:rsidP="00A558FE">
      <w:pPr>
        <w:pStyle w:val="Heading2"/>
        <w:spacing w:line="480" w:lineRule="auto"/>
        <w:rPr>
          <w:rFonts w:asciiTheme="majorBidi" w:hAnsiTheme="majorBidi"/>
          <w:b/>
          <w:bCs/>
          <w:color w:val="000000" w:themeColor="text1"/>
          <w:sz w:val="24"/>
          <w:szCs w:val="24"/>
        </w:rPr>
      </w:pPr>
      <w:bookmarkStart w:id="111" w:name="_Toc127170281"/>
      <w:bookmarkStart w:id="112" w:name="_Hlk79268499"/>
      <w:r w:rsidRPr="00597FFB">
        <w:rPr>
          <w:rFonts w:asciiTheme="majorBidi" w:hAnsiTheme="majorBidi"/>
          <w:b/>
          <w:bCs/>
          <w:color w:val="000000" w:themeColor="text1"/>
          <w:sz w:val="24"/>
          <w:szCs w:val="24"/>
        </w:rPr>
        <w:t>2.5. E-waste Recycling (EWR)</w:t>
      </w:r>
      <w:r w:rsidR="00C16429" w:rsidRPr="00597FFB">
        <w:rPr>
          <w:rFonts w:asciiTheme="majorBidi" w:hAnsiTheme="majorBidi"/>
          <w:b/>
          <w:bCs/>
          <w:color w:val="000000" w:themeColor="text1"/>
          <w:sz w:val="24"/>
          <w:szCs w:val="24"/>
        </w:rPr>
        <w:t>.</w:t>
      </w:r>
      <w:bookmarkEnd w:id="111"/>
    </w:p>
    <w:p w14:paraId="16F505D5" w14:textId="7EB2F391" w:rsidR="0003140E" w:rsidRPr="00597FFB" w:rsidRDefault="0003140E" w:rsidP="00A558FE">
      <w:pPr>
        <w:spacing w:line="480" w:lineRule="auto"/>
        <w:ind w:firstLine="360"/>
        <w:jc w:val="both"/>
        <w:rPr>
          <w:rFonts w:ascii="Times New Roman" w:eastAsiaTheme="minorHAnsi" w:hAnsi="Times New Roman" w:cs="Times New Roman"/>
          <w:color w:val="000000" w:themeColor="text1"/>
          <w:sz w:val="24"/>
          <w:szCs w:val="24"/>
        </w:rPr>
      </w:pPr>
      <w:bookmarkStart w:id="113" w:name="_Hlk50142508"/>
      <w:bookmarkEnd w:id="89"/>
      <w:bookmarkEnd w:id="112"/>
      <w:r w:rsidRPr="00597FFB">
        <w:rPr>
          <w:rFonts w:ascii="Times New Roman" w:eastAsiaTheme="minorHAnsi" w:hAnsi="Times New Roman" w:cs="Times New Roman"/>
          <w:color w:val="000000" w:themeColor="text1"/>
          <w:sz w:val="24"/>
          <w:szCs w:val="24"/>
        </w:rPr>
        <w:t xml:space="preserve">The linear economy pressures the </w:t>
      </w:r>
      <w:r w:rsidRPr="00597FFB">
        <w:rPr>
          <w:rFonts w:ascii="Times New Roman" w:eastAsia="Calibri" w:hAnsi="Times New Roman" w:cs="Times New Roman"/>
          <w:color w:val="000000" w:themeColor="text1"/>
          <w:sz w:val="24"/>
          <w:szCs w:val="24"/>
        </w:rPr>
        <w:t>world’s</w:t>
      </w:r>
      <w:r w:rsidRPr="00597FFB">
        <w:rPr>
          <w:rFonts w:ascii="Times New Roman" w:eastAsiaTheme="minorHAnsi" w:hAnsi="Times New Roman" w:cs="Times New Roman"/>
          <w:color w:val="000000" w:themeColor="text1"/>
          <w:sz w:val="24"/>
          <w:szCs w:val="24"/>
        </w:rPr>
        <w:t xml:space="preserve"> natural resources that are needed as raw materials to create new products. These products become waste that is disposed of in landfills and negatively impact the environment and human health. In contrast, the circular economy emphasizes the importance of using resources as long as possible </w:t>
      </w:r>
      <w:r w:rsidRPr="00597FFB">
        <w:rPr>
          <w:rFonts w:ascii="Times New Roman" w:eastAsiaTheme="minorHAnsi" w:hAnsi="Times New Roman" w:cs="Times New Roman"/>
          <w:color w:val="000000" w:themeColor="text1"/>
          <w:sz w:val="24"/>
        </w:rPr>
        <w:t>(Zabala, 2019)</w:t>
      </w:r>
      <w:r w:rsidRPr="00597FFB">
        <w:rPr>
          <w:rFonts w:ascii="Times New Roman" w:eastAsiaTheme="minorHAnsi" w:hAnsi="Times New Roman" w:cs="Times New Roman"/>
          <w:color w:val="000000" w:themeColor="text1"/>
          <w:sz w:val="24"/>
          <w:szCs w:val="24"/>
        </w:rPr>
        <w:t xml:space="preserve">. Once the highest amount of value has been extracted, the resources should be recovered and recycled. </w:t>
      </w:r>
      <w:r w:rsidRPr="00597FFB">
        <w:rPr>
          <w:rFonts w:ascii="Times New Roman" w:eastAsia="Calibri" w:hAnsi="Times New Roman" w:cs="Times New Roman"/>
          <w:color w:val="000000" w:themeColor="text1"/>
          <w:sz w:val="24"/>
          <w:szCs w:val="24"/>
        </w:rPr>
        <w:t>In addition to</w:t>
      </w:r>
      <w:r w:rsidRPr="00597FFB">
        <w:rPr>
          <w:rFonts w:ascii="Times New Roman" w:eastAsiaTheme="minorHAnsi" w:hAnsi="Times New Roman" w:cs="Times New Roman"/>
          <w:color w:val="000000" w:themeColor="text1"/>
          <w:sz w:val="24"/>
          <w:szCs w:val="24"/>
        </w:rPr>
        <w:t xml:space="preserve"> metals, other valuable materials are found in e-waste, such as plastic, glass, and ceramics. Moving toward the circular economy in electronics can turn waste into secondary raw material that serves as valuable inputs in different companies to manufacture different products (Dai et al., 2020).</w:t>
      </w:r>
    </w:p>
    <w:p w14:paraId="50ED7C5E" w14:textId="77777777"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Recycling has been extensively researched, particularly to understand strategies to promote recycling and the factors that determine individual participation in recycling. Several studies </w:t>
      </w:r>
      <w:r w:rsidRPr="00597FFB">
        <w:rPr>
          <w:rFonts w:ascii="Times New Roman" w:eastAsiaTheme="minorHAnsi" w:hAnsi="Times New Roman" w:cs="Times New Roman"/>
          <w:color w:val="000000" w:themeColor="text1"/>
          <w:sz w:val="24"/>
          <w:szCs w:val="24"/>
        </w:rPr>
        <w:t>(Wang et al., 2020; Nhamo et al., 2020; Mhatre et al., 2021)</w:t>
      </w:r>
      <w:r w:rsidRPr="00597FFB">
        <w:rPr>
          <w:rFonts w:ascii="Times New Roman" w:eastAsia="Times New Roman" w:hAnsi="Times New Roman" w:cs="Times New Roman"/>
          <w:bCs/>
          <w:color w:val="000000" w:themeColor="text1"/>
          <w:sz w:val="24"/>
          <w:szCs w:val="24"/>
        </w:rPr>
        <w:t xml:space="preserve"> attribute recycling behavior to extrinsic incentives, external facilitators, internal facilitators, and demographic variables. E-waste recycling is an important economic activity generating a sufficient income for 64 million people in the developing world (</w:t>
      </w:r>
      <w:r w:rsidRPr="00597FFB">
        <w:rPr>
          <w:rFonts w:ascii="Times New Roman" w:eastAsiaTheme="minorHAnsi" w:hAnsi="Times New Roman" w:cs="Times New Roman"/>
          <w:color w:val="000000" w:themeColor="text1"/>
          <w:sz w:val="24"/>
          <w:szCs w:val="24"/>
        </w:rPr>
        <w:t>Nhamo et al., 2020)</w:t>
      </w:r>
      <w:r w:rsidRPr="00597FFB">
        <w:rPr>
          <w:rFonts w:ascii="Times New Roman" w:eastAsia="Times New Roman" w:hAnsi="Times New Roman" w:cs="Times New Roman"/>
          <w:bCs/>
          <w:color w:val="000000" w:themeColor="text1"/>
          <w:sz w:val="24"/>
          <w:szCs w:val="24"/>
        </w:rPr>
        <w:t>. The latest forecast revealed that e-waste is worth USD 62.5 billion annually (</w:t>
      </w:r>
      <w:r w:rsidRPr="00597FFB">
        <w:rPr>
          <w:rFonts w:ascii="Times New Roman" w:eastAsiaTheme="minorHAnsi" w:hAnsi="Times New Roman" w:cs="Times New Roman"/>
          <w:color w:val="000000" w:themeColor="text1"/>
          <w:sz w:val="24"/>
          <w:szCs w:val="24"/>
        </w:rPr>
        <w:t>Nhamo et al., 2020)</w:t>
      </w:r>
      <w:r w:rsidRPr="00597FFB">
        <w:rPr>
          <w:rFonts w:ascii="Times New Roman" w:eastAsia="Times New Roman" w:hAnsi="Times New Roman" w:cs="Times New Roman"/>
          <w:bCs/>
          <w:color w:val="000000" w:themeColor="text1"/>
          <w:sz w:val="24"/>
          <w:szCs w:val="24"/>
        </w:rPr>
        <w:t xml:space="preserve">, which is more than the GDP of most countries. It is also valued at three times the output of all the world’s silver mines </w:t>
      </w:r>
      <w:r w:rsidRPr="00597FFB">
        <w:rPr>
          <w:rFonts w:ascii="Times New Roman" w:eastAsiaTheme="minorHAnsi" w:hAnsi="Times New Roman" w:cs="Times New Roman"/>
          <w:color w:val="000000" w:themeColor="text1"/>
          <w:sz w:val="24"/>
          <w:szCs w:val="24"/>
        </w:rPr>
        <w:t>(Nhamo et al., 2020)</w:t>
      </w:r>
      <w:r w:rsidRPr="00597FFB">
        <w:rPr>
          <w:rFonts w:ascii="Times New Roman" w:eastAsia="Times New Roman" w:hAnsi="Times New Roman" w:cs="Times New Roman"/>
          <w:bCs/>
          <w:color w:val="000000" w:themeColor="text1"/>
          <w:sz w:val="24"/>
          <w:szCs w:val="24"/>
        </w:rPr>
        <w:t>. Effective use of e-waste products includes the reuse of the product, also</w:t>
      </w:r>
      <w:r w:rsidRPr="00597FFB">
        <w:rPr>
          <w:rFonts w:eastAsiaTheme="minorHAnsi"/>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called “the second life,” which increases the material value. The global markets for second-life products, such as cellphones, computers, and televisions, are well developed.  The process of retaining precious metals which are valued at billions of dollars and are currently being disposed, could be improved. To leverage this opportunity, countries must shift from a linear to a circular economy in electronics markets </w:t>
      </w:r>
      <w:r w:rsidRPr="00597FFB">
        <w:rPr>
          <w:rFonts w:ascii="Times New Roman" w:eastAsiaTheme="minorHAnsi" w:hAnsi="Times New Roman" w:cs="Times New Roman"/>
          <w:color w:val="000000" w:themeColor="text1"/>
          <w:sz w:val="24"/>
          <w:szCs w:val="24"/>
        </w:rPr>
        <w:t>(Mhatre et al., 2021)</w:t>
      </w:r>
      <w:r w:rsidRPr="00597FFB">
        <w:rPr>
          <w:rFonts w:ascii="Times New Roman" w:eastAsia="Times New Roman" w:hAnsi="Times New Roman" w:cs="Times New Roman"/>
          <w:bCs/>
          <w:color w:val="000000" w:themeColor="text1"/>
          <w:sz w:val="24"/>
          <w:szCs w:val="24"/>
        </w:rPr>
        <w:t>.</w:t>
      </w:r>
    </w:p>
    <w:p w14:paraId="41C900A2" w14:textId="77777777"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Material flow occurs from e-waste to final or new products during the recycling process. Material is defined as the substance of which a good is formed or composed of by being a component or constituent matter </w:t>
      </w:r>
      <w:r w:rsidRPr="00597FFB">
        <w:rPr>
          <w:rFonts w:ascii="Times New Roman" w:eastAsiaTheme="minorHAnsi" w:hAnsi="Times New Roman" w:cs="Times New Roman"/>
          <w:color w:val="000000" w:themeColor="text1"/>
          <w:sz w:val="24"/>
        </w:rPr>
        <w:t>(Fuldauer et al., 2019)</w:t>
      </w:r>
      <w:r w:rsidRPr="00597FFB">
        <w:rPr>
          <w:rFonts w:ascii="Times New Roman" w:eastAsia="Times New Roman" w:hAnsi="Times New Roman" w:cs="Times New Roman"/>
          <w:bCs/>
          <w:color w:val="000000" w:themeColor="text1"/>
          <w:sz w:val="24"/>
          <w:szCs w:val="24"/>
        </w:rPr>
        <w:t xml:space="preserve">. In chemistry, a substance is defined as a single type of matter consisting of uniform units. If the units are atoms, then the substance is called an element, such as carbon or iron; if the units are molecules, then it is called a chemical compound, such as carbon dioxide or iron chloride </w:t>
      </w:r>
      <w:r w:rsidRPr="00597FFB">
        <w:rPr>
          <w:rFonts w:ascii="Times New Roman" w:eastAsiaTheme="minorHAnsi" w:hAnsi="Times New Roman" w:cs="Times New Roman"/>
          <w:color w:val="000000" w:themeColor="text1"/>
          <w:sz w:val="24"/>
          <w:szCs w:val="24"/>
        </w:rPr>
        <w:t>(Gupta &amp; Mirchandani, 2018)</w:t>
      </w:r>
      <w:r w:rsidRPr="00597FFB">
        <w:rPr>
          <w:rFonts w:ascii="Times New Roman" w:eastAsia="Times New Roman" w:hAnsi="Times New Roman" w:cs="Times New Roman"/>
          <w:bCs/>
          <w:color w:val="000000" w:themeColor="text1"/>
          <w:sz w:val="24"/>
          <w:szCs w:val="24"/>
        </w:rPr>
        <w:t xml:space="preserve">. A component consists of many materials. The product mixes some components and can generate positive or negative economic value that is assigned by markets </w:t>
      </w:r>
      <w:r w:rsidRPr="00597FFB">
        <w:rPr>
          <w:rFonts w:ascii="Times New Roman" w:eastAsiaTheme="minorHAnsi" w:hAnsi="Times New Roman" w:cs="Times New Roman"/>
          <w:color w:val="000000" w:themeColor="text1"/>
          <w:sz w:val="24"/>
        </w:rPr>
        <w:t>(Dhir et al., 2021)</w:t>
      </w:r>
      <w:r w:rsidRPr="00597FFB">
        <w:rPr>
          <w:rFonts w:ascii="Times New Roman" w:eastAsia="Times New Roman" w:hAnsi="Times New Roman" w:cs="Times New Roman"/>
          <w:bCs/>
          <w:color w:val="000000" w:themeColor="text1"/>
          <w:sz w:val="24"/>
          <w:szCs w:val="24"/>
        </w:rPr>
        <w:t>.</w:t>
      </w:r>
    </w:p>
    <w:p w14:paraId="572A2290" w14:textId="361B7043" w:rsidR="0003140E" w:rsidRPr="00597FFB" w:rsidRDefault="00C16429"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14" w:name="_Toc127170282"/>
      <w:r w:rsidRPr="00597FFB">
        <w:rPr>
          <w:rFonts w:ascii="Times New Roman" w:eastAsia="Calibri" w:hAnsi="Times New Roman" w:cs="Times New Roman"/>
          <w:i/>
          <w:iCs/>
          <w:color w:val="000000" w:themeColor="text1"/>
          <w:sz w:val="24"/>
          <w:szCs w:val="24"/>
        </w:rPr>
        <w:t xml:space="preserve">2.5.1. </w:t>
      </w:r>
      <w:r w:rsidR="0003140E" w:rsidRPr="00597FFB">
        <w:rPr>
          <w:rFonts w:ascii="Times New Roman" w:eastAsia="Calibri" w:hAnsi="Times New Roman" w:cs="Times New Roman"/>
          <w:i/>
          <w:iCs/>
          <w:color w:val="000000" w:themeColor="text1"/>
          <w:sz w:val="24"/>
          <w:szCs w:val="24"/>
        </w:rPr>
        <w:t>E</w:t>
      </w:r>
      <w:r w:rsidRPr="00597FFB">
        <w:rPr>
          <w:rFonts w:ascii="Times New Roman" w:eastAsia="Calibri" w:hAnsi="Times New Roman" w:cs="Times New Roman"/>
          <w:i/>
          <w:iCs/>
          <w:color w:val="000000" w:themeColor="text1"/>
          <w:sz w:val="24"/>
          <w:szCs w:val="24"/>
        </w:rPr>
        <w:t>-</w:t>
      </w:r>
      <w:r w:rsidR="00DC6527">
        <w:rPr>
          <w:rFonts w:ascii="Times New Roman" w:eastAsia="Calibri" w:hAnsi="Times New Roman" w:cs="Times New Roman"/>
          <w:i/>
          <w:iCs/>
          <w:color w:val="000000" w:themeColor="text1"/>
          <w:sz w:val="24"/>
          <w:szCs w:val="24"/>
        </w:rPr>
        <w:t>w</w:t>
      </w:r>
      <w:r w:rsidRPr="00597FFB">
        <w:rPr>
          <w:rFonts w:ascii="Times New Roman" w:eastAsia="Calibri" w:hAnsi="Times New Roman" w:cs="Times New Roman"/>
          <w:i/>
          <w:iCs/>
          <w:color w:val="000000" w:themeColor="text1"/>
          <w:sz w:val="24"/>
          <w:szCs w:val="24"/>
        </w:rPr>
        <w:t>aste Recycling Processes.</w:t>
      </w:r>
      <w:bookmarkEnd w:id="114"/>
    </w:p>
    <w:p w14:paraId="067CD4BE" w14:textId="0D35DE10"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E-waste </w:t>
      </w:r>
      <w:r w:rsidR="00B950AB" w:rsidRPr="00597FFB">
        <w:rPr>
          <w:rFonts w:ascii="Times New Roman" w:eastAsia="Times New Roman" w:hAnsi="Times New Roman" w:cs="Times New Roman"/>
          <w:bCs/>
          <w:color w:val="000000" w:themeColor="text1"/>
          <w:sz w:val="24"/>
          <w:szCs w:val="24"/>
        </w:rPr>
        <w:t>is</w:t>
      </w:r>
      <w:r w:rsidRPr="00597FFB">
        <w:rPr>
          <w:rFonts w:ascii="Times New Roman" w:eastAsia="Times New Roman" w:hAnsi="Times New Roman" w:cs="Times New Roman"/>
          <w:bCs/>
          <w:color w:val="000000" w:themeColor="text1"/>
          <w:sz w:val="24"/>
          <w:szCs w:val="24"/>
        </w:rPr>
        <w:t xml:space="preserve"> process</w:t>
      </w:r>
      <w:r w:rsidR="00B950AB" w:rsidRPr="00597FFB">
        <w:rPr>
          <w:rFonts w:ascii="Times New Roman" w:eastAsia="Times New Roman" w:hAnsi="Times New Roman" w:cs="Times New Roman"/>
          <w:bCs/>
          <w:color w:val="000000" w:themeColor="text1"/>
          <w:sz w:val="24"/>
          <w:szCs w:val="24"/>
        </w:rPr>
        <w:t>able</w:t>
      </w:r>
      <w:r w:rsidRPr="00597FFB">
        <w:rPr>
          <w:rFonts w:ascii="Times New Roman" w:eastAsia="Times New Roman" w:hAnsi="Times New Roman" w:cs="Times New Roman"/>
          <w:bCs/>
          <w:color w:val="000000" w:themeColor="text1"/>
          <w:sz w:val="24"/>
          <w:szCs w:val="24"/>
        </w:rPr>
        <w:t xml:space="preserve"> either formally or informally. Informal practices</w:t>
      </w:r>
      <w:r w:rsidR="00B950AB" w:rsidRPr="00597FFB">
        <w:rPr>
          <w:rFonts w:ascii="Times New Roman" w:eastAsia="Times New Roman" w:hAnsi="Times New Roman" w:cs="Times New Roman"/>
          <w:bCs/>
          <w:color w:val="000000" w:themeColor="text1"/>
          <w:sz w:val="24"/>
          <w:szCs w:val="24"/>
        </w:rPr>
        <w:t xml:space="preserve"> characterizing</w:t>
      </w:r>
      <w:r w:rsidRPr="00597FFB">
        <w:rPr>
          <w:rFonts w:ascii="Times New Roman" w:eastAsia="Times New Roman" w:hAnsi="Times New Roman" w:cs="Times New Roman"/>
          <w:bCs/>
          <w:color w:val="000000" w:themeColor="text1"/>
          <w:sz w:val="24"/>
          <w:szCs w:val="24"/>
        </w:rPr>
        <w:t xml:space="preserve"> the approach </w:t>
      </w:r>
      <w:r w:rsidR="00B950AB" w:rsidRPr="00597FFB">
        <w:rPr>
          <w:rFonts w:ascii="Times New Roman" w:eastAsia="Times New Roman" w:hAnsi="Times New Roman" w:cs="Times New Roman"/>
          <w:bCs/>
          <w:color w:val="000000" w:themeColor="text1"/>
          <w:sz w:val="24"/>
          <w:szCs w:val="24"/>
        </w:rPr>
        <w:t>employed</w:t>
      </w:r>
      <w:r w:rsidRPr="00597FFB">
        <w:rPr>
          <w:rFonts w:ascii="Times New Roman" w:eastAsia="Times New Roman" w:hAnsi="Times New Roman" w:cs="Times New Roman"/>
          <w:bCs/>
          <w:color w:val="000000" w:themeColor="text1"/>
          <w:sz w:val="24"/>
          <w:szCs w:val="24"/>
        </w:rPr>
        <w:t xml:space="preserve"> in Pakistan, involve </w:t>
      </w:r>
      <w:r w:rsidR="00B950AB" w:rsidRPr="00597FFB">
        <w:rPr>
          <w:rFonts w:ascii="Times New Roman" w:eastAsia="Times New Roman" w:hAnsi="Times New Roman" w:cs="Times New Roman"/>
          <w:bCs/>
          <w:color w:val="000000" w:themeColor="text1"/>
          <w:sz w:val="24"/>
          <w:szCs w:val="24"/>
        </w:rPr>
        <w:t xml:space="preserve">unsafe </w:t>
      </w:r>
      <w:r w:rsidRPr="00597FFB">
        <w:rPr>
          <w:rFonts w:ascii="Times New Roman" w:eastAsia="Times New Roman" w:hAnsi="Times New Roman" w:cs="Times New Roman"/>
          <w:bCs/>
          <w:color w:val="000000" w:themeColor="text1"/>
          <w:sz w:val="24"/>
          <w:szCs w:val="24"/>
        </w:rPr>
        <w:t xml:space="preserve">and </w:t>
      </w:r>
      <w:r w:rsidR="00B950AB" w:rsidRPr="00597FFB">
        <w:rPr>
          <w:rFonts w:ascii="Times New Roman" w:eastAsia="Times New Roman" w:hAnsi="Times New Roman" w:cs="Times New Roman"/>
          <w:bCs/>
          <w:color w:val="000000" w:themeColor="text1"/>
          <w:sz w:val="24"/>
          <w:szCs w:val="24"/>
        </w:rPr>
        <w:t xml:space="preserve">crude recycling </w:t>
      </w:r>
      <w:r w:rsidRPr="00597FFB">
        <w:rPr>
          <w:rFonts w:ascii="Times New Roman" w:eastAsia="Times New Roman" w:hAnsi="Times New Roman" w:cs="Times New Roman"/>
          <w:bCs/>
          <w:color w:val="000000" w:themeColor="text1"/>
          <w:sz w:val="24"/>
          <w:szCs w:val="24"/>
        </w:rPr>
        <w:t>methods</w:t>
      </w:r>
      <w:r w:rsidR="00B950AB" w:rsidRPr="00597FFB">
        <w:rPr>
          <w:rFonts w:ascii="Times New Roman" w:eastAsia="Times New Roman" w:hAnsi="Times New Roman" w:cs="Times New Roman"/>
          <w:bCs/>
          <w:color w:val="000000" w:themeColor="text1"/>
          <w:sz w:val="24"/>
          <w:szCs w:val="24"/>
        </w:rPr>
        <w:t xml:space="preserve"> including</w:t>
      </w:r>
      <w:r w:rsidRPr="00597FFB">
        <w:rPr>
          <w:rFonts w:ascii="Times New Roman" w:eastAsia="Times New Roman" w:hAnsi="Times New Roman" w:cs="Times New Roman"/>
          <w:bCs/>
          <w:color w:val="000000" w:themeColor="text1"/>
          <w:sz w:val="24"/>
          <w:szCs w:val="24"/>
        </w:rPr>
        <w:t xml:space="preserve"> </w:t>
      </w:r>
      <w:r w:rsidR="00B950AB" w:rsidRPr="00597FFB">
        <w:rPr>
          <w:rFonts w:ascii="Times New Roman" w:eastAsia="Times New Roman" w:hAnsi="Times New Roman" w:cs="Times New Roman"/>
          <w:bCs/>
          <w:color w:val="000000" w:themeColor="text1"/>
          <w:sz w:val="24"/>
          <w:szCs w:val="24"/>
        </w:rPr>
        <w:t xml:space="preserve">acid baths </w:t>
      </w:r>
      <w:r w:rsidRPr="00597FFB">
        <w:rPr>
          <w:rFonts w:ascii="Times New Roman" w:eastAsia="Times New Roman" w:hAnsi="Times New Roman" w:cs="Times New Roman"/>
          <w:bCs/>
          <w:color w:val="000000" w:themeColor="text1"/>
          <w:sz w:val="24"/>
          <w:szCs w:val="24"/>
        </w:rPr>
        <w:t>and</w:t>
      </w:r>
      <w:r w:rsidR="00B950AB" w:rsidRPr="00597FFB">
        <w:rPr>
          <w:rFonts w:ascii="Times New Roman" w:eastAsia="Times New Roman" w:hAnsi="Times New Roman" w:cs="Times New Roman"/>
          <w:bCs/>
          <w:color w:val="000000" w:themeColor="text1"/>
          <w:sz w:val="24"/>
          <w:szCs w:val="24"/>
        </w:rPr>
        <w:t xml:space="preserve"> burning</w:t>
      </w:r>
      <w:r w:rsidRPr="00597FFB">
        <w:rPr>
          <w:rFonts w:ascii="Times New Roman" w:eastAsia="Times New Roman" w:hAnsi="Times New Roman" w:cs="Times New Roman"/>
          <w:bCs/>
          <w:color w:val="000000" w:themeColor="text1"/>
          <w:sz w:val="24"/>
          <w:szCs w:val="24"/>
        </w:rPr>
        <w:t xml:space="preserve">, with waste residue going into </w:t>
      </w:r>
      <w:r w:rsidR="00B950AB" w:rsidRPr="00597FFB">
        <w:rPr>
          <w:rFonts w:ascii="Times New Roman" w:eastAsia="Times New Roman" w:hAnsi="Times New Roman" w:cs="Times New Roman"/>
          <w:bCs/>
          <w:color w:val="000000" w:themeColor="text1"/>
          <w:sz w:val="24"/>
          <w:szCs w:val="24"/>
        </w:rPr>
        <w:t xml:space="preserve">local drains </w:t>
      </w:r>
      <w:r w:rsidRPr="00597FFB">
        <w:rPr>
          <w:rFonts w:ascii="Times New Roman" w:eastAsia="Times New Roman" w:hAnsi="Times New Roman" w:cs="Times New Roman"/>
          <w:bCs/>
          <w:color w:val="000000" w:themeColor="text1"/>
          <w:sz w:val="24"/>
          <w:szCs w:val="24"/>
        </w:rPr>
        <w:t xml:space="preserve">and </w:t>
      </w:r>
      <w:r w:rsidR="00B950AB" w:rsidRPr="00597FFB">
        <w:rPr>
          <w:rFonts w:ascii="Times New Roman" w:eastAsia="Times New Roman" w:hAnsi="Times New Roman" w:cs="Times New Roman"/>
          <w:bCs/>
          <w:color w:val="000000" w:themeColor="text1"/>
          <w:sz w:val="24"/>
          <w:szCs w:val="24"/>
        </w:rPr>
        <w:t xml:space="preserve">landfills </w:t>
      </w:r>
      <w:r w:rsidRPr="00597FFB">
        <w:rPr>
          <w:rFonts w:ascii="Times New Roman" w:eastAsia="Times New Roman" w:hAnsi="Times New Roman" w:cs="Times New Roman"/>
          <w:bCs/>
          <w:color w:val="000000" w:themeColor="text1"/>
          <w:sz w:val="24"/>
          <w:szCs w:val="24"/>
        </w:rPr>
        <w:t xml:space="preserve">and </w:t>
      </w:r>
      <w:r w:rsidR="00B950AB" w:rsidRPr="00597FFB">
        <w:rPr>
          <w:rFonts w:ascii="Times New Roman" w:eastAsia="Times New Roman" w:hAnsi="Times New Roman" w:cs="Times New Roman"/>
          <w:bCs/>
          <w:color w:val="000000" w:themeColor="text1"/>
          <w:sz w:val="24"/>
          <w:szCs w:val="24"/>
        </w:rPr>
        <w:t>ultimately contaminating the</w:t>
      </w:r>
      <w:r w:rsidRPr="00597FFB">
        <w:rPr>
          <w:rFonts w:ascii="Times New Roman" w:eastAsia="Times New Roman" w:hAnsi="Times New Roman" w:cs="Times New Roman"/>
          <w:bCs/>
          <w:color w:val="000000" w:themeColor="text1"/>
          <w:sz w:val="24"/>
          <w:szCs w:val="24"/>
        </w:rPr>
        <w:t xml:space="preserve"> waterways. </w:t>
      </w:r>
      <w:r w:rsidR="00B950AB" w:rsidRPr="00597FFB">
        <w:rPr>
          <w:rFonts w:ascii="Times New Roman" w:eastAsia="Times New Roman" w:hAnsi="Times New Roman" w:cs="Times New Roman"/>
          <w:bCs/>
          <w:color w:val="000000" w:themeColor="text1"/>
          <w:sz w:val="24"/>
          <w:szCs w:val="24"/>
        </w:rPr>
        <w:t>B</w:t>
      </w:r>
      <w:r w:rsidRPr="00597FFB">
        <w:rPr>
          <w:rFonts w:ascii="Times New Roman" w:eastAsia="Times New Roman" w:hAnsi="Times New Roman" w:cs="Times New Roman"/>
          <w:bCs/>
          <w:color w:val="000000" w:themeColor="text1"/>
          <w:sz w:val="24"/>
          <w:szCs w:val="24"/>
        </w:rPr>
        <w:t>usinesses that process</w:t>
      </w:r>
      <w:r w:rsidR="00B950AB" w:rsidRPr="00597FFB">
        <w:rPr>
          <w:rFonts w:ascii="Times New Roman" w:eastAsia="Times New Roman" w:hAnsi="Times New Roman" w:cs="Times New Roman"/>
          <w:bCs/>
          <w:color w:val="000000" w:themeColor="text1"/>
          <w:sz w:val="24"/>
          <w:szCs w:val="24"/>
        </w:rPr>
        <w:t xml:space="preserve"> e-waste</w:t>
      </w:r>
      <w:r w:rsidRPr="00597FFB">
        <w:rPr>
          <w:rFonts w:ascii="Times New Roman" w:eastAsia="Times New Roman" w:hAnsi="Times New Roman" w:cs="Times New Roman"/>
          <w:bCs/>
          <w:color w:val="000000" w:themeColor="text1"/>
          <w:sz w:val="24"/>
          <w:szCs w:val="24"/>
        </w:rPr>
        <w:t xml:space="preserve"> informally are </w:t>
      </w:r>
      <w:r w:rsidR="00B950AB" w:rsidRPr="00597FFB">
        <w:rPr>
          <w:rFonts w:ascii="Times New Roman" w:eastAsia="Times New Roman" w:hAnsi="Times New Roman" w:cs="Times New Roman"/>
          <w:bCs/>
          <w:color w:val="000000" w:themeColor="text1"/>
          <w:sz w:val="24"/>
          <w:szCs w:val="24"/>
        </w:rPr>
        <w:t>usually</w:t>
      </w:r>
      <w:r w:rsidRPr="00597FFB">
        <w:rPr>
          <w:rFonts w:ascii="Times New Roman" w:eastAsia="Times New Roman" w:hAnsi="Times New Roman" w:cs="Times New Roman"/>
          <w:bCs/>
          <w:color w:val="000000" w:themeColor="text1"/>
          <w:sz w:val="24"/>
          <w:szCs w:val="24"/>
        </w:rPr>
        <w:t xml:space="preserve"> unregistered, </w:t>
      </w:r>
      <w:r w:rsidR="00B950AB" w:rsidRPr="00597FFB">
        <w:rPr>
          <w:rFonts w:ascii="Times New Roman" w:eastAsia="Times New Roman" w:hAnsi="Times New Roman" w:cs="Times New Roman"/>
          <w:bCs/>
          <w:color w:val="000000" w:themeColor="text1"/>
          <w:sz w:val="24"/>
          <w:szCs w:val="24"/>
        </w:rPr>
        <w:t>discrete,</w:t>
      </w:r>
      <w:r w:rsidRPr="00597FFB">
        <w:rPr>
          <w:rFonts w:ascii="Times New Roman" w:eastAsia="Times New Roman" w:hAnsi="Times New Roman" w:cs="Times New Roman"/>
          <w:bCs/>
          <w:color w:val="000000" w:themeColor="text1"/>
          <w:sz w:val="24"/>
          <w:szCs w:val="24"/>
        </w:rPr>
        <w:t xml:space="preserve"> and operate largely </w:t>
      </w:r>
      <w:r w:rsidR="00B950AB" w:rsidRPr="00597FFB">
        <w:rPr>
          <w:rFonts w:ascii="Times New Roman" w:eastAsia="Times New Roman" w:hAnsi="Times New Roman" w:cs="Times New Roman"/>
          <w:bCs/>
          <w:color w:val="000000" w:themeColor="text1"/>
          <w:sz w:val="24"/>
          <w:szCs w:val="24"/>
        </w:rPr>
        <w:t>without adherence to any</w:t>
      </w:r>
      <w:r w:rsidRPr="00597FFB">
        <w:rPr>
          <w:rFonts w:ascii="Times New Roman" w:eastAsia="Times New Roman" w:hAnsi="Times New Roman" w:cs="Times New Roman"/>
          <w:bCs/>
          <w:color w:val="000000" w:themeColor="text1"/>
          <w:sz w:val="24"/>
          <w:szCs w:val="24"/>
        </w:rPr>
        <w:t xml:space="preserve"> regulatory oversight </w:t>
      </w:r>
      <w:r w:rsidRPr="00597FFB">
        <w:rPr>
          <w:rFonts w:ascii="Times New Roman" w:eastAsiaTheme="minorHAnsi" w:hAnsi="Times New Roman" w:cs="Times New Roman"/>
          <w:color w:val="000000" w:themeColor="text1"/>
          <w:sz w:val="24"/>
        </w:rPr>
        <w:t>(Hasan et al., 2020)</w:t>
      </w:r>
      <w:r w:rsidRPr="00597FFB">
        <w:rPr>
          <w:rFonts w:ascii="Times New Roman" w:eastAsia="Times New Roman" w:hAnsi="Times New Roman" w:cs="Times New Roman"/>
          <w:bCs/>
          <w:color w:val="000000" w:themeColor="text1"/>
          <w:sz w:val="24"/>
          <w:szCs w:val="24"/>
        </w:rPr>
        <w:t xml:space="preserve">. The effects of informal processing have been studied extensively (Cui et al. 2019; </w:t>
      </w:r>
      <w:r w:rsidRPr="00597FFB">
        <w:rPr>
          <w:rFonts w:ascii="Times New Roman" w:eastAsiaTheme="minorHAnsi" w:hAnsi="Times New Roman" w:cs="Times New Roman"/>
          <w:color w:val="000000" w:themeColor="text1"/>
          <w:sz w:val="24"/>
        </w:rPr>
        <w:t xml:space="preserve">Chaurasia et al., 2020; </w:t>
      </w:r>
      <w:r w:rsidRPr="00597FFB">
        <w:rPr>
          <w:rFonts w:ascii="Times New Roman" w:eastAsiaTheme="minorHAnsi" w:hAnsi="Times New Roman" w:cs="Times New Roman"/>
          <w:bCs/>
          <w:color w:val="000000" w:themeColor="text1"/>
          <w:sz w:val="24"/>
        </w:rPr>
        <w:t>Malik et al., 2020)</w:t>
      </w:r>
      <w:r w:rsidRPr="00597FFB">
        <w:rPr>
          <w:rFonts w:ascii="Times New Roman" w:eastAsia="Times New Roman" w:hAnsi="Times New Roman" w:cs="Times New Roman"/>
          <w:bCs/>
          <w:color w:val="000000" w:themeColor="text1"/>
          <w:sz w:val="24"/>
          <w:szCs w:val="24"/>
        </w:rPr>
        <w:t xml:space="preserve"> and reported to be hazardous to the environment, humans, and animals because they release toxic elements. </w:t>
      </w:r>
      <w:r w:rsidR="00D70A26" w:rsidRPr="00597FFB">
        <w:rPr>
          <w:rFonts w:ascii="Times New Roman" w:eastAsia="Times New Roman" w:hAnsi="Times New Roman" w:cs="Times New Roman"/>
          <w:bCs/>
          <w:color w:val="000000" w:themeColor="text1"/>
          <w:sz w:val="24"/>
          <w:szCs w:val="24"/>
        </w:rPr>
        <w:t>Being e</w:t>
      </w:r>
      <w:r w:rsidRPr="00597FFB">
        <w:rPr>
          <w:rFonts w:ascii="Times New Roman" w:eastAsia="Times New Roman" w:hAnsi="Times New Roman" w:cs="Times New Roman"/>
          <w:bCs/>
          <w:color w:val="000000" w:themeColor="text1"/>
          <w:sz w:val="24"/>
          <w:szCs w:val="24"/>
        </w:rPr>
        <w:t>xpos</w:t>
      </w:r>
      <w:r w:rsidR="00D70A26" w:rsidRPr="00597FFB">
        <w:rPr>
          <w:rFonts w:ascii="Times New Roman" w:eastAsia="Times New Roman" w:hAnsi="Times New Roman" w:cs="Times New Roman"/>
          <w:bCs/>
          <w:color w:val="000000" w:themeColor="text1"/>
          <w:sz w:val="24"/>
          <w:szCs w:val="24"/>
        </w:rPr>
        <w:t>ed</w:t>
      </w:r>
      <w:r w:rsidRPr="00597FFB">
        <w:rPr>
          <w:rFonts w:ascii="Times New Roman" w:eastAsia="Times New Roman" w:hAnsi="Times New Roman" w:cs="Times New Roman"/>
          <w:bCs/>
          <w:color w:val="000000" w:themeColor="text1"/>
          <w:sz w:val="24"/>
          <w:szCs w:val="24"/>
        </w:rPr>
        <w:t xml:space="preserve"> to toxic chemicals </w:t>
      </w:r>
      <w:r w:rsidR="00D70A26" w:rsidRPr="00597FFB">
        <w:rPr>
          <w:rFonts w:ascii="Times New Roman" w:eastAsia="Times New Roman" w:hAnsi="Times New Roman" w:cs="Times New Roman"/>
          <w:bCs/>
          <w:color w:val="000000" w:themeColor="text1"/>
          <w:sz w:val="24"/>
          <w:szCs w:val="24"/>
        </w:rPr>
        <w:t>including</w:t>
      </w:r>
      <w:r w:rsidRPr="00597FFB">
        <w:rPr>
          <w:rFonts w:ascii="Times New Roman" w:eastAsia="Times New Roman" w:hAnsi="Times New Roman" w:cs="Times New Roman"/>
          <w:bCs/>
          <w:color w:val="000000" w:themeColor="text1"/>
          <w:sz w:val="24"/>
          <w:szCs w:val="24"/>
        </w:rPr>
        <w:t xml:space="preserve"> metals, such as </w:t>
      </w:r>
      <w:r w:rsidR="00D70A26" w:rsidRPr="00597FFB">
        <w:rPr>
          <w:rFonts w:ascii="Times New Roman" w:eastAsia="Times New Roman" w:hAnsi="Times New Roman" w:cs="Times New Roman"/>
          <w:bCs/>
          <w:color w:val="000000" w:themeColor="text1"/>
          <w:sz w:val="24"/>
          <w:szCs w:val="24"/>
        </w:rPr>
        <w:t xml:space="preserve">lead </w:t>
      </w:r>
      <w:r w:rsidRPr="00597FFB">
        <w:rPr>
          <w:rFonts w:ascii="Times New Roman" w:eastAsia="Times New Roman" w:hAnsi="Times New Roman" w:cs="Times New Roman"/>
          <w:bCs/>
          <w:color w:val="000000" w:themeColor="text1"/>
          <w:sz w:val="24"/>
          <w:szCs w:val="24"/>
        </w:rPr>
        <w:t>and</w:t>
      </w:r>
      <w:r w:rsidR="00D70A26" w:rsidRPr="00597FFB">
        <w:rPr>
          <w:rFonts w:ascii="Times New Roman" w:eastAsia="Times New Roman" w:hAnsi="Times New Roman" w:cs="Times New Roman"/>
          <w:bCs/>
          <w:color w:val="000000" w:themeColor="text1"/>
          <w:sz w:val="24"/>
          <w:szCs w:val="24"/>
        </w:rPr>
        <w:t xml:space="preserve"> mercury</w:t>
      </w:r>
      <w:r w:rsidRPr="00597FFB">
        <w:rPr>
          <w:rFonts w:ascii="Times New Roman" w:eastAsia="Times New Roman" w:hAnsi="Times New Roman" w:cs="Times New Roman"/>
          <w:bCs/>
          <w:color w:val="000000" w:themeColor="text1"/>
          <w:sz w:val="24"/>
          <w:szCs w:val="24"/>
        </w:rPr>
        <w:t xml:space="preserve">, and the burning of e-waste materials </w:t>
      </w:r>
      <w:r w:rsidR="00D70A26" w:rsidRPr="00597FFB">
        <w:rPr>
          <w:rFonts w:ascii="Times New Roman" w:eastAsia="Times New Roman" w:hAnsi="Times New Roman" w:cs="Times New Roman"/>
          <w:bCs/>
          <w:color w:val="000000" w:themeColor="text1"/>
          <w:sz w:val="24"/>
          <w:szCs w:val="24"/>
        </w:rPr>
        <w:t>have been linked to increased</w:t>
      </w:r>
      <w:r w:rsidRPr="00597FFB">
        <w:rPr>
          <w:rFonts w:ascii="Times New Roman" w:eastAsia="Times New Roman" w:hAnsi="Times New Roman" w:cs="Times New Roman"/>
          <w:bCs/>
          <w:color w:val="000000" w:themeColor="text1"/>
          <w:sz w:val="24"/>
          <w:szCs w:val="24"/>
        </w:rPr>
        <w:t xml:space="preserve"> risk of </w:t>
      </w:r>
      <w:r w:rsidR="00D70A26" w:rsidRPr="00597FFB">
        <w:rPr>
          <w:rFonts w:ascii="Times New Roman" w:eastAsia="Times New Roman" w:hAnsi="Times New Roman" w:cs="Times New Roman"/>
          <w:bCs/>
          <w:color w:val="000000" w:themeColor="text1"/>
          <w:sz w:val="24"/>
          <w:szCs w:val="24"/>
        </w:rPr>
        <w:t xml:space="preserve">skin </w:t>
      </w:r>
      <w:r w:rsidRPr="00597FFB">
        <w:rPr>
          <w:rFonts w:ascii="Times New Roman" w:eastAsia="Times New Roman" w:hAnsi="Times New Roman" w:cs="Times New Roman"/>
          <w:bCs/>
          <w:color w:val="000000" w:themeColor="text1"/>
          <w:sz w:val="24"/>
          <w:szCs w:val="24"/>
        </w:rPr>
        <w:t xml:space="preserve">and </w:t>
      </w:r>
      <w:r w:rsidR="00D70A26" w:rsidRPr="00597FFB">
        <w:rPr>
          <w:rFonts w:ascii="Times New Roman" w:eastAsia="Times New Roman" w:hAnsi="Times New Roman" w:cs="Times New Roman"/>
          <w:bCs/>
          <w:color w:val="000000" w:themeColor="text1"/>
          <w:sz w:val="24"/>
          <w:szCs w:val="24"/>
        </w:rPr>
        <w:t xml:space="preserve">respiratory </w:t>
      </w:r>
      <w:r w:rsidRPr="00597FFB">
        <w:rPr>
          <w:rFonts w:ascii="Times New Roman" w:eastAsia="Times New Roman" w:hAnsi="Times New Roman" w:cs="Times New Roman"/>
          <w:bCs/>
          <w:color w:val="000000" w:themeColor="text1"/>
          <w:sz w:val="24"/>
          <w:szCs w:val="24"/>
        </w:rPr>
        <w:t xml:space="preserve">diseases, </w:t>
      </w:r>
      <w:r w:rsidR="00D70A26" w:rsidRPr="00597FFB">
        <w:rPr>
          <w:rFonts w:ascii="Times New Roman" w:eastAsia="Times New Roman" w:hAnsi="Times New Roman" w:cs="Times New Roman"/>
          <w:bCs/>
          <w:color w:val="000000" w:themeColor="text1"/>
          <w:sz w:val="24"/>
          <w:szCs w:val="24"/>
        </w:rPr>
        <w:t xml:space="preserve">cancers and eye infections </w:t>
      </w:r>
      <w:r w:rsidRPr="00597FFB">
        <w:rPr>
          <w:rFonts w:ascii="Times New Roman" w:eastAsia="Times New Roman" w:hAnsi="Times New Roman" w:cs="Times New Roman"/>
          <w:bCs/>
          <w:color w:val="000000" w:themeColor="text1"/>
          <w:sz w:val="24"/>
          <w:szCs w:val="24"/>
        </w:rPr>
        <w:t xml:space="preserve">for those who handle such waste and those </w:t>
      </w:r>
      <w:r w:rsidR="00D70A26" w:rsidRPr="00597FFB">
        <w:rPr>
          <w:rFonts w:ascii="Times New Roman" w:eastAsia="Times New Roman" w:hAnsi="Times New Roman" w:cs="Times New Roman"/>
          <w:bCs/>
          <w:color w:val="000000" w:themeColor="text1"/>
          <w:sz w:val="24"/>
          <w:szCs w:val="24"/>
        </w:rPr>
        <w:t>living</w:t>
      </w:r>
      <w:r w:rsidRPr="00597FFB">
        <w:rPr>
          <w:rFonts w:ascii="Times New Roman" w:eastAsia="Times New Roman" w:hAnsi="Times New Roman" w:cs="Times New Roman"/>
          <w:bCs/>
          <w:color w:val="000000" w:themeColor="text1"/>
          <w:sz w:val="24"/>
          <w:szCs w:val="24"/>
        </w:rPr>
        <w:t xml:space="preserve"> near the waste </w:t>
      </w:r>
      <w:r w:rsidRPr="00597FFB">
        <w:rPr>
          <w:rFonts w:ascii="Times New Roman" w:eastAsiaTheme="minorHAnsi" w:hAnsi="Times New Roman" w:cs="Times New Roman"/>
          <w:color w:val="000000" w:themeColor="text1"/>
          <w:sz w:val="24"/>
        </w:rPr>
        <w:t>(Malik et al., 2020)</w:t>
      </w:r>
      <w:r w:rsidRPr="00597FFB">
        <w:rPr>
          <w:rFonts w:ascii="Times New Roman" w:eastAsia="Times New Roman" w:hAnsi="Times New Roman" w:cs="Times New Roman"/>
          <w:bCs/>
          <w:color w:val="000000" w:themeColor="text1"/>
          <w:sz w:val="24"/>
          <w:szCs w:val="24"/>
        </w:rPr>
        <w:t>.</w:t>
      </w:r>
    </w:p>
    <w:p w14:paraId="7DFA3C1C" w14:textId="556848B2" w:rsidR="0003140E" w:rsidRPr="00597FFB" w:rsidRDefault="00D70A26"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Unlike</w:t>
      </w:r>
      <w:r w:rsidR="0003140E" w:rsidRPr="00597FFB">
        <w:rPr>
          <w:rFonts w:ascii="Times New Roman" w:eastAsia="Times New Roman" w:hAnsi="Times New Roman" w:cs="Times New Roman"/>
          <w:bCs/>
          <w:color w:val="000000" w:themeColor="text1"/>
          <w:sz w:val="24"/>
          <w:szCs w:val="24"/>
        </w:rPr>
        <w:t xml:space="preserve"> informal recycling, formal recycling in </w:t>
      </w:r>
      <w:r w:rsidRPr="00597FFB">
        <w:rPr>
          <w:rFonts w:ascii="Times New Roman" w:eastAsia="Times New Roman" w:hAnsi="Times New Roman" w:cs="Times New Roman"/>
          <w:bCs/>
          <w:color w:val="000000" w:themeColor="text1"/>
          <w:sz w:val="24"/>
          <w:szCs w:val="24"/>
        </w:rPr>
        <w:t xml:space="preserve">waste-generating </w:t>
      </w:r>
      <w:r w:rsidR="0003140E" w:rsidRPr="00597FFB">
        <w:rPr>
          <w:rFonts w:ascii="Times New Roman" w:eastAsia="Times New Roman" w:hAnsi="Times New Roman" w:cs="Times New Roman"/>
          <w:bCs/>
          <w:color w:val="000000" w:themeColor="text1"/>
          <w:sz w:val="24"/>
          <w:szCs w:val="24"/>
        </w:rPr>
        <w:t xml:space="preserve">countries </w:t>
      </w:r>
      <w:r w:rsidRPr="00597FFB">
        <w:rPr>
          <w:rFonts w:ascii="Times New Roman" w:eastAsia="Times New Roman" w:hAnsi="Times New Roman" w:cs="Times New Roman"/>
          <w:bCs/>
          <w:color w:val="000000" w:themeColor="text1"/>
          <w:sz w:val="24"/>
          <w:szCs w:val="24"/>
        </w:rPr>
        <w:t>involves</w:t>
      </w:r>
      <w:r w:rsidR="0003140E" w:rsidRPr="00597FFB">
        <w:rPr>
          <w:rFonts w:ascii="Times New Roman" w:eastAsia="Times New Roman" w:hAnsi="Times New Roman" w:cs="Times New Roman"/>
          <w:bCs/>
          <w:color w:val="000000" w:themeColor="text1"/>
          <w:sz w:val="24"/>
          <w:szCs w:val="24"/>
        </w:rPr>
        <w:t xml:space="preserve"> facilities with </w:t>
      </w:r>
      <w:r w:rsidRPr="00597FFB">
        <w:rPr>
          <w:rFonts w:ascii="Times New Roman" w:eastAsia="Times New Roman" w:hAnsi="Times New Roman" w:cs="Times New Roman"/>
          <w:bCs/>
          <w:color w:val="000000" w:themeColor="text1"/>
          <w:sz w:val="24"/>
          <w:szCs w:val="24"/>
        </w:rPr>
        <w:t>suitable</w:t>
      </w:r>
      <w:r w:rsidR="0003140E" w:rsidRPr="00597FFB">
        <w:rPr>
          <w:rFonts w:ascii="Times New Roman" w:eastAsia="Times New Roman" w:hAnsi="Times New Roman" w:cs="Times New Roman"/>
          <w:bCs/>
          <w:color w:val="000000" w:themeColor="text1"/>
          <w:sz w:val="24"/>
          <w:szCs w:val="24"/>
        </w:rPr>
        <w:t xml:space="preserve"> equipment </w:t>
      </w:r>
      <w:r w:rsidRPr="00597FFB">
        <w:rPr>
          <w:rFonts w:ascii="Times New Roman" w:eastAsia="Times New Roman" w:hAnsi="Times New Roman" w:cs="Times New Roman"/>
          <w:bCs/>
          <w:color w:val="000000" w:themeColor="text1"/>
          <w:sz w:val="24"/>
          <w:szCs w:val="24"/>
        </w:rPr>
        <w:t>for facilitating</w:t>
      </w:r>
      <w:r w:rsidR="0003140E" w:rsidRPr="00597FFB">
        <w:rPr>
          <w:rFonts w:ascii="Times New Roman" w:eastAsia="Times New Roman" w:hAnsi="Times New Roman" w:cs="Times New Roman"/>
          <w:bCs/>
          <w:color w:val="000000" w:themeColor="text1"/>
          <w:sz w:val="24"/>
          <w:szCs w:val="24"/>
        </w:rPr>
        <w:t xml:space="preserve"> safe </w:t>
      </w:r>
      <w:r w:rsidRPr="00597FFB">
        <w:rPr>
          <w:rFonts w:ascii="Times New Roman" w:eastAsia="Times New Roman" w:hAnsi="Times New Roman" w:cs="Times New Roman"/>
          <w:bCs/>
          <w:color w:val="000000" w:themeColor="text1"/>
          <w:sz w:val="24"/>
          <w:szCs w:val="24"/>
        </w:rPr>
        <w:t xml:space="preserve">processes of </w:t>
      </w:r>
      <w:r w:rsidR="0003140E" w:rsidRPr="00597FFB">
        <w:rPr>
          <w:rFonts w:ascii="Times New Roman" w:eastAsia="Times New Roman" w:hAnsi="Times New Roman" w:cs="Times New Roman"/>
          <w:bCs/>
          <w:color w:val="000000" w:themeColor="text1"/>
          <w:sz w:val="24"/>
          <w:szCs w:val="24"/>
        </w:rPr>
        <w:t xml:space="preserve">extraction. </w:t>
      </w:r>
      <w:r w:rsidRPr="00597FFB">
        <w:rPr>
          <w:rFonts w:ascii="Times New Roman" w:eastAsia="Times New Roman" w:hAnsi="Times New Roman" w:cs="Times New Roman"/>
          <w:bCs/>
          <w:color w:val="000000" w:themeColor="text1"/>
          <w:sz w:val="24"/>
          <w:szCs w:val="24"/>
        </w:rPr>
        <w:t>Mostly, t</w:t>
      </w:r>
      <w:r w:rsidR="0003140E" w:rsidRPr="00597FFB">
        <w:rPr>
          <w:rFonts w:ascii="Times New Roman" w:eastAsia="Times New Roman" w:hAnsi="Times New Roman" w:cs="Times New Roman"/>
          <w:bCs/>
          <w:color w:val="000000" w:themeColor="text1"/>
          <w:sz w:val="24"/>
          <w:szCs w:val="24"/>
        </w:rPr>
        <w:t xml:space="preserve">hese facilities ensure safe </w:t>
      </w:r>
      <w:r w:rsidRPr="00597FFB">
        <w:rPr>
          <w:rFonts w:ascii="Times New Roman" w:eastAsia="Times New Roman" w:hAnsi="Times New Roman" w:cs="Times New Roman"/>
          <w:bCs/>
          <w:color w:val="000000" w:themeColor="text1"/>
          <w:sz w:val="24"/>
          <w:szCs w:val="24"/>
        </w:rPr>
        <w:t xml:space="preserve">conditions for </w:t>
      </w:r>
      <w:r w:rsidR="0003140E" w:rsidRPr="00597FFB">
        <w:rPr>
          <w:rFonts w:ascii="Times New Roman" w:eastAsia="Times New Roman" w:hAnsi="Times New Roman" w:cs="Times New Roman"/>
          <w:bCs/>
          <w:color w:val="000000" w:themeColor="text1"/>
          <w:sz w:val="24"/>
          <w:szCs w:val="24"/>
        </w:rPr>
        <w:t xml:space="preserve">working, but </w:t>
      </w:r>
      <w:r w:rsidRPr="00597FFB">
        <w:rPr>
          <w:rFonts w:ascii="Times New Roman" w:eastAsia="Times New Roman" w:hAnsi="Times New Roman" w:cs="Times New Roman"/>
          <w:bCs/>
          <w:color w:val="000000" w:themeColor="text1"/>
          <w:sz w:val="24"/>
          <w:szCs w:val="24"/>
        </w:rPr>
        <w:t>cost a lot</w:t>
      </w:r>
      <w:r w:rsidR="0003140E" w:rsidRPr="00597FFB">
        <w:rPr>
          <w:rFonts w:ascii="Times New Roman" w:eastAsia="Times New Roman" w:hAnsi="Times New Roman" w:cs="Times New Roman"/>
          <w:bCs/>
          <w:color w:val="000000" w:themeColor="text1"/>
          <w:sz w:val="24"/>
          <w:szCs w:val="24"/>
        </w:rPr>
        <w:t xml:space="preserve"> to </w:t>
      </w:r>
      <w:r w:rsidRPr="00597FFB">
        <w:rPr>
          <w:rFonts w:ascii="Times New Roman" w:eastAsia="Times New Roman" w:hAnsi="Times New Roman" w:cs="Times New Roman"/>
          <w:bCs/>
          <w:color w:val="000000" w:themeColor="text1"/>
          <w:sz w:val="24"/>
          <w:szCs w:val="24"/>
        </w:rPr>
        <w:t>set up</w:t>
      </w:r>
      <w:r w:rsidR="0003140E" w:rsidRPr="00597FFB">
        <w:rPr>
          <w:rFonts w:ascii="Times New Roman" w:eastAsia="Times New Roman" w:hAnsi="Times New Roman" w:cs="Times New Roman"/>
          <w:bCs/>
          <w:color w:val="000000" w:themeColor="text1"/>
          <w:sz w:val="24"/>
          <w:szCs w:val="24"/>
        </w:rPr>
        <w:t xml:space="preserve"> and maintain and, thus, not common in many developing countries </w:t>
      </w:r>
      <w:r w:rsidR="0003140E" w:rsidRPr="00597FFB">
        <w:rPr>
          <w:rFonts w:ascii="Times New Roman" w:eastAsiaTheme="minorHAnsi" w:hAnsi="Times New Roman" w:cs="Times New Roman"/>
          <w:color w:val="000000" w:themeColor="text1"/>
          <w:sz w:val="24"/>
        </w:rPr>
        <w:t>(Cui et al., 2019)</w:t>
      </w:r>
      <w:r w:rsidR="0003140E" w:rsidRPr="00597FFB">
        <w:rPr>
          <w:rFonts w:ascii="Times New Roman" w:eastAsia="Times New Roman" w:hAnsi="Times New Roman" w:cs="Times New Roman"/>
          <w:bCs/>
          <w:color w:val="000000" w:themeColor="text1"/>
          <w:sz w:val="24"/>
          <w:szCs w:val="24"/>
        </w:rPr>
        <w:t xml:space="preserve">. Regardless of the relatively safer and regulated processes, formal recycling is limited in terms of eliminating negative environmental and health impacts. </w:t>
      </w:r>
      <w:r w:rsidRPr="00597FFB">
        <w:rPr>
          <w:rFonts w:ascii="Times New Roman" w:eastAsia="Times New Roman" w:hAnsi="Times New Roman" w:cs="Times New Roman"/>
          <w:bCs/>
          <w:color w:val="000000" w:themeColor="text1"/>
          <w:sz w:val="24"/>
          <w:szCs w:val="24"/>
        </w:rPr>
        <w:t>Those working</w:t>
      </w:r>
      <w:r w:rsidR="0003140E" w:rsidRPr="00597FFB">
        <w:rPr>
          <w:rFonts w:ascii="Times New Roman" w:eastAsia="Times New Roman" w:hAnsi="Times New Roman" w:cs="Times New Roman"/>
          <w:bCs/>
          <w:color w:val="000000" w:themeColor="text1"/>
          <w:sz w:val="24"/>
          <w:szCs w:val="24"/>
        </w:rPr>
        <w:t xml:space="preserve"> in </w:t>
      </w:r>
      <w:r w:rsidRPr="00597FFB">
        <w:rPr>
          <w:rFonts w:ascii="Times New Roman" w:eastAsia="Times New Roman" w:hAnsi="Times New Roman" w:cs="Times New Roman"/>
          <w:bCs/>
          <w:color w:val="000000" w:themeColor="text1"/>
          <w:sz w:val="24"/>
          <w:szCs w:val="24"/>
        </w:rPr>
        <w:t>such</w:t>
      </w:r>
      <w:r w:rsidR="0003140E" w:rsidRPr="00597FFB">
        <w:rPr>
          <w:rFonts w:ascii="Times New Roman" w:eastAsia="Times New Roman" w:hAnsi="Times New Roman" w:cs="Times New Roman"/>
          <w:bCs/>
          <w:color w:val="000000" w:themeColor="text1"/>
          <w:sz w:val="24"/>
          <w:szCs w:val="24"/>
        </w:rPr>
        <w:t xml:space="preserve"> facilities </w:t>
      </w:r>
      <w:r w:rsidRPr="00597FFB">
        <w:rPr>
          <w:rFonts w:ascii="Times New Roman" w:eastAsia="Times New Roman" w:hAnsi="Times New Roman" w:cs="Times New Roman"/>
          <w:bCs/>
          <w:color w:val="000000" w:themeColor="text1"/>
          <w:sz w:val="24"/>
          <w:szCs w:val="24"/>
        </w:rPr>
        <w:t>have been</w:t>
      </w:r>
      <w:r w:rsidR="0003140E" w:rsidRPr="00597FFB">
        <w:rPr>
          <w:rFonts w:ascii="Times New Roman" w:eastAsia="Times New Roman" w:hAnsi="Times New Roman" w:cs="Times New Roman"/>
          <w:bCs/>
          <w:color w:val="000000" w:themeColor="text1"/>
          <w:sz w:val="24"/>
          <w:szCs w:val="24"/>
        </w:rPr>
        <w:t xml:space="preserve"> found to be overexposed to toxic </w:t>
      </w:r>
      <w:r w:rsidRPr="00597FFB">
        <w:rPr>
          <w:rFonts w:ascii="Times New Roman" w:eastAsia="Times New Roman" w:hAnsi="Times New Roman" w:cs="Times New Roman"/>
          <w:bCs/>
          <w:color w:val="000000" w:themeColor="text1"/>
          <w:sz w:val="24"/>
          <w:szCs w:val="24"/>
        </w:rPr>
        <w:t xml:space="preserve">components such as furans and dioxins </w:t>
      </w:r>
      <w:r w:rsidR="0003140E" w:rsidRPr="00597FFB">
        <w:rPr>
          <w:rFonts w:ascii="Times New Roman" w:eastAsiaTheme="minorHAnsi" w:hAnsi="Times New Roman" w:cs="Times New Roman"/>
          <w:color w:val="000000" w:themeColor="text1"/>
          <w:sz w:val="24"/>
        </w:rPr>
        <w:t>(Chaurasia et al., 2020)</w:t>
      </w:r>
      <w:r w:rsidR="0003140E" w:rsidRPr="00597FFB">
        <w:rPr>
          <w:rFonts w:ascii="Times New Roman" w:eastAsia="Times New Roman" w:hAnsi="Times New Roman" w:cs="Times New Roman"/>
          <w:bCs/>
          <w:color w:val="000000" w:themeColor="text1"/>
          <w:sz w:val="24"/>
          <w:szCs w:val="24"/>
        </w:rPr>
        <w:t>.</w:t>
      </w:r>
    </w:p>
    <w:p w14:paraId="03E0FC21" w14:textId="70F9D512" w:rsidR="0003140E" w:rsidRPr="00597FFB" w:rsidRDefault="00D70A26"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Ideally, f</w:t>
      </w:r>
      <w:r w:rsidR="0003140E" w:rsidRPr="00597FFB">
        <w:rPr>
          <w:rFonts w:ascii="Times New Roman" w:eastAsia="Times New Roman" w:hAnsi="Times New Roman" w:cs="Times New Roman"/>
          <w:bCs/>
          <w:color w:val="000000" w:themeColor="text1"/>
          <w:sz w:val="24"/>
          <w:szCs w:val="24"/>
        </w:rPr>
        <w:t xml:space="preserve">ormal recycling practices </w:t>
      </w:r>
      <w:r w:rsidRPr="00597FFB">
        <w:rPr>
          <w:rFonts w:ascii="Times New Roman" w:eastAsia="Times New Roman" w:hAnsi="Times New Roman" w:cs="Times New Roman"/>
          <w:bCs/>
          <w:color w:val="000000" w:themeColor="text1"/>
          <w:sz w:val="24"/>
          <w:szCs w:val="24"/>
        </w:rPr>
        <w:t>take place</w:t>
      </w:r>
      <w:r w:rsidR="0003140E" w:rsidRPr="00597FFB">
        <w:rPr>
          <w:rFonts w:ascii="Times New Roman" w:eastAsia="Times New Roman" w:hAnsi="Times New Roman" w:cs="Times New Roman"/>
          <w:bCs/>
          <w:color w:val="000000" w:themeColor="text1"/>
          <w:sz w:val="24"/>
          <w:szCs w:val="24"/>
        </w:rPr>
        <w:t xml:space="preserve"> in permitted, licensed, and regulated </w:t>
      </w:r>
      <w:r w:rsidRPr="00597FFB">
        <w:rPr>
          <w:rFonts w:ascii="Times New Roman" w:eastAsia="Times New Roman" w:hAnsi="Times New Roman" w:cs="Times New Roman"/>
          <w:bCs/>
          <w:color w:val="000000" w:themeColor="text1"/>
          <w:sz w:val="24"/>
          <w:szCs w:val="24"/>
        </w:rPr>
        <w:t>sites</w:t>
      </w:r>
      <w:r w:rsidR="0003140E" w:rsidRPr="00597FFB">
        <w:rPr>
          <w:rFonts w:ascii="Times New Roman" w:eastAsia="Times New Roman" w:hAnsi="Times New Roman" w:cs="Times New Roman"/>
          <w:bCs/>
          <w:color w:val="000000" w:themeColor="text1"/>
          <w:sz w:val="24"/>
          <w:szCs w:val="24"/>
        </w:rPr>
        <w:t xml:space="preserve"> that </w:t>
      </w:r>
      <w:r w:rsidR="00DB3D14" w:rsidRPr="00597FFB">
        <w:rPr>
          <w:rFonts w:ascii="Times New Roman" w:eastAsia="Times New Roman" w:hAnsi="Times New Roman" w:cs="Times New Roman"/>
          <w:bCs/>
          <w:color w:val="000000" w:themeColor="text1"/>
          <w:sz w:val="24"/>
          <w:szCs w:val="24"/>
        </w:rPr>
        <w:t>feature</w:t>
      </w:r>
      <w:r w:rsidR="0003140E" w:rsidRPr="00597FFB">
        <w:rPr>
          <w:rFonts w:ascii="Times New Roman" w:eastAsia="Times New Roman" w:hAnsi="Times New Roman" w:cs="Times New Roman"/>
          <w:bCs/>
          <w:color w:val="000000" w:themeColor="text1"/>
          <w:sz w:val="24"/>
          <w:szCs w:val="24"/>
        </w:rPr>
        <w:t xml:space="preserve"> indoor processes with some level of pollution controls, </w:t>
      </w:r>
      <w:r w:rsidR="00DB3D14" w:rsidRPr="00597FFB">
        <w:rPr>
          <w:rFonts w:ascii="Times New Roman" w:eastAsia="Times New Roman" w:hAnsi="Times New Roman" w:cs="Times New Roman"/>
          <w:bCs/>
          <w:color w:val="000000" w:themeColor="text1"/>
          <w:sz w:val="24"/>
          <w:szCs w:val="24"/>
        </w:rPr>
        <w:t>worker protection</w:t>
      </w:r>
      <w:r w:rsidR="0003140E" w:rsidRPr="00597FFB">
        <w:rPr>
          <w:rFonts w:ascii="Times New Roman" w:eastAsia="Times New Roman" w:hAnsi="Times New Roman" w:cs="Times New Roman"/>
          <w:bCs/>
          <w:color w:val="000000" w:themeColor="text1"/>
          <w:sz w:val="24"/>
          <w:szCs w:val="24"/>
        </w:rPr>
        <w:t xml:space="preserve">, and </w:t>
      </w:r>
      <w:r w:rsidR="00DB3D14" w:rsidRPr="00597FFB">
        <w:rPr>
          <w:rFonts w:ascii="Times New Roman" w:eastAsia="Times New Roman" w:hAnsi="Times New Roman" w:cs="Times New Roman"/>
          <w:bCs/>
          <w:color w:val="000000" w:themeColor="text1"/>
          <w:sz w:val="24"/>
          <w:szCs w:val="24"/>
        </w:rPr>
        <w:t xml:space="preserve">industrial hygiene </w:t>
      </w:r>
      <w:r w:rsidR="0003140E" w:rsidRPr="00597FFB">
        <w:rPr>
          <w:rFonts w:ascii="Times New Roman" w:eastAsiaTheme="minorHAnsi" w:hAnsi="Times New Roman" w:cs="Times New Roman"/>
          <w:color w:val="000000" w:themeColor="text1"/>
          <w:sz w:val="24"/>
        </w:rPr>
        <w:t>(El Bilali &amp; Ben Hassen, 2020)</w:t>
      </w:r>
      <w:r w:rsidR="0003140E" w:rsidRPr="00597FFB">
        <w:rPr>
          <w:rFonts w:ascii="Times New Roman" w:eastAsia="Times New Roman" w:hAnsi="Times New Roman" w:cs="Times New Roman"/>
          <w:bCs/>
          <w:color w:val="000000" w:themeColor="text1"/>
          <w:sz w:val="24"/>
          <w:szCs w:val="24"/>
        </w:rPr>
        <w:t xml:space="preserve">. </w:t>
      </w:r>
      <w:r w:rsidR="00DB3D14" w:rsidRPr="00597FFB">
        <w:rPr>
          <w:rFonts w:ascii="Times New Roman" w:eastAsia="Times New Roman" w:hAnsi="Times New Roman" w:cs="Times New Roman"/>
          <w:bCs/>
          <w:color w:val="000000" w:themeColor="text1"/>
          <w:sz w:val="24"/>
          <w:szCs w:val="24"/>
        </w:rPr>
        <w:t>In contrast</w:t>
      </w:r>
      <w:r w:rsidR="0003140E" w:rsidRPr="00597FFB">
        <w:rPr>
          <w:rFonts w:ascii="Times New Roman" w:eastAsia="Times New Roman" w:hAnsi="Times New Roman" w:cs="Times New Roman"/>
          <w:bCs/>
          <w:color w:val="000000" w:themeColor="text1"/>
          <w:sz w:val="24"/>
          <w:szCs w:val="24"/>
        </w:rPr>
        <w:t xml:space="preserve">, informal recycling </w:t>
      </w:r>
      <w:r w:rsidR="00DB3D14" w:rsidRPr="00597FFB">
        <w:rPr>
          <w:rFonts w:ascii="Times New Roman" w:eastAsia="Times New Roman" w:hAnsi="Times New Roman" w:cs="Times New Roman"/>
          <w:bCs/>
          <w:color w:val="000000" w:themeColor="text1"/>
          <w:sz w:val="24"/>
          <w:szCs w:val="24"/>
        </w:rPr>
        <w:t>tends to be</w:t>
      </w:r>
      <w:r w:rsidR="0003140E" w:rsidRPr="00597FFB">
        <w:rPr>
          <w:rFonts w:ascii="Times New Roman" w:eastAsia="Times New Roman" w:hAnsi="Times New Roman" w:cs="Times New Roman"/>
          <w:bCs/>
          <w:color w:val="000000" w:themeColor="text1"/>
          <w:sz w:val="24"/>
          <w:szCs w:val="24"/>
        </w:rPr>
        <w:t xml:space="preserve"> decentralized and involves few or no </w:t>
      </w:r>
      <w:r w:rsidR="00DB3D14" w:rsidRPr="00597FFB">
        <w:rPr>
          <w:rFonts w:ascii="Times New Roman" w:eastAsia="Times New Roman" w:hAnsi="Times New Roman" w:cs="Times New Roman"/>
          <w:bCs/>
          <w:color w:val="000000" w:themeColor="text1"/>
          <w:sz w:val="24"/>
          <w:szCs w:val="24"/>
        </w:rPr>
        <w:t xml:space="preserve">occupational health measures </w:t>
      </w:r>
      <w:r w:rsidR="0003140E" w:rsidRPr="00597FFB">
        <w:rPr>
          <w:rFonts w:ascii="Times New Roman" w:eastAsia="Times New Roman" w:hAnsi="Times New Roman" w:cs="Times New Roman"/>
          <w:bCs/>
          <w:color w:val="000000" w:themeColor="text1"/>
          <w:sz w:val="24"/>
          <w:szCs w:val="24"/>
        </w:rPr>
        <w:t>and</w:t>
      </w:r>
      <w:r w:rsidR="00DB3D14" w:rsidRPr="00597FFB">
        <w:rPr>
          <w:rFonts w:ascii="Times New Roman" w:eastAsia="Times New Roman" w:hAnsi="Times New Roman" w:cs="Times New Roman"/>
          <w:bCs/>
          <w:color w:val="000000" w:themeColor="text1"/>
          <w:sz w:val="24"/>
          <w:szCs w:val="24"/>
        </w:rPr>
        <w:t xml:space="preserve"> no automated procedures</w:t>
      </w:r>
      <w:r w:rsidR="0003140E" w:rsidRPr="00597FFB">
        <w:rPr>
          <w:rFonts w:ascii="Times New Roman" w:eastAsia="Times New Roman" w:hAnsi="Times New Roman" w:cs="Times New Roman"/>
          <w:bCs/>
          <w:color w:val="000000" w:themeColor="text1"/>
          <w:sz w:val="24"/>
          <w:szCs w:val="24"/>
        </w:rPr>
        <w:t>. It is conducted open</w:t>
      </w:r>
      <w:r w:rsidR="00DB3D14" w:rsidRPr="00597FFB">
        <w:rPr>
          <w:rFonts w:ascii="Times New Roman" w:eastAsia="Times New Roman" w:hAnsi="Times New Roman" w:cs="Times New Roman"/>
          <w:bCs/>
          <w:color w:val="000000" w:themeColor="text1"/>
          <w:sz w:val="24"/>
          <w:szCs w:val="24"/>
        </w:rPr>
        <w:t>ly in</w:t>
      </w:r>
      <w:r w:rsidR="0003140E" w:rsidRPr="00597FFB">
        <w:rPr>
          <w:rFonts w:ascii="Times New Roman" w:eastAsia="Times New Roman" w:hAnsi="Times New Roman" w:cs="Times New Roman"/>
          <w:bCs/>
          <w:color w:val="000000" w:themeColor="text1"/>
          <w:sz w:val="24"/>
          <w:szCs w:val="24"/>
        </w:rPr>
        <w:t xml:space="preserve"> backyards without </w:t>
      </w:r>
      <w:r w:rsidR="00DB3D14" w:rsidRPr="00597FFB">
        <w:rPr>
          <w:rFonts w:ascii="Times New Roman" w:eastAsia="Times New Roman" w:hAnsi="Times New Roman" w:cs="Times New Roman"/>
          <w:bCs/>
          <w:color w:val="000000" w:themeColor="text1"/>
          <w:sz w:val="24"/>
          <w:szCs w:val="24"/>
        </w:rPr>
        <w:t>suitable</w:t>
      </w:r>
      <w:r w:rsidR="0003140E" w:rsidRPr="00597FFB">
        <w:rPr>
          <w:rFonts w:ascii="Times New Roman" w:eastAsia="Times New Roman" w:hAnsi="Times New Roman" w:cs="Times New Roman"/>
          <w:bCs/>
          <w:color w:val="000000" w:themeColor="text1"/>
          <w:sz w:val="24"/>
          <w:szCs w:val="24"/>
        </w:rPr>
        <w:t xml:space="preserve"> </w:t>
      </w:r>
      <w:r w:rsidR="00DB3D14" w:rsidRPr="00597FFB">
        <w:rPr>
          <w:rFonts w:ascii="Times New Roman" w:eastAsia="Times New Roman" w:hAnsi="Times New Roman" w:cs="Times New Roman"/>
          <w:bCs/>
          <w:color w:val="000000" w:themeColor="text1"/>
          <w:sz w:val="24"/>
          <w:szCs w:val="24"/>
        </w:rPr>
        <w:t xml:space="preserve">properties </w:t>
      </w:r>
      <w:r w:rsidR="0003140E" w:rsidRPr="00597FFB">
        <w:rPr>
          <w:rFonts w:ascii="Times New Roman" w:eastAsia="Times New Roman" w:hAnsi="Times New Roman" w:cs="Times New Roman"/>
          <w:bCs/>
          <w:color w:val="000000" w:themeColor="text1"/>
          <w:sz w:val="24"/>
          <w:szCs w:val="24"/>
        </w:rPr>
        <w:t>or</w:t>
      </w:r>
      <w:r w:rsidR="00DB3D14" w:rsidRPr="00597FFB">
        <w:rPr>
          <w:rFonts w:ascii="Times New Roman" w:eastAsia="Times New Roman" w:hAnsi="Times New Roman" w:cs="Times New Roman"/>
          <w:bCs/>
          <w:color w:val="000000" w:themeColor="text1"/>
          <w:sz w:val="24"/>
          <w:szCs w:val="24"/>
        </w:rPr>
        <w:t xml:space="preserve"> facilities</w:t>
      </w:r>
      <w:r w:rsidR="0003140E" w:rsidRPr="00597FFB">
        <w:rPr>
          <w:rFonts w:ascii="Times New Roman" w:eastAsia="Times New Roman" w:hAnsi="Times New Roman" w:cs="Times New Roman"/>
          <w:bCs/>
          <w:color w:val="000000" w:themeColor="text1"/>
          <w:sz w:val="24"/>
          <w:szCs w:val="24"/>
        </w:rPr>
        <w:t xml:space="preserve">, plants or equipment. Furthermore, informal recycling relies mainly on natural ventilation. Both </w:t>
      </w:r>
      <w:r w:rsidR="00C41E1E" w:rsidRPr="00597FFB">
        <w:rPr>
          <w:rFonts w:ascii="Times New Roman" w:eastAsia="Times New Roman" w:hAnsi="Times New Roman" w:cs="Times New Roman"/>
          <w:bCs/>
          <w:color w:val="000000" w:themeColor="text1"/>
          <w:sz w:val="24"/>
          <w:szCs w:val="24"/>
        </w:rPr>
        <w:t xml:space="preserve">informal </w:t>
      </w:r>
      <w:r w:rsidR="0003140E" w:rsidRPr="00597FFB">
        <w:rPr>
          <w:rFonts w:ascii="Times New Roman" w:eastAsia="Times New Roman" w:hAnsi="Times New Roman" w:cs="Times New Roman"/>
          <w:bCs/>
          <w:color w:val="000000" w:themeColor="text1"/>
          <w:sz w:val="24"/>
          <w:szCs w:val="24"/>
        </w:rPr>
        <w:t xml:space="preserve">and </w:t>
      </w:r>
      <w:r w:rsidR="00C41E1E" w:rsidRPr="00597FFB">
        <w:rPr>
          <w:rFonts w:ascii="Times New Roman" w:eastAsia="Times New Roman" w:hAnsi="Times New Roman" w:cs="Times New Roman"/>
          <w:bCs/>
          <w:color w:val="000000" w:themeColor="text1"/>
          <w:sz w:val="24"/>
          <w:szCs w:val="24"/>
        </w:rPr>
        <w:t xml:space="preserve">formal methods of </w:t>
      </w:r>
      <w:r w:rsidR="0003140E" w:rsidRPr="00597FFB">
        <w:rPr>
          <w:rFonts w:ascii="Times New Roman" w:eastAsia="Times New Roman" w:hAnsi="Times New Roman" w:cs="Times New Roman"/>
          <w:bCs/>
          <w:color w:val="000000" w:themeColor="text1"/>
          <w:sz w:val="24"/>
          <w:szCs w:val="24"/>
        </w:rPr>
        <w:t xml:space="preserve">recycling may involve </w:t>
      </w:r>
      <w:r w:rsidR="00C41E1E" w:rsidRPr="00597FFB">
        <w:rPr>
          <w:rFonts w:ascii="Times New Roman" w:eastAsia="Times New Roman" w:hAnsi="Times New Roman" w:cs="Times New Roman"/>
          <w:bCs/>
          <w:color w:val="000000" w:themeColor="text1"/>
          <w:sz w:val="24"/>
          <w:szCs w:val="24"/>
        </w:rPr>
        <w:t xml:space="preserve">mechanical </w:t>
      </w:r>
      <w:r w:rsidR="0003140E" w:rsidRPr="00597FFB">
        <w:rPr>
          <w:rFonts w:ascii="Times New Roman" w:eastAsia="Times New Roman" w:hAnsi="Times New Roman" w:cs="Times New Roman"/>
          <w:bCs/>
          <w:color w:val="000000" w:themeColor="text1"/>
          <w:sz w:val="24"/>
          <w:szCs w:val="24"/>
        </w:rPr>
        <w:t xml:space="preserve">and </w:t>
      </w:r>
      <w:r w:rsidR="00C41E1E" w:rsidRPr="00597FFB">
        <w:rPr>
          <w:rFonts w:ascii="Times New Roman" w:eastAsia="Times New Roman" w:hAnsi="Times New Roman" w:cs="Times New Roman"/>
          <w:bCs/>
          <w:color w:val="000000" w:themeColor="text1"/>
          <w:sz w:val="24"/>
          <w:szCs w:val="24"/>
        </w:rPr>
        <w:t xml:space="preserve">physical </w:t>
      </w:r>
      <w:r w:rsidR="0003140E" w:rsidRPr="00597FFB">
        <w:rPr>
          <w:rFonts w:ascii="Times New Roman" w:eastAsia="Times New Roman" w:hAnsi="Times New Roman" w:cs="Times New Roman"/>
          <w:bCs/>
          <w:color w:val="000000" w:themeColor="text1"/>
          <w:sz w:val="24"/>
          <w:szCs w:val="24"/>
        </w:rPr>
        <w:t xml:space="preserve">techniques </w:t>
      </w:r>
      <w:r w:rsidR="00C41E1E" w:rsidRPr="00597FFB">
        <w:rPr>
          <w:rFonts w:ascii="Times New Roman" w:eastAsia="Times New Roman" w:hAnsi="Times New Roman" w:cs="Times New Roman"/>
          <w:bCs/>
          <w:color w:val="000000" w:themeColor="text1"/>
          <w:sz w:val="24"/>
          <w:szCs w:val="24"/>
        </w:rPr>
        <w:t>during</w:t>
      </w:r>
      <w:r w:rsidR="0003140E" w:rsidRPr="00597FFB">
        <w:rPr>
          <w:rFonts w:ascii="Times New Roman" w:eastAsia="Times New Roman" w:hAnsi="Times New Roman" w:cs="Times New Roman"/>
          <w:bCs/>
          <w:color w:val="000000" w:themeColor="text1"/>
          <w:sz w:val="24"/>
          <w:szCs w:val="24"/>
        </w:rPr>
        <w:t xml:space="preserve"> the </w:t>
      </w:r>
      <w:r w:rsidR="00C41E1E" w:rsidRPr="00597FFB">
        <w:rPr>
          <w:rFonts w:ascii="Times New Roman" w:eastAsia="Times New Roman" w:hAnsi="Times New Roman" w:cs="Times New Roman"/>
          <w:bCs/>
          <w:color w:val="000000" w:themeColor="text1"/>
          <w:sz w:val="24"/>
          <w:szCs w:val="24"/>
        </w:rPr>
        <w:t>onset</w:t>
      </w:r>
      <w:r w:rsidR="0003140E" w:rsidRPr="00597FFB">
        <w:rPr>
          <w:rFonts w:ascii="Times New Roman" w:eastAsia="Times New Roman" w:hAnsi="Times New Roman" w:cs="Times New Roman"/>
          <w:bCs/>
          <w:color w:val="000000" w:themeColor="text1"/>
          <w:sz w:val="24"/>
          <w:szCs w:val="24"/>
        </w:rPr>
        <w:t xml:space="preserve"> stages and chemical </w:t>
      </w:r>
      <w:r w:rsidR="00C41E1E" w:rsidRPr="00597FFB">
        <w:rPr>
          <w:rFonts w:ascii="Times New Roman" w:eastAsia="Times New Roman" w:hAnsi="Times New Roman" w:cs="Times New Roman"/>
          <w:bCs/>
          <w:color w:val="000000" w:themeColor="text1"/>
          <w:sz w:val="24"/>
          <w:szCs w:val="24"/>
        </w:rPr>
        <w:t>methods</w:t>
      </w:r>
      <w:r w:rsidR="0003140E" w:rsidRPr="00597FFB">
        <w:rPr>
          <w:rFonts w:ascii="Times New Roman" w:eastAsia="Times New Roman" w:hAnsi="Times New Roman" w:cs="Times New Roman"/>
          <w:bCs/>
          <w:color w:val="000000" w:themeColor="text1"/>
          <w:sz w:val="24"/>
          <w:szCs w:val="24"/>
        </w:rPr>
        <w:t xml:space="preserve"> in the upgrading and refining stages </w:t>
      </w:r>
      <w:r w:rsidR="0003140E" w:rsidRPr="00597FFB">
        <w:rPr>
          <w:rFonts w:ascii="Times New Roman" w:eastAsiaTheme="minorHAnsi" w:hAnsi="Times New Roman" w:cs="Times New Roman"/>
          <w:color w:val="000000" w:themeColor="text1"/>
          <w:sz w:val="24"/>
        </w:rPr>
        <w:t>(Cillo et al., 2019)</w:t>
      </w:r>
      <w:r w:rsidR="0003140E" w:rsidRPr="00597FFB">
        <w:rPr>
          <w:rFonts w:ascii="Times New Roman" w:eastAsia="Times New Roman" w:hAnsi="Times New Roman" w:cs="Times New Roman"/>
          <w:bCs/>
          <w:color w:val="000000" w:themeColor="text1"/>
          <w:sz w:val="24"/>
          <w:szCs w:val="24"/>
        </w:rPr>
        <w:t xml:space="preserve">. The EEE ecosystem started from upstream </w:t>
      </w:r>
      <w:r w:rsidR="006E187E" w:rsidRPr="00597FFB">
        <w:rPr>
          <w:rFonts w:ascii="Times New Roman" w:eastAsia="Times New Roman" w:hAnsi="Times New Roman" w:cs="Times New Roman"/>
          <w:bCs/>
          <w:color w:val="000000" w:themeColor="text1"/>
          <w:sz w:val="24"/>
          <w:szCs w:val="24"/>
        </w:rPr>
        <w:t>levels</w:t>
      </w:r>
      <w:r w:rsidR="0003140E" w:rsidRPr="00597FFB">
        <w:rPr>
          <w:rFonts w:ascii="Times New Roman" w:eastAsia="Times New Roman" w:hAnsi="Times New Roman" w:cs="Times New Roman"/>
          <w:bCs/>
          <w:color w:val="000000" w:themeColor="text1"/>
          <w:sz w:val="24"/>
          <w:szCs w:val="24"/>
        </w:rPr>
        <w:t xml:space="preserve"> (i.e., </w:t>
      </w:r>
      <w:r w:rsidR="006E187E" w:rsidRPr="00597FFB">
        <w:rPr>
          <w:rFonts w:ascii="Times New Roman" w:eastAsia="Times New Roman" w:hAnsi="Times New Roman" w:cs="Times New Roman"/>
          <w:bCs/>
          <w:color w:val="000000" w:themeColor="text1"/>
          <w:sz w:val="24"/>
          <w:szCs w:val="24"/>
        </w:rPr>
        <w:t xml:space="preserve">material </w:t>
      </w:r>
      <w:r w:rsidR="0003140E" w:rsidRPr="00597FFB">
        <w:rPr>
          <w:rFonts w:ascii="Times New Roman" w:eastAsia="Times New Roman" w:hAnsi="Times New Roman" w:cs="Times New Roman"/>
          <w:bCs/>
          <w:color w:val="000000" w:themeColor="text1"/>
          <w:sz w:val="24"/>
          <w:szCs w:val="24"/>
        </w:rPr>
        <w:t xml:space="preserve">extraction to manufacturing, and distribution) and ended </w:t>
      </w:r>
      <w:r w:rsidR="006E187E" w:rsidRPr="00597FFB">
        <w:rPr>
          <w:rFonts w:ascii="Times New Roman" w:eastAsia="Times New Roman" w:hAnsi="Times New Roman" w:cs="Times New Roman"/>
          <w:bCs/>
          <w:color w:val="000000" w:themeColor="text1"/>
          <w:sz w:val="24"/>
          <w:szCs w:val="24"/>
        </w:rPr>
        <w:t xml:space="preserve">in the </w:t>
      </w:r>
      <w:r w:rsidR="0003140E" w:rsidRPr="00597FFB">
        <w:rPr>
          <w:rFonts w:ascii="Times New Roman" w:eastAsia="Times New Roman" w:hAnsi="Times New Roman" w:cs="Times New Roman"/>
          <w:bCs/>
          <w:color w:val="000000" w:themeColor="text1"/>
          <w:sz w:val="24"/>
          <w:szCs w:val="24"/>
        </w:rPr>
        <w:t xml:space="preserve">downstream </w:t>
      </w:r>
      <w:r w:rsidR="006E187E" w:rsidRPr="00597FFB">
        <w:rPr>
          <w:rFonts w:ascii="Times New Roman" w:eastAsia="Times New Roman" w:hAnsi="Times New Roman" w:cs="Times New Roman"/>
          <w:bCs/>
          <w:color w:val="000000" w:themeColor="text1"/>
          <w:sz w:val="24"/>
          <w:szCs w:val="24"/>
        </w:rPr>
        <w:t xml:space="preserve">stages </w:t>
      </w:r>
      <w:r w:rsidR="0003140E" w:rsidRPr="00597FFB">
        <w:rPr>
          <w:rFonts w:ascii="Times New Roman" w:eastAsia="Times New Roman" w:hAnsi="Times New Roman" w:cs="Times New Roman"/>
          <w:bCs/>
          <w:color w:val="000000" w:themeColor="text1"/>
          <w:sz w:val="24"/>
          <w:szCs w:val="24"/>
        </w:rPr>
        <w:t xml:space="preserve">(i.e., usage and disposal). The </w:t>
      </w:r>
      <w:r w:rsidR="006E187E" w:rsidRPr="00597FFB">
        <w:rPr>
          <w:rFonts w:ascii="Times New Roman" w:eastAsia="Times New Roman" w:hAnsi="Times New Roman" w:cs="Times New Roman"/>
          <w:bCs/>
          <w:color w:val="000000" w:themeColor="text1"/>
          <w:sz w:val="24"/>
          <w:szCs w:val="24"/>
        </w:rPr>
        <w:t>principal</w:t>
      </w:r>
      <w:r w:rsidR="0003140E" w:rsidRPr="00597FFB">
        <w:rPr>
          <w:rFonts w:ascii="Times New Roman" w:eastAsia="Times New Roman" w:hAnsi="Times New Roman" w:cs="Times New Roman"/>
          <w:bCs/>
          <w:color w:val="000000" w:themeColor="text1"/>
          <w:sz w:val="24"/>
          <w:szCs w:val="24"/>
        </w:rPr>
        <w:t xml:space="preserve"> </w:t>
      </w:r>
      <w:r w:rsidR="006E187E" w:rsidRPr="00597FFB">
        <w:rPr>
          <w:rFonts w:ascii="Times New Roman" w:eastAsia="Times New Roman" w:hAnsi="Times New Roman" w:cs="Times New Roman"/>
          <w:bCs/>
          <w:color w:val="000000" w:themeColor="text1"/>
          <w:sz w:val="24"/>
          <w:szCs w:val="24"/>
        </w:rPr>
        <w:t xml:space="preserve">EEE lifecycle </w:t>
      </w:r>
      <w:r w:rsidR="0003140E" w:rsidRPr="00597FFB">
        <w:rPr>
          <w:rFonts w:ascii="Times New Roman" w:eastAsia="Times New Roman" w:hAnsi="Times New Roman" w:cs="Times New Roman"/>
          <w:bCs/>
          <w:color w:val="000000" w:themeColor="text1"/>
          <w:sz w:val="24"/>
          <w:szCs w:val="24"/>
        </w:rPr>
        <w:t xml:space="preserve">stages involve </w:t>
      </w:r>
      <w:r w:rsidR="006E187E" w:rsidRPr="00597FFB">
        <w:rPr>
          <w:rFonts w:ascii="Times New Roman" w:eastAsia="Times New Roman" w:hAnsi="Times New Roman" w:cs="Times New Roman"/>
          <w:bCs/>
          <w:color w:val="000000" w:themeColor="text1"/>
          <w:sz w:val="24"/>
          <w:szCs w:val="24"/>
        </w:rPr>
        <w:t xml:space="preserve">informal </w:t>
      </w:r>
      <w:r w:rsidR="0003140E" w:rsidRPr="00597FFB">
        <w:rPr>
          <w:rFonts w:ascii="Times New Roman" w:eastAsia="Times New Roman" w:hAnsi="Times New Roman" w:cs="Times New Roman"/>
          <w:bCs/>
          <w:color w:val="000000" w:themeColor="text1"/>
          <w:sz w:val="24"/>
          <w:szCs w:val="24"/>
        </w:rPr>
        <w:t xml:space="preserve">and </w:t>
      </w:r>
      <w:r w:rsidR="006E187E" w:rsidRPr="00597FFB">
        <w:rPr>
          <w:rFonts w:ascii="Times New Roman" w:eastAsia="Times New Roman" w:hAnsi="Times New Roman" w:cs="Times New Roman"/>
          <w:bCs/>
          <w:color w:val="000000" w:themeColor="text1"/>
          <w:sz w:val="24"/>
          <w:szCs w:val="24"/>
        </w:rPr>
        <w:t xml:space="preserve">formal processes of </w:t>
      </w:r>
      <w:r w:rsidR="0003140E" w:rsidRPr="00597FFB">
        <w:rPr>
          <w:rFonts w:ascii="Times New Roman" w:eastAsia="Times New Roman" w:hAnsi="Times New Roman" w:cs="Times New Roman"/>
          <w:bCs/>
          <w:color w:val="000000" w:themeColor="text1"/>
          <w:sz w:val="24"/>
          <w:szCs w:val="24"/>
        </w:rPr>
        <w:t xml:space="preserve">recycling </w:t>
      </w:r>
      <w:r w:rsidR="0003140E" w:rsidRPr="00597FFB">
        <w:rPr>
          <w:rFonts w:ascii="Times New Roman" w:eastAsiaTheme="minorHAnsi" w:hAnsi="Times New Roman" w:cs="Times New Roman"/>
          <w:color w:val="000000" w:themeColor="text1"/>
          <w:sz w:val="24"/>
        </w:rPr>
        <w:t>(Bocken &amp; Short, 2021)</w:t>
      </w:r>
      <w:r w:rsidR="0003140E" w:rsidRPr="00597FFB">
        <w:rPr>
          <w:rFonts w:ascii="Times New Roman" w:eastAsia="Times New Roman" w:hAnsi="Times New Roman" w:cs="Times New Roman"/>
          <w:bCs/>
          <w:color w:val="000000" w:themeColor="text1"/>
          <w:sz w:val="24"/>
          <w:szCs w:val="24"/>
        </w:rPr>
        <w:t>. However, th</w:t>
      </w:r>
      <w:r w:rsidR="00B10310" w:rsidRPr="00597FFB">
        <w:rPr>
          <w:rFonts w:ascii="Times New Roman" w:eastAsia="Times New Roman" w:hAnsi="Times New Roman" w:cs="Times New Roman"/>
          <w:bCs/>
          <w:color w:val="000000" w:themeColor="text1"/>
          <w:sz w:val="24"/>
          <w:szCs w:val="24"/>
        </w:rPr>
        <w:t xml:space="preserve">is study’s </w:t>
      </w:r>
      <w:r w:rsidR="0003140E" w:rsidRPr="00597FFB">
        <w:rPr>
          <w:rFonts w:ascii="Times New Roman" w:eastAsia="Times New Roman" w:hAnsi="Times New Roman" w:cs="Times New Roman"/>
          <w:bCs/>
          <w:color w:val="000000" w:themeColor="text1"/>
          <w:sz w:val="24"/>
          <w:szCs w:val="24"/>
        </w:rPr>
        <w:t xml:space="preserve">focus is on the downstream </w:t>
      </w:r>
      <w:r w:rsidR="00B10310" w:rsidRPr="00597FFB">
        <w:rPr>
          <w:rFonts w:ascii="Times New Roman" w:eastAsia="Times New Roman" w:hAnsi="Times New Roman" w:cs="Times New Roman"/>
          <w:bCs/>
          <w:color w:val="000000" w:themeColor="text1"/>
          <w:sz w:val="24"/>
          <w:szCs w:val="24"/>
        </w:rPr>
        <w:t>levels and particularly the</w:t>
      </w:r>
      <w:r w:rsidR="0003140E" w:rsidRPr="00597FFB">
        <w:rPr>
          <w:rFonts w:ascii="Times New Roman" w:eastAsia="Times New Roman" w:hAnsi="Times New Roman" w:cs="Times New Roman"/>
          <w:bCs/>
          <w:color w:val="000000" w:themeColor="text1"/>
          <w:sz w:val="24"/>
          <w:szCs w:val="24"/>
        </w:rPr>
        <w:t xml:space="preserve"> informal processes. A more detailed discussion of both formal and informal processes and their impacts are as follows.</w:t>
      </w:r>
    </w:p>
    <w:p w14:paraId="69353E80" w14:textId="73417E38" w:rsidR="0003140E" w:rsidRPr="00597FFB" w:rsidRDefault="00911CDD" w:rsidP="00A558FE">
      <w:pPr>
        <w:spacing w:after="0" w:line="480" w:lineRule="auto"/>
        <w:ind w:left="360" w:hanging="360"/>
        <w:contextualSpacing/>
        <w:jc w:val="both"/>
        <w:outlineLvl w:val="3"/>
        <w:rPr>
          <w:rFonts w:ascii="Times New Roman" w:eastAsia="Times New Roman" w:hAnsi="Times New Roman" w:cs="Times New Roman"/>
          <w:bCs/>
          <w:i/>
          <w:iCs/>
          <w:color w:val="000000" w:themeColor="text1"/>
          <w:sz w:val="24"/>
          <w:szCs w:val="24"/>
        </w:rPr>
      </w:pPr>
      <w:r w:rsidRPr="00597FFB">
        <w:rPr>
          <w:rFonts w:ascii="Times New Roman" w:eastAsia="Times New Roman" w:hAnsi="Times New Roman" w:cs="Times New Roman"/>
          <w:bCs/>
          <w:i/>
          <w:iCs/>
          <w:color w:val="000000" w:themeColor="text1"/>
          <w:sz w:val="24"/>
          <w:szCs w:val="24"/>
        </w:rPr>
        <w:t>2.5.</w:t>
      </w:r>
      <w:r w:rsidR="00F82A86" w:rsidRPr="00597FFB">
        <w:rPr>
          <w:rFonts w:ascii="Times New Roman" w:eastAsia="Times New Roman" w:hAnsi="Times New Roman" w:cs="Times New Roman"/>
          <w:bCs/>
          <w:i/>
          <w:iCs/>
          <w:color w:val="000000" w:themeColor="text1"/>
          <w:sz w:val="24"/>
          <w:szCs w:val="24"/>
        </w:rPr>
        <w:t>1.1</w:t>
      </w:r>
      <w:r w:rsidRPr="00597FFB">
        <w:rPr>
          <w:rFonts w:ascii="Times New Roman" w:eastAsia="Times New Roman" w:hAnsi="Times New Roman" w:cs="Times New Roman"/>
          <w:bCs/>
          <w:i/>
          <w:iCs/>
          <w:color w:val="000000" w:themeColor="text1"/>
          <w:sz w:val="24"/>
          <w:szCs w:val="24"/>
        </w:rPr>
        <w:t xml:space="preserve">. </w:t>
      </w:r>
      <w:r w:rsidR="0003140E" w:rsidRPr="00597FFB">
        <w:rPr>
          <w:rFonts w:ascii="Times New Roman" w:eastAsia="Times New Roman" w:hAnsi="Times New Roman" w:cs="Times New Roman"/>
          <w:bCs/>
          <w:i/>
          <w:iCs/>
          <w:color w:val="000000" w:themeColor="text1"/>
          <w:sz w:val="24"/>
          <w:szCs w:val="24"/>
        </w:rPr>
        <w:t>Formal Recycling Processes</w:t>
      </w:r>
      <w:r w:rsidR="00C16429" w:rsidRPr="00597FFB">
        <w:rPr>
          <w:rFonts w:ascii="Times New Roman" w:eastAsia="Times New Roman" w:hAnsi="Times New Roman" w:cs="Times New Roman"/>
          <w:bCs/>
          <w:i/>
          <w:iCs/>
          <w:color w:val="000000" w:themeColor="text1"/>
          <w:sz w:val="24"/>
          <w:szCs w:val="24"/>
        </w:rPr>
        <w:t>.</w:t>
      </w:r>
    </w:p>
    <w:p w14:paraId="3AAB9D66" w14:textId="4D82676F"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lang w:val="en-GB"/>
        </w:rPr>
      </w:pPr>
      <w:r w:rsidRPr="00597FFB">
        <w:rPr>
          <w:rFonts w:ascii="Times New Roman" w:eastAsia="Times New Roman" w:hAnsi="Times New Roman" w:cs="Times New Roman"/>
          <w:bCs/>
          <w:color w:val="000000" w:themeColor="text1"/>
          <w:sz w:val="24"/>
          <w:szCs w:val="24"/>
          <w:lang w:val="en-GB"/>
        </w:rPr>
        <w:t xml:space="preserve">In formal </w:t>
      </w:r>
      <w:r w:rsidR="002C19D0" w:rsidRPr="00597FFB">
        <w:rPr>
          <w:rFonts w:ascii="Times New Roman" w:eastAsia="Times New Roman" w:hAnsi="Times New Roman" w:cs="Times New Roman"/>
          <w:bCs/>
          <w:color w:val="000000" w:themeColor="text1"/>
          <w:sz w:val="24"/>
          <w:szCs w:val="24"/>
          <w:lang w:val="en-GB"/>
        </w:rPr>
        <w:t>recycling sectors</w:t>
      </w:r>
      <w:r w:rsidRPr="00597FFB">
        <w:rPr>
          <w:rFonts w:ascii="Times New Roman" w:eastAsia="Times New Roman" w:hAnsi="Times New Roman" w:cs="Times New Roman"/>
          <w:bCs/>
          <w:color w:val="000000" w:themeColor="text1"/>
          <w:sz w:val="24"/>
          <w:szCs w:val="24"/>
          <w:lang w:val="en-GB"/>
        </w:rPr>
        <w:t xml:space="preserve">, </w:t>
      </w:r>
      <w:r w:rsidR="002C19D0" w:rsidRPr="00597FFB">
        <w:rPr>
          <w:rFonts w:ascii="Times New Roman" w:eastAsia="Times New Roman" w:hAnsi="Times New Roman" w:cs="Times New Roman"/>
          <w:bCs/>
          <w:color w:val="000000" w:themeColor="text1"/>
          <w:sz w:val="24"/>
          <w:szCs w:val="24"/>
          <w:lang w:val="en-GB"/>
        </w:rPr>
        <w:t xml:space="preserve">e-waste </w:t>
      </w:r>
      <w:r w:rsidRPr="00597FFB">
        <w:rPr>
          <w:rFonts w:ascii="Times New Roman" w:eastAsia="Times New Roman" w:hAnsi="Times New Roman" w:cs="Times New Roman"/>
          <w:bCs/>
          <w:color w:val="000000" w:themeColor="text1"/>
          <w:sz w:val="24"/>
          <w:szCs w:val="24"/>
          <w:lang w:val="en-GB"/>
        </w:rPr>
        <w:t xml:space="preserve">collection is regulated. Moreover, there is </w:t>
      </w:r>
      <w:r w:rsidR="002C19D0" w:rsidRPr="00597FFB">
        <w:rPr>
          <w:rFonts w:ascii="Times New Roman" w:eastAsia="Times New Roman" w:hAnsi="Times New Roman" w:cs="Times New Roman"/>
          <w:bCs/>
          <w:color w:val="000000" w:themeColor="text1"/>
          <w:sz w:val="24"/>
          <w:szCs w:val="24"/>
          <w:lang w:val="en-GB"/>
        </w:rPr>
        <w:t>normally</w:t>
      </w:r>
      <w:r w:rsidRPr="00597FFB">
        <w:rPr>
          <w:rFonts w:ascii="Times New Roman" w:eastAsia="Times New Roman" w:hAnsi="Times New Roman" w:cs="Times New Roman"/>
          <w:bCs/>
          <w:color w:val="000000" w:themeColor="text1"/>
          <w:sz w:val="24"/>
          <w:szCs w:val="24"/>
          <w:lang w:val="en-GB"/>
        </w:rPr>
        <w:t xml:space="preserve"> </w:t>
      </w:r>
      <w:r w:rsidR="002C19D0" w:rsidRPr="00597FFB">
        <w:rPr>
          <w:rFonts w:ascii="Times New Roman" w:eastAsia="Times New Roman" w:hAnsi="Times New Roman" w:cs="Times New Roman"/>
          <w:bCs/>
          <w:color w:val="000000" w:themeColor="text1"/>
          <w:sz w:val="24"/>
          <w:szCs w:val="24"/>
          <w:lang w:val="en-GB"/>
        </w:rPr>
        <w:t>a formalized</w:t>
      </w:r>
      <w:r w:rsidRPr="00597FFB">
        <w:rPr>
          <w:rFonts w:ascii="Times New Roman" w:eastAsia="Times New Roman" w:hAnsi="Times New Roman" w:cs="Times New Roman"/>
          <w:bCs/>
          <w:color w:val="000000" w:themeColor="text1"/>
          <w:sz w:val="24"/>
          <w:szCs w:val="24"/>
          <w:lang w:val="en-GB"/>
        </w:rPr>
        <w:t xml:space="preserve"> takeback system in which </w:t>
      </w:r>
      <w:r w:rsidR="002C19D0" w:rsidRPr="00597FFB">
        <w:rPr>
          <w:rFonts w:ascii="Times New Roman" w:eastAsia="Times New Roman" w:hAnsi="Times New Roman" w:cs="Times New Roman"/>
          <w:bCs/>
          <w:color w:val="000000" w:themeColor="text1"/>
          <w:sz w:val="24"/>
          <w:szCs w:val="24"/>
          <w:lang w:val="en-GB"/>
        </w:rPr>
        <w:t>commercial pickup services, retailers, and municipalities collect e-waste</w:t>
      </w:r>
      <w:r w:rsidRPr="00597FFB">
        <w:rPr>
          <w:rFonts w:ascii="Times New Roman" w:eastAsia="Times New Roman" w:hAnsi="Times New Roman" w:cs="Times New Roman"/>
          <w:bCs/>
          <w:color w:val="000000" w:themeColor="text1"/>
          <w:sz w:val="24"/>
          <w:szCs w:val="24"/>
          <w:lang w:val="en-GB"/>
        </w:rPr>
        <w:t xml:space="preserve"> </w:t>
      </w:r>
      <w:r w:rsidR="002C19D0" w:rsidRPr="00597FFB">
        <w:rPr>
          <w:rFonts w:ascii="Times New Roman" w:eastAsia="Times New Roman" w:hAnsi="Times New Roman" w:cs="Times New Roman"/>
          <w:bCs/>
          <w:color w:val="000000" w:themeColor="text1"/>
          <w:sz w:val="24"/>
          <w:szCs w:val="24"/>
          <w:lang w:val="en-GB"/>
        </w:rPr>
        <w:t>whereas</w:t>
      </w:r>
      <w:r w:rsidRPr="00597FFB">
        <w:rPr>
          <w:rFonts w:ascii="Times New Roman" w:eastAsia="Times New Roman" w:hAnsi="Times New Roman" w:cs="Times New Roman"/>
          <w:bCs/>
          <w:color w:val="000000" w:themeColor="text1"/>
          <w:sz w:val="24"/>
          <w:szCs w:val="24"/>
          <w:lang w:val="en-GB"/>
        </w:rPr>
        <w:t xml:space="preserve"> </w:t>
      </w:r>
      <w:r w:rsidR="002C19D0" w:rsidRPr="00597FFB">
        <w:rPr>
          <w:rFonts w:ascii="Times New Roman" w:eastAsia="Times New Roman" w:hAnsi="Times New Roman" w:cs="Times New Roman"/>
          <w:bCs/>
          <w:color w:val="000000" w:themeColor="text1"/>
          <w:sz w:val="24"/>
          <w:szCs w:val="24"/>
          <w:lang w:val="en-GB"/>
        </w:rPr>
        <w:t xml:space="preserve">private companies or </w:t>
      </w:r>
      <w:r w:rsidRPr="00597FFB">
        <w:rPr>
          <w:rFonts w:ascii="Times New Roman" w:eastAsia="Times New Roman" w:hAnsi="Times New Roman" w:cs="Times New Roman"/>
          <w:bCs/>
          <w:color w:val="000000" w:themeColor="text1"/>
          <w:sz w:val="24"/>
          <w:szCs w:val="24"/>
          <w:lang w:val="en-GB"/>
        </w:rPr>
        <w:t xml:space="preserve">individual </w:t>
      </w:r>
      <w:r w:rsidR="002C19D0" w:rsidRPr="00597FFB">
        <w:rPr>
          <w:rFonts w:ascii="Times New Roman" w:eastAsia="Times New Roman" w:hAnsi="Times New Roman" w:cs="Times New Roman"/>
          <w:bCs/>
          <w:color w:val="000000" w:themeColor="text1"/>
          <w:sz w:val="24"/>
          <w:szCs w:val="24"/>
          <w:lang w:val="en-GB"/>
        </w:rPr>
        <w:t>pickers</w:t>
      </w:r>
      <w:r w:rsidRPr="00597FFB">
        <w:rPr>
          <w:rFonts w:ascii="Times New Roman" w:eastAsia="Times New Roman" w:hAnsi="Times New Roman" w:cs="Times New Roman"/>
          <w:bCs/>
          <w:color w:val="000000" w:themeColor="text1"/>
          <w:sz w:val="24"/>
          <w:szCs w:val="24"/>
          <w:lang w:val="en-GB"/>
        </w:rPr>
        <w:t xml:space="preserve"> also collect </w:t>
      </w:r>
      <w:r w:rsidR="002C19D0" w:rsidRPr="00597FFB">
        <w:rPr>
          <w:rFonts w:ascii="Times New Roman" w:eastAsia="Times New Roman" w:hAnsi="Times New Roman" w:cs="Times New Roman"/>
          <w:bCs/>
          <w:color w:val="000000" w:themeColor="text1"/>
          <w:sz w:val="24"/>
          <w:szCs w:val="24"/>
          <w:lang w:val="en-GB"/>
        </w:rPr>
        <w:t xml:space="preserve">e-waste </w:t>
      </w:r>
      <w:r w:rsidRPr="00597FFB">
        <w:rPr>
          <w:rFonts w:ascii="Times New Roman" w:eastAsia="Times New Roman" w:hAnsi="Times New Roman" w:cs="Times New Roman"/>
          <w:bCs/>
          <w:color w:val="000000" w:themeColor="text1"/>
          <w:sz w:val="24"/>
          <w:szCs w:val="24"/>
          <w:lang w:val="en-GB"/>
        </w:rPr>
        <w:t xml:space="preserve">materials </w:t>
      </w:r>
      <w:r w:rsidR="002C19D0" w:rsidRPr="00597FFB">
        <w:rPr>
          <w:rFonts w:ascii="Times New Roman" w:eastAsia="Times New Roman" w:hAnsi="Times New Roman" w:cs="Times New Roman"/>
          <w:bCs/>
          <w:color w:val="000000" w:themeColor="text1"/>
          <w:sz w:val="24"/>
          <w:szCs w:val="24"/>
          <w:lang w:val="en-GB"/>
        </w:rPr>
        <w:t>through</w:t>
      </w:r>
      <w:r w:rsidRPr="00597FFB">
        <w:rPr>
          <w:rFonts w:ascii="Times New Roman" w:eastAsia="Times New Roman" w:hAnsi="Times New Roman" w:cs="Times New Roman"/>
          <w:bCs/>
          <w:color w:val="000000" w:themeColor="text1"/>
          <w:sz w:val="24"/>
          <w:szCs w:val="24"/>
          <w:lang w:val="en-GB"/>
        </w:rPr>
        <w:t xml:space="preserve"> </w:t>
      </w:r>
      <w:r w:rsidR="002C19D0" w:rsidRPr="00597FFB">
        <w:rPr>
          <w:rFonts w:ascii="Times New Roman" w:eastAsia="Times New Roman" w:hAnsi="Times New Roman" w:cs="Times New Roman"/>
          <w:bCs/>
          <w:color w:val="000000" w:themeColor="text1"/>
          <w:sz w:val="24"/>
          <w:szCs w:val="24"/>
          <w:lang w:val="en-GB"/>
        </w:rPr>
        <w:t>informal</w:t>
      </w:r>
      <w:r w:rsidRPr="00597FFB">
        <w:rPr>
          <w:rFonts w:ascii="Times New Roman" w:eastAsia="Times New Roman" w:hAnsi="Times New Roman" w:cs="Times New Roman"/>
          <w:bCs/>
          <w:color w:val="000000" w:themeColor="text1"/>
          <w:sz w:val="24"/>
          <w:szCs w:val="24"/>
          <w:lang w:val="en-GB"/>
        </w:rPr>
        <w:t xml:space="preserve"> systems </w:t>
      </w:r>
      <w:r w:rsidRPr="00597FFB">
        <w:rPr>
          <w:rFonts w:ascii="Times New Roman" w:eastAsiaTheme="minorHAnsi" w:hAnsi="Times New Roman" w:cs="Times New Roman"/>
          <w:color w:val="000000" w:themeColor="text1"/>
          <w:sz w:val="24"/>
          <w:lang w:val="en-GB"/>
        </w:rPr>
        <w:t>(Ahirwar &amp; Tripathi, 2021)</w:t>
      </w:r>
      <w:r w:rsidRPr="00597FFB">
        <w:rPr>
          <w:rFonts w:ascii="Times New Roman" w:eastAsia="Times New Roman" w:hAnsi="Times New Roman" w:cs="Times New Roman"/>
          <w:bCs/>
          <w:color w:val="000000" w:themeColor="text1"/>
          <w:sz w:val="24"/>
          <w:szCs w:val="24"/>
          <w:lang w:val="en-GB"/>
        </w:rPr>
        <w:t>. After collectin</w:t>
      </w:r>
      <w:r w:rsidR="003668F3" w:rsidRPr="00597FFB">
        <w:rPr>
          <w:rFonts w:ascii="Times New Roman" w:eastAsia="Times New Roman" w:hAnsi="Times New Roman" w:cs="Times New Roman"/>
          <w:bCs/>
          <w:color w:val="000000" w:themeColor="text1"/>
          <w:sz w:val="24"/>
          <w:szCs w:val="24"/>
          <w:lang w:val="en-GB"/>
        </w:rPr>
        <w:t>g</w:t>
      </w:r>
      <w:r w:rsidRPr="00597FFB">
        <w:rPr>
          <w:rFonts w:ascii="Times New Roman" w:eastAsia="Times New Roman" w:hAnsi="Times New Roman" w:cs="Times New Roman"/>
          <w:bCs/>
          <w:color w:val="000000" w:themeColor="text1"/>
          <w:sz w:val="24"/>
          <w:szCs w:val="24"/>
          <w:lang w:val="en-GB"/>
        </w:rPr>
        <w:t xml:space="preserve">, the equipment </w:t>
      </w:r>
      <w:r w:rsidR="003668F3" w:rsidRPr="00597FFB">
        <w:rPr>
          <w:rFonts w:ascii="Times New Roman" w:eastAsia="Times New Roman" w:hAnsi="Times New Roman" w:cs="Times New Roman"/>
          <w:bCs/>
          <w:color w:val="000000" w:themeColor="text1"/>
          <w:sz w:val="24"/>
          <w:szCs w:val="24"/>
          <w:lang w:val="en-GB"/>
        </w:rPr>
        <w:t>undergoes</w:t>
      </w:r>
      <w:r w:rsidRPr="00597FFB">
        <w:rPr>
          <w:rFonts w:ascii="Times New Roman" w:eastAsia="Times New Roman" w:hAnsi="Times New Roman" w:cs="Times New Roman"/>
          <w:bCs/>
          <w:color w:val="000000" w:themeColor="text1"/>
          <w:sz w:val="24"/>
          <w:szCs w:val="24"/>
          <w:lang w:val="en-GB"/>
        </w:rPr>
        <w:t xml:space="preserve"> sort</w:t>
      </w:r>
      <w:r w:rsidR="003668F3"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test</w:t>
      </w:r>
      <w:r w:rsidR="00B72C47"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repair</w:t>
      </w:r>
      <w:r w:rsidR="00B72C47"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xml:space="preserve"> and refurbish</w:t>
      </w:r>
      <w:r w:rsidR="00B72C47"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xml:space="preserve">. However, equipment that must be recycled is disassembled via mechanical dismantling, which can be conducted semiautomatically or automatically. </w:t>
      </w:r>
      <w:r w:rsidR="00B72C47" w:rsidRPr="00597FFB">
        <w:rPr>
          <w:rFonts w:ascii="Times New Roman" w:eastAsia="Times New Roman" w:hAnsi="Times New Roman" w:cs="Times New Roman"/>
          <w:bCs/>
          <w:color w:val="000000" w:themeColor="text1"/>
          <w:sz w:val="24"/>
          <w:szCs w:val="24"/>
          <w:lang w:val="en-GB"/>
        </w:rPr>
        <w:t>After that</w:t>
      </w:r>
      <w:r w:rsidRPr="00597FFB">
        <w:rPr>
          <w:rFonts w:ascii="Times New Roman" w:eastAsia="Times New Roman" w:hAnsi="Times New Roman" w:cs="Times New Roman"/>
          <w:bCs/>
          <w:color w:val="000000" w:themeColor="text1"/>
          <w:sz w:val="24"/>
          <w:szCs w:val="24"/>
          <w:lang w:val="en-GB"/>
        </w:rPr>
        <w:t xml:space="preserve">, metallic </w:t>
      </w:r>
      <w:r w:rsidR="00B72C47" w:rsidRPr="00597FFB">
        <w:rPr>
          <w:rFonts w:ascii="Times New Roman" w:eastAsia="Times New Roman" w:hAnsi="Times New Roman" w:cs="Times New Roman"/>
          <w:bCs/>
          <w:color w:val="000000" w:themeColor="text1"/>
          <w:sz w:val="24"/>
          <w:szCs w:val="24"/>
          <w:lang w:val="en-GB"/>
        </w:rPr>
        <w:t xml:space="preserve">and non-metallic </w:t>
      </w:r>
      <w:r w:rsidRPr="00597FFB">
        <w:rPr>
          <w:rFonts w:ascii="Times New Roman" w:eastAsia="Times New Roman" w:hAnsi="Times New Roman" w:cs="Times New Roman"/>
          <w:bCs/>
          <w:color w:val="000000" w:themeColor="text1"/>
          <w:sz w:val="24"/>
          <w:szCs w:val="24"/>
          <w:lang w:val="en-GB"/>
        </w:rPr>
        <w:t xml:space="preserve">fractions are </w:t>
      </w:r>
      <w:r w:rsidR="00FE5B19" w:rsidRPr="00597FFB">
        <w:rPr>
          <w:rFonts w:ascii="Times New Roman" w:eastAsia="Times New Roman" w:hAnsi="Times New Roman" w:cs="Times New Roman"/>
          <w:bCs/>
          <w:color w:val="000000" w:themeColor="text1"/>
          <w:sz w:val="24"/>
          <w:szCs w:val="24"/>
          <w:lang w:val="en-GB"/>
        </w:rPr>
        <w:t>extracted through</w:t>
      </w:r>
      <w:r w:rsidRPr="00597FFB">
        <w:rPr>
          <w:rFonts w:ascii="Times New Roman" w:eastAsia="Times New Roman" w:hAnsi="Times New Roman" w:cs="Times New Roman"/>
          <w:bCs/>
          <w:color w:val="000000" w:themeColor="text1"/>
          <w:sz w:val="24"/>
          <w:szCs w:val="24"/>
          <w:lang w:val="en-GB"/>
        </w:rPr>
        <w:t xml:space="preserve"> shredding and crushing </w:t>
      </w:r>
      <w:r w:rsidR="00FE5B19" w:rsidRPr="00597FFB">
        <w:rPr>
          <w:rFonts w:ascii="Times New Roman" w:eastAsia="Times New Roman" w:hAnsi="Times New Roman" w:cs="Times New Roman"/>
          <w:bCs/>
          <w:color w:val="000000" w:themeColor="text1"/>
          <w:sz w:val="24"/>
          <w:szCs w:val="24"/>
          <w:lang w:val="en-GB"/>
        </w:rPr>
        <w:t>before being</w:t>
      </w:r>
      <w:r w:rsidRPr="00597FFB">
        <w:rPr>
          <w:rFonts w:ascii="Times New Roman" w:eastAsia="Times New Roman" w:hAnsi="Times New Roman" w:cs="Times New Roman"/>
          <w:bCs/>
          <w:color w:val="000000" w:themeColor="text1"/>
          <w:sz w:val="24"/>
          <w:szCs w:val="24"/>
          <w:lang w:val="en-GB"/>
        </w:rPr>
        <w:t xml:space="preserve"> sorted using </w:t>
      </w:r>
      <w:r w:rsidR="00FE5B19" w:rsidRPr="00597FFB">
        <w:rPr>
          <w:rFonts w:ascii="Times New Roman" w:eastAsia="Times New Roman" w:hAnsi="Times New Roman" w:cs="Times New Roman"/>
          <w:bCs/>
          <w:color w:val="000000" w:themeColor="text1"/>
          <w:sz w:val="24"/>
          <w:szCs w:val="24"/>
          <w:lang w:val="en-GB"/>
        </w:rPr>
        <w:t>various</w:t>
      </w:r>
      <w:r w:rsidRPr="00597FFB">
        <w:rPr>
          <w:rFonts w:ascii="Times New Roman" w:eastAsia="Times New Roman" w:hAnsi="Times New Roman" w:cs="Times New Roman"/>
          <w:bCs/>
          <w:color w:val="000000" w:themeColor="text1"/>
          <w:sz w:val="24"/>
          <w:szCs w:val="24"/>
          <w:lang w:val="en-GB"/>
        </w:rPr>
        <w:t xml:space="preserve"> methods</w:t>
      </w:r>
      <w:r w:rsidR="00FE5B19" w:rsidRPr="00597FFB">
        <w:rPr>
          <w:rFonts w:ascii="Times New Roman" w:eastAsia="Times New Roman" w:hAnsi="Times New Roman" w:cs="Times New Roman"/>
          <w:bCs/>
          <w:color w:val="000000" w:themeColor="text1"/>
          <w:sz w:val="24"/>
          <w:szCs w:val="24"/>
          <w:lang w:val="en-GB"/>
        </w:rPr>
        <w:t xml:space="preserve"> including</w:t>
      </w:r>
      <w:r w:rsidRPr="00597FFB">
        <w:rPr>
          <w:rFonts w:ascii="Times New Roman" w:eastAsia="Times New Roman" w:hAnsi="Times New Roman" w:cs="Times New Roman"/>
          <w:bCs/>
          <w:color w:val="000000" w:themeColor="text1"/>
          <w:sz w:val="24"/>
          <w:szCs w:val="24"/>
          <w:lang w:val="en-GB"/>
        </w:rPr>
        <w:t xml:space="preserve"> gravity separation (for </w:t>
      </w:r>
      <w:r w:rsidR="00FE5B19" w:rsidRPr="00597FFB">
        <w:rPr>
          <w:rFonts w:ascii="Times New Roman" w:eastAsia="Times New Roman" w:hAnsi="Times New Roman" w:cs="Times New Roman"/>
          <w:bCs/>
          <w:color w:val="000000" w:themeColor="text1"/>
          <w:sz w:val="24"/>
          <w:szCs w:val="24"/>
          <w:lang w:val="en-GB"/>
        </w:rPr>
        <w:t>plastics, metals</w:t>
      </w:r>
      <w:r w:rsidRPr="00597FFB">
        <w:rPr>
          <w:rFonts w:ascii="Times New Roman" w:eastAsia="Times New Roman" w:hAnsi="Times New Roman" w:cs="Times New Roman"/>
          <w:bCs/>
          <w:color w:val="000000" w:themeColor="text1"/>
          <w:sz w:val="24"/>
          <w:szCs w:val="24"/>
          <w:lang w:val="en-GB"/>
        </w:rPr>
        <w:t xml:space="preserve">, and </w:t>
      </w:r>
      <w:r w:rsidR="00FE5B19" w:rsidRPr="00597FFB">
        <w:rPr>
          <w:rFonts w:ascii="Times New Roman" w:eastAsia="Times New Roman" w:hAnsi="Times New Roman" w:cs="Times New Roman"/>
          <w:bCs/>
          <w:color w:val="000000" w:themeColor="text1"/>
          <w:sz w:val="24"/>
          <w:szCs w:val="24"/>
          <w:lang w:val="en-GB"/>
        </w:rPr>
        <w:t>glass</w:t>
      </w:r>
      <w:r w:rsidRPr="00597FFB">
        <w:rPr>
          <w:rFonts w:ascii="Times New Roman" w:eastAsia="Times New Roman" w:hAnsi="Times New Roman" w:cs="Times New Roman"/>
          <w:bCs/>
          <w:color w:val="000000" w:themeColor="text1"/>
          <w:sz w:val="24"/>
          <w:szCs w:val="24"/>
          <w:lang w:val="en-GB"/>
        </w:rPr>
        <w:t>), magnetic separation (</w:t>
      </w:r>
      <w:r w:rsidR="00FE5B19" w:rsidRPr="00597FFB">
        <w:rPr>
          <w:rFonts w:ascii="Times New Roman" w:eastAsia="Times New Roman" w:hAnsi="Times New Roman" w:cs="Times New Roman"/>
          <w:bCs/>
          <w:color w:val="000000" w:themeColor="text1"/>
          <w:sz w:val="24"/>
          <w:szCs w:val="24"/>
          <w:lang w:val="en-GB"/>
        </w:rPr>
        <w:t>to obtain</w:t>
      </w:r>
      <w:r w:rsidRPr="00597FFB">
        <w:rPr>
          <w:rFonts w:ascii="Times New Roman" w:eastAsia="Times New Roman" w:hAnsi="Times New Roman" w:cs="Times New Roman"/>
          <w:bCs/>
          <w:color w:val="000000" w:themeColor="text1"/>
          <w:sz w:val="24"/>
          <w:szCs w:val="24"/>
          <w:lang w:val="en-GB"/>
        </w:rPr>
        <w:t xml:space="preserve"> ferrous metals), and electrostatic separation (via </w:t>
      </w:r>
      <w:r w:rsidR="00FE5B19" w:rsidRPr="00597FFB">
        <w:rPr>
          <w:rFonts w:ascii="Times New Roman" w:eastAsia="Times New Roman" w:hAnsi="Times New Roman" w:cs="Times New Roman"/>
          <w:bCs/>
          <w:color w:val="000000" w:themeColor="text1"/>
          <w:sz w:val="24"/>
          <w:szCs w:val="24"/>
          <w:lang w:val="en-GB"/>
        </w:rPr>
        <w:t>various</w:t>
      </w:r>
      <w:r w:rsidRPr="00597FFB">
        <w:rPr>
          <w:rFonts w:ascii="Times New Roman" w:eastAsia="Times New Roman" w:hAnsi="Times New Roman" w:cs="Times New Roman"/>
          <w:bCs/>
          <w:color w:val="000000" w:themeColor="text1"/>
          <w:sz w:val="24"/>
          <w:szCs w:val="24"/>
          <w:lang w:val="en-GB"/>
        </w:rPr>
        <w:t xml:space="preserve"> electrical conductivities; for </w:t>
      </w:r>
      <w:r w:rsidR="00FE5B19" w:rsidRPr="00597FFB">
        <w:rPr>
          <w:rFonts w:ascii="Times New Roman" w:eastAsia="Times New Roman" w:hAnsi="Times New Roman" w:cs="Times New Roman"/>
          <w:bCs/>
          <w:color w:val="000000" w:themeColor="text1"/>
          <w:sz w:val="24"/>
          <w:szCs w:val="24"/>
          <w:lang w:val="en-GB"/>
        </w:rPr>
        <w:t xml:space="preserve">glass, aluminium, </w:t>
      </w:r>
      <w:r w:rsidRPr="00597FFB">
        <w:rPr>
          <w:rFonts w:ascii="Times New Roman" w:eastAsia="Times New Roman" w:hAnsi="Times New Roman" w:cs="Times New Roman"/>
          <w:bCs/>
          <w:color w:val="000000" w:themeColor="text1"/>
          <w:sz w:val="24"/>
          <w:szCs w:val="24"/>
          <w:lang w:val="en-GB"/>
        </w:rPr>
        <w:t xml:space="preserve">copper, </w:t>
      </w:r>
      <w:r w:rsidR="00FE5B19" w:rsidRPr="00597FFB">
        <w:rPr>
          <w:rFonts w:ascii="Times New Roman" w:eastAsia="Times New Roman" w:hAnsi="Times New Roman" w:cs="Times New Roman"/>
          <w:bCs/>
          <w:color w:val="000000" w:themeColor="text1"/>
          <w:sz w:val="24"/>
          <w:szCs w:val="24"/>
          <w:lang w:val="en-GB"/>
        </w:rPr>
        <w:t xml:space="preserve">nonmetals </w:t>
      </w:r>
      <w:r w:rsidRPr="00597FFB">
        <w:rPr>
          <w:rFonts w:ascii="Times New Roman" w:eastAsia="Times New Roman" w:hAnsi="Times New Roman" w:cs="Times New Roman"/>
          <w:bCs/>
          <w:color w:val="000000" w:themeColor="text1"/>
          <w:sz w:val="24"/>
          <w:szCs w:val="24"/>
          <w:lang w:val="en-GB"/>
        </w:rPr>
        <w:t>and</w:t>
      </w:r>
      <w:r w:rsidR="00FE5B19" w:rsidRPr="00597FFB">
        <w:rPr>
          <w:rFonts w:ascii="Times New Roman" w:eastAsia="Times New Roman" w:hAnsi="Times New Roman" w:cs="Times New Roman"/>
          <w:bCs/>
          <w:color w:val="000000" w:themeColor="text1"/>
          <w:sz w:val="24"/>
          <w:szCs w:val="24"/>
          <w:lang w:val="en-GB"/>
        </w:rPr>
        <w:t xml:space="preserve"> metals</w:t>
      </w:r>
      <w:r w:rsidRPr="00597FFB">
        <w:rPr>
          <w:rFonts w:ascii="Times New Roman" w:eastAsia="Times New Roman" w:hAnsi="Times New Roman" w:cs="Times New Roman"/>
          <w:bCs/>
          <w:color w:val="000000" w:themeColor="text1"/>
          <w:sz w:val="24"/>
          <w:szCs w:val="24"/>
          <w:lang w:val="en-GB"/>
        </w:rPr>
        <w:t xml:space="preserve">) </w:t>
      </w:r>
      <w:r w:rsidRPr="00597FFB">
        <w:rPr>
          <w:rFonts w:ascii="Times New Roman" w:eastAsiaTheme="minorHAnsi" w:hAnsi="Times New Roman" w:cs="Times New Roman"/>
          <w:color w:val="000000" w:themeColor="text1"/>
          <w:sz w:val="24"/>
          <w:lang w:val="en-GB"/>
        </w:rPr>
        <w:t>(Asefi et al., 2019)</w:t>
      </w:r>
      <w:r w:rsidRPr="00597FFB">
        <w:rPr>
          <w:rFonts w:ascii="Times New Roman" w:eastAsia="Times New Roman" w:hAnsi="Times New Roman" w:cs="Times New Roman"/>
          <w:bCs/>
          <w:color w:val="000000" w:themeColor="text1"/>
          <w:sz w:val="24"/>
          <w:szCs w:val="24"/>
          <w:lang w:val="en-GB"/>
        </w:rPr>
        <w:t xml:space="preserve">. </w:t>
      </w:r>
      <w:r w:rsidR="00A90ABE" w:rsidRPr="00597FFB">
        <w:rPr>
          <w:rFonts w:ascii="Times New Roman" w:eastAsia="Times New Roman" w:hAnsi="Times New Roman" w:cs="Times New Roman"/>
          <w:bCs/>
          <w:color w:val="000000" w:themeColor="text1"/>
          <w:sz w:val="24"/>
          <w:szCs w:val="24"/>
          <w:lang w:val="en-GB"/>
        </w:rPr>
        <w:t>Subsequently</w:t>
      </w:r>
      <w:r w:rsidRPr="00597FFB">
        <w:rPr>
          <w:rFonts w:ascii="Times New Roman" w:eastAsia="Times New Roman" w:hAnsi="Times New Roman" w:cs="Times New Roman"/>
          <w:bCs/>
          <w:color w:val="000000" w:themeColor="text1"/>
          <w:sz w:val="24"/>
          <w:szCs w:val="24"/>
          <w:lang w:val="en-GB"/>
        </w:rPr>
        <w:t xml:space="preserve">, </w:t>
      </w:r>
      <w:r w:rsidR="008B0D32" w:rsidRPr="00597FFB">
        <w:rPr>
          <w:rFonts w:ascii="Times New Roman" w:eastAsia="Times New Roman" w:hAnsi="Times New Roman" w:cs="Times New Roman"/>
          <w:bCs/>
          <w:color w:val="000000" w:themeColor="text1"/>
          <w:sz w:val="24"/>
          <w:szCs w:val="24"/>
          <w:lang w:val="en-GB"/>
        </w:rPr>
        <w:t xml:space="preserve">metallurgical processes and </w:t>
      </w:r>
      <w:r w:rsidRPr="00597FFB">
        <w:rPr>
          <w:rFonts w:ascii="Times New Roman" w:eastAsia="Times New Roman" w:hAnsi="Times New Roman" w:cs="Times New Roman"/>
          <w:bCs/>
          <w:color w:val="000000" w:themeColor="text1"/>
          <w:sz w:val="24"/>
          <w:szCs w:val="24"/>
          <w:lang w:val="en-GB"/>
        </w:rPr>
        <w:t xml:space="preserve">chemical recycling </w:t>
      </w:r>
      <w:r w:rsidR="008B0D32" w:rsidRPr="00597FFB">
        <w:rPr>
          <w:rFonts w:ascii="Times New Roman" w:eastAsia="Times New Roman" w:hAnsi="Times New Roman" w:cs="Times New Roman"/>
          <w:bCs/>
          <w:color w:val="000000" w:themeColor="text1"/>
          <w:sz w:val="24"/>
          <w:szCs w:val="24"/>
          <w:lang w:val="en-GB"/>
        </w:rPr>
        <w:t>methods</w:t>
      </w:r>
      <w:r w:rsidRPr="00597FFB">
        <w:rPr>
          <w:rFonts w:ascii="Times New Roman" w:eastAsia="Times New Roman" w:hAnsi="Times New Roman" w:cs="Times New Roman"/>
          <w:bCs/>
          <w:color w:val="000000" w:themeColor="text1"/>
          <w:sz w:val="24"/>
          <w:szCs w:val="24"/>
          <w:lang w:val="en-GB"/>
        </w:rPr>
        <w:t xml:space="preserve"> are </w:t>
      </w:r>
      <w:r w:rsidR="008B0D32" w:rsidRPr="00597FFB">
        <w:rPr>
          <w:rFonts w:ascii="Times New Roman" w:eastAsia="Times New Roman" w:hAnsi="Times New Roman" w:cs="Times New Roman"/>
          <w:bCs/>
          <w:color w:val="000000" w:themeColor="text1"/>
          <w:sz w:val="24"/>
          <w:szCs w:val="24"/>
          <w:lang w:val="en-GB"/>
        </w:rPr>
        <w:t>applied in separating</w:t>
      </w:r>
      <w:r w:rsidRPr="00597FFB">
        <w:rPr>
          <w:rFonts w:ascii="Times New Roman" w:eastAsia="Times New Roman" w:hAnsi="Times New Roman" w:cs="Times New Roman"/>
          <w:bCs/>
          <w:color w:val="000000" w:themeColor="text1"/>
          <w:sz w:val="24"/>
          <w:szCs w:val="24"/>
          <w:lang w:val="en-GB"/>
        </w:rPr>
        <w:t xml:space="preserve"> </w:t>
      </w:r>
      <w:r w:rsidR="008B0D32" w:rsidRPr="00597FFB">
        <w:rPr>
          <w:rFonts w:ascii="Times New Roman" w:eastAsia="Times New Roman" w:hAnsi="Times New Roman" w:cs="Times New Roman"/>
          <w:bCs/>
          <w:color w:val="000000" w:themeColor="text1"/>
          <w:sz w:val="24"/>
          <w:szCs w:val="24"/>
          <w:lang w:val="en-GB"/>
        </w:rPr>
        <w:t xml:space="preserve">metallic </w:t>
      </w:r>
      <w:r w:rsidRPr="00597FFB">
        <w:rPr>
          <w:rFonts w:ascii="Times New Roman" w:eastAsia="Times New Roman" w:hAnsi="Times New Roman" w:cs="Times New Roman"/>
          <w:bCs/>
          <w:color w:val="000000" w:themeColor="text1"/>
          <w:sz w:val="24"/>
          <w:szCs w:val="24"/>
          <w:lang w:val="en-GB"/>
        </w:rPr>
        <w:t xml:space="preserve">and </w:t>
      </w:r>
      <w:r w:rsidR="008B0D32" w:rsidRPr="00597FFB">
        <w:rPr>
          <w:rFonts w:ascii="Times New Roman" w:eastAsia="Times New Roman" w:hAnsi="Times New Roman" w:cs="Times New Roman"/>
          <w:bCs/>
          <w:color w:val="000000" w:themeColor="text1"/>
          <w:sz w:val="24"/>
          <w:szCs w:val="24"/>
          <w:lang w:val="en-GB"/>
        </w:rPr>
        <w:t xml:space="preserve">organic </w:t>
      </w:r>
      <w:r w:rsidRPr="00597FFB">
        <w:rPr>
          <w:rFonts w:ascii="Times New Roman" w:eastAsia="Times New Roman" w:hAnsi="Times New Roman" w:cs="Times New Roman"/>
          <w:bCs/>
          <w:color w:val="000000" w:themeColor="text1"/>
          <w:sz w:val="24"/>
          <w:szCs w:val="24"/>
          <w:lang w:val="en-GB"/>
        </w:rPr>
        <w:t>materials. Metals</w:t>
      </w:r>
      <w:r w:rsidR="00463AAA" w:rsidRPr="00597FFB">
        <w:rPr>
          <w:rFonts w:ascii="Times New Roman" w:eastAsia="Times New Roman" w:hAnsi="Times New Roman" w:cs="Times New Roman"/>
          <w:bCs/>
          <w:color w:val="000000" w:themeColor="text1"/>
          <w:sz w:val="24"/>
          <w:szCs w:val="24"/>
          <w:lang w:val="en-GB"/>
        </w:rPr>
        <w:t xml:space="preserve"> </w:t>
      </w:r>
      <w:r w:rsidRPr="00597FFB">
        <w:rPr>
          <w:rFonts w:ascii="Times New Roman" w:eastAsia="Times New Roman" w:hAnsi="Times New Roman" w:cs="Times New Roman"/>
          <w:bCs/>
          <w:color w:val="000000" w:themeColor="text1"/>
          <w:sz w:val="24"/>
          <w:szCs w:val="24"/>
          <w:lang w:val="en-GB"/>
        </w:rPr>
        <w:t xml:space="preserve">can be melted </w:t>
      </w:r>
      <w:r w:rsidR="00463AAA" w:rsidRPr="00597FFB">
        <w:rPr>
          <w:rFonts w:ascii="Times New Roman" w:eastAsia="Times New Roman" w:hAnsi="Times New Roman" w:cs="Times New Roman"/>
          <w:bCs/>
          <w:color w:val="000000" w:themeColor="text1"/>
          <w:sz w:val="24"/>
          <w:szCs w:val="24"/>
          <w:lang w:val="en-GB"/>
        </w:rPr>
        <w:t>under</w:t>
      </w:r>
      <w:r w:rsidRPr="00597FFB">
        <w:rPr>
          <w:rFonts w:ascii="Times New Roman" w:eastAsia="Times New Roman" w:hAnsi="Times New Roman" w:cs="Times New Roman"/>
          <w:bCs/>
          <w:color w:val="000000" w:themeColor="text1"/>
          <w:sz w:val="24"/>
          <w:szCs w:val="24"/>
          <w:lang w:val="en-GB"/>
        </w:rPr>
        <w:t xml:space="preserve"> heat (using a smelting and pyrometallurgical process) or dissolved by a liquid or chemical (using a leaching and hydrometallurgical process). The metals can then be </w:t>
      </w:r>
      <w:r w:rsidR="00463AAA" w:rsidRPr="00597FFB">
        <w:rPr>
          <w:rFonts w:ascii="Times New Roman" w:eastAsia="Times New Roman" w:hAnsi="Times New Roman" w:cs="Times New Roman"/>
          <w:bCs/>
          <w:color w:val="000000" w:themeColor="text1"/>
          <w:sz w:val="24"/>
          <w:szCs w:val="24"/>
          <w:lang w:val="en-GB"/>
        </w:rPr>
        <w:t xml:space="preserve">sorted </w:t>
      </w:r>
      <w:r w:rsidRPr="00597FFB">
        <w:rPr>
          <w:rFonts w:ascii="Times New Roman" w:eastAsia="Times New Roman" w:hAnsi="Times New Roman" w:cs="Times New Roman"/>
          <w:bCs/>
          <w:color w:val="000000" w:themeColor="text1"/>
          <w:sz w:val="24"/>
          <w:szCs w:val="24"/>
          <w:lang w:val="en-GB"/>
        </w:rPr>
        <w:t xml:space="preserve">further </w:t>
      </w:r>
      <w:r w:rsidR="00463AAA" w:rsidRPr="00597FFB">
        <w:rPr>
          <w:rFonts w:ascii="Times New Roman" w:eastAsia="Times New Roman" w:hAnsi="Times New Roman" w:cs="Times New Roman"/>
          <w:bCs/>
          <w:color w:val="000000" w:themeColor="text1"/>
          <w:sz w:val="24"/>
          <w:szCs w:val="24"/>
          <w:lang w:val="en-GB"/>
        </w:rPr>
        <w:t>depending</w:t>
      </w:r>
      <w:r w:rsidRPr="00597FFB">
        <w:rPr>
          <w:rFonts w:ascii="Times New Roman" w:eastAsia="Times New Roman" w:hAnsi="Times New Roman" w:cs="Times New Roman"/>
          <w:bCs/>
          <w:color w:val="000000" w:themeColor="text1"/>
          <w:sz w:val="24"/>
          <w:szCs w:val="24"/>
          <w:lang w:val="en-GB"/>
        </w:rPr>
        <w:t xml:space="preserve"> on </w:t>
      </w:r>
      <w:r w:rsidR="00463AAA" w:rsidRPr="00597FFB">
        <w:rPr>
          <w:rFonts w:ascii="Times New Roman" w:eastAsia="Times New Roman" w:hAnsi="Times New Roman" w:cs="Times New Roman"/>
          <w:bCs/>
          <w:color w:val="000000" w:themeColor="text1"/>
          <w:sz w:val="24"/>
          <w:szCs w:val="24"/>
          <w:lang w:val="en-GB"/>
        </w:rPr>
        <w:t xml:space="preserve">their </w:t>
      </w:r>
      <w:r w:rsidRPr="00597FFB">
        <w:rPr>
          <w:rFonts w:ascii="Times New Roman" w:eastAsia="Times New Roman" w:hAnsi="Times New Roman" w:cs="Times New Roman"/>
          <w:bCs/>
          <w:color w:val="000000" w:themeColor="text1"/>
          <w:sz w:val="24"/>
          <w:szCs w:val="24"/>
          <w:lang w:val="en-GB"/>
        </w:rPr>
        <w:t xml:space="preserve">chemical </w:t>
      </w:r>
      <w:r w:rsidR="00463AAA" w:rsidRPr="00597FFB">
        <w:rPr>
          <w:rFonts w:ascii="Times New Roman" w:eastAsia="Times New Roman" w:hAnsi="Times New Roman" w:cs="Times New Roman"/>
          <w:bCs/>
          <w:color w:val="000000" w:themeColor="text1"/>
          <w:sz w:val="24"/>
          <w:szCs w:val="24"/>
          <w:lang w:val="en-GB"/>
        </w:rPr>
        <w:t>composition</w:t>
      </w:r>
      <w:r w:rsidRPr="00597FFB">
        <w:rPr>
          <w:rFonts w:ascii="Times New Roman" w:eastAsia="Times New Roman" w:hAnsi="Times New Roman" w:cs="Times New Roman"/>
          <w:bCs/>
          <w:color w:val="000000" w:themeColor="text1"/>
          <w:sz w:val="24"/>
          <w:szCs w:val="24"/>
          <w:lang w:val="en-GB"/>
        </w:rPr>
        <w:t>. Lastly, the</w:t>
      </w:r>
      <w:r w:rsidR="00463AAA" w:rsidRPr="00597FFB">
        <w:rPr>
          <w:rFonts w:ascii="Times New Roman" w:eastAsia="Times New Roman" w:hAnsi="Times New Roman" w:cs="Times New Roman"/>
          <w:bCs/>
          <w:color w:val="000000" w:themeColor="text1"/>
          <w:sz w:val="24"/>
          <w:szCs w:val="24"/>
          <w:lang w:val="en-GB"/>
        </w:rPr>
        <w:t>se</w:t>
      </w:r>
      <w:r w:rsidRPr="00597FFB">
        <w:rPr>
          <w:rFonts w:ascii="Times New Roman" w:eastAsia="Times New Roman" w:hAnsi="Times New Roman" w:cs="Times New Roman"/>
          <w:bCs/>
          <w:color w:val="000000" w:themeColor="text1"/>
          <w:sz w:val="24"/>
          <w:szCs w:val="24"/>
          <w:lang w:val="en-GB"/>
        </w:rPr>
        <w:t xml:space="preserve"> metals that are dissolved </w:t>
      </w:r>
      <w:r w:rsidR="00463AAA" w:rsidRPr="00597FFB">
        <w:rPr>
          <w:rFonts w:ascii="Times New Roman" w:eastAsia="Times New Roman" w:hAnsi="Times New Roman" w:cs="Times New Roman"/>
          <w:bCs/>
          <w:color w:val="000000" w:themeColor="text1"/>
          <w:sz w:val="24"/>
          <w:szCs w:val="24"/>
          <w:lang w:val="en-GB"/>
        </w:rPr>
        <w:t>through</w:t>
      </w:r>
      <w:r w:rsidRPr="00597FFB">
        <w:rPr>
          <w:rFonts w:ascii="Times New Roman" w:eastAsia="Times New Roman" w:hAnsi="Times New Roman" w:cs="Times New Roman"/>
          <w:bCs/>
          <w:color w:val="000000" w:themeColor="text1"/>
          <w:sz w:val="24"/>
          <w:szCs w:val="24"/>
          <w:lang w:val="en-GB"/>
        </w:rPr>
        <w:t xml:space="preserve"> the leaching method </w:t>
      </w:r>
      <w:r w:rsidR="00463AAA" w:rsidRPr="00597FFB">
        <w:rPr>
          <w:rFonts w:ascii="Times New Roman" w:eastAsia="Times New Roman" w:hAnsi="Times New Roman" w:cs="Times New Roman"/>
          <w:bCs/>
          <w:color w:val="000000" w:themeColor="text1"/>
          <w:sz w:val="24"/>
          <w:szCs w:val="24"/>
          <w:lang w:val="en-GB"/>
        </w:rPr>
        <w:t>are recoverable</w:t>
      </w:r>
      <w:r w:rsidRPr="00597FFB">
        <w:rPr>
          <w:rFonts w:ascii="Times New Roman" w:eastAsia="Times New Roman" w:hAnsi="Times New Roman" w:cs="Times New Roman"/>
          <w:bCs/>
          <w:color w:val="000000" w:themeColor="text1"/>
          <w:sz w:val="24"/>
          <w:szCs w:val="24"/>
          <w:lang w:val="en-GB"/>
        </w:rPr>
        <w:t xml:space="preserve"> using </w:t>
      </w:r>
      <w:r w:rsidR="00463AAA" w:rsidRPr="00597FFB">
        <w:rPr>
          <w:rFonts w:ascii="Times New Roman" w:eastAsia="Times New Roman" w:hAnsi="Times New Roman" w:cs="Times New Roman"/>
          <w:bCs/>
          <w:color w:val="000000" w:themeColor="text1"/>
          <w:sz w:val="24"/>
          <w:szCs w:val="24"/>
          <w:lang w:val="en-GB"/>
        </w:rPr>
        <w:t xml:space="preserve">techniques for </w:t>
      </w:r>
      <w:r w:rsidRPr="00597FFB">
        <w:rPr>
          <w:rFonts w:ascii="Times New Roman" w:eastAsia="Times New Roman" w:hAnsi="Times New Roman" w:cs="Times New Roman"/>
          <w:bCs/>
          <w:color w:val="000000" w:themeColor="text1"/>
          <w:sz w:val="24"/>
          <w:szCs w:val="24"/>
          <w:lang w:val="en-GB"/>
        </w:rPr>
        <w:t xml:space="preserve">purification </w:t>
      </w:r>
      <w:r w:rsidRPr="00597FFB">
        <w:rPr>
          <w:rFonts w:ascii="Times New Roman" w:eastAsiaTheme="minorHAnsi" w:hAnsi="Times New Roman" w:cs="Times New Roman"/>
          <w:color w:val="000000" w:themeColor="text1"/>
          <w:sz w:val="24"/>
          <w:lang w:val="en-GB"/>
        </w:rPr>
        <w:t>(Bhatia &amp; Srivastava, 2018)</w:t>
      </w:r>
      <w:r w:rsidRPr="00597FFB">
        <w:rPr>
          <w:rFonts w:ascii="Times New Roman" w:eastAsia="Times New Roman" w:hAnsi="Times New Roman" w:cs="Times New Roman"/>
          <w:bCs/>
          <w:color w:val="000000" w:themeColor="text1"/>
          <w:sz w:val="24"/>
          <w:szCs w:val="24"/>
          <w:lang w:val="en-GB"/>
        </w:rPr>
        <w:t>.</w:t>
      </w:r>
    </w:p>
    <w:p w14:paraId="64C23748" w14:textId="706C79EB" w:rsidR="0003140E" w:rsidRPr="00597FFB" w:rsidRDefault="00451B9C" w:rsidP="00A558FE">
      <w:pPr>
        <w:spacing w:after="0" w:line="480" w:lineRule="auto"/>
        <w:ind w:left="360" w:hanging="360"/>
        <w:contextualSpacing/>
        <w:jc w:val="both"/>
        <w:outlineLvl w:val="3"/>
        <w:rPr>
          <w:rFonts w:ascii="Times New Roman" w:eastAsia="Times New Roman" w:hAnsi="Times New Roman" w:cs="Times New Roman"/>
          <w:bCs/>
          <w:i/>
          <w:iCs/>
          <w:color w:val="000000" w:themeColor="text1"/>
          <w:sz w:val="24"/>
          <w:szCs w:val="24"/>
        </w:rPr>
      </w:pPr>
      <w:r w:rsidRPr="00597FFB">
        <w:rPr>
          <w:rFonts w:ascii="Times New Roman" w:eastAsia="Times New Roman" w:hAnsi="Times New Roman" w:cs="Times New Roman"/>
          <w:bCs/>
          <w:i/>
          <w:iCs/>
          <w:color w:val="000000" w:themeColor="text1"/>
          <w:sz w:val="24"/>
          <w:szCs w:val="24"/>
        </w:rPr>
        <w:t>2.5.</w:t>
      </w:r>
      <w:r w:rsidR="00F33977" w:rsidRPr="00597FFB">
        <w:rPr>
          <w:rFonts w:ascii="Times New Roman" w:eastAsia="Times New Roman" w:hAnsi="Times New Roman" w:cs="Times New Roman"/>
          <w:bCs/>
          <w:i/>
          <w:iCs/>
          <w:color w:val="000000" w:themeColor="text1"/>
          <w:sz w:val="24"/>
          <w:szCs w:val="24"/>
        </w:rPr>
        <w:t>1.2</w:t>
      </w:r>
      <w:r w:rsidRPr="00597FFB">
        <w:rPr>
          <w:rFonts w:ascii="Times New Roman" w:eastAsia="Times New Roman" w:hAnsi="Times New Roman" w:cs="Times New Roman"/>
          <w:bCs/>
          <w:i/>
          <w:iCs/>
          <w:color w:val="000000" w:themeColor="text1"/>
          <w:sz w:val="24"/>
          <w:szCs w:val="24"/>
        </w:rPr>
        <w:t xml:space="preserve">. </w:t>
      </w:r>
      <w:r w:rsidR="0003140E" w:rsidRPr="00597FFB">
        <w:rPr>
          <w:rFonts w:ascii="Times New Roman" w:eastAsia="Times New Roman" w:hAnsi="Times New Roman" w:cs="Times New Roman"/>
          <w:bCs/>
          <w:i/>
          <w:iCs/>
          <w:color w:val="000000" w:themeColor="text1"/>
          <w:sz w:val="24"/>
          <w:szCs w:val="24"/>
        </w:rPr>
        <w:t>Informal Recycling Processes</w:t>
      </w:r>
      <w:r w:rsidR="00C16429" w:rsidRPr="00597FFB">
        <w:rPr>
          <w:rFonts w:ascii="Times New Roman" w:eastAsia="Times New Roman" w:hAnsi="Times New Roman" w:cs="Times New Roman"/>
          <w:bCs/>
          <w:i/>
          <w:iCs/>
          <w:color w:val="000000" w:themeColor="text1"/>
          <w:sz w:val="24"/>
          <w:szCs w:val="24"/>
        </w:rPr>
        <w:t>.</w:t>
      </w:r>
    </w:p>
    <w:p w14:paraId="09CFAE36" w14:textId="1E6941CF" w:rsidR="0003140E" w:rsidRPr="00597FFB" w:rsidRDefault="0003140E" w:rsidP="00A558FE">
      <w:pPr>
        <w:spacing w:line="480" w:lineRule="auto"/>
        <w:ind w:firstLine="360"/>
        <w:jc w:val="both"/>
        <w:rPr>
          <w:rFonts w:ascii="Times New Roman" w:eastAsia="Times New Roman" w:hAnsi="Times New Roman" w:cs="Times New Roman"/>
          <w:color w:val="000000" w:themeColor="text1"/>
          <w:sz w:val="24"/>
          <w:szCs w:val="24"/>
          <w:lang w:val="en-GB"/>
        </w:rPr>
      </w:pPr>
      <w:r w:rsidRPr="00597FFB">
        <w:rPr>
          <w:rFonts w:ascii="Times New Roman" w:eastAsia="Times New Roman" w:hAnsi="Times New Roman" w:cs="Times New Roman"/>
          <w:color w:val="000000" w:themeColor="text1"/>
          <w:sz w:val="24"/>
          <w:szCs w:val="24"/>
          <w:lang w:val="en-GB"/>
        </w:rPr>
        <w:t xml:space="preserve">In informal </w:t>
      </w:r>
      <w:r w:rsidR="00AD0A84" w:rsidRPr="00597FFB">
        <w:rPr>
          <w:rFonts w:ascii="Times New Roman" w:eastAsia="Times New Roman" w:hAnsi="Times New Roman" w:cs="Times New Roman"/>
          <w:color w:val="000000" w:themeColor="text1"/>
          <w:sz w:val="24"/>
          <w:szCs w:val="24"/>
          <w:lang w:val="en-GB"/>
        </w:rPr>
        <w:t>recycling sectors</w:t>
      </w:r>
      <w:r w:rsidRPr="00597FFB">
        <w:rPr>
          <w:rFonts w:ascii="Times New Roman" w:eastAsia="Times New Roman" w:hAnsi="Times New Roman" w:cs="Times New Roman"/>
          <w:color w:val="000000" w:themeColor="text1"/>
          <w:sz w:val="24"/>
          <w:szCs w:val="24"/>
          <w:lang w:val="en-GB"/>
        </w:rPr>
        <w:t xml:space="preserve">, </w:t>
      </w:r>
      <w:r w:rsidR="00AD0A84" w:rsidRPr="00597FFB">
        <w:rPr>
          <w:rFonts w:ascii="Times New Roman" w:eastAsia="Times New Roman" w:hAnsi="Times New Roman" w:cs="Times New Roman"/>
          <w:color w:val="000000" w:themeColor="text1"/>
          <w:sz w:val="24"/>
          <w:szCs w:val="24"/>
          <w:lang w:val="en-GB"/>
        </w:rPr>
        <w:t xml:space="preserve">e-waste </w:t>
      </w:r>
      <w:r w:rsidRPr="00597FFB">
        <w:rPr>
          <w:rFonts w:ascii="Times New Roman" w:eastAsia="Times New Roman" w:hAnsi="Times New Roman" w:cs="Times New Roman"/>
          <w:color w:val="000000" w:themeColor="text1"/>
          <w:sz w:val="24"/>
          <w:szCs w:val="24"/>
          <w:lang w:val="en-GB"/>
        </w:rPr>
        <w:t>collection is conducted by self-employed peddlers</w:t>
      </w:r>
      <w:r w:rsidR="00AD0A84" w:rsidRPr="00597FFB">
        <w:rPr>
          <w:rFonts w:ascii="Times New Roman" w:eastAsia="Times New Roman" w:hAnsi="Times New Roman" w:cs="Times New Roman"/>
          <w:color w:val="000000" w:themeColor="text1"/>
          <w:sz w:val="24"/>
          <w:szCs w:val="24"/>
          <w:lang w:val="en-GB"/>
        </w:rPr>
        <w:t>. These peddlers purchase</w:t>
      </w:r>
      <w:r w:rsidRPr="00597FFB">
        <w:rPr>
          <w:rFonts w:ascii="Times New Roman" w:eastAsia="Times New Roman" w:hAnsi="Times New Roman" w:cs="Times New Roman"/>
          <w:color w:val="000000" w:themeColor="text1"/>
          <w:sz w:val="24"/>
          <w:szCs w:val="24"/>
          <w:lang w:val="en-GB"/>
        </w:rPr>
        <w:t xml:space="preserve"> e-waste from</w:t>
      </w:r>
      <w:r w:rsidR="00AD0A84" w:rsidRPr="00597FFB">
        <w:rPr>
          <w:rFonts w:ascii="Times New Roman" w:eastAsia="Times New Roman" w:hAnsi="Times New Roman" w:cs="Times New Roman"/>
          <w:color w:val="000000" w:themeColor="text1"/>
          <w:sz w:val="24"/>
          <w:szCs w:val="24"/>
          <w:lang w:val="en-GB"/>
        </w:rPr>
        <w:t xml:space="preserve"> end-user</w:t>
      </w:r>
      <w:r w:rsidRPr="00597FFB">
        <w:rPr>
          <w:rFonts w:ascii="Times New Roman" w:eastAsia="Times New Roman" w:hAnsi="Times New Roman" w:cs="Times New Roman"/>
          <w:color w:val="000000" w:themeColor="text1"/>
          <w:sz w:val="24"/>
          <w:szCs w:val="24"/>
          <w:lang w:val="en-GB"/>
        </w:rPr>
        <w:t xml:space="preserve"> consumers </w:t>
      </w:r>
      <w:r w:rsidR="00AD0A84" w:rsidRPr="00597FFB">
        <w:rPr>
          <w:rFonts w:ascii="Times New Roman" w:eastAsia="Times New Roman" w:hAnsi="Times New Roman" w:cs="Times New Roman"/>
          <w:color w:val="000000" w:themeColor="text1"/>
          <w:sz w:val="24"/>
          <w:szCs w:val="24"/>
          <w:lang w:val="en-GB"/>
        </w:rPr>
        <w:t>since,</w:t>
      </w:r>
      <w:r w:rsidRPr="00597FFB">
        <w:rPr>
          <w:rFonts w:ascii="Times New Roman" w:eastAsia="Times New Roman" w:hAnsi="Times New Roman" w:cs="Times New Roman"/>
          <w:color w:val="000000" w:themeColor="text1"/>
          <w:sz w:val="24"/>
          <w:szCs w:val="24"/>
          <w:lang w:val="en-GB"/>
        </w:rPr>
        <w:t xml:space="preserve"> in some developing </w:t>
      </w:r>
      <w:r w:rsidR="00AD0A84" w:rsidRPr="00597FFB">
        <w:rPr>
          <w:rFonts w:ascii="Times New Roman" w:eastAsia="Times New Roman" w:hAnsi="Times New Roman" w:cs="Times New Roman"/>
          <w:color w:val="000000" w:themeColor="text1"/>
          <w:sz w:val="24"/>
          <w:szCs w:val="24"/>
          <w:lang w:val="en-GB"/>
        </w:rPr>
        <w:t>nations like India,</w:t>
      </w:r>
      <w:r w:rsidRPr="00597FFB">
        <w:rPr>
          <w:rFonts w:ascii="Times New Roman" w:eastAsia="Times New Roman" w:hAnsi="Times New Roman" w:cs="Times New Roman"/>
          <w:color w:val="000000" w:themeColor="text1"/>
          <w:sz w:val="24"/>
          <w:szCs w:val="24"/>
          <w:lang w:val="en-GB"/>
        </w:rPr>
        <w:t xml:space="preserve"> China, and in the MENA region, consumers expect </w:t>
      </w:r>
      <w:r w:rsidR="00AD0A84" w:rsidRPr="00597FFB">
        <w:rPr>
          <w:rFonts w:ascii="Times New Roman" w:eastAsia="Times New Roman" w:hAnsi="Times New Roman" w:cs="Times New Roman"/>
          <w:color w:val="000000" w:themeColor="text1"/>
          <w:sz w:val="24"/>
          <w:szCs w:val="24"/>
          <w:lang w:val="en-GB"/>
        </w:rPr>
        <w:t>to profit economically</w:t>
      </w:r>
      <w:r w:rsidRPr="00597FFB">
        <w:rPr>
          <w:rFonts w:ascii="Times New Roman" w:eastAsia="Times New Roman" w:hAnsi="Times New Roman" w:cs="Times New Roman"/>
          <w:color w:val="000000" w:themeColor="text1"/>
          <w:sz w:val="24"/>
          <w:szCs w:val="24"/>
          <w:lang w:val="en-GB"/>
        </w:rPr>
        <w:t xml:space="preserve"> for </w:t>
      </w:r>
      <w:r w:rsidR="00AD0A84" w:rsidRPr="00597FFB">
        <w:rPr>
          <w:rFonts w:ascii="Times New Roman" w:eastAsia="Times New Roman" w:hAnsi="Times New Roman" w:cs="Times New Roman"/>
          <w:color w:val="000000" w:themeColor="text1"/>
          <w:sz w:val="24"/>
          <w:szCs w:val="24"/>
          <w:lang w:val="en-GB"/>
        </w:rPr>
        <w:t>getting rid of</w:t>
      </w:r>
      <w:r w:rsidRPr="00597FFB">
        <w:rPr>
          <w:rFonts w:ascii="Times New Roman" w:eastAsia="Times New Roman" w:hAnsi="Times New Roman" w:cs="Times New Roman"/>
          <w:color w:val="000000" w:themeColor="text1"/>
          <w:sz w:val="24"/>
          <w:szCs w:val="24"/>
          <w:lang w:val="en-GB"/>
        </w:rPr>
        <w:t xml:space="preserve"> e-waste</w:t>
      </w:r>
      <w:r w:rsidR="00AD0A84" w:rsidRPr="00597FFB">
        <w:rPr>
          <w:rFonts w:ascii="Times New Roman" w:eastAsia="Times New Roman" w:hAnsi="Times New Roman" w:cs="Times New Roman"/>
          <w:color w:val="000000" w:themeColor="text1"/>
          <w:sz w:val="24"/>
          <w:szCs w:val="24"/>
          <w:lang w:val="en-GB"/>
        </w:rPr>
        <w:t xml:space="preserve"> this way</w:t>
      </w:r>
      <w:r w:rsidRPr="00597FFB">
        <w:rPr>
          <w:rFonts w:ascii="Times New Roman" w:eastAsia="Times New Roman" w:hAnsi="Times New Roman" w:cs="Times New Roman"/>
          <w:color w:val="000000" w:themeColor="text1"/>
          <w:sz w:val="24"/>
          <w:szCs w:val="24"/>
          <w:lang w:val="en-GB"/>
        </w:rPr>
        <w:t xml:space="preserve">. The </w:t>
      </w:r>
      <w:r w:rsidR="00AD0A84" w:rsidRPr="00597FFB">
        <w:rPr>
          <w:rFonts w:ascii="Times New Roman" w:eastAsia="Times New Roman" w:hAnsi="Times New Roman" w:cs="Times New Roman"/>
          <w:color w:val="000000" w:themeColor="text1"/>
          <w:sz w:val="24"/>
          <w:szCs w:val="24"/>
          <w:lang w:val="en-GB"/>
        </w:rPr>
        <w:t xml:space="preserve">main informal recycling </w:t>
      </w:r>
      <w:r w:rsidRPr="00597FFB">
        <w:rPr>
          <w:rFonts w:ascii="Times New Roman" w:eastAsia="Times New Roman" w:hAnsi="Times New Roman" w:cs="Times New Roman"/>
          <w:color w:val="000000" w:themeColor="text1"/>
          <w:sz w:val="24"/>
          <w:szCs w:val="24"/>
          <w:lang w:val="en-GB"/>
        </w:rPr>
        <w:t xml:space="preserve">processes involve manual </w:t>
      </w:r>
      <w:r w:rsidR="00AD0A84" w:rsidRPr="00597FFB">
        <w:rPr>
          <w:rFonts w:ascii="Times New Roman" w:eastAsia="Times New Roman" w:hAnsi="Times New Roman" w:cs="Times New Roman"/>
          <w:color w:val="000000" w:themeColor="text1"/>
          <w:sz w:val="24"/>
          <w:szCs w:val="24"/>
          <w:lang w:val="en-GB"/>
        </w:rPr>
        <w:t xml:space="preserve">dismantling </w:t>
      </w:r>
      <w:r w:rsidRPr="00597FFB">
        <w:rPr>
          <w:rFonts w:ascii="Times New Roman" w:eastAsia="Times New Roman" w:hAnsi="Times New Roman" w:cs="Times New Roman"/>
          <w:color w:val="000000" w:themeColor="text1"/>
          <w:sz w:val="24"/>
          <w:szCs w:val="24"/>
          <w:lang w:val="en-GB"/>
        </w:rPr>
        <w:t xml:space="preserve">and </w:t>
      </w:r>
      <w:r w:rsidR="00AD0A84" w:rsidRPr="00597FFB">
        <w:rPr>
          <w:rFonts w:ascii="Times New Roman" w:eastAsia="Times New Roman" w:hAnsi="Times New Roman" w:cs="Times New Roman"/>
          <w:color w:val="000000" w:themeColor="text1"/>
          <w:sz w:val="24"/>
          <w:szCs w:val="24"/>
          <w:lang w:val="en-GB"/>
        </w:rPr>
        <w:t>sorting using</w:t>
      </w:r>
      <w:r w:rsidRPr="00597FFB">
        <w:rPr>
          <w:rFonts w:ascii="Times New Roman" w:eastAsia="Times New Roman" w:hAnsi="Times New Roman" w:cs="Times New Roman"/>
          <w:color w:val="000000" w:themeColor="text1"/>
          <w:sz w:val="24"/>
          <w:szCs w:val="24"/>
          <w:lang w:val="en-GB"/>
        </w:rPr>
        <w:t xml:space="preserve"> </w:t>
      </w:r>
      <w:r w:rsidR="00AD0A84" w:rsidRPr="00597FFB">
        <w:rPr>
          <w:rFonts w:ascii="Times New Roman" w:eastAsia="Times New Roman" w:hAnsi="Times New Roman" w:cs="Times New Roman"/>
          <w:color w:val="000000" w:themeColor="text1"/>
          <w:sz w:val="24"/>
          <w:szCs w:val="24"/>
          <w:lang w:val="en-GB"/>
        </w:rPr>
        <w:t xml:space="preserve">simple tools </w:t>
      </w:r>
      <w:r w:rsidRPr="00597FFB">
        <w:rPr>
          <w:rFonts w:ascii="Times New Roman" w:eastAsia="Times New Roman" w:hAnsi="Times New Roman" w:cs="Times New Roman"/>
          <w:color w:val="000000" w:themeColor="text1"/>
          <w:sz w:val="24"/>
          <w:szCs w:val="24"/>
          <w:lang w:val="en-GB"/>
        </w:rPr>
        <w:t xml:space="preserve">or </w:t>
      </w:r>
      <w:r w:rsidR="00AD0A84" w:rsidRPr="00597FFB">
        <w:rPr>
          <w:rFonts w:ascii="Times New Roman" w:eastAsia="Times New Roman" w:hAnsi="Times New Roman" w:cs="Times New Roman"/>
          <w:color w:val="000000" w:themeColor="text1"/>
          <w:sz w:val="24"/>
          <w:szCs w:val="24"/>
          <w:lang w:val="en-GB"/>
        </w:rPr>
        <w:t xml:space="preserve">bare hands </w:t>
      </w:r>
      <w:r w:rsidR="007F6170" w:rsidRPr="00597FFB">
        <w:rPr>
          <w:rFonts w:ascii="Times New Roman" w:eastAsia="Times New Roman" w:hAnsi="Times New Roman" w:cs="Times New Roman"/>
          <w:color w:val="000000" w:themeColor="text1"/>
          <w:sz w:val="24"/>
          <w:szCs w:val="24"/>
          <w:lang w:val="en-GB"/>
        </w:rPr>
        <w:t>and eventually shred and ground</w:t>
      </w:r>
      <w:r w:rsidRPr="00597FFB">
        <w:rPr>
          <w:rFonts w:ascii="Times New Roman" w:eastAsia="Times New Roman" w:hAnsi="Times New Roman" w:cs="Times New Roman"/>
          <w:color w:val="000000" w:themeColor="text1"/>
          <w:sz w:val="24"/>
          <w:szCs w:val="24"/>
          <w:lang w:val="en-GB"/>
        </w:rPr>
        <w:t xml:space="preserve"> </w:t>
      </w:r>
      <w:r w:rsidRPr="00597FFB">
        <w:rPr>
          <w:rFonts w:ascii="Times New Roman" w:eastAsiaTheme="minorHAnsi" w:hAnsi="Times New Roman" w:cs="Times New Roman"/>
          <w:color w:val="000000" w:themeColor="text1"/>
          <w:sz w:val="24"/>
          <w:lang w:val="en-GB"/>
        </w:rPr>
        <w:t>(Bhaskar &amp; Kumar, 2019)</w:t>
      </w:r>
      <w:r w:rsidRPr="00597FFB">
        <w:rPr>
          <w:rFonts w:ascii="Times New Roman" w:eastAsia="Times New Roman" w:hAnsi="Times New Roman" w:cs="Times New Roman"/>
          <w:color w:val="000000" w:themeColor="text1"/>
          <w:sz w:val="24"/>
          <w:szCs w:val="24"/>
          <w:lang w:val="en-GB"/>
        </w:rPr>
        <w:t xml:space="preserve">. </w:t>
      </w:r>
      <w:r w:rsidR="00C76C6C" w:rsidRPr="00597FFB">
        <w:rPr>
          <w:rFonts w:ascii="Times New Roman" w:eastAsia="Times New Roman" w:hAnsi="Times New Roman" w:cs="Times New Roman"/>
          <w:color w:val="000000" w:themeColor="text1"/>
          <w:sz w:val="24"/>
          <w:szCs w:val="24"/>
          <w:lang w:val="en-GB"/>
        </w:rPr>
        <w:t>Plastics and p</w:t>
      </w:r>
      <w:r w:rsidRPr="00597FFB">
        <w:rPr>
          <w:rFonts w:ascii="Times New Roman" w:eastAsia="Times New Roman" w:hAnsi="Times New Roman" w:cs="Times New Roman"/>
          <w:color w:val="000000" w:themeColor="text1"/>
          <w:sz w:val="24"/>
          <w:szCs w:val="24"/>
          <w:lang w:val="en-GB"/>
        </w:rPr>
        <w:t xml:space="preserve">rinted circuit boards are dismantled using </w:t>
      </w:r>
      <w:r w:rsidR="00C76C6C" w:rsidRPr="00597FFB">
        <w:rPr>
          <w:rFonts w:ascii="Times New Roman" w:eastAsia="Times New Roman" w:hAnsi="Times New Roman" w:cs="Times New Roman"/>
          <w:color w:val="000000" w:themeColor="text1"/>
          <w:sz w:val="24"/>
          <w:szCs w:val="24"/>
          <w:lang w:val="en-GB"/>
        </w:rPr>
        <w:t xml:space="preserve">a high flame torch, heating or </w:t>
      </w:r>
      <w:r w:rsidRPr="00597FFB">
        <w:rPr>
          <w:rFonts w:ascii="Times New Roman" w:eastAsia="Times New Roman" w:hAnsi="Times New Roman" w:cs="Times New Roman"/>
          <w:color w:val="000000" w:themeColor="text1"/>
          <w:sz w:val="24"/>
          <w:szCs w:val="24"/>
          <w:lang w:val="en-GB"/>
        </w:rPr>
        <w:t xml:space="preserve">open burning. </w:t>
      </w:r>
      <w:r w:rsidR="00D826B8" w:rsidRPr="00597FFB">
        <w:rPr>
          <w:rFonts w:ascii="Times New Roman" w:eastAsia="Times New Roman" w:hAnsi="Times New Roman" w:cs="Times New Roman"/>
          <w:color w:val="000000" w:themeColor="text1"/>
          <w:sz w:val="24"/>
          <w:szCs w:val="24"/>
          <w:lang w:val="en-GB"/>
        </w:rPr>
        <w:t xml:space="preserve">Acid baths are used to extract precious metals from </w:t>
      </w:r>
      <w:r w:rsidRPr="00597FFB">
        <w:rPr>
          <w:rFonts w:ascii="Times New Roman" w:eastAsia="Times New Roman" w:hAnsi="Times New Roman" w:cs="Times New Roman"/>
          <w:color w:val="000000" w:themeColor="text1"/>
          <w:sz w:val="24"/>
          <w:szCs w:val="24"/>
          <w:lang w:val="en-GB"/>
        </w:rPr>
        <w:t>printed circuit boards</w:t>
      </w:r>
      <w:r w:rsidR="00D826B8" w:rsidRPr="00597FFB">
        <w:rPr>
          <w:rFonts w:ascii="Times New Roman" w:eastAsia="Times New Roman" w:hAnsi="Times New Roman" w:cs="Times New Roman"/>
          <w:color w:val="000000" w:themeColor="text1"/>
          <w:sz w:val="24"/>
          <w:szCs w:val="24"/>
          <w:lang w:val="en-GB"/>
        </w:rPr>
        <w:t>. The</w:t>
      </w:r>
      <w:r w:rsidRPr="00597FFB">
        <w:rPr>
          <w:rFonts w:ascii="Times New Roman" w:eastAsia="Times New Roman" w:hAnsi="Times New Roman" w:cs="Times New Roman"/>
          <w:color w:val="000000" w:themeColor="text1"/>
          <w:sz w:val="24"/>
          <w:szCs w:val="24"/>
          <w:lang w:val="en-GB"/>
        </w:rPr>
        <w:t xml:space="preserve"> acid baths </w:t>
      </w:r>
      <w:r w:rsidR="00D826B8" w:rsidRPr="00597FFB">
        <w:rPr>
          <w:rFonts w:ascii="Times New Roman" w:eastAsia="Times New Roman" w:hAnsi="Times New Roman" w:cs="Times New Roman"/>
          <w:color w:val="000000" w:themeColor="text1"/>
          <w:sz w:val="24"/>
          <w:szCs w:val="24"/>
          <w:lang w:val="en-GB"/>
        </w:rPr>
        <w:t>entail</w:t>
      </w:r>
      <w:r w:rsidRPr="00597FFB">
        <w:rPr>
          <w:rFonts w:ascii="Times New Roman" w:eastAsia="Times New Roman" w:hAnsi="Times New Roman" w:cs="Times New Roman"/>
          <w:color w:val="000000" w:themeColor="text1"/>
          <w:sz w:val="24"/>
          <w:szCs w:val="24"/>
          <w:lang w:val="en-GB"/>
        </w:rPr>
        <w:t xml:space="preserve"> </w:t>
      </w:r>
      <w:r w:rsidR="00D826B8" w:rsidRPr="00597FFB">
        <w:rPr>
          <w:rFonts w:ascii="Times New Roman" w:eastAsia="Times New Roman" w:hAnsi="Times New Roman" w:cs="Times New Roman"/>
          <w:color w:val="000000" w:themeColor="text1"/>
          <w:sz w:val="24"/>
          <w:szCs w:val="24"/>
          <w:lang w:val="en-GB"/>
        </w:rPr>
        <w:t xml:space="preserve">nitric acid and mercury or </w:t>
      </w:r>
      <w:r w:rsidRPr="00597FFB">
        <w:rPr>
          <w:rFonts w:ascii="Times New Roman" w:eastAsia="Times New Roman" w:hAnsi="Times New Roman" w:cs="Times New Roman"/>
          <w:color w:val="000000" w:themeColor="text1"/>
          <w:sz w:val="24"/>
          <w:szCs w:val="24"/>
          <w:lang w:val="en-GB"/>
        </w:rPr>
        <w:t xml:space="preserve">cyanide salt leaching, where plastics and </w:t>
      </w:r>
      <w:r w:rsidR="00D826B8" w:rsidRPr="00597FFB">
        <w:rPr>
          <w:rFonts w:ascii="Times New Roman" w:eastAsia="Times New Roman" w:hAnsi="Times New Roman" w:cs="Times New Roman"/>
          <w:color w:val="000000" w:themeColor="text1"/>
          <w:sz w:val="24"/>
          <w:szCs w:val="24"/>
          <w:lang w:val="en-GB"/>
        </w:rPr>
        <w:t>similar</w:t>
      </w:r>
      <w:r w:rsidRPr="00597FFB">
        <w:rPr>
          <w:rFonts w:ascii="Times New Roman" w:eastAsia="Times New Roman" w:hAnsi="Times New Roman" w:cs="Times New Roman"/>
          <w:color w:val="000000" w:themeColor="text1"/>
          <w:sz w:val="24"/>
          <w:szCs w:val="24"/>
          <w:lang w:val="en-GB"/>
        </w:rPr>
        <w:t xml:space="preserve"> components melt </w:t>
      </w:r>
      <w:r w:rsidR="00D826B8" w:rsidRPr="00597FFB">
        <w:rPr>
          <w:rFonts w:ascii="Times New Roman" w:eastAsia="Times New Roman" w:hAnsi="Times New Roman" w:cs="Times New Roman"/>
          <w:color w:val="000000" w:themeColor="text1"/>
          <w:sz w:val="24"/>
          <w:szCs w:val="24"/>
          <w:lang w:val="en-GB"/>
        </w:rPr>
        <w:t>such</w:t>
      </w:r>
      <w:r w:rsidRPr="00597FFB">
        <w:rPr>
          <w:rFonts w:ascii="Times New Roman" w:eastAsia="Times New Roman" w:hAnsi="Times New Roman" w:cs="Times New Roman"/>
          <w:color w:val="000000" w:themeColor="text1"/>
          <w:sz w:val="24"/>
          <w:szCs w:val="24"/>
          <w:lang w:val="en-GB"/>
        </w:rPr>
        <w:t xml:space="preserve"> that only the metals remain. </w:t>
      </w:r>
      <w:r w:rsidR="00D826B8" w:rsidRPr="00597FFB">
        <w:rPr>
          <w:rFonts w:ascii="Times New Roman" w:eastAsia="Times New Roman" w:hAnsi="Times New Roman" w:cs="Times New Roman"/>
          <w:color w:val="000000" w:themeColor="text1"/>
          <w:sz w:val="24"/>
          <w:szCs w:val="24"/>
          <w:lang w:val="en-GB"/>
        </w:rPr>
        <w:t xml:space="preserve">Wires </w:t>
      </w:r>
      <w:r w:rsidRPr="00597FFB">
        <w:rPr>
          <w:rFonts w:ascii="Times New Roman" w:eastAsia="Times New Roman" w:hAnsi="Times New Roman" w:cs="Times New Roman"/>
          <w:color w:val="000000" w:themeColor="text1"/>
          <w:sz w:val="24"/>
          <w:szCs w:val="24"/>
          <w:lang w:val="en-GB"/>
        </w:rPr>
        <w:t xml:space="preserve">and </w:t>
      </w:r>
      <w:r w:rsidR="00D826B8" w:rsidRPr="00597FFB">
        <w:rPr>
          <w:rFonts w:ascii="Times New Roman" w:eastAsia="Times New Roman" w:hAnsi="Times New Roman" w:cs="Times New Roman"/>
          <w:color w:val="000000" w:themeColor="text1"/>
          <w:sz w:val="24"/>
          <w:szCs w:val="24"/>
          <w:lang w:val="en-GB"/>
        </w:rPr>
        <w:t xml:space="preserve">cables </w:t>
      </w:r>
      <w:r w:rsidRPr="00597FFB">
        <w:rPr>
          <w:rFonts w:ascii="Times New Roman" w:eastAsia="Times New Roman" w:hAnsi="Times New Roman" w:cs="Times New Roman"/>
          <w:color w:val="000000" w:themeColor="text1"/>
          <w:sz w:val="24"/>
          <w:szCs w:val="24"/>
          <w:lang w:val="en-GB"/>
        </w:rPr>
        <w:t xml:space="preserve">are burned to </w:t>
      </w:r>
      <w:r w:rsidR="00D826B8" w:rsidRPr="00597FFB">
        <w:rPr>
          <w:rFonts w:ascii="Times New Roman" w:eastAsia="Times New Roman" w:hAnsi="Times New Roman" w:cs="Times New Roman"/>
          <w:color w:val="000000" w:themeColor="text1"/>
          <w:sz w:val="24"/>
          <w:szCs w:val="24"/>
          <w:lang w:val="en-GB"/>
        </w:rPr>
        <w:t>recover copper when</w:t>
      </w:r>
      <w:r w:rsidRPr="00597FFB">
        <w:rPr>
          <w:rFonts w:ascii="Times New Roman" w:eastAsia="Times New Roman" w:hAnsi="Times New Roman" w:cs="Times New Roman"/>
          <w:color w:val="000000" w:themeColor="text1"/>
          <w:sz w:val="24"/>
          <w:szCs w:val="24"/>
          <w:lang w:val="en-GB"/>
        </w:rPr>
        <w:t xml:space="preserve"> the plastic </w:t>
      </w:r>
      <w:r w:rsidR="00D826B8" w:rsidRPr="00597FFB">
        <w:rPr>
          <w:rFonts w:ascii="Times New Roman" w:eastAsia="Times New Roman" w:hAnsi="Times New Roman" w:cs="Times New Roman"/>
          <w:color w:val="000000" w:themeColor="text1"/>
          <w:sz w:val="24"/>
          <w:szCs w:val="24"/>
          <w:lang w:val="en-GB"/>
        </w:rPr>
        <w:t>melts</w:t>
      </w:r>
      <w:r w:rsidRPr="00597FFB">
        <w:rPr>
          <w:rFonts w:ascii="Times New Roman" w:eastAsia="Times New Roman" w:hAnsi="Times New Roman" w:cs="Times New Roman"/>
          <w:color w:val="000000" w:themeColor="text1"/>
          <w:sz w:val="24"/>
          <w:szCs w:val="24"/>
          <w:lang w:val="en-GB"/>
        </w:rPr>
        <w:t xml:space="preserve"> </w:t>
      </w:r>
      <w:r w:rsidRPr="00597FFB">
        <w:rPr>
          <w:rFonts w:ascii="Times New Roman" w:eastAsiaTheme="minorHAnsi" w:hAnsi="Times New Roman" w:cs="Times New Roman"/>
          <w:color w:val="000000" w:themeColor="text1"/>
          <w:sz w:val="24"/>
          <w:lang w:val="en-GB"/>
        </w:rPr>
        <w:t>(Duan et al., 2019)</w:t>
      </w:r>
      <w:r w:rsidRPr="00597FFB">
        <w:rPr>
          <w:rFonts w:ascii="Times New Roman" w:eastAsia="Times New Roman" w:hAnsi="Times New Roman" w:cs="Times New Roman"/>
          <w:color w:val="000000" w:themeColor="text1"/>
          <w:sz w:val="24"/>
          <w:szCs w:val="24"/>
          <w:lang w:val="en-GB"/>
        </w:rPr>
        <w:t xml:space="preserve">. </w:t>
      </w:r>
      <w:r w:rsidR="00D826B8" w:rsidRPr="00597FFB">
        <w:rPr>
          <w:rFonts w:ascii="Times New Roman" w:eastAsia="Times New Roman" w:hAnsi="Times New Roman" w:cs="Times New Roman"/>
          <w:color w:val="000000" w:themeColor="text1"/>
          <w:sz w:val="24"/>
          <w:szCs w:val="24"/>
          <w:lang w:val="en-GB"/>
        </w:rPr>
        <w:t>E-w</w:t>
      </w:r>
      <w:r w:rsidRPr="00597FFB">
        <w:rPr>
          <w:rFonts w:ascii="Times New Roman" w:eastAsia="Times New Roman" w:hAnsi="Times New Roman" w:cs="Times New Roman"/>
          <w:color w:val="000000" w:themeColor="text1"/>
          <w:sz w:val="24"/>
          <w:szCs w:val="24"/>
          <w:lang w:val="en-GB"/>
        </w:rPr>
        <w:t xml:space="preserve">aste from informal processes </w:t>
      </w:r>
      <w:r w:rsidR="00D826B8" w:rsidRPr="00597FFB">
        <w:rPr>
          <w:rFonts w:ascii="Times New Roman" w:eastAsia="Times New Roman" w:hAnsi="Times New Roman" w:cs="Times New Roman"/>
          <w:color w:val="000000" w:themeColor="text1"/>
          <w:sz w:val="24"/>
          <w:szCs w:val="24"/>
          <w:lang w:val="en-GB"/>
        </w:rPr>
        <w:t xml:space="preserve">ends up being discarded </w:t>
      </w:r>
      <w:r w:rsidRPr="00597FFB">
        <w:rPr>
          <w:rFonts w:ascii="Times New Roman" w:eastAsia="Times New Roman" w:hAnsi="Times New Roman" w:cs="Times New Roman"/>
          <w:color w:val="000000" w:themeColor="text1"/>
          <w:sz w:val="24"/>
          <w:szCs w:val="24"/>
          <w:lang w:val="en-GB"/>
        </w:rPr>
        <w:t xml:space="preserve">in </w:t>
      </w:r>
      <w:r w:rsidR="00D826B8" w:rsidRPr="00597FFB">
        <w:rPr>
          <w:rFonts w:ascii="Times New Roman" w:eastAsia="Times New Roman" w:hAnsi="Times New Roman" w:cs="Times New Roman"/>
          <w:color w:val="000000" w:themeColor="text1"/>
          <w:sz w:val="24"/>
          <w:szCs w:val="24"/>
          <w:lang w:val="en-GB"/>
        </w:rPr>
        <w:t xml:space="preserve">landfills, </w:t>
      </w:r>
      <w:r w:rsidRPr="00597FFB">
        <w:rPr>
          <w:rFonts w:ascii="Times New Roman" w:eastAsia="Times New Roman" w:hAnsi="Times New Roman" w:cs="Times New Roman"/>
          <w:color w:val="000000" w:themeColor="text1"/>
          <w:sz w:val="24"/>
          <w:szCs w:val="24"/>
          <w:lang w:val="en-GB"/>
        </w:rPr>
        <w:t>open dumps, and water</w:t>
      </w:r>
      <w:r w:rsidR="00D826B8" w:rsidRPr="00597FFB">
        <w:rPr>
          <w:rFonts w:ascii="Times New Roman" w:eastAsia="Times New Roman" w:hAnsi="Times New Roman" w:cs="Times New Roman"/>
          <w:color w:val="000000" w:themeColor="text1"/>
          <w:sz w:val="24"/>
          <w:szCs w:val="24"/>
          <w:lang w:val="en-GB"/>
        </w:rPr>
        <w:t>ways</w:t>
      </w:r>
      <w:r w:rsidRPr="00597FFB">
        <w:rPr>
          <w:rFonts w:ascii="Times New Roman" w:eastAsia="Times New Roman" w:hAnsi="Times New Roman" w:cs="Times New Roman"/>
          <w:color w:val="000000" w:themeColor="text1"/>
          <w:sz w:val="24"/>
          <w:szCs w:val="24"/>
          <w:lang w:val="en-GB"/>
        </w:rPr>
        <w:t>. The</w:t>
      </w:r>
      <w:r w:rsidR="007B0986" w:rsidRPr="00597FFB">
        <w:rPr>
          <w:rFonts w:ascii="Times New Roman" w:eastAsia="Times New Roman" w:hAnsi="Times New Roman" w:cs="Times New Roman"/>
          <w:color w:val="000000" w:themeColor="text1"/>
          <w:sz w:val="24"/>
          <w:szCs w:val="24"/>
          <w:lang w:val="en-GB"/>
        </w:rPr>
        <w:t xml:space="preserve"> use of these</w:t>
      </w:r>
      <w:r w:rsidRPr="00597FFB">
        <w:rPr>
          <w:rFonts w:ascii="Times New Roman" w:eastAsia="Times New Roman" w:hAnsi="Times New Roman" w:cs="Times New Roman"/>
          <w:color w:val="000000" w:themeColor="text1"/>
          <w:sz w:val="24"/>
          <w:szCs w:val="24"/>
          <w:lang w:val="en-GB"/>
        </w:rPr>
        <w:t xml:space="preserve"> crude methods help</w:t>
      </w:r>
      <w:r w:rsidR="007B0986" w:rsidRPr="00597FFB">
        <w:rPr>
          <w:rFonts w:ascii="Times New Roman" w:eastAsia="Times New Roman" w:hAnsi="Times New Roman" w:cs="Times New Roman"/>
          <w:color w:val="000000" w:themeColor="text1"/>
          <w:sz w:val="24"/>
          <w:szCs w:val="24"/>
          <w:lang w:val="en-GB"/>
        </w:rPr>
        <w:t>s</w:t>
      </w:r>
      <w:r w:rsidRPr="00597FFB">
        <w:rPr>
          <w:rFonts w:ascii="Times New Roman" w:eastAsia="Times New Roman" w:hAnsi="Times New Roman" w:cs="Times New Roman"/>
          <w:color w:val="000000" w:themeColor="text1"/>
          <w:sz w:val="24"/>
          <w:szCs w:val="24"/>
          <w:lang w:val="en-GB"/>
        </w:rPr>
        <w:t xml:space="preserve"> one to obtain </w:t>
      </w:r>
      <w:r w:rsidR="007B0986" w:rsidRPr="00597FFB">
        <w:rPr>
          <w:rFonts w:ascii="Times New Roman" w:eastAsia="Times New Roman" w:hAnsi="Times New Roman" w:cs="Times New Roman"/>
          <w:color w:val="000000" w:themeColor="text1"/>
          <w:sz w:val="24"/>
          <w:szCs w:val="24"/>
          <w:lang w:val="en-GB"/>
        </w:rPr>
        <w:t xml:space="preserve">metals that are </w:t>
      </w:r>
      <w:r w:rsidRPr="00597FFB">
        <w:rPr>
          <w:rFonts w:ascii="Times New Roman" w:eastAsia="Times New Roman" w:hAnsi="Times New Roman" w:cs="Times New Roman"/>
          <w:color w:val="000000" w:themeColor="text1"/>
          <w:sz w:val="24"/>
          <w:szCs w:val="24"/>
          <w:lang w:val="en-GB"/>
        </w:rPr>
        <w:t xml:space="preserve">easily recoverable, such as </w:t>
      </w:r>
      <w:r w:rsidR="007B0986" w:rsidRPr="00597FFB">
        <w:rPr>
          <w:rFonts w:ascii="Times New Roman" w:eastAsia="Times New Roman" w:hAnsi="Times New Roman" w:cs="Times New Roman"/>
          <w:color w:val="000000" w:themeColor="text1"/>
          <w:sz w:val="24"/>
          <w:szCs w:val="24"/>
          <w:lang w:val="en-GB"/>
        </w:rPr>
        <w:t xml:space="preserve">gold, </w:t>
      </w:r>
      <w:r w:rsidRPr="00597FFB">
        <w:rPr>
          <w:rFonts w:ascii="Times New Roman" w:eastAsia="Times New Roman" w:hAnsi="Times New Roman" w:cs="Times New Roman"/>
          <w:color w:val="000000" w:themeColor="text1"/>
          <w:sz w:val="24"/>
          <w:szCs w:val="24"/>
          <w:lang w:val="en-GB"/>
        </w:rPr>
        <w:t xml:space="preserve">copper, </w:t>
      </w:r>
      <w:r w:rsidR="007B0986" w:rsidRPr="00597FFB">
        <w:rPr>
          <w:rFonts w:ascii="Times New Roman" w:eastAsia="Times New Roman" w:hAnsi="Times New Roman" w:cs="Times New Roman"/>
          <w:color w:val="000000" w:themeColor="text1"/>
          <w:sz w:val="24"/>
          <w:szCs w:val="24"/>
          <w:lang w:val="en-GB"/>
        </w:rPr>
        <w:t xml:space="preserve">lead, </w:t>
      </w:r>
      <w:r w:rsidRPr="00597FFB">
        <w:rPr>
          <w:rFonts w:ascii="Times New Roman" w:eastAsia="Times New Roman" w:hAnsi="Times New Roman" w:cs="Times New Roman"/>
          <w:color w:val="000000" w:themeColor="text1"/>
          <w:sz w:val="24"/>
          <w:szCs w:val="24"/>
          <w:lang w:val="en-GB"/>
        </w:rPr>
        <w:t xml:space="preserve">iron, and </w:t>
      </w:r>
      <w:r w:rsidR="007B0986" w:rsidRPr="00597FFB">
        <w:rPr>
          <w:rFonts w:ascii="Times New Roman" w:eastAsia="Times New Roman" w:hAnsi="Times New Roman" w:cs="Times New Roman"/>
          <w:color w:val="000000" w:themeColor="text1"/>
          <w:sz w:val="24"/>
          <w:szCs w:val="24"/>
          <w:lang w:val="en-GB"/>
        </w:rPr>
        <w:t xml:space="preserve">aluminium, </w:t>
      </w:r>
      <w:r w:rsidRPr="00597FFB">
        <w:rPr>
          <w:rFonts w:ascii="Times New Roman" w:eastAsia="Times New Roman" w:hAnsi="Times New Roman" w:cs="Times New Roman"/>
          <w:color w:val="000000" w:themeColor="text1"/>
          <w:sz w:val="24"/>
          <w:szCs w:val="24"/>
          <w:lang w:val="en-GB"/>
        </w:rPr>
        <w:t xml:space="preserve">though the yields are low. However, other rare metals, such as </w:t>
      </w:r>
      <w:r w:rsidR="00970CD1" w:rsidRPr="00597FFB">
        <w:rPr>
          <w:rFonts w:ascii="Times New Roman" w:eastAsia="Times New Roman" w:hAnsi="Times New Roman" w:cs="Times New Roman"/>
          <w:color w:val="000000" w:themeColor="text1"/>
          <w:sz w:val="24"/>
          <w:szCs w:val="24"/>
          <w:lang w:val="en-GB"/>
        </w:rPr>
        <w:t xml:space="preserve">nickel, platinum, </w:t>
      </w:r>
      <w:r w:rsidRPr="00597FFB">
        <w:rPr>
          <w:rFonts w:ascii="Times New Roman" w:eastAsia="Times New Roman" w:hAnsi="Times New Roman" w:cs="Times New Roman"/>
          <w:color w:val="000000" w:themeColor="text1"/>
          <w:sz w:val="24"/>
          <w:szCs w:val="24"/>
          <w:lang w:val="en-GB"/>
        </w:rPr>
        <w:t xml:space="preserve">barium, and </w:t>
      </w:r>
      <w:r w:rsidR="00970CD1" w:rsidRPr="00597FFB">
        <w:rPr>
          <w:rFonts w:ascii="Times New Roman" w:eastAsia="Times New Roman" w:hAnsi="Times New Roman" w:cs="Times New Roman"/>
          <w:color w:val="000000" w:themeColor="text1"/>
          <w:sz w:val="24"/>
          <w:szCs w:val="24"/>
          <w:lang w:val="en-GB"/>
        </w:rPr>
        <w:t>indium</w:t>
      </w:r>
      <w:r w:rsidRPr="00597FFB">
        <w:rPr>
          <w:rFonts w:ascii="Times New Roman" w:eastAsia="Times New Roman" w:hAnsi="Times New Roman" w:cs="Times New Roman"/>
          <w:color w:val="000000" w:themeColor="text1"/>
          <w:sz w:val="24"/>
          <w:szCs w:val="24"/>
          <w:lang w:val="en-GB"/>
        </w:rPr>
        <w:t>, are</w:t>
      </w:r>
      <w:r w:rsidRPr="00597FFB">
        <w:rPr>
          <w:rFonts w:eastAsiaTheme="minorHAnsi"/>
          <w:color w:val="000000" w:themeColor="text1"/>
          <w:lang w:val="en-GB"/>
        </w:rPr>
        <w:t xml:space="preserve"> </w:t>
      </w:r>
      <w:r w:rsidR="00970CD1" w:rsidRPr="00597FFB">
        <w:rPr>
          <w:rFonts w:ascii="Times New Roman" w:eastAsia="Times New Roman" w:hAnsi="Times New Roman" w:cs="Times New Roman"/>
          <w:color w:val="000000" w:themeColor="text1"/>
          <w:sz w:val="24"/>
          <w:szCs w:val="24"/>
          <w:lang w:val="en-GB"/>
        </w:rPr>
        <w:t>irrecoverable</w:t>
      </w:r>
      <w:r w:rsidRPr="00597FFB">
        <w:rPr>
          <w:rFonts w:ascii="Times New Roman" w:eastAsia="Times New Roman" w:hAnsi="Times New Roman" w:cs="Times New Roman"/>
          <w:color w:val="000000" w:themeColor="text1"/>
          <w:sz w:val="24"/>
          <w:szCs w:val="24"/>
          <w:lang w:val="en-GB"/>
        </w:rPr>
        <w:t xml:space="preserve"> and </w:t>
      </w:r>
      <w:r w:rsidR="00970CD1" w:rsidRPr="00597FFB">
        <w:rPr>
          <w:rFonts w:ascii="Times New Roman" w:eastAsia="Times New Roman" w:hAnsi="Times New Roman" w:cs="Times New Roman"/>
          <w:color w:val="000000" w:themeColor="text1"/>
          <w:sz w:val="24"/>
          <w:szCs w:val="24"/>
          <w:lang w:val="en-GB"/>
        </w:rPr>
        <w:t>end up being discarded as</w:t>
      </w:r>
      <w:r w:rsidRPr="00597FFB">
        <w:rPr>
          <w:rFonts w:ascii="Times New Roman" w:eastAsia="Times New Roman" w:hAnsi="Times New Roman" w:cs="Times New Roman"/>
          <w:color w:val="000000" w:themeColor="text1"/>
          <w:sz w:val="24"/>
          <w:szCs w:val="24"/>
          <w:lang w:val="en-GB"/>
        </w:rPr>
        <w:t xml:space="preserve"> waste </w:t>
      </w:r>
      <w:r w:rsidRPr="00597FFB">
        <w:rPr>
          <w:rFonts w:ascii="Times New Roman" w:eastAsiaTheme="minorHAnsi" w:hAnsi="Times New Roman" w:cs="Times New Roman"/>
          <w:color w:val="000000" w:themeColor="text1"/>
          <w:sz w:val="24"/>
          <w:lang w:val="en-GB"/>
        </w:rPr>
        <w:t>(Asefi et al., 2019)</w:t>
      </w:r>
      <w:r w:rsidRPr="00597FFB">
        <w:rPr>
          <w:rFonts w:ascii="Times New Roman" w:eastAsia="Times New Roman" w:hAnsi="Times New Roman" w:cs="Times New Roman"/>
          <w:color w:val="000000" w:themeColor="text1"/>
          <w:sz w:val="24"/>
          <w:szCs w:val="24"/>
          <w:lang w:val="en-GB"/>
        </w:rPr>
        <w:t>.</w:t>
      </w:r>
    </w:p>
    <w:p w14:paraId="7F5AF40D" w14:textId="054D14CD" w:rsidR="0003140E" w:rsidRPr="00597FFB" w:rsidRDefault="00F33977"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15" w:name="_Toc127170283"/>
      <w:r w:rsidRPr="00597FFB">
        <w:rPr>
          <w:rFonts w:ascii="Times New Roman" w:eastAsia="Calibri" w:hAnsi="Times New Roman" w:cs="Times New Roman"/>
          <w:i/>
          <w:iCs/>
          <w:color w:val="000000" w:themeColor="text1"/>
          <w:sz w:val="24"/>
          <w:szCs w:val="24"/>
        </w:rPr>
        <w:t>2.5.2</w:t>
      </w:r>
      <w:r w:rsidR="000B57C2" w:rsidRPr="00597FFB">
        <w:rPr>
          <w:rFonts w:ascii="Times New Roman" w:eastAsia="Calibri" w:hAnsi="Times New Roman" w:cs="Times New Roman"/>
          <w:i/>
          <w:iCs/>
          <w:color w:val="000000" w:themeColor="text1"/>
          <w:sz w:val="24"/>
          <w:szCs w:val="24"/>
        </w:rPr>
        <w:t xml:space="preserve">. </w:t>
      </w:r>
      <w:r w:rsidR="0003140E" w:rsidRPr="00597FFB">
        <w:rPr>
          <w:rFonts w:ascii="Times New Roman" w:eastAsia="Calibri" w:hAnsi="Times New Roman" w:cs="Times New Roman"/>
          <w:i/>
          <w:iCs/>
          <w:color w:val="000000" w:themeColor="text1"/>
          <w:sz w:val="24"/>
          <w:szCs w:val="24"/>
        </w:rPr>
        <w:t>E-waste Recycling Impact</w:t>
      </w:r>
      <w:r w:rsidR="00C16429" w:rsidRPr="00597FFB">
        <w:rPr>
          <w:rFonts w:ascii="Times New Roman" w:eastAsia="Calibri" w:hAnsi="Times New Roman" w:cs="Times New Roman"/>
          <w:i/>
          <w:iCs/>
          <w:color w:val="000000" w:themeColor="text1"/>
          <w:sz w:val="24"/>
          <w:szCs w:val="24"/>
        </w:rPr>
        <w:t>.</w:t>
      </w:r>
      <w:bookmarkEnd w:id="115"/>
    </w:p>
    <w:p w14:paraId="5F519DE4" w14:textId="5E8CCAA7" w:rsidR="0003140E"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Recycling of e-waste is said to be one of the most effective ways of dealing with this global problem in various studies </w:t>
      </w:r>
      <w:sdt>
        <w:sdtPr>
          <w:rPr>
            <w:rFonts w:ascii="Times New Roman" w:eastAsia="Times New Roman" w:hAnsi="Times New Roman" w:cs="Times New Roman"/>
            <w:bCs/>
            <w:color w:val="000000" w:themeColor="text1"/>
            <w:sz w:val="24"/>
            <w:szCs w:val="24"/>
          </w:rPr>
          <w:id w:val="-1029800879"/>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CITATION Yus17 \m Ila18 \m Att21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(Yushkova &amp; Feng, 2017; Ilankoon, et al., 2018; Attia, Soori, &amp; Ghaith,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However, recycling of e-waste has both positive and negative impacts and particularly depending on the method or approach used in the process </w:t>
      </w:r>
      <w:r w:rsidRPr="00597FFB">
        <w:rPr>
          <w:rFonts w:ascii="Times New Roman" w:eastAsiaTheme="minorHAnsi" w:hAnsi="Times New Roman" w:cs="Times New Roman"/>
          <w:color w:val="000000" w:themeColor="text1"/>
          <w:sz w:val="24"/>
        </w:rPr>
        <w:t>(Pinto, 2019)</w:t>
      </w:r>
      <w:r w:rsidRPr="00597FFB">
        <w:rPr>
          <w:rFonts w:ascii="Times New Roman" w:eastAsia="Times New Roman" w:hAnsi="Times New Roman" w:cs="Times New Roman"/>
          <w:bCs/>
          <w:color w:val="000000" w:themeColor="text1"/>
          <w:sz w:val="24"/>
          <w:szCs w:val="24"/>
        </w:rPr>
        <w:t xml:space="preserve">. Based on the literature reviewed, this study classified the impacts of e-waste recycling practices into </w:t>
      </w:r>
      <w:r w:rsidR="00970CD1" w:rsidRPr="00597FFB">
        <w:rPr>
          <w:rFonts w:ascii="Times New Roman" w:eastAsia="Times New Roman" w:hAnsi="Times New Roman" w:cs="Times New Roman"/>
          <w:bCs/>
          <w:color w:val="000000" w:themeColor="text1"/>
          <w:sz w:val="24"/>
          <w:szCs w:val="24"/>
        </w:rPr>
        <w:t xml:space="preserve">human health, </w:t>
      </w:r>
      <w:r w:rsidRPr="00597FFB">
        <w:rPr>
          <w:rFonts w:ascii="Times New Roman" w:eastAsia="Times New Roman" w:hAnsi="Times New Roman" w:cs="Times New Roman"/>
          <w:bCs/>
          <w:color w:val="000000" w:themeColor="text1"/>
          <w:sz w:val="24"/>
          <w:szCs w:val="24"/>
        </w:rPr>
        <w:t xml:space="preserve">environmental, social and economic </w:t>
      </w:r>
      <w:r w:rsidR="00970CD1" w:rsidRPr="00597FFB">
        <w:rPr>
          <w:rFonts w:ascii="Times New Roman" w:eastAsia="Times New Roman" w:hAnsi="Times New Roman" w:cs="Times New Roman"/>
          <w:bCs/>
          <w:color w:val="000000" w:themeColor="text1"/>
          <w:sz w:val="24"/>
          <w:szCs w:val="24"/>
        </w:rPr>
        <w:t>implications</w:t>
      </w:r>
      <w:r w:rsidRPr="00597FFB">
        <w:rPr>
          <w:rFonts w:ascii="Times New Roman" w:eastAsia="Times New Roman" w:hAnsi="Times New Roman" w:cs="Times New Roman"/>
          <w:bCs/>
          <w:color w:val="000000" w:themeColor="text1"/>
          <w:sz w:val="24"/>
          <w:szCs w:val="24"/>
        </w:rPr>
        <w:t xml:space="preserve"> of </w:t>
      </w:r>
      <w:r w:rsidR="00970CD1" w:rsidRPr="00597FFB">
        <w:rPr>
          <w:rFonts w:ascii="Times New Roman" w:eastAsia="Times New Roman" w:hAnsi="Times New Roman" w:cs="Times New Roman"/>
          <w:bCs/>
          <w:color w:val="000000" w:themeColor="text1"/>
          <w:sz w:val="24"/>
          <w:szCs w:val="24"/>
        </w:rPr>
        <w:t>e-</w:t>
      </w:r>
      <w:r w:rsidRPr="00597FFB">
        <w:rPr>
          <w:rFonts w:ascii="Times New Roman" w:eastAsia="Times New Roman" w:hAnsi="Times New Roman" w:cs="Times New Roman"/>
          <w:bCs/>
          <w:color w:val="000000" w:themeColor="text1"/>
          <w:sz w:val="24"/>
          <w:szCs w:val="24"/>
        </w:rPr>
        <w:t>waste recycling practices. These are reviewed below in order to provide a critical view into why some individuals including some millennials may prefer other approaches of containing e-waste such as reducing the consumption of EEE to recycling.</w:t>
      </w:r>
    </w:p>
    <w:p w14:paraId="3D2DA2B1" w14:textId="4A32F1C6" w:rsidR="00080997" w:rsidRPr="00597FFB" w:rsidRDefault="00080997" w:rsidP="00080997">
      <w:pPr>
        <w:pStyle w:val="Heading3"/>
        <w:spacing w:line="480" w:lineRule="auto"/>
        <w:ind w:firstLine="720"/>
        <w:rPr>
          <w:rFonts w:ascii="Times New Roman" w:eastAsia="Times New Roman" w:hAnsi="Times New Roman" w:cs="Times New Roman"/>
          <w:bCs/>
          <w:color w:val="000000" w:themeColor="text1"/>
          <w:sz w:val="24"/>
          <w:szCs w:val="24"/>
        </w:rPr>
      </w:pPr>
      <w:bookmarkStart w:id="116" w:name="_Toc127170284"/>
      <w:r w:rsidRPr="00597FFB">
        <w:rPr>
          <w:rFonts w:asciiTheme="majorBidi" w:hAnsiTheme="majorBidi"/>
          <w:i/>
          <w:iCs/>
          <w:color w:val="000000" w:themeColor="text1"/>
          <w:sz w:val="24"/>
          <w:szCs w:val="24"/>
        </w:rPr>
        <w:t>2.</w:t>
      </w:r>
      <w:r w:rsidR="002677F5">
        <w:rPr>
          <w:rFonts w:asciiTheme="majorBidi" w:hAnsiTheme="majorBidi"/>
          <w:i/>
          <w:iCs/>
          <w:color w:val="000000" w:themeColor="text1"/>
          <w:sz w:val="24"/>
          <w:szCs w:val="24"/>
        </w:rPr>
        <w:t>5</w:t>
      </w:r>
      <w:r w:rsidRPr="00597FFB">
        <w:rPr>
          <w:rFonts w:asciiTheme="majorBidi" w:hAnsiTheme="majorBidi"/>
          <w:i/>
          <w:iCs/>
          <w:color w:val="000000" w:themeColor="text1"/>
          <w:sz w:val="24"/>
          <w:szCs w:val="24"/>
        </w:rPr>
        <w:t xml:space="preserve">.2.1. </w:t>
      </w:r>
      <w:r w:rsidR="002677F5" w:rsidRPr="00597FFB">
        <w:rPr>
          <w:rFonts w:ascii="Times New Roman" w:eastAsia="Times New Roman" w:hAnsi="Times New Roman" w:cs="Times New Roman"/>
          <w:bCs/>
          <w:i/>
          <w:iCs/>
          <w:color w:val="000000" w:themeColor="text1"/>
          <w:sz w:val="24"/>
          <w:szCs w:val="24"/>
        </w:rPr>
        <w:t>Environmental Impact.</w:t>
      </w:r>
      <w:bookmarkEnd w:id="116"/>
    </w:p>
    <w:p w14:paraId="34B87DCA" w14:textId="524306C2" w:rsidR="0003140E" w:rsidRPr="00597FFB" w:rsidRDefault="0003140E" w:rsidP="002677F5">
      <w:pPr>
        <w:spacing w:line="480" w:lineRule="auto"/>
        <w:ind w:firstLine="360"/>
        <w:jc w:val="both"/>
        <w:rPr>
          <w:rFonts w:ascii="Times New Roman" w:eastAsia="Times New Roman" w:hAnsi="Times New Roman" w:cs="Times New Roman"/>
          <w:bCs/>
          <w:color w:val="000000" w:themeColor="text1"/>
          <w:sz w:val="24"/>
          <w:szCs w:val="24"/>
          <w:lang w:val="en-GB"/>
        </w:rPr>
      </w:pPr>
      <w:r w:rsidRPr="00597FFB">
        <w:rPr>
          <w:rFonts w:ascii="Times New Roman" w:eastAsia="Times New Roman" w:hAnsi="Times New Roman" w:cs="Times New Roman"/>
          <w:bCs/>
          <w:color w:val="000000" w:themeColor="text1"/>
          <w:sz w:val="24"/>
          <w:szCs w:val="24"/>
          <w:lang w:val="en-GB"/>
        </w:rPr>
        <w:t xml:space="preserve">E-waste lifecycle stages, particularly informal recycling practices, cause pollution. Burning activities harm the environment the most, followed by dismantling and lastly repairing activities </w:t>
      </w:r>
      <w:r w:rsidRPr="00597FFB">
        <w:rPr>
          <w:rFonts w:ascii="Times New Roman" w:eastAsiaTheme="minorHAnsi" w:hAnsi="Times New Roman" w:cs="Times New Roman"/>
          <w:color w:val="000000" w:themeColor="text1"/>
          <w:sz w:val="24"/>
          <w:lang w:val="en-GB"/>
        </w:rPr>
        <w:t>(Ahirwar &amp; Tripathi, 2021).</w:t>
      </w:r>
      <w:r w:rsidRPr="00597FFB">
        <w:rPr>
          <w:rFonts w:ascii="Times New Roman" w:eastAsia="Times New Roman" w:hAnsi="Times New Roman" w:cs="Times New Roman"/>
          <w:bCs/>
          <w:color w:val="000000" w:themeColor="text1"/>
          <w:sz w:val="24"/>
          <w:szCs w:val="24"/>
          <w:lang w:val="en-GB"/>
        </w:rPr>
        <w:t xml:space="preserve"> The burning of </w:t>
      </w:r>
      <w:r w:rsidR="00074E06" w:rsidRPr="00597FFB">
        <w:rPr>
          <w:rFonts w:ascii="Times New Roman" w:eastAsia="Times New Roman" w:hAnsi="Times New Roman" w:cs="Times New Roman"/>
          <w:bCs/>
          <w:color w:val="000000" w:themeColor="text1"/>
          <w:sz w:val="24"/>
          <w:szCs w:val="24"/>
          <w:lang w:val="en-GB"/>
        </w:rPr>
        <w:t xml:space="preserve">plastics </w:t>
      </w:r>
      <w:r w:rsidRPr="00597FFB">
        <w:rPr>
          <w:rFonts w:ascii="Times New Roman" w:eastAsia="Times New Roman" w:hAnsi="Times New Roman" w:cs="Times New Roman"/>
          <w:bCs/>
          <w:color w:val="000000" w:themeColor="text1"/>
          <w:sz w:val="24"/>
          <w:szCs w:val="24"/>
          <w:lang w:val="en-GB"/>
        </w:rPr>
        <w:t xml:space="preserve">and </w:t>
      </w:r>
      <w:r w:rsidR="00074E06" w:rsidRPr="00597FFB">
        <w:rPr>
          <w:rFonts w:ascii="Times New Roman" w:eastAsia="Times New Roman" w:hAnsi="Times New Roman" w:cs="Times New Roman"/>
          <w:bCs/>
          <w:color w:val="000000" w:themeColor="text1"/>
          <w:sz w:val="24"/>
          <w:szCs w:val="24"/>
          <w:lang w:val="en-GB"/>
        </w:rPr>
        <w:t xml:space="preserve">metals </w:t>
      </w:r>
      <w:r w:rsidRPr="00597FFB">
        <w:rPr>
          <w:rFonts w:ascii="Times New Roman" w:eastAsia="Times New Roman" w:hAnsi="Times New Roman" w:cs="Times New Roman"/>
          <w:bCs/>
          <w:color w:val="000000" w:themeColor="text1"/>
          <w:sz w:val="24"/>
          <w:szCs w:val="24"/>
          <w:lang w:val="en-GB"/>
        </w:rPr>
        <w:t xml:space="preserve">emits </w:t>
      </w:r>
      <w:r w:rsidR="00074E06" w:rsidRPr="00597FFB">
        <w:rPr>
          <w:rFonts w:ascii="Times New Roman" w:eastAsia="Times New Roman" w:hAnsi="Times New Roman" w:cs="Times New Roman"/>
          <w:bCs/>
          <w:color w:val="000000" w:themeColor="text1"/>
          <w:sz w:val="24"/>
          <w:szCs w:val="24"/>
          <w:lang w:val="en-GB"/>
        </w:rPr>
        <w:t xml:space="preserve">furans, </w:t>
      </w:r>
      <w:r w:rsidRPr="00597FFB">
        <w:rPr>
          <w:rFonts w:ascii="Times New Roman" w:eastAsia="Times New Roman" w:hAnsi="Times New Roman" w:cs="Times New Roman"/>
          <w:bCs/>
          <w:color w:val="000000" w:themeColor="text1"/>
          <w:sz w:val="24"/>
          <w:szCs w:val="24"/>
          <w:lang w:val="en-GB"/>
        </w:rPr>
        <w:t>metal fumes, polychlorinated biphenyls (PCBs), polybrominated biphenyl ethers (PBDEs) and polycyclic aromatic hydrocarbons (PAHs). Dioxins produced by burning e-waste are</w:t>
      </w:r>
      <w:r w:rsidR="00074E06" w:rsidRPr="00597FFB">
        <w:rPr>
          <w:rFonts w:ascii="Times New Roman" w:eastAsia="Times New Roman" w:hAnsi="Times New Roman" w:cs="Times New Roman"/>
          <w:bCs/>
          <w:color w:val="000000" w:themeColor="text1"/>
          <w:sz w:val="24"/>
          <w:szCs w:val="24"/>
          <w:lang w:val="en-GB"/>
        </w:rPr>
        <w:t xml:space="preserve"> a hundredfold </w:t>
      </w:r>
      <w:r w:rsidRPr="00597FFB">
        <w:rPr>
          <w:rFonts w:ascii="Times New Roman" w:eastAsia="Times New Roman" w:hAnsi="Times New Roman" w:cs="Times New Roman"/>
          <w:bCs/>
          <w:color w:val="000000" w:themeColor="text1"/>
          <w:sz w:val="24"/>
          <w:szCs w:val="24"/>
          <w:lang w:val="en-GB"/>
        </w:rPr>
        <w:t xml:space="preserve">more prevalent than those </w:t>
      </w:r>
      <w:r w:rsidR="00074E06" w:rsidRPr="00597FFB">
        <w:rPr>
          <w:rFonts w:ascii="Times New Roman" w:eastAsia="Times New Roman" w:hAnsi="Times New Roman" w:cs="Times New Roman"/>
          <w:bCs/>
          <w:color w:val="000000" w:themeColor="text1"/>
          <w:sz w:val="24"/>
          <w:szCs w:val="24"/>
          <w:lang w:val="en-GB"/>
        </w:rPr>
        <w:t xml:space="preserve">generated from domestic </w:t>
      </w:r>
      <w:r w:rsidR="009E5A3C" w:rsidRPr="00597FFB">
        <w:rPr>
          <w:rFonts w:ascii="Times New Roman" w:eastAsia="Times New Roman" w:hAnsi="Times New Roman" w:cs="Times New Roman"/>
          <w:bCs/>
          <w:color w:val="000000" w:themeColor="text1"/>
          <w:sz w:val="24"/>
          <w:szCs w:val="24"/>
          <w:lang w:val="en-GB"/>
        </w:rPr>
        <w:t>waste</w:t>
      </w:r>
      <w:r w:rsidRPr="00597FFB">
        <w:rPr>
          <w:rFonts w:ascii="Times New Roman" w:eastAsia="Times New Roman" w:hAnsi="Times New Roman" w:cs="Times New Roman"/>
          <w:bCs/>
          <w:color w:val="000000" w:themeColor="text1"/>
          <w:sz w:val="24"/>
          <w:szCs w:val="24"/>
          <w:lang w:val="en-GB"/>
        </w:rPr>
        <w:t xml:space="preserve"> burning. </w:t>
      </w:r>
      <w:r w:rsidR="009E5A3C" w:rsidRPr="00597FFB">
        <w:rPr>
          <w:rFonts w:ascii="Times New Roman" w:eastAsia="Times New Roman" w:hAnsi="Times New Roman" w:cs="Times New Roman"/>
          <w:bCs/>
          <w:color w:val="000000" w:themeColor="text1"/>
          <w:sz w:val="24"/>
          <w:szCs w:val="24"/>
          <w:lang w:val="en-GB"/>
        </w:rPr>
        <w:t>At e-waste recycling sites, m</w:t>
      </w:r>
      <w:r w:rsidRPr="00597FFB">
        <w:rPr>
          <w:rFonts w:ascii="Times New Roman" w:eastAsia="Times New Roman" w:hAnsi="Times New Roman" w:cs="Times New Roman"/>
          <w:bCs/>
          <w:color w:val="000000" w:themeColor="text1"/>
          <w:sz w:val="24"/>
          <w:szCs w:val="24"/>
          <w:lang w:val="en-GB"/>
        </w:rPr>
        <w:t xml:space="preserve">etal concentrations were 100 to 1000 times </w:t>
      </w:r>
      <w:r w:rsidR="009E5A3C" w:rsidRPr="00597FFB">
        <w:rPr>
          <w:rFonts w:ascii="Times New Roman" w:eastAsia="Times New Roman" w:hAnsi="Times New Roman" w:cs="Times New Roman"/>
          <w:bCs/>
          <w:color w:val="000000" w:themeColor="text1"/>
          <w:sz w:val="24"/>
          <w:szCs w:val="24"/>
          <w:lang w:val="en-GB"/>
        </w:rPr>
        <w:t>more</w:t>
      </w:r>
      <w:r w:rsidRPr="00597FFB">
        <w:rPr>
          <w:rFonts w:ascii="Times New Roman" w:eastAsia="Times New Roman" w:hAnsi="Times New Roman" w:cs="Times New Roman"/>
          <w:bCs/>
          <w:color w:val="000000" w:themeColor="text1"/>
          <w:sz w:val="24"/>
          <w:szCs w:val="24"/>
          <w:lang w:val="en-GB"/>
        </w:rPr>
        <w:t xml:space="preserve"> </w:t>
      </w:r>
      <w:r w:rsidR="009E5A3C" w:rsidRPr="00597FFB">
        <w:rPr>
          <w:rFonts w:ascii="Times New Roman" w:eastAsia="Times New Roman" w:hAnsi="Times New Roman" w:cs="Times New Roman"/>
          <w:bCs/>
          <w:color w:val="000000" w:themeColor="text1"/>
          <w:sz w:val="24"/>
          <w:szCs w:val="24"/>
          <w:lang w:val="en-GB"/>
        </w:rPr>
        <w:t>certain</w:t>
      </w:r>
      <w:r w:rsidRPr="00597FFB">
        <w:rPr>
          <w:rFonts w:ascii="Times New Roman" w:eastAsia="Times New Roman" w:hAnsi="Times New Roman" w:cs="Times New Roman"/>
          <w:bCs/>
          <w:color w:val="000000" w:themeColor="text1"/>
          <w:sz w:val="24"/>
          <w:szCs w:val="24"/>
          <w:lang w:val="en-GB"/>
        </w:rPr>
        <w:t xml:space="preserve"> some metals </w:t>
      </w:r>
      <w:r w:rsidR="009E5A3C" w:rsidRPr="00597FFB">
        <w:rPr>
          <w:rFonts w:ascii="Times New Roman" w:eastAsia="Times New Roman" w:hAnsi="Times New Roman" w:cs="Times New Roman"/>
          <w:bCs/>
          <w:color w:val="000000" w:themeColor="text1"/>
          <w:sz w:val="24"/>
          <w:szCs w:val="24"/>
          <w:lang w:val="en-GB"/>
        </w:rPr>
        <w:t>compared to</w:t>
      </w:r>
      <w:r w:rsidRPr="00597FFB">
        <w:rPr>
          <w:rFonts w:ascii="Times New Roman" w:eastAsia="Times New Roman" w:hAnsi="Times New Roman" w:cs="Times New Roman"/>
          <w:bCs/>
          <w:color w:val="000000" w:themeColor="text1"/>
          <w:sz w:val="24"/>
          <w:szCs w:val="24"/>
          <w:lang w:val="en-GB"/>
        </w:rPr>
        <w:t xml:space="preserve"> control site</w:t>
      </w:r>
      <w:r w:rsidR="009E5A3C" w:rsidRPr="00597FFB">
        <w:rPr>
          <w:rFonts w:ascii="Times New Roman" w:eastAsia="Times New Roman" w:hAnsi="Times New Roman" w:cs="Times New Roman"/>
          <w:bCs/>
          <w:color w:val="000000" w:themeColor="text1"/>
          <w:sz w:val="24"/>
          <w:szCs w:val="24"/>
          <w:lang w:val="en-GB"/>
        </w:rPr>
        <w:t xml:space="preserve"> concentration</w:t>
      </w:r>
      <w:r w:rsidRPr="00597FFB">
        <w:rPr>
          <w:rFonts w:ascii="Times New Roman" w:eastAsia="Times New Roman" w:hAnsi="Times New Roman" w:cs="Times New Roman"/>
          <w:bCs/>
          <w:color w:val="000000" w:themeColor="text1"/>
          <w:sz w:val="24"/>
          <w:szCs w:val="24"/>
          <w:lang w:val="en-GB"/>
        </w:rPr>
        <w:t xml:space="preserve">s </w:t>
      </w:r>
      <w:r w:rsidRPr="00597FFB">
        <w:rPr>
          <w:rFonts w:ascii="Times New Roman" w:eastAsiaTheme="minorHAnsi" w:hAnsi="Times New Roman" w:cs="Times New Roman"/>
          <w:color w:val="000000" w:themeColor="text1"/>
          <w:sz w:val="24"/>
          <w:lang w:val="en-GB"/>
        </w:rPr>
        <w:t>(Ahirwar &amp; Tripathi, 2021)</w:t>
      </w:r>
      <w:r w:rsidRPr="00597FFB">
        <w:rPr>
          <w:rFonts w:ascii="Times New Roman" w:eastAsia="Times New Roman" w:hAnsi="Times New Roman" w:cs="Times New Roman"/>
          <w:bCs/>
          <w:color w:val="000000" w:themeColor="text1"/>
          <w:sz w:val="24"/>
          <w:szCs w:val="24"/>
          <w:lang w:val="en-GB"/>
        </w:rPr>
        <w:t xml:space="preserve">. The dismantling </w:t>
      </w:r>
      <w:r w:rsidR="009E5A3C" w:rsidRPr="00597FFB">
        <w:rPr>
          <w:rFonts w:ascii="Times New Roman" w:eastAsia="Times New Roman" w:hAnsi="Times New Roman" w:cs="Times New Roman"/>
          <w:bCs/>
          <w:color w:val="000000" w:themeColor="text1"/>
          <w:sz w:val="24"/>
          <w:szCs w:val="24"/>
          <w:lang w:val="en-GB"/>
        </w:rPr>
        <w:t>stage</w:t>
      </w:r>
      <w:r w:rsidRPr="00597FFB">
        <w:rPr>
          <w:rFonts w:ascii="Times New Roman" w:eastAsia="Times New Roman" w:hAnsi="Times New Roman" w:cs="Times New Roman"/>
          <w:bCs/>
          <w:color w:val="000000" w:themeColor="text1"/>
          <w:sz w:val="24"/>
          <w:szCs w:val="24"/>
          <w:lang w:val="en-GB"/>
        </w:rPr>
        <w:t xml:space="preserve"> </w:t>
      </w:r>
      <w:r w:rsidR="009E5A3C" w:rsidRPr="00597FFB">
        <w:rPr>
          <w:rFonts w:ascii="Times New Roman" w:eastAsia="Times New Roman" w:hAnsi="Times New Roman" w:cs="Times New Roman"/>
          <w:bCs/>
          <w:color w:val="000000" w:themeColor="text1"/>
          <w:sz w:val="24"/>
          <w:szCs w:val="24"/>
          <w:lang w:val="en-GB"/>
        </w:rPr>
        <w:t>of</w:t>
      </w:r>
      <w:r w:rsidRPr="00597FFB">
        <w:rPr>
          <w:rFonts w:ascii="Times New Roman" w:eastAsia="Times New Roman" w:hAnsi="Times New Roman" w:cs="Times New Roman"/>
          <w:bCs/>
          <w:color w:val="000000" w:themeColor="text1"/>
          <w:sz w:val="24"/>
          <w:szCs w:val="24"/>
          <w:lang w:val="en-GB"/>
        </w:rPr>
        <w:t xml:space="preserve"> informal recycling </w:t>
      </w:r>
      <w:r w:rsidR="009E5A3C" w:rsidRPr="00597FFB">
        <w:rPr>
          <w:rFonts w:ascii="Times New Roman" w:eastAsia="Times New Roman" w:hAnsi="Times New Roman" w:cs="Times New Roman"/>
          <w:bCs/>
          <w:color w:val="000000" w:themeColor="text1"/>
          <w:sz w:val="24"/>
          <w:szCs w:val="24"/>
          <w:lang w:val="en-GB"/>
        </w:rPr>
        <w:t>could</w:t>
      </w:r>
      <w:r w:rsidRPr="00597FFB">
        <w:rPr>
          <w:rFonts w:ascii="Times New Roman" w:eastAsia="Times New Roman" w:hAnsi="Times New Roman" w:cs="Times New Roman"/>
          <w:bCs/>
          <w:color w:val="000000" w:themeColor="text1"/>
          <w:sz w:val="24"/>
          <w:szCs w:val="24"/>
          <w:lang w:val="en-GB"/>
        </w:rPr>
        <w:t xml:space="preserve"> lead to </w:t>
      </w:r>
      <w:r w:rsidR="009E5A3C" w:rsidRPr="00597FFB">
        <w:rPr>
          <w:rFonts w:ascii="Times New Roman" w:eastAsia="Times New Roman" w:hAnsi="Times New Roman" w:cs="Times New Roman"/>
          <w:bCs/>
          <w:color w:val="000000" w:themeColor="text1"/>
          <w:sz w:val="24"/>
          <w:szCs w:val="24"/>
          <w:lang w:val="en-GB"/>
        </w:rPr>
        <w:t>unintended</w:t>
      </w:r>
      <w:r w:rsidRPr="00597FFB">
        <w:rPr>
          <w:rFonts w:ascii="Times New Roman" w:eastAsia="Times New Roman" w:hAnsi="Times New Roman" w:cs="Times New Roman"/>
          <w:bCs/>
          <w:color w:val="000000" w:themeColor="text1"/>
          <w:sz w:val="24"/>
          <w:szCs w:val="24"/>
          <w:lang w:val="en-GB"/>
        </w:rPr>
        <w:t xml:space="preserve"> leak</w:t>
      </w:r>
      <w:r w:rsidR="009E5A3C"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xml:space="preserve"> and spill</w:t>
      </w:r>
      <w:r w:rsidR="009E5A3C" w:rsidRPr="00597FFB">
        <w:rPr>
          <w:rFonts w:ascii="Times New Roman" w:eastAsia="Times New Roman" w:hAnsi="Times New Roman" w:cs="Times New Roman"/>
          <w:bCs/>
          <w:color w:val="000000" w:themeColor="text1"/>
          <w:sz w:val="24"/>
          <w:szCs w:val="24"/>
          <w:lang w:val="en-GB"/>
        </w:rPr>
        <w:t>ing</w:t>
      </w:r>
      <w:r w:rsidRPr="00597FFB">
        <w:rPr>
          <w:rFonts w:ascii="Times New Roman" w:eastAsia="Times New Roman" w:hAnsi="Times New Roman" w:cs="Times New Roman"/>
          <w:bCs/>
          <w:color w:val="000000" w:themeColor="text1"/>
          <w:sz w:val="24"/>
          <w:szCs w:val="24"/>
          <w:lang w:val="en-GB"/>
        </w:rPr>
        <w:t xml:space="preserve"> of hazardous substances. </w:t>
      </w:r>
      <w:r w:rsidR="009E5A3C" w:rsidRPr="00597FFB">
        <w:rPr>
          <w:rFonts w:ascii="Times New Roman" w:eastAsia="Times New Roman" w:hAnsi="Times New Roman" w:cs="Times New Roman"/>
          <w:bCs/>
          <w:color w:val="000000" w:themeColor="text1"/>
          <w:sz w:val="24"/>
          <w:szCs w:val="24"/>
          <w:lang w:val="en-GB"/>
        </w:rPr>
        <w:t>Furthermore</w:t>
      </w:r>
      <w:r w:rsidRPr="00597FFB">
        <w:rPr>
          <w:rFonts w:ascii="Times New Roman" w:eastAsia="Times New Roman" w:hAnsi="Times New Roman" w:cs="Times New Roman"/>
          <w:bCs/>
          <w:color w:val="000000" w:themeColor="text1"/>
          <w:sz w:val="24"/>
          <w:szCs w:val="24"/>
          <w:lang w:val="en-GB"/>
        </w:rPr>
        <w:t xml:space="preserve">, shredding and grinding </w:t>
      </w:r>
      <w:r w:rsidR="009E5A3C" w:rsidRPr="00597FFB">
        <w:rPr>
          <w:rFonts w:ascii="Times New Roman" w:eastAsia="Times New Roman" w:hAnsi="Times New Roman" w:cs="Times New Roman"/>
          <w:bCs/>
          <w:color w:val="000000" w:themeColor="text1"/>
          <w:sz w:val="24"/>
          <w:szCs w:val="24"/>
          <w:lang w:val="en-GB"/>
        </w:rPr>
        <w:t>processes produce</w:t>
      </w:r>
      <w:r w:rsidRPr="00597FFB">
        <w:rPr>
          <w:rFonts w:ascii="Times New Roman" w:eastAsia="Times New Roman" w:hAnsi="Times New Roman" w:cs="Times New Roman"/>
          <w:bCs/>
          <w:color w:val="000000" w:themeColor="text1"/>
          <w:sz w:val="24"/>
          <w:szCs w:val="24"/>
          <w:lang w:val="en-GB"/>
        </w:rPr>
        <w:t xml:space="preserve"> </w:t>
      </w:r>
      <w:r w:rsidR="009E5A3C" w:rsidRPr="00597FFB">
        <w:rPr>
          <w:rFonts w:ascii="Times New Roman" w:eastAsia="Times New Roman" w:hAnsi="Times New Roman" w:cs="Times New Roman"/>
          <w:bCs/>
          <w:color w:val="000000" w:themeColor="text1"/>
          <w:sz w:val="24"/>
          <w:szCs w:val="24"/>
          <w:lang w:val="en-GB"/>
        </w:rPr>
        <w:t xml:space="preserve">metal, plastic, ceramic, glass and silicon </w:t>
      </w:r>
      <w:r w:rsidRPr="00597FFB">
        <w:rPr>
          <w:rFonts w:ascii="Times New Roman" w:eastAsia="Times New Roman" w:hAnsi="Times New Roman" w:cs="Times New Roman"/>
          <w:bCs/>
          <w:color w:val="000000" w:themeColor="text1"/>
          <w:sz w:val="24"/>
          <w:szCs w:val="24"/>
          <w:lang w:val="en-GB"/>
        </w:rPr>
        <w:t xml:space="preserve">dust particles </w:t>
      </w:r>
      <w:r w:rsidRPr="00597FFB">
        <w:rPr>
          <w:rFonts w:ascii="Times New Roman" w:eastAsiaTheme="minorHAnsi" w:hAnsi="Times New Roman" w:cs="Times New Roman"/>
          <w:color w:val="000000" w:themeColor="text1"/>
          <w:sz w:val="24"/>
          <w:lang w:val="en-GB"/>
        </w:rPr>
        <w:t>(Xu et al., 2020)</w:t>
      </w:r>
      <w:r w:rsidRPr="00597FFB">
        <w:rPr>
          <w:rFonts w:ascii="Times New Roman" w:eastAsia="Times New Roman" w:hAnsi="Times New Roman" w:cs="Times New Roman"/>
          <w:bCs/>
          <w:color w:val="000000" w:themeColor="text1"/>
          <w:sz w:val="24"/>
          <w:szCs w:val="24"/>
          <w:lang w:val="en-GB"/>
        </w:rPr>
        <w:t>.</w:t>
      </w:r>
    </w:p>
    <w:p w14:paraId="24BE7917" w14:textId="6AFA69A2" w:rsidR="0003140E" w:rsidRPr="00597FFB" w:rsidRDefault="00507C29"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In spite of</w:t>
      </w:r>
      <w:r w:rsidR="0003140E" w:rsidRPr="00597FFB">
        <w:rPr>
          <w:rFonts w:eastAsiaTheme="minorHAnsi"/>
          <w:color w:val="000000" w:themeColor="text1"/>
        </w:rPr>
        <w:t xml:space="preserve"> </w:t>
      </w:r>
      <w:r w:rsidR="0003140E" w:rsidRPr="00597FFB">
        <w:rPr>
          <w:rFonts w:ascii="Times New Roman" w:eastAsia="Times New Roman" w:hAnsi="Times New Roman" w:cs="Times New Roman"/>
          <w:bCs/>
          <w:color w:val="000000" w:themeColor="text1"/>
          <w:sz w:val="24"/>
          <w:szCs w:val="24"/>
        </w:rPr>
        <w:t xml:space="preserve">metals </w:t>
      </w:r>
      <w:r w:rsidRPr="00597FFB">
        <w:rPr>
          <w:rFonts w:ascii="Times New Roman" w:eastAsia="Times New Roman" w:hAnsi="Times New Roman" w:cs="Times New Roman"/>
          <w:bCs/>
          <w:color w:val="000000" w:themeColor="text1"/>
          <w:sz w:val="24"/>
          <w:szCs w:val="24"/>
        </w:rPr>
        <w:t>being</w:t>
      </w:r>
      <w:r w:rsidR="0003140E" w:rsidRPr="00597FFB">
        <w:rPr>
          <w:rFonts w:ascii="Times New Roman" w:eastAsia="Times New Roman" w:hAnsi="Times New Roman" w:cs="Times New Roman"/>
          <w:bCs/>
          <w:color w:val="000000" w:themeColor="text1"/>
          <w:sz w:val="24"/>
          <w:szCs w:val="24"/>
        </w:rPr>
        <w:t xml:space="preserve"> naturally occurring </w:t>
      </w:r>
      <w:r w:rsidRPr="00597FFB">
        <w:rPr>
          <w:rFonts w:ascii="Times New Roman" w:eastAsia="Times New Roman" w:hAnsi="Times New Roman" w:cs="Times New Roman"/>
          <w:bCs/>
          <w:color w:val="000000" w:themeColor="text1"/>
          <w:sz w:val="24"/>
          <w:szCs w:val="24"/>
        </w:rPr>
        <w:t>components</w:t>
      </w:r>
      <w:r w:rsidR="0003140E" w:rsidRPr="00597FFB">
        <w:rPr>
          <w:rFonts w:ascii="Times New Roman" w:eastAsia="Times New Roman" w:hAnsi="Times New Roman" w:cs="Times New Roman"/>
          <w:bCs/>
          <w:color w:val="000000" w:themeColor="text1"/>
          <w:sz w:val="24"/>
          <w:szCs w:val="24"/>
        </w:rPr>
        <w:t xml:space="preserve">, anthropogenic sources </w:t>
      </w:r>
      <w:r w:rsidRPr="00597FFB">
        <w:rPr>
          <w:rFonts w:ascii="Times New Roman" w:eastAsia="Times New Roman" w:hAnsi="Times New Roman" w:cs="Times New Roman"/>
          <w:bCs/>
          <w:color w:val="000000" w:themeColor="text1"/>
          <w:sz w:val="24"/>
          <w:szCs w:val="24"/>
        </w:rPr>
        <w:t>including</w:t>
      </w:r>
      <w:r w:rsidR="0003140E" w:rsidRPr="00597FFB">
        <w:rPr>
          <w:rFonts w:ascii="Times New Roman" w:eastAsia="Times New Roman" w:hAnsi="Times New Roman" w:cs="Times New Roman"/>
          <w:bCs/>
          <w:color w:val="000000" w:themeColor="text1"/>
          <w:sz w:val="24"/>
          <w:szCs w:val="24"/>
        </w:rPr>
        <w:t xml:space="preserve"> e-waste </w:t>
      </w:r>
      <w:r w:rsidRPr="00597FFB">
        <w:rPr>
          <w:rFonts w:ascii="Times New Roman" w:eastAsia="Times New Roman" w:hAnsi="Times New Roman" w:cs="Times New Roman"/>
          <w:bCs/>
          <w:color w:val="000000" w:themeColor="text1"/>
          <w:sz w:val="24"/>
          <w:szCs w:val="24"/>
        </w:rPr>
        <w:t>could</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change</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metal</w:t>
      </w:r>
      <w:r w:rsidR="0003140E" w:rsidRPr="00597FFB">
        <w:rPr>
          <w:rFonts w:ascii="Times New Roman" w:eastAsia="Times New Roman" w:hAnsi="Times New Roman" w:cs="Times New Roman"/>
          <w:bCs/>
          <w:color w:val="000000" w:themeColor="text1"/>
          <w:sz w:val="24"/>
          <w:szCs w:val="24"/>
        </w:rPr>
        <w:t xml:space="preserve"> distribution in the environment </w:t>
      </w:r>
      <w:r w:rsidRPr="00597FFB">
        <w:rPr>
          <w:rFonts w:ascii="Times New Roman" w:eastAsia="Times New Roman" w:hAnsi="Times New Roman" w:cs="Times New Roman"/>
          <w:bCs/>
          <w:color w:val="000000" w:themeColor="text1"/>
          <w:sz w:val="24"/>
          <w:szCs w:val="24"/>
        </w:rPr>
        <w:t>by</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transferring </w:t>
      </w:r>
      <w:r w:rsidR="0003140E" w:rsidRPr="00597FFB">
        <w:rPr>
          <w:rFonts w:ascii="Times New Roman" w:eastAsia="Times New Roman" w:hAnsi="Times New Roman" w:cs="Times New Roman"/>
          <w:bCs/>
          <w:color w:val="000000" w:themeColor="text1"/>
          <w:sz w:val="24"/>
          <w:szCs w:val="24"/>
        </w:rPr>
        <w:t xml:space="preserve">these metals to </w:t>
      </w:r>
      <w:r w:rsidRPr="00597FFB">
        <w:rPr>
          <w:rFonts w:ascii="Times New Roman" w:eastAsia="Times New Roman" w:hAnsi="Times New Roman" w:cs="Times New Roman"/>
          <w:bCs/>
          <w:color w:val="000000" w:themeColor="text1"/>
          <w:sz w:val="24"/>
          <w:szCs w:val="24"/>
        </w:rPr>
        <w:t xml:space="preserve">water, </w:t>
      </w:r>
      <w:r w:rsidR="0003140E" w:rsidRPr="00597FFB">
        <w:rPr>
          <w:rFonts w:ascii="Times New Roman" w:eastAsia="Times New Roman" w:hAnsi="Times New Roman" w:cs="Times New Roman"/>
          <w:bCs/>
          <w:color w:val="000000" w:themeColor="text1"/>
          <w:sz w:val="24"/>
          <w:szCs w:val="24"/>
        </w:rPr>
        <w:t xml:space="preserve">the soil, air, </w:t>
      </w:r>
      <w:r w:rsidRPr="00597FFB">
        <w:rPr>
          <w:rFonts w:ascii="Times New Roman" w:eastAsia="Times New Roman" w:hAnsi="Times New Roman" w:cs="Times New Roman"/>
          <w:bCs/>
          <w:color w:val="000000" w:themeColor="text1"/>
          <w:sz w:val="24"/>
          <w:szCs w:val="24"/>
        </w:rPr>
        <w:t xml:space="preserve">marine life, plants, </w:t>
      </w:r>
      <w:r w:rsidR="0003140E" w:rsidRPr="00597FFB">
        <w:rPr>
          <w:rFonts w:ascii="Times New Roman" w:eastAsia="Times New Roman" w:hAnsi="Times New Roman" w:cs="Times New Roman"/>
          <w:bCs/>
          <w:color w:val="000000" w:themeColor="text1"/>
          <w:sz w:val="24"/>
          <w:szCs w:val="24"/>
        </w:rPr>
        <w:t>and</w:t>
      </w:r>
      <w:r w:rsidRPr="00597FFB">
        <w:rPr>
          <w:rFonts w:ascii="Times New Roman" w:eastAsia="Times New Roman" w:hAnsi="Times New Roman" w:cs="Times New Roman"/>
          <w:bCs/>
          <w:color w:val="000000" w:themeColor="text1"/>
          <w:sz w:val="24"/>
          <w:szCs w:val="24"/>
        </w:rPr>
        <w:t xml:space="preserve"> sediments</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As such</w:t>
      </w:r>
      <w:r w:rsidR="0003140E" w:rsidRPr="00597FFB">
        <w:rPr>
          <w:rFonts w:ascii="Times New Roman" w:eastAsia="Times New Roman" w:hAnsi="Times New Roman" w:cs="Times New Roman"/>
          <w:bCs/>
          <w:color w:val="000000" w:themeColor="text1"/>
          <w:sz w:val="24"/>
          <w:szCs w:val="24"/>
        </w:rPr>
        <w:t xml:space="preserve">, they can </w:t>
      </w:r>
      <w:r w:rsidRPr="00597FFB">
        <w:rPr>
          <w:rFonts w:ascii="Times New Roman" w:eastAsia="Times New Roman" w:hAnsi="Times New Roman" w:cs="Times New Roman"/>
          <w:bCs/>
          <w:color w:val="000000" w:themeColor="text1"/>
          <w:sz w:val="24"/>
          <w:szCs w:val="24"/>
        </w:rPr>
        <w:t>pose serious</w:t>
      </w:r>
      <w:r w:rsidR="0003140E" w:rsidRPr="00597FFB">
        <w:rPr>
          <w:rFonts w:ascii="Times New Roman" w:eastAsia="Times New Roman" w:hAnsi="Times New Roman" w:cs="Times New Roman"/>
          <w:bCs/>
          <w:color w:val="000000" w:themeColor="text1"/>
          <w:sz w:val="24"/>
          <w:szCs w:val="24"/>
        </w:rPr>
        <w:t xml:space="preserve"> environmental concern</w:t>
      </w:r>
      <w:r w:rsidRPr="00597FFB">
        <w:rPr>
          <w:rFonts w:ascii="Times New Roman" w:eastAsia="Times New Roman" w:hAnsi="Times New Roman" w:cs="Times New Roman"/>
          <w:bCs/>
          <w:color w:val="000000" w:themeColor="text1"/>
          <w:sz w:val="24"/>
          <w:szCs w:val="24"/>
        </w:rPr>
        <w:t>s</w:t>
      </w:r>
      <w:r w:rsidR="0003140E" w:rsidRPr="00597FFB">
        <w:rPr>
          <w:rFonts w:ascii="Times New Roman" w:eastAsia="Times New Roman" w:hAnsi="Times New Roman" w:cs="Times New Roman"/>
          <w:bCs/>
          <w:color w:val="000000" w:themeColor="text1"/>
          <w:sz w:val="24"/>
          <w:szCs w:val="24"/>
        </w:rPr>
        <w:t xml:space="preserve">. These heavy metals persist in the air, soil, and water. </w:t>
      </w:r>
      <w:r w:rsidRPr="00597FFB">
        <w:rPr>
          <w:rFonts w:ascii="Times New Roman" w:eastAsia="Times New Roman" w:hAnsi="Times New Roman" w:cs="Times New Roman"/>
          <w:bCs/>
          <w:color w:val="000000" w:themeColor="text1"/>
          <w:sz w:val="24"/>
          <w:szCs w:val="24"/>
        </w:rPr>
        <w:t>Resultantly,</w:t>
      </w:r>
      <w:r w:rsidR="0003140E" w:rsidRPr="00597FFB">
        <w:rPr>
          <w:rFonts w:ascii="Times New Roman" w:eastAsia="Times New Roman" w:hAnsi="Times New Roman" w:cs="Times New Roman"/>
          <w:bCs/>
          <w:color w:val="000000" w:themeColor="text1"/>
          <w:sz w:val="24"/>
          <w:szCs w:val="24"/>
        </w:rPr>
        <w:t xml:space="preserve"> heavy metals </w:t>
      </w:r>
      <w:r w:rsidR="008A7503" w:rsidRPr="00597FFB">
        <w:rPr>
          <w:rFonts w:ascii="Times New Roman" w:eastAsia="Times New Roman" w:hAnsi="Times New Roman" w:cs="Times New Roman"/>
          <w:bCs/>
          <w:color w:val="000000" w:themeColor="text1"/>
          <w:sz w:val="24"/>
          <w:szCs w:val="24"/>
        </w:rPr>
        <w:t xml:space="preserve">at times </w:t>
      </w:r>
      <w:r w:rsidR="0003140E" w:rsidRPr="00597FFB">
        <w:rPr>
          <w:rFonts w:ascii="Times New Roman" w:eastAsia="Times New Roman" w:hAnsi="Times New Roman" w:cs="Times New Roman"/>
          <w:bCs/>
          <w:color w:val="000000" w:themeColor="text1"/>
          <w:sz w:val="24"/>
          <w:szCs w:val="24"/>
        </w:rPr>
        <w:t xml:space="preserve">enter the food chain </w:t>
      </w:r>
      <w:r w:rsidR="008A7503" w:rsidRPr="00597FFB">
        <w:rPr>
          <w:rFonts w:ascii="Times New Roman" w:eastAsia="Times New Roman" w:hAnsi="Times New Roman" w:cs="Times New Roman"/>
          <w:bCs/>
          <w:color w:val="000000" w:themeColor="text1"/>
          <w:sz w:val="24"/>
          <w:szCs w:val="24"/>
        </w:rPr>
        <w:t>through plant</w:t>
      </w:r>
      <w:r w:rsidR="0003140E" w:rsidRPr="00597FFB">
        <w:rPr>
          <w:rFonts w:ascii="Times New Roman" w:eastAsia="Times New Roman" w:hAnsi="Times New Roman" w:cs="Times New Roman"/>
          <w:bCs/>
          <w:color w:val="000000" w:themeColor="text1"/>
          <w:sz w:val="24"/>
          <w:szCs w:val="24"/>
        </w:rPr>
        <w:t xml:space="preserve"> poisoning and </w:t>
      </w:r>
      <w:r w:rsidR="008A7503" w:rsidRPr="00597FFB">
        <w:rPr>
          <w:rFonts w:ascii="Times New Roman" w:eastAsia="Times New Roman" w:hAnsi="Times New Roman" w:cs="Times New Roman"/>
          <w:bCs/>
          <w:color w:val="000000" w:themeColor="text1"/>
          <w:sz w:val="24"/>
          <w:szCs w:val="24"/>
        </w:rPr>
        <w:t>could</w:t>
      </w:r>
      <w:r w:rsidR="0003140E" w:rsidRPr="00597FFB">
        <w:rPr>
          <w:rFonts w:ascii="Times New Roman" w:eastAsia="Times New Roman" w:hAnsi="Times New Roman" w:cs="Times New Roman"/>
          <w:bCs/>
          <w:color w:val="000000" w:themeColor="text1"/>
          <w:sz w:val="24"/>
          <w:szCs w:val="24"/>
        </w:rPr>
        <w:t xml:space="preserve"> cause phytotoxicity</w:t>
      </w:r>
      <w:r w:rsidR="008A7503" w:rsidRPr="00597FFB">
        <w:rPr>
          <w:rFonts w:ascii="Times New Roman" w:eastAsia="Times New Roman" w:hAnsi="Times New Roman" w:cs="Times New Roman"/>
          <w:bCs/>
          <w:color w:val="000000" w:themeColor="text1"/>
          <w:sz w:val="24"/>
          <w:szCs w:val="24"/>
        </w:rPr>
        <w:t xml:space="preserve"> that </w:t>
      </w:r>
      <w:r w:rsidR="0003140E" w:rsidRPr="00597FFB">
        <w:rPr>
          <w:rFonts w:ascii="Times New Roman" w:eastAsia="Times New Roman" w:hAnsi="Times New Roman" w:cs="Times New Roman"/>
          <w:bCs/>
          <w:color w:val="000000" w:themeColor="text1"/>
          <w:sz w:val="24"/>
          <w:szCs w:val="24"/>
        </w:rPr>
        <w:t>weak</w:t>
      </w:r>
      <w:r w:rsidR="008A7503" w:rsidRPr="00597FFB">
        <w:rPr>
          <w:rFonts w:ascii="Times New Roman" w:eastAsia="Times New Roman" w:hAnsi="Times New Roman" w:cs="Times New Roman"/>
          <w:bCs/>
          <w:color w:val="000000" w:themeColor="text1"/>
          <w:sz w:val="24"/>
          <w:szCs w:val="24"/>
        </w:rPr>
        <w:t>en</w:t>
      </w:r>
      <w:r w:rsidR="0003140E" w:rsidRPr="00597FFB">
        <w:rPr>
          <w:rFonts w:ascii="Times New Roman" w:eastAsia="Times New Roman" w:hAnsi="Times New Roman" w:cs="Times New Roman"/>
          <w:bCs/>
          <w:color w:val="000000" w:themeColor="text1"/>
          <w:sz w:val="24"/>
          <w:szCs w:val="24"/>
        </w:rPr>
        <w:t xml:space="preserve"> plant growth, </w:t>
      </w:r>
      <w:r w:rsidR="00DB3AD0" w:rsidRPr="00597FFB">
        <w:rPr>
          <w:rFonts w:ascii="Times New Roman" w:eastAsia="Times New Roman" w:hAnsi="Times New Roman" w:cs="Times New Roman"/>
          <w:bCs/>
          <w:color w:val="000000" w:themeColor="text1"/>
          <w:sz w:val="24"/>
          <w:szCs w:val="24"/>
        </w:rPr>
        <w:t xml:space="preserve">reduced nutrient uptake, </w:t>
      </w:r>
      <w:r w:rsidR="0003140E" w:rsidRPr="00597FFB">
        <w:rPr>
          <w:rFonts w:ascii="Times New Roman" w:eastAsia="Times New Roman" w:hAnsi="Times New Roman" w:cs="Times New Roman"/>
          <w:bCs/>
          <w:color w:val="000000" w:themeColor="text1"/>
          <w:sz w:val="24"/>
          <w:szCs w:val="24"/>
        </w:rPr>
        <w:t xml:space="preserve">chlorosis, disorder in plant metabolism, and </w:t>
      </w:r>
      <w:r w:rsidR="008F5052" w:rsidRPr="00597FFB">
        <w:rPr>
          <w:rFonts w:ascii="Times New Roman" w:eastAsia="Times New Roman" w:hAnsi="Times New Roman" w:cs="Times New Roman"/>
          <w:bCs/>
          <w:color w:val="000000" w:themeColor="text1"/>
          <w:sz w:val="24"/>
          <w:szCs w:val="24"/>
        </w:rPr>
        <w:t>decreased</w:t>
      </w:r>
      <w:r w:rsidR="0003140E" w:rsidRPr="00597FFB">
        <w:rPr>
          <w:rFonts w:ascii="Times New Roman" w:eastAsia="Times New Roman" w:hAnsi="Times New Roman" w:cs="Times New Roman"/>
          <w:bCs/>
          <w:color w:val="000000" w:themeColor="text1"/>
          <w:sz w:val="24"/>
          <w:szCs w:val="24"/>
        </w:rPr>
        <w:t xml:space="preserve"> nitrogen fixation in legum</w:t>
      </w:r>
      <w:r w:rsidR="008F5052" w:rsidRPr="00597FFB">
        <w:rPr>
          <w:rFonts w:ascii="Times New Roman" w:eastAsia="Times New Roman" w:hAnsi="Times New Roman" w:cs="Times New Roman"/>
          <w:bCs/>
          <w:color w:val="000000" w:themeColor="text1"/>
          <w:sz w:val="24"/>
          <w:szCs w:val="24"/>
        </w:rPr>
        <w:t>inous</w:t>
      </w:r>
      <w:r w:rsidR="0003140E" w:rsidRPr="00597FFB">
        <w:rPr>
          <w:rFonts w:ascii="Times New Roman" w:eastAsia="Times New Roman" w:hAnsi="Times New Roman" w:cs="Times New Roman"/>
          <w:bCs/>
          <w:color w:val="000000" w:themeColor="text1"/>
          <w:sz w:val="24"/>
          <w:szCs w:val="24"/>
        </w:rPr>
        <w:t xml:space="preserve"> plants meant for </w:t>
      </w:r>
      <w:r w:rsidR="008F5052" w:rsidRPr="00597FFB">
        <w:rPr>
          <w:rFonts w:ascii="Times New Roman" w:eastAsia="Times New Roman" w:hAnsi="Times New Roman" w:cs="Times New Roman"/>
          <w:bCs/>
          <w:color w:val="000000" w:themeColor="text1"/>
          <w:sz w:val="24"/>
          <w:szCs w:val="24"/>
        </w:rPr>
        <w:t xml:space="preserve">consumption by </w:t>
      </w:r>
      <w:r w:rsidR="0003140E" w:rsidRPr="00597FFB">
        <w:rPr>
          <w:rFonts w:ascii="Times New Roman" w:eastAsia="Times New Roman" w:hAnsi="Times New Roman" w:cs="Times New Roman"/>
          <w:bCs/>
          <w:color w:val="000000" w:themeColor="text1"/>
          <w:sz w:val="24"/>
          <w:szCs w:val="24"/>
        </w:rPr>
        <w:t>human</w:t>
      </w:r>
      <w:r w:rsidR="008F5052" w:rsidRPr="00597FFB">
        <w:rPr>
          <w:rFonts w:ascii="Times New Roman" w:eastAsia="Times New Roman" w:hAnsi="Times New Roman" w:cs="Times New Roman"/>
          <w:bCs/>
          <w:color w:val="000000" w:themeColor="text1"/>
          <w:sz w:val="24"/>
          <w:szCs w:val="24"/>
        </w:rPr>
        <w:t>s</w:t>
      </w:r>
      <w:r w:rsidR="0003140E" w:rsidRPr="00597FFB">
        <w:rPr>
          <w:rFonts w:ascii="Times New Roman" w:eastAsia="Times New Roman" w:hAnsi="Times New Roman" w:cs="Times New Roman"/>
          <w:bCs/>
          <w:color w:val="000000" w:themeColor="text1"/>
          <w:sz w:val="24"/>
          <w:szCs w:val="24"/>
        </w:rPr>
        <w:t xml:space="preserve"> </w:t>
      </w:r>
      <w:r w:rsidR="0003140E" w:rsidRPr="00597FFB">
        <w:rPr>
          <w:rFonts w:ascii="Times New Roman" w:eastAsiaTheme="minorHAnsi" w:hAnsi="Times New Roman" w:cs="Times New Roman"/>
          <w:color w:val="000000" w:themeColor="text1"/>
          <w:sz w:val="24"/>
        </w:rPr>
        <w:t>(Kannan et al., 2020)</w:t>
      </w:r>
      <w:r w:rsidR="0003140E" w:rsidRPr="00597FFB">
        <w:rPr>
          <w:rFonts w:ascii="Times New Roman" w:eastAsia="Times New Roman" w:hAnsi="Times New Roman" w:cs="Times New Roman"/>
          <w:bCs/>
          <w:color w:val="000000" w:themeColor="text1"/>
          <w:sz w:val="24"/>
          <w:szCs w:val="24"/>
        </w:rPr>
        <w:t xml:space="preserve">. </w:t>
      </w:r>
      <w:r w:rsidR="00EB6737" w:rsidRPr="00597FFB">
        <w:rPr>
          <w:rFonts w:ascii="Times New Roman" w:eastAsia="Times New Roman" w:hAnsi="Times New Roman" w:cs="Times New Roman"/>
          <w:bCs/>
          <w:color w:val="000000" w:themeColor="text1"/>
          <w:sz w:val="24"/>
          <w:szCs w:val="24"/>
        </w:rPr>
        <w:t>Consequently</w:t>
      </w:r>
      <w:r w:rsidR="0003140E" w:rsidRPr="00597FFB">
        <w:rPr>
          <w:rFonts w:ascii="Times New Roman" w:eastAsia="Times New Roman" w:hAnsi="Times New Roman" w:cs="Times New Roman"/>
          <w:bCs/>
          <w:color w:val="000000" w:themeColor="text1"/>
          <w:sz w:val="24"/>
          <w:szCs w:val="24"/>
        </w:rPr>
        <w:t xml:space="preserve">, </w:t>
      </w:r>
      <w:r w:rsidR="00EB6737" w:rsidRPr="00597FFB">
        <w:rPr>
          <w:rFonts w:ascii="Times New Roman" w:eastAsia="Times New Roman" w:hAnsi="Times New Roman" w:cs="Times New Roman"/>
          <w:bCs/>
          <w:color w:val="000000" w:themeColor="text1"/>
          <w:sz w:val="24"/>
          <w:szCs w:val="24"/>
        </w:rPr>
        <w:t xml:space="preserve">animals </w:t>
      </w:r>
      <w:r w:rsidR="0003140E" w:rsidRPr="00597FFB">
        <w:rPr>
          <w:rFonts w:ascii="Times New Roman" w:eastAsia="Times New Roman" w:hAnsi="Times New Roman" w:cs="Times New Roman"/>
          <w:bCs/>
          <w:color w:val="000000" w:themeColor="text1"/>
          <w:sz w:val="24"/>
          <w:szCs w:val="24"/>
        </w:rPr>
        <w:t xml:space="preserve">and </w:t>
      </w:r>
      <w:r w:rsidR="00EB6737" w:rsidRPr="00597FFB">
        <w:rPr>
          <w:rFonts w:ascii="Times New Roman" w:eastAsia="Times New Roman" w:hAnsi="Times New Roman" w:cs="Times New Roman"/>
          <w:bCs/>
          <w:color w:val="000000" w:themeColor="text1"/>
          <w:sz w:val="24"/>
          <w:szCs w:val="24"/>
        </w:rPr>
        <w:t xml:space="preserve">humans </w:t>
      </w:r>
      <w:r w:rsidR="0003140E" w:rsidRPr="00597FFB">
        <w:rPr>
          <w:rFonts w:ascii="Times New Roman" w:eastAsia="Times New Roman" w:hAnsi="Times New Roman" w:cs="Times New Roman"/>
          <w:bCs/>
          <w:color w:val="000000" w:themeColor="text1"/>
          <w:sz w:val="24"/>
          <w:szCs w:val="24"/>
        </w:rPr>
        <w:t xml:space="preserve">are exposed via their diets, </w:t>
      </w:r>
      <w:r w:rsidR="00BE5B29" w:rsidRPr="00597FFB">
        <w:rPr>
          <w:rFonts w:ascii="Times New Roman" w:eastAsia="Times New Roman" w:hAnsi="Times New Roman" w:cs="Times New Roman"/>
          <w:bCs/>
          <w:color w:val="000000" w:themeColor="text1"/>
          <w:sz w:val="24"/>
          <w:szCs w:val="24"/>
        </w:rPr>
        <w:t xml:space="preserve">dust </w:t>
      </w:r>
      <w:r w:rsidR="0003140E" w:rsidRPr="00597FFB">
        <w:rPr>
          <w:rFonts w:ascii="Times New Roman" w:eastAsia="Times New Roman" w:hAnsi="Times New Roman" w:cs="Times New Roman"/>
          <w:bCs/>
          <w:color w:val="000000" w:themeColor="text1"/>
          <w:sz w:val="24"/>
          <w:szCs w:val="24"/>
        </w:rPr>
        <w:t xml:space="preserve">air inhalation, and </w:t>
      </w:r>
      <w:r w:rsidR="00BE5B29" w:rsidRPr="00597FFB">
        <w:rPr>
          <w:rFonts w:ascii="Times New Roman" w:eastAsia="Times New Roman" w:hAnsi="Times New Roman" w:cs="Times New Roman"/>
          <w:bCs/>
          <w:color w:val="000000" w:themeColor="text1"/>
          <w:sz w:val="24"/>
          <w:szCs w:val="24"/>
        </w:rPr>
        <w:t xml:space="preserve">skin contact </w:t>
      </w:r>
      <w:r w:rsidR="0003140E" w:rsidRPr="00597FFB">
        <w:rPr>
          <w:rFonts w:ascii="Times New Roman" w:eastAsia="Times New Roman" w:hAnsi="Times New Roman" w:cs="Times New Roman"/>
          <w:bCs/>
          <w:color w:val="000000" w:themeColor="text1"/>
          <w:sz w:val="24"/>
          <w:szCs w:val="24"/>
        </w:rPr>
        <w:t>and</w:t>
      </w:r>
      <w:r w:rsidR="00BE5B29" w:rsidRPr="00597FFB">
        <w:rPr>
          <w:rFonts w:ascii="Times New Roman" w:eastAsia="Times New Roman" w:hAnsi="Times New Roman" w:cs="Times New Roman"/>
          <w:bCs/>
          <w:color w:val="000000" w:themeColor="text1"/>
          <w:sz w:val="24"/>
          <w:szCs w:val="24"/>
        </w:rPr>
        <w:t xml:space="preserve"> soil ingestion</w:t>
      </w:r>
      <w:r w:rsidR="0003140E" w:rsidRPr="00597FFB">
        <w:rPr>
          <w:rFonts w:ascii="Times New Roman" w:eastAsia="Times New Roman" w:hAnsi="Times New Roman" w:cs="Times New Roman"/>
          <w:bCs/>
          <w:color w:val="000000" w:themeColor="text1"/>
          <w:sz w:val="24"/>
          <w:szCs w:val="24"/>
        </w:rPr>
        <w:t xml:space="preserve">. The </w:t>
      </w:r>
      <w:r w:rsidR="00BE5B29" w:rsidRPr="00597FFB">
        <w:rPr>
          <w:rFonts w:ascii="Times New Roman" w:eastAsia="Times New Roman" w:hAnsi="Times New Roman" w:cs="Times New Roman"/>
          <w:bCs/>
          <w:color w:val="000000" w:themeColor="text1"/>
          <w:sz w:val="24"/>
          <w:szCs w:val="24"/>
        </w:rPr>
        <w:t>eventual</w:t>
      </w:r>
      <w:r w:rsidR="0003140E" w:rsidRPr="00597FFB">
        <w:rPr>
          <w:rFonts w:ascii="Times New Roman" w:eastAsia="Times New Roman" w:hAnsi="Times New Roman" w:cs="Times New Roman"/>
          <w:bCs/>
          <w:color w:val="000000" w:themeColor="text1"/>
          <w:sz w:val="24"/>
          <w:szCs w:val="24"/>
        </w:rPr>
        <w:t xml:space="preserve"> accumulation and biomagnification in human tissues pose</w:t>
      </w:r>
      <w:r w:rsidR="00BE5B29" w:rsidRPr="00597FFB">
        <w:rPr>
          <w:rFonts w:ascii="Times New Roman" w:eastAsia="Times New Roman" w:hAnsi="Times New Roman" w:cs="Times New Roman"/>
          <w:bCs/>
          <w:color w:val="000000" w:themeColor="text1"/>
          <w:sz w:val="24"/>
          <w:szCs w:val="24"/>
        </w:rPr>
        <w:t>s</w:t>
      </w:r>
      <w:r w:rsidR="0003140E" w:rsidRPr="00597FFB">
        <w:rPr>
          <w:rFonts w:ascii="Times New Roman" w:eastAsia="Times New Roman" w:hAnsi="Times New Roman" w:cs="Times New Roman"/>
          <w:bCs/>
          <w:color w:val="000000" w:themeColor="text1"/>
          <w:sz w:val="24"/>
          <w:szCs w:val="24"/>
        </w:rPr>
        <w:t xml:space="preserve"> </w:t>
      </w:r>
      <w:r w:rsidR="00BE5B29" w:rsidRPr="00597FFB">
        <w:rPr>
          <w:rFonts w:ascii="Times New Roman" w:eastAsia="Times New Roman" w:hAnsi="Times New Roman" w:cs="Times New Roman"/>
          <w:bCs/>
          <w:color w:val="000000" w:themeColor="text1"/>
          <w:sz w:val="24"/>
          <w:szCs w:val="24"/>
        </w:rPr>
        <w:t>severe</w:t>
      </w:r>
      <w:r w:rsidR="0003140E" w:rsidRPr="00597FFB">
        <w:rPr>
          <w:rFonts w:ascii="Times New Roman" w:eastAsia="Times New Roman" w:hAnsi="Times New Roman" w:cs="Times New Roman"/>
          <w:bCs/>
          <w:color w:val="000000" w:themeColor="text1"/>
          <w:sz w:val="24"/>
          <w:szCs w:val="24"/>
        </w:rPr>
        <w:t xml:space="preserve"> health risks </w:t>
      </w:r>
      <w:r w:rsidR="0003140E" w:rsidRPr="00597FFB">
        <w:rPr>
          <w:rFonts w:ascii="Times New Roman" w:eastAsiaTheme="minorHAnsi" w:hAnsi="Times New Roman" w:cs="Times New Roman"/>
          <w:color w:val="000000" w:themeColor="text1"/>
          <w:sz w:val="24"/>
        </w:rPr>
        <w:t>(Mawed, 2020)</w:t>
      </w:r>
      <w:r w:rsidR="0003140E" w:rsidRPr="00597FFB">
        <w:rPr>
          <w:rFonts w:ascii="Times New Roman" w:eastAsia="Times New Roman" w:hAnsi="Times New Roman" w:cs="Times New Roman"/>
          <w:bCs/>
          <w:color w:val="000000" w:themeColor="text1"/>
          <w:sz w:val="24"/>
          <w:szCs w:val="24"/>
        </w:rPr>
        <w:t xml:space="preserve">. Moreover, heavy metals are nonbiodegradable. These metals are highly persistent in the environment (i.e., the air, soil, and water) thereby harming the aquatic environment and ecological balance. Metals </w:t>
      </w:r>
      <w:r w:rsidR="00BE5B29" w:rsidRPr="00597FFB">
        <w:rPr>
          <w:rFonts w:ascii="Times New Roman" w:eastAsia="Times New Roman" w:hAnsi="Times New Roman" w:cs="Times New Roman"/>
          <w:bCs/>
          <w:color w:val="000000" w:themeColor="text1"/>
          <w:sz w:val="24"/>
          <w:szCs w:val="24"/>
        </w:rPr>
        <w:t xml:space="preserve">are soluble </w:t>
      </w:r>
      <w:r w:rsidR="0003140E" w:rsidRPr="00597FFB">
        <w:rPr>
          <w:rFonts w:ascii="Times New Roman" w:eastAsia="Times New Roman" w:hAnsi="Times New Roman" w:cs="Times New Roman"/>
          <w:bCs/>
          <w:color w:val="000000" w:themeColor="text1"/>
          <w:sz w:val="24"/>
          <w:szCs w:val="24"/>
        </w:rPr>
        <w:t>in water and are easily absorb</w:t>
      </w:r>
      <w:r w:rsidR="00BE5B29" w:rsidRPr="00597FFB">
        <w:rPr>
          <w:rFonts w:ascii="Times New Roman" w:eastAsia="Times New Roman" w:hAnsi="Times New Roman" w:cs="Times New Roman"/>
          <w:bCs/>
          <w:color w:val="000000" w:themeColor="text1"/>
          <w:sz w:val="24"/>
          <w:szCs w:val="24"/>
        </w:rPr>
        <w:t>abl</w:t>
      </w:r>
      <w:r w:rsidR="0003140E" w:rsidRPr="00597FFB">
        <w:rPr>
          <w:rFonts w:ascii="Times New Roman" w:eastAsia="Times New Roman" w:hAnsi="Times New Roman" w:cs="Times New Roman"/>
          <w:bCs/>
          <w:color w:val="000000" w:themeColor="text1"/>
          <w:sz w:val="24"/>
          <w:szCs w:val="24"/>
        </w:rPr>
        <w:t xml:space="preserve">e into the marine life </w:t>
      </w:r>
      <w:r w:rsidR="00BE5B29" w:rsidRPr="00597FFB">
        <w:rPr>
          <w:rFonts w:ascii="Times New Roman" w:eastAsia="Times New Roman" w:hAnsi="Times New Roman" w:cs="Times New Roman"/>
          <w:bCs/>
          <w:color w:val="000000" w:themeColor="text1"/>
          <w:sz w:val="24"/>
          <w:szCs w:val="24"/>
        </w:rPr>
        <w:t>that harms</w:t>
      </w:r>
      <w:r w:rsidR="0003140E" w:rsidRPr="00597FFB">
        <w:rPr>
          <w:rFonts w:ascii="Times New Roman" w:eastAsia="Times New Roman" w:hAnsi="Times New Roman" w:cs="Times New Roman"/>
          <w:bCs/>
          <w:color w:val="000000" w:themeColor="text1"/>
          <w:sz w:val="24"/>
          <w:szCs w:val="24"/>
        </w:rPr>
        <w:t xml:space="preserve"> </w:t>
      </w:r>
      <w:r w:rsidR="00BE5B29" w:rsidRPr="00597FFB">
        <w:rPr>
          <w:rFonts w:ascii="Times New Roman" w:eastAsia="Times New Roman" w:hAnsi="Times New Roman" w:cs="Times New Roman"/>
          <w:bCs/>
          <w:color w:val="000000" w:themeColor="text1"/>
          <w:sz w:val="24"/>
          <w:szCs w:val="24"/>
        </w:rPr>
        <w:t xml:space="preserve">fish </w:t>
      </w:r>
      <w:r w:rsidR="0003140E" w:rsidRPr="00597FFB">
        <w:rPr>
          <w:rFonts w:ascii="Times New Roman" w:eastAsia="Times New Roman" w:hAnsi="Times New Roman" w:cs="Times New Roman"/>
          <w:bCs/>
          <w:color w:val="000000" w:themeColor="text1"/>
          <w:sz w:val="24"/>
          <w:szCs w:val="24"/>
        </w:rPr>
        <w:t>and</w:t>
      </w:r>
      <w:r w:rsidR="00BE5B29" w:rsidRPr="00597FFB">
        <w:rPr>
          <w:rFonts w:ascii="Times New Roman" w:eastAsia="Times New Roman" w:hAnsi="Times New Roman" w:cs="Times New Roman"/>
          <w:bCs/>
          <w:color w:val="000000" w:themeColor="text1"/>
          <w:sz w:val="24"/>
          <w:szCs w:val="24"/>
        </w:rPr>
        <w:t xml:space="preserve"> other aquatic organisms</w:t>
      </w:r>
      <w:r w:rsidR="0003140E" w:rsidRPr="00597FFB">
        <w:rPr>
          <w:rFonts w:ascii="Times New Roman" w:eastAsia="Times New Roman" w:hAnsi="Times New Roman" w:cs="Times New Roman"/>
          <w:bCs/>
          <w:color w:val="000000" w:themeColor="text1"/>
          <w:sz w:val="24"/>
          <w:szCs w:val="24"/>
        </w:rPr>
        <w:t xml:space="preserve">. Thus, they degrade </w:t>
      </w:r>
      <w:r w:rsidR="00BE5B29" w:rsidRPr="00597FFB">
        <w:rPr>
          <w:rFonts w:ascii="Times New Roman" w:eastAsia="Times New Roman" w:hAnsi="Times New Roman" w:cs="Times New Roman"/>
          <w:bCs/>
          <w:color w:val="000000" w:themeColor="text1"/>
          <w:sz w:val="24"/>
          <w:szCs w:val="24"/>
        </w:rPr>
        <w:t xml:space="preserve">quality of </w:t>
      </w:r>
      <w:r w:rsidR="0003140E" w:rsidRPr="00597FFB">
        <w:rPr>
          <w:rFonts w:ascii="Times New Roman" w:eastAsia="Times New Roman" w:hAnsi="Times New Roman" w:cs="Times New Roman"/>
          <w:bCs/>
          <w:color w:val="000000" w:themeColor="text1"/>
          <w:sz w:val="24"/>
          <w:szCs w:val="24"/>
        </w:rPr>
        <w:t xml:space="preserve">water, kill aquatic life, and harm human health in the end </w:t>
      </w:r>
      <w:r w:rsidR="0003140E" w:rsidRPr="00597FFB">
        <w:rPr>
          <w:rFonts w:ascii="Times New Roman" w:eastAsiaTheme="minorHAnsi" w:hAnsi="Times New Roman" w:cs="Times New Roman"/>
          <w:color w:val="000000" w:themeColor="text1"/>
          <w:sz w:val="24"/>
        </w:rPr>
        <w:t>(Pujara et al., 2019)</w:t>
      </w:r>
      <w:r w:rsidR="0003140E" w:rsidRPr="00597FFB">
        <w:rPr>
          <w:rFonts w:ascii="Times New Roman" w:eastAsia="Times New Roman" w:hAnsi="Times New Roman" w:cs="Times New Roman"/>
          <w:bCs/>
          <w:color w:val="000000" w:themeColor="text1"/>
          <w:sz w:val="24"/>
          <w:szCs w:val="24"/>
        </w:rPr>
        <w:t xml:space="preserve">. Batteries </w:t>
      </w:r>
      <w:r w:rsidR="00BE5B29" w:rsidRPr="00597FFB">
        <w:rPr>
          <w:rFonts w:ascii="Times New Roman" w:eastAsia="Times New Roman" w:hAnsi="Times New Roman" w:cs="Times New Roman"/>
          <w:bCs/>
          <w:color w:val="000000" w:themeColor="text1"/>
          <w:sz w:val="24"/>
          <w:szCs w:val="24"/>
        </w:rPr>
        <w:t>constitute another</w:t>
      </w:r>
      <w:r w:rsidR="0003140E" w:rsidRPr="00597FFB">
        <w:rPr>
          <w:rFonts w:ascii="Times New Roman" w:eastAsia="Times New Roman" w:hAnsi="Times New Roman" w:cs="Times New Roman"/>
          <w:bCs/>
          <w:color w:val="000000" w:themeColor="text1"/>
          <w:sz w:val="24"/>
          <w:szCs w:val="24"/>
        </w:rPr>
        <w:t xml:space="preserve"> </w:t>
      </w:r>
      <w:r w:rsidR="00BE5B29" w:rsidRPr="00597FFB">
        <w:rPr>
          <w:rFonts w:ascii="Times New Roman" w:eastAsia="Times New Roman" w:hAnsi="Times New Roman" w:cs="Times New Roman"/>
          <w:bCs/>
          <w:color w:val="000000" w:themeColor="text1"/>
          <w:sz w:val="24"/>
          <w:szCs w:val="24"/>
        </w:rPr>
        <w:t>possible</w:t>
      </w:r>
      <w:r w:rsidR="0003140E" w:rsidRPr="00597FFB">
        <w:rPr>
          <w:rFonts w:ascii="Times New Roman" w:eastAsia="Times New Roman" w:hAnsi="Times New Roman" w:cs="Times New Roman"/>
          <w:bCs/>
          <w:color w:val="000000" w:themeColor="text1"/>
          <w:sz w:val="24"/>
          <w:szCs w:val="24"/>
        </w:rPr>
        <w:t xml:space="preserve"> source of hazardous metals </w:t>
      </w:r>
      <w:r w:rsidR="00BE5B29" w:rsidRPr="00597FFB">
        <w:rPr>
          <w:rFonts w:ascii="Times New Roman" w:eastAsia="Times New Roman" w:hAnsi="Times New Roman" w:cs="Times New Roman"/>
          <w:bCs/>
          <w:color w:val="000000" w:themeColor="text1"/>
          <w:sz w:val="24"/>
          <w:szCs w:val="24"/>
        </w:rPr>
        <w:t>that could harm</w:t>
      </w:r>
      <w:r w:rsidR="0003140E" w:rsidRPr="00597FFB">
        <w:rPr>
          <w:rFonts w:ascii="Times New Roman" w:eastAsia="Times New Roman" w:hAnsi="Times New Roman" w:cs="Times New Roman"/>
          <w:bCs/>
          <w:color w:val="000000" w:themeColor="text1"/>
          <w:sz w:val="24"/>
          <w:szCs w:val="24"/>
        </w:rPr>
        <w:t xml:space="preserve"> the environment and</w:t>
      </w:r>
      <w:r w:rsidR="00BE5B29" w:rsidRPr="00597FFB">
        <w:rPr>
          <w:rFonts w:ascii="Times New Roman" w:eastAsia="Times New Roman" w:hAnsi="Times New Roman" w:cs="Times New Roman"/>
          <w:bCs/>
          <w:color w:val="000000" w:themeColor="text1"/>
          <w:sz w:val="24"/>
          <w:szCs w:val="24"/>
        </w:rPr>
        <w:t xml:space="preserve"> affect</w:t>
      </w:r>
      <w:r w:rsidR="0003140E" w:rsidRPr="00597FFB">
        <w:rPr>
          <w:rFonts w:ascii="Times New Roman" w:eastAsia="Times New Roman" w:hAnsi="Times New Roman" w:cs="Times New Roman"/>
          <w:bCs/>
          <w:color w:val="000000" w:themeColor="text1"/>
          <w:sz w:val="24"/>
          <w:szCs w:val="24"/>
        </w:rPr>
        <w:t xml:space="preserve"> human health</w:t>
      </w:r>
      <w:r w:rsidR="00BE5B29" w:rsidRPr="00597FFB">
        <w:rPr>
          <w:rFonts w:ascii="Times New Roman" w:eastAsia="Times New Roman" w:hAnsi="Times New Roman" w:cs="Times New Roman"/>
          <w:bCs/>
          <w:color w:val="000000" w:themeColor="text1"/>
          <w:sz w:val="24"/>
          <w:szCs w:val="24"/>
        </w:rPr>
        <w:t xml:space="preserve"> negatively</w:t>
      </w:r>
      <w:r w:rsidR="0003140E" w:rsidRPr="00597FFB">
        <w:rPr>
          <w:rFonts w:ascii="Times New Roman" w:eastAsia="Times New Roman" w:hAnsi="Times New Roman" w:cs="Times New Roman"/>
          <w:bCs/>
          <w:color w:val="000000" w:themeColor="text1"/>
          <w:sz w:val="24"/>
          <w:szCs w:val="24"/>
        </w:rPr>
        <w:t xml:space="preserve">, </w:t>
      </w:r>
      <w:r w:rsidR="00BE5B29" w:rsidRPr="00597FFB">
        <w:rPr>
          <w:rFonts w:ascii="Times New Roman" w:eastAsia="Times New Roman" w:hAnsi="Times New Roman" w:cs="Times New Roman"/>
          <w:bCs/>
          <w:color w:val="000000" w:themeColor="text1"/>
          <w:sz w:val="24"/>
          <w:szCs w:val="24"/>
        </w:rPr>
        <w:t>particularly</w:t>
      </w:r>
      <w:r w:rsidR="0003140E" w:rsidRPr="00597FFB">
        <w:rPr>
          <w:rFonts w:ascii="Times New Roman" w:eastAsia="Times New Roman" w:hAnsi="Times New Roman" w:cs="Times New Roman"/>
          <w:bCs/>
          <w:color w:val="000000" w:themeColor="text1"/>
          <w:sz w:val="24"/>
          <w:szCs w:val="24"/>
        </w:rPr>
        <w:t xml:space="preserve"> in regions </w:t>
      </w:r>
      <w:r w:rsidR="00BE5B29" w:rsidRPr="00597FFB">
        <w:rPr>
          <w:rFonts w:ascii="Times New Roman" w:eastAsia="Times New Roman" w:hAnsi="Times New Roman" w:cs="Times New Roman"/>
          <w:bCs/>
          <w:color w:val="000000" w:themeColor="text1"/>
          <w:sz w:val="24"/>
          <w:szCs w:val="24"/>
        </w:rPr>
        <w:t>without</w:t>
      </w:r>
      <w:r w:rsidR="0003140E" w:rsidRPr="00597FFB">
        <w:rPr>
          <w:rFonts w:ascii="Times New Roman" w:eastAsia="Times New Roman" w:hAnsi="Times New Roman" w:cs="Times New Roman"/>
          <w:bCs/>
          <w:color w:val="000000" w:themeColor="text1"/>
          <w:sz w:val="24"/>
          <w:szCs w:val="24"/>
        </w:rPr>
        <w:t xml:space="preserve"> proper infrastructure to support formal </w:t>
      </w:r>
      <w:r w:rsidR="00BE5B29" w:rsidRPr="00597FFB">
        <w:rPr>
          <w:rFonts w:ascii="Times New Roman" w:eastAsia="Times New Roman" w:hAnsi="Times New Roman" w:cs="Times New Roman"/>
          <w:bCs/>
          <w:color w:val="000000" w:themeColor="text1"/>
          <w:sz w:val="24"/>
          <w:szCs w:val="24"/>
        </w:rPr>
        <w:t xml:space="preserve">e-waste </w:t>
      </w:r>
      <w:r w:rsidR="0003140E" w:rsidRPr="00597FFB">
        <w:rPr>
          <w:rFonts w:ascii="Times New Roman" w:eastAsia="Times New Roman" w:hAnsi="Times New Roman" w:cs="Times New Roman"/>
          <w:bCs/>
          <w:color w:val="000000" w:themeColor="text1"/>
          <w:sz w:val="24"/>
          <w:szCs w:val="24"/>
        </w:rPr>
        <w:t xml:space="preserve">treatment </w:t>
      </w:r>
      <w:r w:rsidR="0003140E" w:rsidRPr="00597FFB">
        <w:rPr>
          <w:rFonts w:ascii="Times New Roman" w:eastAsiaTheme="minorHAnsi" w:hAnsi="Times New Roman" w:cs="Times New Roman"/>
          <w:color w:val="000000" w:themeColor="text1"/>
          <w:sz w:val="24"/>
        </w:rPr>
        <w:t>(Pinto, 2019)</w:t>
      </w:r>
      <w:r w:rsidR="0003140E" w:rsidRPr="00597FFB">
        <w:rPr>
          <w:rFonts w:ascii="Times New Roman" w:eastAsia="Times New Roman" w:hAnsi="Times New Roman" w:cs="Times New Roman"/>
          <w:bCs/>
          <w:color w:val="000000" w:themeColor="text1"/>
          <w:sz w:val="24"/>
          <w:szCs w:val="24"/>
        </w:rPr>
        <w:t xml:space="preserve">. </w:t>
      </w:r>
      <w:r w:rsidR="00BE5B29" w:rsidRPr="00597FFB">
        <w:rPr>
          <w:rFonts w:ascii="Times New Roman" w:eastAsia="Times New Roman" w:hAnsi="Times New Roman" w:cs="Times New Roman"/>
          <w:bCs/>
          <w:color w:val="000000" w:themeColor="text1"/>
          <w:sz w:val="24"/>
          <w:szCs w:val="24"/>
        </w:rPr>
        <w:t>Additionally, r</w:t>
      </w:r>
      <w:r w:rsidR="0003140E" w:rsidRPr="00597FFB">
        <w:rPr>
          <w:rFonts w:ascii="Times New Roman" w:eastAsia="Times New Roman" w:hAnsi="Times New Roman" w:cs="Times New Roman"/>
          <w:bCs/>
          <w:color w:val="000000" w:themeColor="text1"/>
          <w:sz w:val="24"/>
          <w:szCs w:val="24"/>
        </w:rPr>
        <w:t xml:space="preserve">echargeable lithium batteries </w:t>
      </w:r>
      <w:r w:rsidR="00BE5B29" w:rsidRPr="00597FFB">
        <w:rPr>
          <w:rFonts w:ascii="Times New Roman" w:eastAsia="Times New Roman" w:hAnsi="Times New Roman" w:cs="Times New Roman"/>
          <w:bCs/>
          <w:color w:val="000000" w:themeColor="text1"/>
          <w:sz w:val="24"/>
          <w:szCs w:val="24"/>
        </w:rPr>
        <w:t xml:space="preserve">that are often found </w:t>
      </w:r>
      <w:r w:rsidR="0003140E" w:rsidRPr="00597FFB">
        <w:rPr>
          <w:rFonts w:ascii="Times New Roman" w:eastAsia="Times New Roman" w:hAnsi="Times New Roman" w:cs="Times New Roman"/>
          <w:bCs/>
          <w:color w:val="000000" w:themeColor="text1"/>
          <w:sz w:val="24"/>
          <w:szCs w:val="24"/>
        </w:rPr>
        <w:t>in portable electronic devices contain</w:t>
      </w:r>
      <w:r w:rsidR="00BE5B29" w:rsidRPr="00597FFB">
        <w:rPr>
          <w:rFonts w:ascii="Times New Roman" w:eastAsia="Times New Roman" w:hAnsi="Times New Roman" w:cs="Times New Roman"/>
          <w:bCs/>
          <w:color w:val="000000" w:themeColor="text1"/>
          <w:sz w:val="24"/>
          <w:szCs w:val="24"/>
        </w:rPr>
        <w:t xml:space="preserve"> such</w:t>
      </w:r>
      <w:r w:rsidR="0003140E" w:rsidRPr="00597FFB">
        <w:rPr>
          <w:rFonts w:ascii="Times New Roman" w:eastAsia="Times New Roman" w:hAnsi="Times New Roman" w:cs="Times New Roman"/>
          <w:bCs/>
          <w:color w:val="000000" w:themeColor="text1"/>
          <w:sz w:val="24"/>
          <w:szCs w:val="24"/>
        </w:rPr>
        <w:t xml:space="preserve"> metals as </w:t>
      </w:r>
      <w:r w:rsidR="00BE5B29" w:rsidRPr="00597FFB">
        <w:rPr>
          <w:rFonts w:ascii="Times New Roman" w:eastAsia="Times New Roman" w:hAnsi="Times New Roman" w:cs="Times New Roman"/>
          <w:bCs/>
          <w:color w:val="000000" w:themeColor="text1"/>
          <w:sz w:val="24"/>
          <w:szCs w:val="24"/>
        </w:rPr>
        <w:t xml:space="preserve">cobalt, </w:t>
      </w:r>
      <w:r w:rsidR="0003140E" w:rsidRPr="00597FFB">
        <w:rPr>
          <w:rFonts w:ascii="Times New Roman" w:eastAsia="Times New Roman" w:hAnsi="Times New Roman" w:cs="Times New Roman"/>
          <w:bCs/>
          <w:color w:val="000000" w:themeColor="text1"/>
          <w:sz w:val="24"/>
          <w:szCs w:val="24"/>
        </w:rPr>
        <w:t xml:space="preserve">copper, nickel, </w:t>
      </w:r>
      <w:r w:rsidR="00BE5B29" w:rsidRPr="00597FFB">
        <w:rPr>
          <w:rFonts w:ascii="Times New Roman" w:eastAsia="Times New Roman" w:hAnsi="Times New Roman" w:cs="Times New Roman"/>
          <w:bCs/>
          <w:color w:val="000000" w:themeColor="text1"/>
          <w:sz w:val="24"/>
          <w:szCs w:val="24"/>
        </w:rPr>
        <w:t>thallium, silver</w:t>
      </w:r>
      <w:r w:rsidR="0003140E" w:rsidRPr="00597FFB">
        <w:rPr>
          <w:rFonts w:ascii="Times New Roman" w:eastAsia="Times New Roman" w:hAnsi="Times New Roman" w:cs="Times New Roman"/>
          <w:bCs/>
          <w:color w:val="000000" w:themeColor="text1"/>
          <w:sz w:val="24"/>
          <w:szCs w:val="24"/>
        </w:rPr>
        <w:t xml:space="preserve">, and </w:t>
      </w:r>
      <w:r w:rsidR="00BE5B29" w:rsidRPr="00597FFB">
        <w:rPr>
          <w:rFonts w:ascii="Times New Roman" w:eastAsia="Times New Roman" w:hAnsi="Times New Roman" w:cs="Times New Roman"/>
          <w:bCs/>
          <w:color w:val="000000" w:themeColor="text1"/>
          <w:sz w:val="24"/>
          <w:szCs w:val="24"/>
        </w:rPr>
        <w:t>lead, all of which could cause</w:t>
      </w:r>
      <w:r w:rsidR="0003140E" w:rsidRPr="00597FFB">
        <w:rPr>
          <w:rFonts w:ascii="Times New Roman" w:eastAsia="Times New Roman" w:hAnsi="Times New Roman" w:cs="Times New Roman"/>
          <w:bCs/>
          <w:color w:val="000000" w:themeColor="text1"/>
          <w:sz w:val="24"/>
          <w:szCs w:val="24"/>
        </w:rPr>
        <w:t xml:space="preserve"> leach</w:t>
      </w:r>
      <w:r w:rsidR="00BE5B29" w:rsidRPr="00597FFB">
        <w:rPr>
          <w:rFonts w:ascii="Times New Roman" w:eastAsia="Times New Roman" w:hAnsi="Times New Roman" w:cs="Times New Roman"/>
          <w:bCs/>
          <w:color w:val="000000" w:themeColor="text1"/>
          <w:sz w:val="24"/>
          <w:szCs w:val="24"/>
        </w:rPr>
        <w:t>ing</w:t>
      </w:r>
      <w:r w:rsidR="0003140E" w:rsidRPr="00597FFB">
        <w:rPr>
          <w:rFonts w:ascii="Times New Roman" w:eastAsia="Times New Roman" w:hAnsi="Times New Roman" w:cs="Times New Roman"/>
          <w:bCs/>
          <w:color w:val="000000" w:themeColor="text1"/>
          <w:sz w:val="24"/>
          <w:szCs w:val="24"/>
        </w:rPr>
        <w:t xml:space="preserve"> after </w:t>
      </w:r>
      <w:r w:rsidR="00BE5B29" w:rsidRPr="00597FFB">
        <w:rPr>
          <w:rFonts w:ascii="Times New Roman" w:eastAsia="Times New Roman" w:hAnsi="Times New Roman" w:cs="Times New Roman"/>
          <w:bCs/>
          <w:color w:val="000000" w:themeColor="text1"/>
          <w:sz w:val="24"/>
          <w:szCs w:val="24"/>
        </w:rPr>
        <w:t>corrosion of the</w:t>
      </w:r>
      <w:r w:rsidR="0003140E" w:rsidRPr="00597FFB">
        <w:rPr>
          <w:rFonts w:ascii="Times New Roman" w:eastAsia="Times New Roman" w:hAnsi="Times New Roman" w:cs="Times New Roman"/>
          <w:bCs/>
          <w:color w:val="000000" w:themeColor="text1"/>
          <w:sz w:val="24"/>
          <w:szCs w:val="24"/>
        </w:rPr>
        <w:t xml:space="preserve"> battery and </w:t>
      </w:r>
      <w:r w:rsidR="00BE5B29" w:rsidRPr="00597FFB">
        <w:rPr>
          <w:rFonts w:ascii="Times New Roman" w:eastAsia="Times New Roman" w:hAnsi="Times New Roman" w:cs="Times New Roman"/>
          <w:bCs/>
          <w:color w:val="000000" w:themeColor="text1"/>
          <w:sz w:val="24"/>
          <w:szCs w:val="24"/>
        </w:rPr>
        <w:t>result in</w:t>
      </w:r>
      <w:r w:rsidR="0003140E" w:rsidRPr="00597FFB">
        <w:rPr>
          <w:rFonts w:ascii="Times New Roman" w:eastAsia="Times New Roman" w:hAnsi="Times New Roman" w:cs="Times New Roman"/>
          <w:bCs/>
          <w:color w:val="000000" w:themeColor="text1"/>
          <w:sz w:val="24"/>
          <w:szCs w:val="24"/>
        </w:rPr>
        <w:t xml:space="preserve"> toxicity. </w:t>
      </w:r>
      <w:r w:rsidR="00BE5B29" w:rsidRPr="00597FFB">
        <w:rPr>
          <w:rFonts w:ascii="Times New Roman" w:eastAsia="Times New Roman" w:hAnsi="Times New Roman" w:cs="Times New Roman"/>
          <w:bCs/>
          <w:color w:val="000000" w:themeColor="text1"/>
          <w:sz w:val="24"/>
          <w:szCs w:val="24"/>
        </w:rPr>
        <w:t xml:space="preserve">Failure to handle these chemicals and metals appropriately could </w:t>
      </w:r>
      <w:r w:rsidR="00EA2E6F" w:rsidRPr="00597FFB">
        <w:rPr>
          <w:rFonts w:ascii="Times New Roman" w:eastAsia="Times New Roman" w:hAnsi="Times New Roman" w:cs="Times New Roman"/>
          <w:bCs/>
          <w:color w:val="000000" w:themeColor="text1"/>
          <w:sz w:val="24"/>
          <w:szCs w:val="24"/>
        </w:rPr>
        <w:t xml:space="preserve">harm the environment </w:t>
      </w:r>
      <w:r w:rsidR="0003140E" w:rsidRPr="00597FFB">
        <w:rPr>
          <w:rFonts w:ascii="Times New Roman" w:eastAsia="Times New Roman" w:hAnsi="Times New Roman" w:cs="Times New Roman"/>
          <w:bCs/>
          <w:color w:val="000000" w:themeColor="text1"/>
          <w:sz w:val="24"/>
          <w:szCs w:val="24"/>
        </w:rPr>
        <w:t>severely</w:t>
      </w:r>
      <w:r w:rsidR="00EA2E6F" w:rsidRPr="00597FFB">
        <w:rPr>
          <w:rFonts w:ascii="Times New Roman" w:eastAsia="Times New Roman" w:hAnsi="Times New Roman" w:cs="Times New Roman"/>
          <w:bCs/>
          <w:color w:val="000000" w:themeColor="text1"/>
          <w:sz w:val="24"/>
          <w:szCs w:val="24"/>
        </w:rPr>
        <w:t>.</w:t>
      </w:r>
      <w:r w:rsidR="0003140E" w:rsidRPr="00597FFB">
        <w:rPr>
          <w:rFonts w:ascii="Times New Roman" w:eastAsia="Times New Roman" w:hAnsi="Times New Roman" w:cs="Times New Roman"/>
          <w:bCs/>
          <w:color w:val="000000" w:themeColor="text1"/>
          <w:sz w:val="24"/>
          <w:szCs w:val="24"/>
        </w:rPr>
        <w:t xml:space="preserve"> </w:t>
      </w:r>
      <w:r w:rsidR="00EA2E6F" w:rsidRPr="00597FFB">
        <w:rPr>
          <w:rFonts w:ascii="Times New Roman" w:eastAsia="Times New Roman" w:hAnsi="Times New Roman" w:cs="Times New Roman"/>
          <w:bCs/>
          <w:color w:val="000000" w:themeColor="text1"/>
          <w:sz w:val="24"/>
          <w:szCs w:val="24"/>
        </w:rPr>
        <w:t>F</w:t>
      </w:r>
      <w:r w:rsidR="0003140E" w:rsidRPr="00597FFB">
        <w:rPr>
          <w:rFonts w:ascii="Times New Roman" w:eastAsia="Times New Roman" w:hAnsi="Times New Roman" w:cs="Times New Roman"/>
          <w:bCs/>
          <w:color w:val="000000" w:themeColor="text1"/>
          <w:sz w:val="24"/>
          <w:szCs w:val="24"/>
        </w:rPr>
        <w:t xml:space="preserve">or </w:t>
      </w:r>
      <w:r w:rsidR="00EA2E6F" w:rsidRPr="00597FFB">
        <w:rPr>
          <w:rFonts w:ascii="Times New Roman" w:eastAsia="Times New Roman" w:hAnsi="Times New Roman" w:cs="Times New Roman"/>
          <w:bCs/>
          <w:color w:val="000000" w:themeColor="text1"/>
          <w:sz w:val="24"/>
          <w:szCs w:val="24"/>
        </w:rPr>
        <w:t>example</w:t>
      </w:r>
      <w:r w:rsidR="0003140E" w:rsidRPr="00597FFB">
        <w:rPr>
          <w:rFonts w:ascii="Times New Roman" w:eastAsia="Times New Roman" w:hAnsi="Times New Roman" w:cs="Times New Roman"/>
          <w:bCs/>
          <w:color w:val="000000" w:themeColor="text1"/>
          <w:sz w:val="24"/>
          <w:szCs w:val="24"/>
        </w:rPr>
        <w:t xml:space="preserve">, cadmium from </w:t>
      </w:r>
      <w:r w:rsidR="00EA2E6F" w:rsidRPr="00597FFB">
        <w:rPr>
          <w:rFonts w:ascii="Times New Roman" w:eastAsia="Times New Roman" w:hAnsi="Times New Roman" w:cs="Times New Roman"/>
          <w:bCs/>
          <w:color w:val="000000" w:themeColor="text1"/>
          <w:sz w:val="24"/>
          <w:szCs w:val="24"/>
        </w:rPr>
        <w:t xml:space="preserve">one mobile phone </w:t>
      </w:r>
      <w:r w:rsidR="0003140E" w:rsidRPr="00597FFB">
        <w:rPr>
          <w:rFonts w:ascii="Times New Roman" w:eastAsia="Times New Roman" w:hAnsi="Times New Roman" w:cs="Times New Roman"/>
          <w:bCs/>
          <w:color w:val="000000" w:themeColor="text1"/>
          <w:sz w:val="24"/>
          <w:szCs w:val="24"/>
        </w:rPr>
        <w:t xml:space="preserve">battery </w:t>
      </w:r>
      <w:r w:rsidR="00EA2E6F" w:rsidRPr="00597FFB">
        <w:rPr>
          <w:rFonts w:ascii="Times New Roman" w:eastAsia="Times New Roman" w:hAnsi="Times New Roman" w:cs="Times New Roman"/>
          <w:bCs/>
          <w:color w:val="000000" w:themeColor="text1"/>
          <w:sz w:val="24"/>
          <w:szCs w:val="24"/>
        </w:rPr>
        <w:t>could</w:t>
      </w:r>
      <w:r w:rsidR="0003140E" w:rsidRPr="00597FFB">
        <w:rPr>
          <w:rFonts w:ascii="Times New Roman" w:eastAsia="Times New Roman" w:hAnsi="Times New Roman" w:cs="Times New Roman"/>
          <w:bCs/>
          <w:color w:val="000000" w:themeColor="text1"/>
          <w:sz w:val="24"/>
          <w:szCs w:val="24"/>
        </w:rPr>
        <w:t xml:space="preserve"> contaminate approximately 600,000 liters of water </w:t>
      </w:r>
      <w:r w:rsidR="0003140E" w:rsidRPr="00597FFB">
        <w:rPr>
          <w:rFonts w:ascii="Times New Roman" w:eastAsiaTheme="minorHAnsi" w:hAnsi="Times New Roman" w:cs="Times New Roman"/>
          <w:color w:val="000000" w:themeColor="text1"/>
          <w:sz w:val="24"/>
        </w:rPr>
        <w:t>(Park &amp; Lin, 2020)</w:t>
      </w:r>
      <w:r w:rsidR="0003140E" w:rsidRPr="00597FFB">
        <w:rPr>
          <w:rFonts w:ascii="Times New Roman" w:eastAsia="Times New Roman" w:hAnsi="Times New Roman" w:cs="Times New Roman"/>
          <w:bCs/>
          <w:color w:val="000000" w:themeColor="text1"/>
          <w:sz w:val="24"/>
          <w:szCs w:val="24"/>
        </w:rPr>
        <w:t>.</w:t>
      </w:r>
    </w:p>
    <w:p w14:paraId="3A381E81" w14:textId="56A943D2" w:rsidR="0003140E"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The negative</w:t>
      </w:r>
      <w:r w:rsidR="002D052B" w:rsidRPr="00597FFB">
        <w:rPr>
          <w:rFonts w:ascii="Times New Roman" w:eastAsia="Times New Roman" w:hAnsi="Times New Roman" w:cs="Times New Roman"/>
          <w:bCs/>
          <w:color w:val="000000" w:themeColor="text1"/>
          <w:sz w:val="24"/>
          <w:szCs w:val="24"/>
        </w:rPr>
        <w:t xml:space="preserve"> impact on the</w:t>
      </w:r>
      <w:r w:rsidRPr="00597FFB">
        <w:rPr>
          <w:rFonts w:ascii="Times New Roman" w:eastAsia="Times New Roman" w:hAnsi="Times New Roman" w:cs="Times New Roman"/>
          <w:bCs/>
          <w:color w:val="000000" w:themeColor="text1"/>
          <w:sz w:val="24"/>
          <w:szCs w:val="24"/>
        </w:rPr>
        <w:t xml:space="preserve"> environment is caused not only by informal </w:t>
      </w:r>
      <w:r w:rsidR="002D052B" w:rsidRPr="00597FFB">
        <w:rPr>
          <w:rFonts w:ascii="Times New Roman" w:eastAsia="Times New Roman" w:hAnsi="Times New Roman" w:cs="Times New Roman"/>
          <w:bCs/>
          <w:color w:val="000000" w:themeColor="text1"/>
          <w:sz w:val="24"/>
          <w:szCs w:val="24"/>
        </w:rPr>
        <w:t xml:space="preserve">practices of </w:t>
      </w:r>
      <w:r w:rsidRPr="00597FFB">
        <w:rPr>
          <w:rFonts w:ascii="Times New Roman" w:eastAsia="Times New Roman" w:hAnsi="Times New Roman" w:cs="Times New Roman"/>
          <w:bCs/>
          <w:color w:val="000000" w:themeColor="text1"/>
          <w:sz w:val="24"/>
          <w:szCs w:val="24"/>
        </w:rPr>
        <w:t xml:space="preserve">recycling but </w:t>
      </w:r>
      <w:r w:rsidR="002D052B" w:rsidRPr="00597FFB">
        <w:rPr>
          <w:rFonts w:ascii="Times New Roman" w:eastAsia="Times New Roman" w:hAnsi="Times New Roman" w:cs="Times New Roman"/>
          <w:bCs/>
          <w:color w:val="000000" w:themeColor="text1"/>
          <w:sz w:val="24"/>
          <w:szCs w:val="24"/>
        </w:rPr>
        <w:t>the</w:t>
      </w:r>
      <w:r w:rsidRPr="00597FFB">
        <w:rPr>
          <w:rFonts w:ascii="Times New Roman" w:eastAsia="Times New Roman" w:hAnsi="Times New Roman" w:cs="Times New Roman"/>
          <w:bCs/>
          <w:color w:val="000000" w:themeColor="text1"/>
          <w:sz w:val="24"/>
          <w:szCs w:val="24"/>
        </w:rPr>
        <w:t xml:space="preserve"> formal recycling systems</w:t>
      </w:r>
      <w:r w:rsidR="002D052B" w:rsidRPr="00597FFB">
        <w:rPr>
          <w:rFonts w:ascii="Times New Roman" w:eastAsia="Times New Roman" w:hAnsi="Times New Roman" w:cs="Times New Roman"/>
          <w:bCs/>
          <w:color w:val="000000" w:themeColor="text1"/>
          <w:sz w:val="24"/>
          <w:szCs w:val="24"/>
        </w:rPr>
        <w:t xml:space="preserve"> as well</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 xml:space="preserve">Shaikh (2020) </w:t>
      </w:r>
      <w:r w:rsidR="002D052B" w:rsidRPr="00597FFB">
        <w:rPr>
          <w:rFonts w:ascii="Times New Roman" w:eastAsia="Times New Roman" w:hAnsi="Times New Roman" w:cs="Times New Roman"/>
          <w:bCs/>
          <w:color w:val="000000" w:themeColor="text1"/>
          <w:sz w:val="24"/>
          <w:szCs w:val="24"/>
        </w:rPr>
        <w:t>reported finding</w:t>
      </w:r>
      <w:r w:rsidRPr="00597FFB">
        <w:rPr>
          <w:rFonts w:ascii="Times New Roman" w:eastAsia="Times New Roman" w:hAnsi="Times New Roman" w:cs="Times New Roman"/>
          <w:bCs/>
          <w:color w:val="000000" w:themeColor="text1"/>
          <w:sz w:val="24"/>
          <w:szCs w:val="24"/>
        </w:rPr>
        <w:t xml:space="preserve"> higher</w:t>
      </w:r>
      <w:r w:rsidR="002D052B" w:rsidRPr="00597FFB">
        <w:rPr>
          <w:rFonts w:ascii="Times New Roman" w:eastAsia="Times New Roman" w:hAnsi="Times New Roman" w:cs="Times New Roman"/>
          <w:bCs/>
          <w:color w:val="000000" w:themeColor="text1"/>
          <w:sz w:val="24"/>
          <w:szCs w:val="24"/>
        </w:rPr>
        <w:t xml:space="preserve"> metal and toxin</w:t>
      </w:r>
      <w:r w:rsidRPr="00597FFB">
        <w:rPr>
          <w:rFonts w:ascii="Times New Roman" w:eastAsia="Times New Roman" w:hAnsi="Times New Roman" w:cs="Times New Roman"/>
          <w:bCs/>
          <w:color w:val="000000" w:themeColor="text1"/>
          <w:sz w:val="24"/>
          <w:szCs w:val="24"/>
        </w:rPr>
        <w:t xml:space="preserve"> concentrations </w:t>
      </w:r>
      <w:r w:rsidR="002D052B" w:rsidRPr="00597FFB">
        <w:rPr>
          <w:rFonts w:ascii="Times New Roman" w:eastAsia="Times New Roman" w:hAnsi="Times New Roman" w:cs="Times New Roman"/>
          <w:bCs/>
          <w:color w:val="000000" w:themeColor="text1"/>
          <w:sz w:val="24"/>
          <w:szCs w:val="24"/>
        </w:rPr>
        <w:t xml:space="preserve">(PCDD/Fs, </w:t>
      </w:r>
      <w:r w:rsidRPr="00597FFB">
        <w:rPr>
          <w:rFonts w:ascii="Times New Roman" w:eastAsia="Times New Roman" w:hAnsi="Times New Roman" w:cs="Times New Roman"/>
          <w:bCs/>
          <w:color w:val="000000" w:themeColor="text1"/>
          <w:sz w:val="24"/>
          <w:szCs w:val="24"/>
        </w:rPr>
        <w:t xml:space="preserve">brominated flame retardants, </w:t>
      </w:r>
      <w:r w:rsidR="002D052B" w:rsidRPr="00597FFB">
        <w:rPr>
          <w:rFonts w:ascii="Times New Roman" w:eastAsia="Times New Roman" w:hAnsi="Times New Roman" w:cs="Times New Roman"/>
          <w:bCs/>
          <w:color w:val="000000" w:themeColor="text1"/>
          <w:sz w:val="24"/>
          <w:szCs w:val="24"/>
        </w:rPr>
        <w:t xml:space="preserve">PCBs, </w:t>
      </w:r>
      <w:r w:rsidRPr="00597FFB">
        <w:rPr>
          <w:rFonts w:ascii="Times New Roman" w:eastAsia="Times New Roman" w:hAnsi="Times New Roman" w:cs="Times New Roman"/>
          <w:bCs/>
          <w:color w:val="000000" w:themeColor="text1"/>
          <w:sz w:val="24"/>
          <w:szCs w:val="24"/>
        </w:rPr>
        <w:t>and</w:t>
      </w:r>
      <w:r w:rsidR="002D052B" w:rsidRPr="00597FFB">
        <w:rPr>
          <w:rFonts w:ascii="Times New Roman" w:eastAsia="Times New Roman" w:hAnsi="Times New Roman" w:cs="Times New Roman"/>
          <w:bCs/>
          <w:color w:val="000000" w:themeColor="text1"/>
          <w:sz w:val="24"/>
          <w:szCs w:val="24"/>
        </w:rPr>
        <w:t xml:space="preserve"> PAHs)</w:t>
      </w:r>
      <w:r w:rsidRPr="00597FFB">
        <w:rPr>
          <w:rFonts w:ascii="Times New Roman" w:eastAsia="Times New Roman" w:hAnsi="Times New Roman" w:cs="Times New Roman"/>
          <w:bCs/>
          <w:color w:val="000000" w:themeColor="text1"/>
          <w:sz w:val="24"/>
          <w:szCs w:val="24"/>
        </w:rPr>
        <w:t xml:space="preserve"> in the </w:t>
      </w:r>
      <w:r w:rsidR="002D052B" w:rsidRPr="00597FFB">
        <w:rPr>
          <w:rFonts w:ascii="Times New Roman" w:eastAsia="Times New Roman" w:hAnsi="Times New Roman" w:cs="Times New Roman"/>
          <w:bCs/>
          <w:color w:val="000000" w:themeColor="text1"/>
          <w:sz w:val="24"/>
          <w:szCs w:val="24"/>
        </w:rPr>
        <w:t>air</w:t>
      </w:r>
      <w:r w:rsidRPr="00597FFB">
        <w:rPr>
          <w:rFonts w:ascii="Times New Roman" w:eastAsia="Times New Roman" w:hAnsi="Times New Roman" w:cs="Times New Roman"/>
          <w:bCs/>
          <w:color w:val="000000" w:themeColor="text1"/>
          <w:sz w:val="24"/>
          <w:szCs w:val="24"/>
        </w:rPr>
        <w:t xml:space="preserve">, dust, and </w:t>
      </w:r>
      <w:r w:rsidR="002D052B" w:rsidRPr="00597FFB">
        <w:rPr>
          <w:rFonts w:ascii="Times New Roman" w:eastAsia="Times New Roman" w:hAnsi="Times New Roman" w:cs="Times New Roman"/>
          <w:bCs/>
          <w:color w:val="000000" w:themeColor="text1"/>
          <w:sz w:val="24"/>
          <w:szCs w:val="24"/>
        </w:rPr>
        <w:t xml:space="preserve">soil </w:t>
      </w:r>
      <w:r w:rsidRPr="00597FFB">
        <w:rPr>
          <w:rFonts w:ascii="Times New Roman" w:eastAsia="Times New Roman" w:hAnsi="Times New Roman" w:cs="Times New Roman"/>
          <w:bCs/>
          <w:color w:val="000000" w:themeColor="text1"/>
          <w:sz w:val="24"/>
          <w:szCs w:val="24"/>
        </w:rPr>
        <w:t xml:space="preserve">samples </w:t>
      </w:r>
      <w:r w:rsidR="002D052B" w:rsidRPr="00597FFB">
        <w:rPr>
          <w:rFonts w:ascii="Times New Roman" w:eastAsia="Times New Roman" w:hAnsi="Times New Roman" w:cs="Times New Roman"/>
          <w:bCs/>
          <w:color w:val="000000" w:themeColor="text1"/>
          <w:sz w:val="24"/>
          <w:szCs w:val="24"/>
        </w:rPr>
        <w:t xml:space="preserve">obtained in and around facilities of </w:t>
      </w:r>
      <w:r w:rsidRPr="00597FFB">
        <w:rPr>
          <w:rFonts w:ascii="Times New Roman" w:eastAsia="Times New Roman" w:hAnsi="Times New Roman" w:cs="Times New Roman"/>
          <w:bCs/>
          <w:color w:val="000000" w:themeColor="text1"/>
          <w:sz w:val="24"/>
          <w:szCs w:val="24"/>
        </w:rPr>
        <w:t xml:space="preserve">formal e-waste recycling than in </w:t>
      </w:r>
      <w:r w:rsidR="002D052B" w:rsidRPr="00597FFB">
        <w:rPr>
          <w:rFonts w:ascii="Times New Roman" w:eastAsia="Times New Roman" w:hAnsi="Times New Roman" w:cs="Times New Roman"/>
          <w:bCs/>
          <w:color w:val="000000" w:themeColor="text1"/>
          <w:sz w:val="24"/>
          <w:szCs w:val="24"/>
        </w:rPr>
        <w:t xml:space="preserve">samples obtained from </w:t>
      </w:r>
      <w:r w:rsidRPr="00597FFB">
        <w:rPr>
          <w:rFonts w:ascii="Times New Roman" w:eastAsia="Times New Roman" w:hAnsi="Times New Roman" w:cs="Times New Roman"/>
          <w:bCs/>
          <w:color w:val="000000" w:themeColor="text1"/>
          <w:sz w:val="24"/>
          <w:szCs w:val="24"/>
        </w:rPr>
        <w:t>reference sites.</w:t>
      </w:r>
    </w:p>
    <w:p w14:paraId="7D1202F1" w14:textId="1A90FA75" w:rsidR="000903A2" w:rsidRPr="00597FFB" w:rsidRDefault="000903A2" w:rsidP="000903A2">
      <w:pPr>
        <w:pStyle w:val="Heading3"/>
        <w:spacing w:line="480" w:lineRule="auto"/>
        <w:ind w:firstLine="720"/>
        <w:rPr>
          <w:rFonts w:ascii="Times New Roman" w:eastAsia="Times New Roman" w:hAnsi="Times New Roman" w:cs="Times New Roman"/>
          <w:bCs/>
          <w:color w:val="000000" w:themeColor="text1"/>
          <w:sz w:val="24"/>
          <w:szCs w:val="24"/>
        </w:rPr>
      </w:pPr>
      <w:bookmarkStart w:id="117" w:name="_Toc127170285"/>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5</w:t>
      </w:r>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2</w:t>
      </w:r>
      <w:r w:rsidRPr="00597FFB">
        <w:rPr>
          <w:rFonts w:asciiTheme="majorBidi" w:hAnsiTheme="majorBidi"/>
          <w:i/>
          <w:iCs/>
          <w:color w:val="000000" w:themeColor="text1"/>
          <w:sz w:val="24"/>
          <w:szCs w:val="24"/>
        </w:rPr>
        <w:t xml:space="preserve">. </w:t>
      </w:r>
      <w:r w:rsidRPr="00597FFB">
        <w:rPr>
          <w:rFonts w:ascii="Times New Roman" w:eastAsia="Times New Roman" w:hAnsi="Times New Roman" w:cs="Times New Roman"/>
          <w:bCs/>
          <w:i/>
          <w:iCs/>
          <w:color w:val="000000" w:themeColor="text1"/>
          <w:sz w:val="24"/>
          <w:szCs w:val="24"/>
        </w:rPr>
        <w:t>Human Health Impact.</w:t>
      </w:r>
      <w:bookmarkEnd w:id="117"/>
    </w:p>
    <w:p w14:paraId="411623C1" w14:textId="643CD1F9" w:rsidR="0003140E" w:rsidRPr="00597FFB" w:rsidRDefault="004B458A" w:rsidP="000903A2">
      <w:pPr>
        <w:spacing w:line="480" w:lineRule="auto"/>
        <w:ind w:firstLine="360"/>
        <w:jc w:val="both"/>
        <w:rPr>
          <w:rFonts w:ascii="Times New Roman" w:eastAsia="Times New Roman" w:hAnsi="Times New Roman" w:cs="Times New Roman"/>
          <w:bCs/>
          <w:color w:val="000000" w:themeColor="text1"/>
          <w:sz w:val="24"/>
          <w:szCs w:val="24"/>
          <w:lang w:val="en-GB"/>
        </w:rPr>
      </w:pPr>
      <w:r w:rsidRPr="00597FFB">
        <w:rPr>
          <w:rFonts w:ascii="Times New Roman" w:eastAsia="Times New Roman" w:hAnsi="Times New Roman" w:cs="Times New Roman"/>
          <w:bCs/>
          <w:color w:val="000000" w:themeColor="text1"/>
          <w:sz w:val="24"/>
          <w:szCs w:val="24"/>
          <w:lang w:val="en-GB"/>
        </w:rPr>
        <w:t xml:space="preserve">Numerous researchers </w:t>
      </w:r>
      <w:r w:rsidRPr="00597FFB">
        <w:rPr>
          <w:rFonts w:ascii="Times New Roman" w:eastAsiaTheme="minorHAnsi" w:hAnsi="Times New Roman" w:cs="Times New Roman"/>
          <w:color w:val="000000" w:themeColor="text1"/>
          <w:sz w:val="24"/>
          <w:lang w:val="en-GB"/>
        </w:rPr>
        <w:t xml:space="preserve">(Banhidarah et al., 2020; Wang et al., 2020b; Wiesmeth, 2020) have investigated </w:t>
      </w:r>
      <w:r w:rsidRPr="00597FFB">
        <w:rPr>
          <w:rFonts w:ascii="Times New Roman" w:eastAsia="Times New Roman" w:hAnsi="Times New Roman" w:cs="Times New Roman"/>
          <w:bCs/>
          <w:color w:val="000000" w:themeColor="text1"/>
          <w:sz w:val="24"/>
          <w:szCs w:val="24"/>
          <w:lang w:val="en-GB"/>
        </w:rPr>
        <w:t>t</w:t>
      </w:r>
      <w:r w:rsidR="0003140E" w:rsidRPr="00597FFB">
        <w:rPr>
          <w:rFonts w:ascii="Times New Roman" w:eastAsia="Times New Roman" w:hAnsi="Times New Roman" w:cs="Times New Roman"/>
          <w:bCs/>
          <w:color w:val="000000" w:themeColor="text1"/>
          <w:sz w:val="24"/>
          <w:szCs w:val="24"/>
          <w:lang w:val="en-GB"/>
        </w:rPr>
        <w:t xml:space="preserve">he </w:t>
      </w:r>
      <w:r w:rsidR="00233E9E" w:rsidRPr="00597FFB">
        <w:rPr>
          <w:rFonts w:ascii="Times New Roman" w:eastAsia="Times New Roman" w:hAnsi="Times New Roman" w:cs="Times New Roman"/>
          <w:bCs/>
          <w:color w:val="000000" w:themeColor="text1"/>
          <w:sz w:val="24"/>
          <w:szCs w:val="24"/>
          <w:lang w:val="en-GB"/>
        </w:rPr>
        <w:t>effects</w:t>
      </w:r>
      <w:r w:rsidR="0003140E" w:rsidRPr="00597FFB">
        <w:rPr>
          <w:rFonts w:ascii="Times New Roman" w:eastAsia="Times New Roman" w:hAnsi="Times New Roman" w:cs="Times New Roman"/>
          <w:bCs/>
          <w:color w:val="000000" w:themeColor="text1"/>
          <w:sz w:val="24"/>
          <w:szCs w:val="24"/>
          <w:lang w:val="en-GB"/>
        </w:rPr>
        <w:t xml:space="preserve"> of heavy </w:t>
      </w:r>
      <w:r w:rsidR="00233E9E" w:rsidRPr="00597FFB">
        <w:rPr>
          <w:rFonts w:ascii="Times New Roman" w:eastAsia="Times New Roman" w:hAnsi="Times New Roman" w:cs="Times New Roman"/>
          <w:bCs/>
          <w:color w:val="000000" w:themeColor="text1"/>
          <w:sz w:val="24"/>
          <w:szCs w:val="24"/>
          <w:lang w:val="en-GB"/>
        </w:rPr>
        <w:t xml:space="preserve">exposure to </w:t>
      </w:r>
      <w:r w:rsidR="0003140E" w:rsidRPr="00597FFB">
        <w:rPr>
          <w:rFonts w:ascii="Times New Roman" w:eastAsia="Times New Roman" w:hAnsi="Times New Roman" w:cs="Times New Roman"/>
          <w:bCs/>
          <w:color w:val="000000" w:themeColor="text1"/>
          <w:sz w:val="24"/>
          <w:szCs w:val="24"/>
          <w:lang w:val="en-GB"/>
        </w:rPr>
        <w:t>metal on human health. Excess</w:t>
      </w:r>
      <w:r w:rsidR="00AB35C9" w:rsidRPr="00597FFB">
        <w:rPr>
          <w:rFonts w:ascii="Times New Roman" w:eastAsia="Times New Roman" w:hAnsi="Times New Roman" w:cs="Times New Roman"/>
          <w:bCs/>
          <w:color w:val="000000" w:themeColor="text1"/>
          <w:sz w:val="24"/>
          <w:szCs w:val="24"/>
          <w:lang w:val="en-GB"/>
        </w:rPr>
        <w:t>ive</w:t>
      </w:r>
      <w:r w:rsidR="0003140E" w:rsidRPr="00597FFB">
        <w:rPr>
          <w:rFonts w:ascii="Times New Roman" w:eastAsia="Times New Roman" w:hAnsi="Times New Roman" w:cs="Times New Roman"/>
          <w:bCs/>
          <w:color w:val="000000" w:themeColor="text1"/>
          <w:sz w:val="24"/>
          <w:szCs w:val="24"/>
          <w:lang w:val="en-GB"/>
        </w:rPr>
        <w:t xml:space="preserve"> </w:t>
      </w:r>
      <w:r w:rsidR="00AB35C9" w:rsidRPr="00597FFB">
        <w:rPr>
          <w:rFonts w:ascii="Times New Roman" w:eastAsia="Times New Roman" w:hAnsi="Times New Roman" w:cs="Times New Roman"/>
          <w:bCs/>
          <w:color w:val="000000" w:themeColor="text1"/>
          <w:sz w:val="24"/>
          <w:szCs w:val="24"/>
          <w:lang w:val="en-GB"/>
        </w:rPr>
        <w:t xml:space="preserve">intake of </w:t>
      </w:r>
      <w:r w:rsidR="0003140E" w:rsidRPr="00597FFB">
        <w:rPr>
          <w:rFonts w:ascii="Times New Roman" w:eastAsia="Times New Roman" w:hAnsi="Times New Roman" w:cs="Times New Roman"/>
          <w:bCs/>
          <w:color w:val="000000" w:themeColor="text1"/>
          <w:sz w:val="24"/>
          <w:szCs w:val="24"/>
          <w:lang w:val="en-GB"/>
        </w:rPr>
        <w:t xml:space="preserve">copper </w:t>
      </w:r>
      <w:r w:rsidR="00AB35C9" w:rsidRPr="00597FFB">
        <w:rPr>
          <w:rFonts w:ascii="Times New Roman" w:eastAsia="Times New Roman" w:hAnsi="Times New Roman" w:cs="Times New Roman"/>
          <w:bCs/>
          <w:color w:val="000000" w:themeColor="text1"/>
          <w:sz w:val="24"/>
          <w:szCs w:val="24"/>
          <w:lang w:val="en-GB"/>
        </w:rPr>
        <w:t>causes</w:t>
      </w:r>
      <w:r w:rsidR="0003140E" w:rsidRPr="00597FFB">
        <w:rPr>
          <w:rFonts w:ascii="Times New Roman" w:eastAsia="Times New Roman" w:hAnsi="Times New Roman" w:cs="Times New Roman"/>
          <w:bCs/>
          <w:color w:val="000000" w:themeColor="text1"/>
          <w:sz w:val="24"/>
          <w:szCs w:val="24"/>
          <w:lang w:val="en-GB"/>
        </w:rPr>
        <w:t xml:space="preserve"> </w:t>
      </w:r>
      <w:r w:rsidR="00AB35C9" w:rsidRPr="00597FFB">
        <w:rPr>
          <w:rFonts w:ascii="Times New Roman" w:eastAsia="Times New Roman" w:hAnsi="Times New Roman" w:cs="Times New Roman"/>
          <w:bCs/>
          <w:color w:val="000000" w:themeColor="text1"/>
          <w:sz w:val="24"/>
          <w:szCs w:val="24"/>
          <w:lang w:val="en-GB"/>
        </w:rPr>
        <w:t xml:space="preserve">damage to the </w:t>
      </w:r>
      <w:r w:rsidR="0003140E" w:rsidRPr="00597FFB">
        <w:rPr>
          <w:rFonts w:ascii="Times New Roman" w:eastAsia="Times New Roman" w:hAnsi="Times New Roman" w:cs="Times New Roman"/>
          <w:bCs/>
          <w:color w:val="000000" w:themeColor="text1"/>
          <w:sz w:val="24"/>
          <w:szCs w:val="24"/>
          <w:lang w:val="en-GB"/>
        </w:rPr>
        <w:t xml:space="preserve">liver and </w:t>
      </w:r>
      <w:r w:rsidR="00AB35C9" w:rsidRPr="00597FFB">
        <w:rPr>
          <w:rFonts w:ascii="Times New Roman" w:eastAsia="Times New Roman" w:hAnsi="Times New Roman" w:cs="Times New Roman"/>
          <w:bCs/>
          <w:color w:val="000000" w:themeColor="text1"/>
          <w:sz w:val="24"/>
          <w:szCs w:val="24"/>
          <w:lang w:val="en-GB"/>
        </w:rPr>
        <w:t>hampers</w:t>
      </w:r>
      <w:r w:rsidR="0003140E" w:rsidRPr="00597FFB">
        <w:rPr>
          <w:rFonts w:ascii="Times New Roman" w:eastAsia="Times New Roman" w:hAnsi="Times New Roman" w:cs="Times New Roman"/>
          <w:bCs/>
          <w:color w:val="000000" w:themeColor="text1"/>
          <w:sz w:val="24"/>
          <w:szCs w:val="24"/>
          <w:lang w:val="en-GB"/>
        </w:rPr>
        <w:t xml:space="preserve"> learning capabilities and behavior. Continual </w:t>
      </w:r>
      <w:r w:rsidR="00AB35C9" w:rsidRPr="00597FFB">
        <w:rPr>
          <w:rFonts w:ascii="Times New Roman" w:eastAsia="Times New Roman" w:hAnsi="Times New Roman" w:cs="Times New Roman"/>
          <w:bCs/>
          <w:color w:val="000000" w:themeColor="text1"/>
          <w:sz w:val="24"/>
          <w:szCs w:val="24"/>
          <w:lang w:val="en-GB"/>
        </w:rPr>
        <w:t xml:space="preserve">cadmium </w:t>
      </w:r>
      <w:r w:rsidR="0003140E" w:rsidRPr="00597FFB">
        <w:rPr>
          <w:rFonts w:ascii="Times New Roman" w:eastAsia="Times New Roman" w:hAnsi="Times New Roman" w:cs="Times New Roman"/>
          <w:bCs/>
          <w:color w:val="000000" w:themeColor="text1"/>
          <w:sz w:val="24"/>
          <w:szCs w:val="24"/>
          <w:lang w:val="en-GB"/>
        </w:rPr>
        <w:t xml:space="preserve">exposure </w:t>
      </w:r>
      <w:r w:rsidR="00AB35C9" w:rsidRPr="00597FFB">
        <w:rPr>
          <w:rFonts w:ascii="Times New Roman" w:eastAsia="Times New Roman" w:hAnsi="Times New Roman" w:cs="Times New Roman"/>
          <w:bCs/>
          <w:color w:val="000000" w:themeColor="text1"/>
          <w:sz w:val="24"/>
          <w:szCs w:val="24"/>
          <w:lang w:val="en-GB"/>
        </w:rPr>
        <w:t xml:space="preserve">increases the </w:t>
      </w:r>
      <w:r w:rsidR="0003140E" w:rsidRPr="00597FFB">
        <w:rPr>
          <w:rFonts w:ascii="Times New Roman" w:eastAsia="Times New Roman" w:hAnsi="Times New Roman" w:cs="Times New Roman"/>
          <w:bCs/>
          <w:color w:val="000000" w:themeColor="text1"/>
          <w:sz w:val="24"/>
          <w:szCs w:val="24"/>
          <w:lang w:val="en-GB"/>
        </w:rPr>
        <w:t xml:space="preserve">risk of </w:t>
      </w:r>
      <w:r w:rsidR="00AB35C9" w:rsidRPr="00597FFB">
        <w:rPr>
          <w:rFonts w:ascii="Times New Roman" w:eastAsia="Times New Roman" w:hAnsi="Times New Roman" w:cs="Times New Roman"/>
          <w:bCs/>
          <w:color w:val="000000" w:themeColor="text1"/>
          <w:sz w:val="24"/>
          <w:szCs w:val="24"/>
          <w:lang w:val="en-GB"/>
        </w:rPr>
        <w:t xml:space="preserve">kidney damage </w:t>
      </w:r>
      <w:r w:rsidR="0003140E" w:rsidRPr="00597FFB">
        <w:rPr>
          <w:rFonts w:ascii="Times New Roman" w:eastAsia="Times New Roman" w:hAnsi="Times New Roman" w:cs="Times New Roman"/>
          <w:bCs/>
          <w:color w:val="000000" w:themeColor="text1"/>
          <w:sz w:val="24"/>
          <w:szCs w:val="24"/>
          <w:lang w:val="en-GB"/>
        </w:rPr>
        <w:t xml:space="preserve">and </w:t>
      </w:r>
      <w:r w:rsidR="00AB35C9" w:rsidRPr="00597FFB">
        <w:rPr>
          <w:rFonts w:ascii="Times New Roman" w:eastAsia="Times New Roman" w:hAnsi="Times New Roman" w:cs="Times New Roman"/>
          <w:bCs/>
          <w:color w:val="000000" w:themeColor="text1"/>
          <w:sz w:val="24"/>
          <w:szCs w:val="24"/>
          <w:lang w:val="en-GB"/>
        </w:rPr>
        <w:t xml:space="preserve">lung cancer </w:t>
      </w:r>
      <w:r w:rsidR="0003140E" w:rsidRPr="00597FFB">
        <w:rPr>
          <w:rFonts w:ascii="Times New Roman" w:eastAsiaTheme="minorHAnsi" w:hAnsi="Times New Roman" w:cs="Times New Roman"/>
          <w:color w:val="000000" w:themeColor="text1"/>
          <w:sz w:val="24"/>
          <w:lang w:val="en-GB"/>
        </w:rPr>
        <w:t>(Wang et al., 2020b)</w:t>
      </w:r>
      <w:r w:rsidR="0003140E" w:rsidRPr="00597FFB">
        <w:rPr>
          <w:rFonts w:ascii="Times New Roman" w:eastAsia="Times New Roman" w:hAnsi="Times New Roman" w:cs="Times New Roman"/>
          <w:bCs/>
          <w:color w:val="000000" w:themeColor="text1"/>
          <w:sz w:val="24"/>
          <w:szCs w:val="24"/>
          <w:lang w:val="en-GB"/>
        </w:rPr>
        <w:t xml:space="preserve">. </w:t>
      </w:r>
      <w:r w:rsidR="008664A8" w:rsidRPr="00597FFB">
        <w:rPr>
          <w:rFonts w:ascii="Times New Roman" w:eastAsia="Times New Roman" w:hAnsi="Times New Roman" w:cs="Times New Roman"/>
          <w:bCs/>
          <w:color w:val="000000" w:themeColor="text1"/>
          <w:sz w:val="24"/>
          <w:szCs w:val="24"/>
          <w:lang w:val="en-GB"/>
        </w:rPr>
        <w:t>Cadmium, c</w:t>
      </w:r>
      <w:r w:rsidR="0003140E" w:rsidRPr="00597FFB">
        <w:rPr>
          <w:rFonts w:ascii="Times New Roman" w:eastAsia="Times New Roman" w:hAnsi="Times New Roman" w:cs="Times New Roman"/>
          <w:bCs/>
          <w:color w:val="000000" w:themeColor="text1"/>
          <w:sz w:val="24"/>
          <w:szCs w:val="24"/>
          <w:lang w:val="en-GB"/>
        </w:rPr>
        <w:t xml:space="preserve">hromium, </w:t>
      </w:r>
      <w:r w:rsidR="008664A8" w:rsidRPr="00597FFB">
        <w:rPr>
          <w:rFonts w:ascii="Times New Roman" w:eastAsia="Times New Roman" w:hAnsi="Times New Roman" w:cs="Times New Roman"/>
          <w:bCs/>
          <w:color w:val="000000" w:themeColor="text1"/>
          <w:sz w:val="24"/>
          <w:szCs w:val="24"/>
          <w:lang w:val="en-GB"/>
        </w:rPr>
        <w:t>lead</w:t>
      </w:r>
      <w:r w:rsidR="0003140E" w:rsidRPr="00597FFB">
        <w:rPr>
          <w:rFonts w:ascii="Times New Roman" w:eastAsia="Times New Roman" w:hAnsi="Times New Roman" w:cs="Times New Roman"/>
          <w:bCs/>
          <w:color w:val="000000" w:themeColor="text1"/>
          <w:sz w:val="24"/>
          <w:szCs w:val="24"/>
          <w:lang w:val="en-GB"/>
        </w:rPr>
        <w:t xml:space="preserve">, and </w:t>
      </w:r>
      <w:r w:rsidR="008664A8" w:rsidRPr="00597FFB">
        <w:rPr>
          <w:rFonts w:ascii="Times New Roman" w:eastAsia="Times New Roman" w:hAnsi="Times New Roman" w:cs="Times New Roman"/>
          <w:bCs/>
          <w:color w:val="000000" w:themeColor="text1"/>
          <w:sz w:val="24"/>
          <w:szCs w:val="24"/>
          <w:lang w:val="en-GB"/>
        </w:rPr>
        <w:t xml:space="preserve">nickel </w:t>
      </w:r>
      <w:r w:rsidR="0003140E" w:rsidRPr="00597FFB">
        <w:rPr>
          <w:rFonts w:ascii="Times New Roman" w:eastAsia="Times New Roman" w:hAnsi="Times New Roman" w:cs="Times New Roman"/>
          <w:bCs/>
          <w:color w:val="000000" w:themeColor="text1"/>
          <w:sz w:val="24"/>
          <w:szCs w:val="24"/>
          <w:lang w:val="en-GB"/>
        </w:rPr>
        <w:t xml:space="preserve">pose lifetime </w:t>
      </w:r>
      <w:r w:rsidR="008664A8" w:rsidRPr="00597FFB">
        <w:rPr>
          <w:rFonts w:ascii="Times New Roman" w:eastAsia="Times New Roman" w:hAnsi="Times New Roman" w:cs="Times New Roman"/>
          <w:bCs/>
          <w:color w:val="000000" w:themeColor="text1"/>
          <w:sz w:val="24"/>
          <w:szCs w:val="24"/>
          <w:lang w:val="en-GB"/>
        </w:rPr>
        <w:t xml:space="preserve">risks of </w:t>
      </w:r>
      <w:r w:rsidR="0003140E" w:rsidRPr="00597FFB">
        <w:rPr>
          <w:rFonts w:ascii="Times New Roman" w:eastAsia="Times New Roman" w:hAnsi="Times New Roman" w:cs="Times New Roman"/>
          <w:bCs/>
          <w:color w:val="000000" w:themeColor="text1"/>
          <w:sz w:val="24"/>
          <w:szCs w:val="24"/>
          <w:lang w:val="en-GB"/>
        </w:rPr>
        <w:t xml:space="preserve">cancer to </w:t>
      </w:r>
      <w:r w:rsidR="008664A8" w:rsidRPr="00597FFB">
        <w:rPr>
          <w:rFonts w:ascii="Times New Roman" w:eastAsia="Times New Roman" w:hAnsi="Times New Roman" w:cs="Times New Roman"/>
          <w:bCs/>
          <w:color w:val="000000" w:themeColor="text1"/>
          <w:sz w:val="24"/>
          <w:szCs w:val="24"/>
          <w:lang w:val="en-GB"/>
        </w:rPr>
        <w:t xml:space="preserve">residents </w:t>
      </w:r>
      <w:r w:rsidR="0003140E" w:rsidRPr="00597FFB">
        <w:rPr>
          <w:rFonts w:ascii="Times New Roman" w:eastAsia="Times New Roman" w:hAnsi="Times New Roman" w:cs="Times New Roman"/>
          <w:bCs/>
          <w:color w:val="000000" w:themeColor="text1"/>
          <w:sz w:val="24"/>
          <w:szCs w:val="24"/>
          <w:lang w:val="en-GB"/>
        </w:rPr>
        <w:t>and</w:t>
      </w:r>
      <w:r w:rsidR="008664A8" w:rsidRPr="00597FFB">
        <w:rPr>
          <w:rFonts w:ascii="Times New Roman" w:eastAsia="Times New Roman" w:hAnsi="Times New Roman" w:cs="Times New Roman"/>
          <w:bCs/>
          <w:color w:val="000000" w:themeColor="text1"/>
          <w:sz w:val="24"/>
          <w:szCs w:val="24"/>
          <w:lang w:val="en-GB"/>
        </w:rPr>
        <w:t xml:space="preserve"> workers</w:t>
      </w:r>
      <w:r w:rsidR="0003140E" w:rsidRPr="00597FFB">
        <w:rPr>
          <w:rFonts w:ascii="Times New Roman" w:eastAsia="Times New Roman" w:hAnsi="Times New Roman" w:cs="Times New Roman"/>
          <w:bCs/>
          <w:color w:val="000000" w:themeColor="text1"/>
          <w:sz w:val="24"/>
          <w:szCs w:val="24"/>
          <w:lang w:val="en-GB"/>
        </w:rPr>
        <w:t xml:space="preserve">, </w:t>
      </w:r>
      <w:r w:rsidR="008664A8" w:rsidRPr="00597FFB">
        <w:rPr>
          <w:rFonts w:ascii="Times New Roman" w:eastAsia="Times New Roman" w:hAnsi="Times New Roman" w:cs="Times New Roman"/>
          <w:bCs/>
          <w:color w:val="000000" w:themeColor="text1"/>
          <w:sz w:val="24"/>
          <w:szCs w:val="24"/>
          <w:lang w:val="en-GB"/>
        </w:rPr>
        <w:t>whereas</w:t>
      </w:r>
      <w:r w:rsidR="0003140E" w:rsidRPr="00597FFB">
        <w:rPr>
          <w:rFonts w:ascii="Times New Roman" w:eastAsia="Times New Roman" w:hAnsi="Times New Roman" w:cs="Times New Roman"/>
          <w:bCs/>
          <w:color w:val="000000" w:themeColor="text1"/>
          <w:sz w:val="24"/>
          <w:szCs w:val="24"/>
          <w:lang w:val="en-GB"/>
        </w:rPr>
        <w:t xml:space="preserve"> cadmium, lead, copper, and zinc create noncancer risks. Lifetime exposure to cadmium increases the mortality risk dose-dependently in women </w:t>
      </w:r>
      <w:r w:rsidR="0003140E" w:rsidRPr="00597FFB">
        <w:rPr>
          <w:rFonts w:ascii="Times New Roman" w:eastAsiaTheme="minorHAnsi" w:hAnsi="Times New Roman" w:cs="Times New Roman"/>
          <w:color w:val="000000" w:themeColor="text1"/>
          <w:sz w:val="24"/>
          <w:lang w:val="en-GB"/>
        </w:rPr>
        <w:t>(Wiesmeth, 2020).</w:t>
      </w:r>
      <w:r w:rsidR="0003140E" w:rsidRPr="00597FFB">
        <w:rPr>
          <w:rFonts w:ascii="Times New Roman" w:eastAsia="Times New Roman" w:hAnsi="Times New Roman" w:cs="Times New Roman"/>
          <w:bCs/>
          <w:color w:val="000000" w:themeColor="text1"/>
          <w:sz w:val="24"/>
          <w:szCs w:val="24"/>
          <w:lang w:val="en-GB"/>
        </w:rPr>
        <w:t xml:space="preserve"> Additionally, women had a significantly higher risk of </w:t>
      </w:r>
      <w:r w:rsidR="00723EF6" w:rsidRPr="00597FFB">
        <w:rPr>
          <w:rFonts w:ascii="Times New Roman" w:eastAsia="Times New Roman" w:hAnsi="Times New Roman" w:cs="Times New Roman"/>
          <w:bCs/>
          <w:color w:val="000000" w:themeColor="text1"/>
          <w:sz w:val="24"/>
          <w:szCs w:val="24"/>
          <w:lang w:val="en-GB"/>
        </w:rPr>
        <w:t xml:space="preserve">kidney disease, </w:t>
      </w:r>
      <w:r w:rsidR="0003140E" w:rsidRPr="00597FFB">
        <w:rPr>
          <w:rFonts w:ascii="Times New Roman" w:eastAsia="Times New Roman" w:hAnsi="Times New Roman" w:cs="Times New Roman"/>
          <w:bCs/>
          <w:color w:val="000000" w:themeColor="text1"/>
          <w:sz w:val="24"/>
          <w:szCs w:val="24"/>
          <w:lang w:val="en-GB"/>
        </w:rPr>
        <w:t xml:space="preserve">renal diseases, </w:t>
      </w:r>
      <w:r w:rsidR="00723EF6" w:rsidRPr="00597FFB">
        <w:rPr>
          <w:rFonts w:ascii="Times New Roman" w:eastAsia="Times New Roman" w:hAnsi="Times New Roman" w:cs="Times New Roman"/>
          <w:bCs/>
          <w:color w:val="000000" w:themeColor="text1"/>
          <w:sz w:val="24"/>
          <w:szCs w:val="24"/>
          <w:lang w:val="en-GB"/>
        </w:rPr>
        <w:t xml:space="preserve">renal failure </w:t>
      </w:r>
      <w:r w:rsidR="0003140E" w:rsidRPr="00597FFB">
        <w:rPr>
          <w:rFonts w:ascii="Times New Roman" w:eastAsia="Times New Roman" w:hAnsi="Times New Roman" w:cs="Times New Roman"/>
          <w:bCs/>
          <w:color w:val="000000" w:themeColor="text1"/>
          <w:sz w:val="24"/>
          <w:szCs w:val="24"/>
          <w:lang w:val="en-GB"/>
        </w:rPr>
        <w:t xml:space="preserve">and urinal tract diseases, and toxic effects from </w:t>
      </w:r>
      <w:r w:rsidR="00723EF6" w:rsidRPr="00597FFB">
        <w:rPr>
          <w:rFonts w:ascii="Times New Roman" w:eastAsia="Times New Roman" w:hAnsi="Times New Roman" w:cs="Times New Roman"/>
          <w:bCs/>
          <w:color w:val="000000" w:themeColor="text1"/>
          <w:sz w:val="24"/>
          <w:szCs w:val="24"/>
          <w:lang w:val="en-GB"/>
        </w:rPr>
        <w:t>being exposed</w:t>
      </w:r>
      <w:r w:rsidR="0003140E" w:rsidRPr="00597FFB">
        <w:rPr>
          <w:rFonts w:ascii="Times New Roman" w:eastAsia="Times New Roman" w:hAnsi="Times New Roman" w:cs="Times New Roman"/>
          <w:bCs/>
          <w:color w:val="000000" w:themeColor="text1"/>
          <w:sz w:val="24"/>
          <w:szCs w:val="24"/>
          <w:lang w:val="en-GB"/>
        </w:rPr>
        <w:t xml:space="preserve"> to cadmium. The cancer and noncancer risks </w:t>
      </w:r>
      <w:r w:rsidR="00723EF6" w:rsidRPr="00597FFB">
        <w:rPr>
          <w:rFonts w:ascii="Times New Roman" w:eastAsia="Times New Roman" w:hAnsi="Times New Roman" w:cs="Times New Roman"/>
          <w:bCs/>
          <w:color w:val="000000" w:themeColor="text1"/>
          <w:sz w:val="24"/>
          <w:szCs w:val="24"/>
          <w:lang w:val="en-GB"/>
        </w:rPr>
        <w:t>posed by</w:t>
      </w:r>
      <w:r w:rsidR="0003140E" w:rsidRPr="00597FFB">
        <w:rPr>
          <w:rFonts w:ascii="Times New Roman" w:eastAsia="Times New Roman" w:hAnsi="Times New Roman" w:cs="Times New Roman"/>
          <w:bCs/>
          <w:color w:val="000000" w:themeColor="text1"/>
          <w:sz w:val="24"/>
          <w:szCs w:val="24"/>
          <w:lang w:val="en-GB"/>
        </w:rPr>
        <w:t xml:space="preserve"> informal recycling sites also </w:t>
      </w:r>
      <w:r w:rsidR="00723EF6" w:rsidRPr="00597FFB">
        <w:rPr>
          <w:rFonts w:ascii="Times New Roman" w:eastAsia="Times New Roman" w:hAnsi="Times New Roman" w:cs="Times New Roman"/>
          <w:bCs/>
          <w:color w:val="000000" w:themeColor="text1"/>
          <w:sz w:val="24"/>
          <w:szCs w:val="24"/>
          <w:lang w:val="en-GB"/>
        </w:rPr>
        <w:t xml:space="preserve">tend to be </w:t>
      </w:r>
      <w:r w:rsidR="0003140E" w:rsidRPr="00597FFB">
        <w:rPr>
          <w:rFonts w:ascii="Times New Roman" w:eastAsia="Times New Roman" w:hAnsi="Times New Roman" w:cs="Times New Roman"/>
          <w:bCs/>
          <w:color w:val="000000" w:themeColor="text1"/>
          <w:sz w:val="24"/>
          <w:szCs w:val="24"/>
          <w:lang w:val="en-GB"/>
        </w:rPr>
        <w:t xml:space="preserve">higher than those at formal recycling </w:t>
      </w:r>
      <w:r w:rsidR="00723EF6" w:rsidRPr="00597FFB">
        <w:rPr>
          <w:rFonts w:ascii="Times New Roman" w:eastAsia="Times New Roman" w:hAnsi="Times New Roman" w:cs="Times New Roman"/>
          <w:bCs/>
          <w:color w:val="000000" w:themeColor="text1"/>
          <w:sz w:val="24"/>
          <w:szCs w:val="24"/>
          <w:lang w:val="en-GB"/>
        </w:rPr>
        <w:t>facilities</w:t>
      </w:r>
      <w:r w:rsidR="0003140E" w:rsidRPr="00597FFB">
        <w:rPr>
          <w:rFonts w:ascii="Times New Roman" w:eastAsia="Times New Roman" w:hAnsi="Times New Roman" w:cs="Times New Roman"/>
          <w:bCs/>
          <w:color w:val="000000" w:themeColor="text1"/>
          <w:sz w:val="24"/>
          <w:szCs w:val="24"/>
          <w:lang w:val="en-GB"/>
        </w:rPr>
        <w:t xml:space="preserve"> for residents, </w:t>
      </w:r>
      <w:r w:rsidR="00723EF6" w:rsidRPr="00597FFB">
        <w:rPr>
          <w:rFonts w:ascii="Times New Roman" w:eastAsia="Times New Roman" w:hAnsi="Times New Roman" w:cs="Times New Roman"/>
          <w:bCs/>
          <w:color w:val="000000" w:themeColor="text1"/>
          <w:sz w:val="24"/>
          <w:szCs w:val="24"/>
          <w:lang w:val="en-GB"/>
        </w:rPr>
        <w:t>and particularly</w:t>
      </w:r>
      <w:r w:rsidR="0003140E" w:rsidRPr="00597FFB">
        <w:rPr>
          <w:rFonts w:ascii="Times New Roman" w:eastAsia="Times New Roman" w:hAnsi="Times New Roman" w:cs="Times New Roman"/>
          <w:bCs/>
          <w:color w:val="000000" w:themeColor="text1"/>
          <w:sz w:val="24"/>
          <w:szCs w:val="24"/>
          <w:lang w:val="en-GB"/>
        </w:rPr>
        <w:t xml:space="preserve"> children </w:t>
      </w:r>
      <w:r w:rsidR="0003140E" w:rsidRPr="00597FFB">
        <w:rPr>
          <w:rFonts w:ascii="Times New Roman" w:eastAsiaTheme="minorHAnsi" w:hAnsi="Times New Roman" w:cs="Times New Roman"/>
          <w:color w:val="000000" w:themeColor="text1"/>
          <w:sz w:val="24"/>
          <w:lang w:val="en-GB"/>
        </w:rPr>
        <w:t>(Wiesmeth, 2020)</w:t>
      </w:r>
      <w:r w:rsidR="0003140E" w:rsidRPr="00597FFB">
        <w:rPr>
          <w:rFonts w:ascii="Times New Roman" w:eastAsia="Times New Roman" w:hAnsi="Times New Roman" w:cs="Times New Roman"/>
          <w:bCs/>
          <w:color w:val="000000" w:themeColor="text1"/>
          <w:sz w:val="24"/>
          <w:szCs w:val="24"/>
          <w:lang w:val="en-GB"/>
        </w:rPr>
        <w:t>.</w:t>
      </w:r>
    </w:p>
    <w:p w14:paraId="096683B3" w14:textId="1A4AC781" w:rsidR="0003140E"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Detailed </w:t>
      </w:r>
      <w:r w:rsidR="002D62A0" w:rsidRPr="00597FFB">
        <w:rPr>
          <w:rFonts w:ascii="Times New Roman" w:eastAsia="Times New Roman" w:hAnsi="Times New Roman" w:cs="Times New Roman"/>
          <w:bCs/>
          <w:color w:val="000000" w:themeColor="text1"/>
          <w:sz w:val="24"/>
          <w:szCs w:val="24"/>
        </w:rPr>
        <w:t>studies by</w:t>
      </w:r>
      <w:r w:rsidRPr="00597FFB">
        <w:rPr>
          <w:rFonts w:ascii="Times New Roman" w:eastAsia="Times New Roman" w:hAnsi="Times New Roman" w:cs="Times New Roman"/>
          <w:bCs/>
          <w:color w:val="000000" w:themeColor="text1"/>
          <w:sz w:val="24"/>
          <w:szCs w:val="24"/>
        </w:rPr>
        <w:t xml:space="preserve"> various authors (</w:t>
      </w:r>
      <w:r w:rsidRPr="00597FFB">
        <w:rPr>
          <w:rFonts w:ascii="Times New Roman" w:eastAsiaTheme="minorHAnsi" w:hAnsi="Times New Roman" w:cs="Times New Roman"/>
          <w:color w:val="000000" w:themeColor="text1"/>
          <w:sz w:val="24"/>
        </w:rPr>
        <w:t>Zhang &amp; Cude, 2018; Liu et al., 2019; Banhidarah et al., 2020)</w:t>
      </w:r>
      <w:r w:rsidRPr="00597FFB">
        <w:rPr>
          <w:rFonts w:eastAsiaTheme="minorHAnsi"/>
          <w:color w:val="000000" w:themeColor="text1"/>
          <w:lang w:val="en-GB"/>
        </w:rPr>
        <w:t xml:space="preserve"> </w:t>
      </w:r>
      <w:r w:rsidRPr="00597FFB">
        <w:rPr>
          <w:rFonts w:ascii="Times New Roman" w:eastAsia="Times New Roman" w:hAnsi="Times New Roman" w:cs="Times New Roman"/>
          <w:bCs/>
          <w:color w:val="000000" w:themeColor="text1"/>
          <w:sz w:val="24"/>
          <w:szCs w:val="24"/>
        </w:rPr>
        <w:t xml:space="preserve">about the health outcomes of </w:t>
      </w:r>
      <w:r w:rsidR="0020594A" w:rsidRPr="00597FFB">
        <w:rPr>
          <w:rFonts w:ascii="Times New Roman" w:eastAsia="Times New Roman" w:hAnsi="Times New Roman" w:cs="Times New Roman"/>
          <w:bCs/>
          <w:color w:val="000000" w:themeColor="text1"/>
          <w:sz w:val="24"/>
          <w:szCs w:val="24"/>
        </w:rPr>
        <w:t xml:space="preserve">adults, </w:t>
      </w:r>
      <w:r w:rsidRPr="00597FFB">
        <w:rPr>
          <w:rFonts w:ascii="Times New Roman" w:eastAsia="Times New Roman" w:hAnsi="Times New Roman" w:cs="Times New Roman"/>
          <w:bCs/>
          <w:color w:val="000000" w:themeColor="text1"/>
          <w:sz w:val="24"/>
          <w:szCs w:val="24"/>
        </w:rPr>
        <w:t xml:space="preserve">children, </w:t>
      </w:r>
      <w:r w:rsidR="0020594A" w:rsidRPr="00597FFB">
        <w:rPr>
          <w:rFonts w:ascii="Times New Roman" w:eastAsia="Times New Roman" w:hAnsi="Times New Roman" w:cs="Times New Roman"/>
          <w:bCs/>
          <w:color w:val="000000" w:themeColor="text1"/>
          <w:sz w:val="24"/>
          <w:szCs w:val="24"/>
        </w:rPr>
        <w:t xml:space="preserve">neonates, </w:t>
      </w:r>
      <w:r w:rsidRPr="00597FFB">
        <w:rPr>
          <w:rFonts w:ascii="Times New Roman" w:eastAsia="Times New Roman" w:hAnsi="Times New Roman" w:cs="Times New Roman"/>
          <w:bCs/>
          <w:color w:val="000000" w:themeColor="text1"/>
          <w:sz w:val="24"/>
          <w:szCs w:val="24"/>
        </w:rPr>
        <w:t xml:space="preserve">and </w:t>
      </w:r>
      <w:r w:rsidR="0020594A" w:rsidRPr="00597FFB">
        <w:rPr>
          <w:rFonts w:ascii="Times New Roman" w:eastAsia="Times New Roman" w:hAnsi="Times New Roman" w:cs="Times New Roman"/>
          <w:bCs/>
          <w:color w:val="000000" w:themeColor="text1"/>
          <w:sz w:val="24"/>
          <w:szCs w:val="24"/>
        </w:rPr>
        <w:t>altercations</w:t>
      </w:r>
      <w:r w:rsidRPr="00597FFB">
        <w:rPr>
          <w:rFonts w:ascii="Times New Roman" w:eastAsia="Times New Roman" w:hAnsi="Times New Roman" w:cs="Times New Roman"/>
          <w:bCs/>
          <w:color w:val="000000" w:themeColor="text1"/>
          <w:sz w:val="24"/>
          <w:szCs w:val="24"/>
        </w:rPr>
        <w:t xml:space="preserve"> in cellular expression have been conducted in China. Pregnant women’s exposure to heavy metals caused by e-waste negatively affects neonatal health </w:t>
      </w:r>
      <w:r w:rsidRPr="00597FFB">
        <w:rPr>
          <w:rFonts w:ascii="Times New Roman" w:eastAsiaTheme="minorHAnsi" w:hAnsi="Times New Roman" w:cs="Times New Roman"/>
          <w:color w:val="000000" w:themeColor="text1"/>
          <w:sz w:val="24"/>
        </w:rPr>
        <w:t>(Banhidarah et al., 2020)</w:t>
      </w:r>
      <w:r w:rsidRPr="00597FFB">
        <w:rPr>
          <w:rFonts w:ascii="Times New Roman" w:eastAsia="Times New Roman" w:hAnsi="Times New Roman" w:cs="Times New Roman"/>
          <w:bCs/>
          <w:color w:val="000000" w:themeColor="text1"/>
          <w:sz w:val="24"/>
          <w:szCs w:val="24"/>
        </w:rPr>
        <w:t xml:space="preserve">. For example, </w:t>
      </w:r>
      <w:r w:rsidR="0020594A" w:rsidRPr="00597FFB">
        <w:rPr>
          <w:rFonts w:ascii="Times New Roman" w:eastAsia="Times New Roman" w:hAnsi="Times New Roman" w:cs="Times New Roman"/>
          <w:bCs/>
          <w:color w:val="000000" w:themeColor="text1"/>
          <w:sz w:val="24"/>
          <w:szCs w:val="24"/>
        </w:rPr>
        <w:t>impulsive</w:t>
      </w:r>
      <w:r w:rsidRPr="00597FFB">
        <w:rPr>
          <w:rFonts w:ascii="Times New Roman" w:eastAsia="Times New Roman" w:hAnsi="Times New Roman" w:cs="Times New Roman"/>
          <w:bCs/>
          <w:color w:val="000000" w:themeColor="text1"/>
          <w:sz w:val="24"/>
          <w:szCs w:val="24"/>
        </w:rPr>
        <w:t xml:space="preserve"> abortions, </w:t>
      </w:r>
      <w:r w:rsidR="0020594A" w:rsidRPr="00597FFB">
        <w:rPr>
          <w:rFonts w:ascii="Times New Roman" w:eastAsia="Times New Roman" w:hAnsi="Times New Roman" w:cs="Times New Roman"/>
          <w:bCs/>
          <w:color w:val="000000" w:themeColor="text1"/>
          <w:sz w:val="24"/>
          <w:szCs w:val="24"/>
        </w:rPr>
        <w:t>stillbirths</w:t>
      </w:r>
      <w:r w:rsidRPr="00597FFB">
        <w:rPr>
          <w:rFonts w:ascii="Times New Roman" w:eastAsia="Times New Roman" w:hAnsi="Times New Roman" w:cs="Times New Roman"/>
          <w:bCs/>
          <w:color w:val="000000" w:themeColor="text1"/>
          <w:sz w:val="24"/>
          <w:szCs w:val="24"/>
        </w:rPr>
        <w:t xml:space="preserve">, and </w:t>
      </w:r>
      <w:r w:rsidR="0020594A" w:rsidRPr="00597FFB">
        <w:rPr>
          <w:rFonts w:ascii="Times New Roman" w:eastAsia="Times New Roman" w:hAnsi="Times New Roman" w:cs="Times New Roman"/>
          <w:bCs/>
          <w:color w:val="000000" w:themeColor="text1"/>
          <w:sz w:val="24"/>
          <w:szCs w:val="24"/>
        </w:rPr>
        <w:t xml:space="preserve">premature births </w:t>
      </w:r>
      <w:r w:rsidRPr="00597FFB">
        <w:rPr>
          <w:rFonts w:ascii="Times New Roman" w:eastAsia="Times New Roman" w:hAnsi="Times New Roman" w:cs="Times New Roman"/>
          <w:bCs/>
          <w:color w:val="000000" w:themeColor="text1"/>
          <w:sz w:val="24"/>
          <w:szCs w:val="24"/>
        </w:rPr>
        <w:t xml:space="preserve">increase. </w:t>
      </w:r>
      <w:r w:rsidR="0020594A" w:rsidRPr="00597FFB">
        <w:rPr>
          <w:rFonts w:ascii="Times New Roman" w:eastAsia="Times New Roman" w:hAnsi="Times New Roman" w:cs="Times New Roman"/>
          <w:bCs/>
          <w:color w:val="000000" w:themeColor="text1"/>
          <w:sz w:val="24"/>
          <w:szCs w:val="24"/>
        </w:rPr>
        <w:t>Furthermore</w:t>
      </w:r>
      <w:r w:rsidRPr="00597FFB">
        <w:rPr>
          <w:rFonts w:ascii="Times New Roman" w:eastAsia="Times New Roman" w:hAnsi="Times New Roman" w:cs="Times New Roman"/>
          <w:bCs/>
          <w:color w:val="000000" w:themeColor="text1"/>
          <w:sz w:val="24"/>
          <w:szCs w:val="24"/>
        </w:rPr>
        <w:t xml:space="preserve">, exposure </w:t>
      </w:r>
      <w:r w:rsidR="0020594A" w:rsidRPr="00597FFB">
        <w:rPr>
          <w:rFonts w:ascii="Times New Roman" w:eastAsia="Times New Roman" w:hAnsi="Times New Roman" w:cs="Times New Roman"/>
          <w:bCs/>
          <w:color w:val="000000" w:themeColor="text1"/>
          <w:sz w:val="24"/>
          <w:szCs w:val="24"/>
        </w:rPr>
        <w:t>lowers</w:t>
      </w:r>
      <w:r w:rsidRPr="00597FFB">
        <w:rPr>
          <w:rFonts w:ascii="Times New Roman" w:eastAsia="Times New Roman" w:hAnsi="Times New Roman" w:cs="Times New Roman"/>
          <w:bCs/>
          <w:color w:val="000000" w:themeColor="text1"/>
          <w:sz w:val="24"/>
          <w:szCs w:val="24"/>
        </w:rPr>
        <w:t xml:space="preserve"> the </w:t>
      </w:r>
      <w:r w:rsidR="0020594A" w:rsidRPr="00597FFB">
        <w:rPr>
          <w:rFonts w:ascii="Times New Roman" w:eastAsia="Times New Roman" w:hAnsi="Times New Roman" w:cs="Times New Roman"/>
          <w:bCs/>
          <w:color w:val="000000" w:themeColor="text1"/>
          <w:sz w:val="24"/>
          <w:szCs w:val="24"/>
        </w:rPr>
        <w:t xml:space="preserve">birth weight, </w:t>
      </w:r>
      <w:r w:rsidRPr="00597FFB">
        <w:rPr>
          <w:rFonts w:ascii="Times New Roman" w:eastAsia="Times New Roman" w:hAnsi="Times New Roman" w:cs="Times New Roman"/>
          <w:bCs/>
          <w:color w:val="000000" w:themeColor="text1"/>
          <w:sz w:val="24"/>
          <w:szCs w:val="24"/>
        </w:rPr>
        <w:t xml:space="preserve">length, </w:t>
      </w:r>
      <w:r w:rsidR="0020594A" w:rsidRPr="00597FFB">
        <w:rPr>
          <w:rFonts w:ascii="Times New Roman" w:eastAsia="Times New Roman" w:hAnsi="Times New Roman" w:cs="Times New Roman"/>
          <w:bCs/>
          <w:color w:val="000000" w:themeColor="text1"/>
          <w:sz w:val="24"/>
          <w:szCs w:val="24"/>
        </w:rPr>
        <w:t xml:space="preserve">Agpar scores, and </w:t>
      </w:r>
      <w:r w:rsidRPr="00597FFB">
        <w:rPr>
          <w:rFonts w:ascii="Times New Roman" w:eastAsia="Times New Roman" w:hAnsi="Times New Roman" w:cs="Times New Roman"/>
          <w:bCs/>
          <w:color w:val="000000" w:themeColor="text1"/>
          <w:sz w:val="24"/>
          <w:szCs w:val="24"/>
        </w:rPr>
        <w:t xml:space="preserve">neonatal behavioral neurological assessment (NBNA) scores </w:t>
      </w:r>
      <w:r w:rsidR="0020594A" w:rsidRPr="00597FFB">
        <w:rPr>
          <w:rFonts w:ascii="Times New Roman" w:eastAsia="Times New Roman" w:hAnsi="Times New Roman" w:cs="Times New Roman"/>
          <w:bCs/>
          <w:color w:val="000000" w:themeColor="text1"/>
          <w:sz w:val="24"/>
          <w:szCs w:val="24"/>
        </w:rPr>
        <w:t>of infants</w:t>
      </w:r>
      <w:r w:rsidRPr="00597FFB">
        <w:rPr>
          <w:rFonts w:ascii="Times New Roman" w:eastAsia="Times New Roman" w:hAnsi="Times New Roman" w:cs="Times New Roman"/>
          <w:bCs/>
          <w:color w:val="000000" w:themeColor="text1"/>
          <w:sz w:val="24"/>
          <w:szCs w:val="24"/>
        </w:rPr>
        <w:t xml:space="preserve">. Children </w:t>
      </w:r>
      <w:r w:rsidR="0020594A" w:rsidRPr="00597FFB">
        <w:rPr>
          <w:rFonts w:ascii="Times New Roman" w:eastAsia="Times New Roman" w:hAnsi="Times New Roman" w:cs="Times New Roman"/>
          <w:bCs/>
          <w:color w:val="000000" w:themeColor="text1"/>
          <w:sz w:val="24"/>
          <w:szCs w:val="24"/>
        </w:rPr>
        <w:t>aged</w:t>
      </w:r>
      <w:r w:rsidRPr="00597FFB">
        <w:rPr>
          <w:rFonts w:ascii="Times New Roman" w:eastAsia="Times New Roman" w:hAnsi="Times New Roman" w:cs="Times New Roman"/>
          <w:bCs/>
          <w:color w:val="000000" w:themeColor="text1"/>
          <w:sz w:val="24"/>
          <w:szCs w:val="24"/>
        </w:rPr>
        <w:t xml:space="preserve"> 8-9 years were also </w:t>
      </w:r>
      <w:r w:rsidR="00375757" w:rsidRPr="00597FFB">
        <w:rPr>
          <w:rFonts w:ascii="Times New Roman" w:eastAsia="Times New Roman" w:hAnsi="Times New Roman" w:cs="Times New Roman"/>
          <w:bCs/>
          <w:color w:val="000000" w:themeColor="text1"/>
          <w:sz w:val="24"/>
          <w:szCs w:val="24"/>
        </w:rPr>
        <w:t>reported to be experiencing</w:t>
      </w:r>
      <w:r w:rsidRPr="00597FFB">
        <w:rPr>
          <w:rFonts w:ascii="Times New Roman" w:eastAsia="Times New Roman" w:hAnsi="Times New Roman" w:cs="Times New Roman"/>
          <w:bCs/>
          <w:color w:val="000000" w:themeColor="text1"/>
          <w:sz w:val="24"/>
          <w:szCs w:val="24"/>
        </w:rPr>
        <w:t xml:space="preserve"> have problems </w:t>
      </w:r>
      <w:r w:rsidR="00375757" w:rsidRPr="00597FFB">
        <w:rPr>
          <w:rFonts w:ascii="Times New Roman" w:eastAsia="Times New Roman" w:hAnsi="Times New Roman" w:cs="Times New Roman"/>
          <w:bCs/>
          <w:color w:val="000000" w:themeColor="text1"/>
          <w:sz w:val="24"/>
          <w:szCs w:val="24"/>
        </w:rPr>
        <w:t>related to</w:t>
      </w:r>
      <w:r w:rsidRPr="00597FFB">
        <w:rPr>
          <w:rFonts w:ascii="Times New Roman" w:eastAsia="Times New Roman" w:hAnsi="Times New Roman" w:cs="Times New Roman"/>
          <w:bCs/>
          <w:color w:val="000000" w:themeColor="text1"/>
          <w:sz w:val="24"/>
          <w:szCs w:val="24"/>
        </w:rPr>
        <w:t xml:space="preserve"> lung functionality </w:t>
      </w:r>
      <w:r w:rsidR="00375757" w:rsidRPr="00597FFB">
        <w:rPr>
          <w:rFonts w:ascii="Times New Roman" w:eastAsia="Times New Roman" w:hAnsi="Times New Roman" w:cs="Times New Roman"/>
          <w:bCs/>
          <w:color w:val="000000" w:themeColor="text1"/>
          <w:sz w:val="24"/>
          <w:szCs w:val="24"/>
        </w:rPr>
        <w:t>because of</w:t>
      </w:r>
      <w:r w:rsidRPr="00597FFB">
        <w:rPr>
          <w:rFonts w:ascii="Times New Roman" w:eastAsia="Times New Roman" w:hAnsi="Times New Roman" w:cs="Times New Roman"/>
          <w:bCs/>
          <w:color w:val="000000" w:themeColor="text1"/>
          <w:sz w:val="24"/>
          <w:szCs w:val="24"/>
        </w:rPr>
        <w:t xml:space="preserve"> their exposure to </w:t>
      </w:r>
      <w:r w:rsidR="00375757" w:rsidRPr="00597FFB">
        <w:rPr>
          <w:rFonts w:ascii="Times New Roman" w:eastAsia="Times New Roman" w:hAnsi="Times New Roman" w:cs="Times New Roman"/>
          <w:bCs/>
          <w:color w:val="000000" w:themeColor="text1"/>
          <w:sz w:val="24"/>
          <w:szCs w:val="24"/>
        </w:rPr>
        <w:t xml:space="preserve">manganese, </w:t>
      </w:r>
      <w:r w:rsidRPr="00597FFB">
        <w:rPr>
          <w:rFonts w:ascii="Times New Roman" w:eastAsia="Times New Roman" w:hAnsi="Times New Roman" w:cs="Times New Roman"/>
          <w:bCs/>
          <w:color w:val="000000" w:themeColor="text1"/>
          <w:sz w:val="24"/>
          <w:szCs w:val="24"/>
        </w:rPr>
        <w:t>chromium</w:t>
      </w:r>
      <w:r w:rsidR="00375757" w:rsidRPr="00597FFB">
        <w:rPr>
          <w:rFonts w:ascii="Times New Roman" w:eastAsia="Times New Roman" w:hAnsi="Times New Roman" w:cs="Times New Roman"/>
          <w:bCs/>
          <w:color w:val="000000" w:themeColor="text1"/>
          <w:sz w:val="24"/>
          <w:szCs w:val="24"/>
        </w:rPr>
        <w:t>,</w:t>
      </w:r>
      <w:r w:rsidRPr="00597FFB">
        <w:rPr>
          <w:rFonts w:ascii="Times New Roman" w:eastAsia="Times New Roman" w:hAnsi="Times New Roman" w:cs="Times New Roman"/>
          <w:bCs/>
          <w:color w:val="000000" w:themeColor="text1"/>
          <w:sz w:val="24"/>
          <w:szCs w:val="24"/>
        </w:rPr>
        <w:t xml:space="preserve"> and </w:t>
      </w:r>
      <w:r w:rsidR="00375757" w:rsidRPr="00597FFB">
        <w:rPr>
          <w:rFonts w:ascii="Times New Roman" w:eastAsia="Times New Roman" w:hAnsi="Times New Roman" w:cs="Times New Roman"/>
          <w:bCs/>
          <w:color w:val="000000" w:themeColor="text1"/>
          <w:sz w:val="24"/>
          <w:szCs w:val="24"/>
        </w:rPr>
        <w:t>nickel</w:t>
      </w:r>
      <w:r w:rsidR="00375757" w:rsidRPr="00597FFB">
        <w:rPr>
          <w:rFonts w:ascii="Times New Roman" w:eastAsiaTheme="minorHAnsi" w:hAnsi="Times New Roman" w:cs="Times New Roman"/>
          <w:color w:val="000000" w:themeColor="text1"/>
          <w:sz w:val="24"/>
        </w:rPr>
        <w:t xml:space="preserve"> </w:t>
      </w:r>
      <w:r w:rsidRPr="00597FFB">
        <w:rPr>
          <w:rFonts w:ascii="Times New Roman" w:eastAsiaTheme="minorHAnsi" w:hAnsi="Times New Roman" w:cs="Times New Roman"/>
          <w:color w:val="000000" w:themeColor="text1"/>
          <w:sz w:val="24"/>
        </w:rPr>
        <w:t>(Zhang &amp; Cude, 2018)</w:t>
      </w:r>
      <w:r w:rsidRPr="00597FFB">
        <w:rPr>
          <w:rFonts w:ascii="Times New Roman" w:eastAsia="Times New Roman" w:hAnsi="Times New Roman" w:cs="Times New Roman"/>
          <w:bCs/>
          <w:color w:val="000000" w:themeColor="text1"/>
          <w:sz w:val="24"/>
          <w:szCs w:val="24"/>
        </w:rPr>
        <w:t xml:space="preserve">. Lead exposure impacts children’s temperament, including </w:t>
      </w:r>
      <w:r w:rsidR="0016316A" w:rsidRPr="00597FFB">
        <w:rPr>
          <w:rFonts w:ascii="Times New Roman" w:eastAsia="Times New Roman" w:hAnsi="Times New Roman" w:cs="Times New Roman"/>
          <w:bCs/>
          <w:color w:val="000000" w:themeColor="text1"/>
          <w:sz w:val="24"/>
          <w:szCs w:val="24"/>
        </w:rPr>
        <w:t xml:space="preserve">adaptability, approach withdrawal, and </w:t>
      </w:r>
      <w:r w:rsidRPr="00597FFB">
        <w:rPr>
          <w:rFonts w:ascii="Times New Roman" w:eastAsia="Times New Roman" w:hAnsi="Times New Roman" w:cs="Times New Roman"/>
          <w:bCs/>
          <w:color w:val="000000" w:themeColor="text1"/>
          <w:sz w:val="24"/>
          <w:szCs w:val="24"/>
        </w:rPr>
        <w:t xml:space="preserve">activity level. </w:t>
      </w:r>
      <w:r w:rsidR="0016316A" w:rsidRPr="00597FFB">
        <w:rPr>
          <w:rFonts w:ascii="Times New Roman" w:eastAsia="Times New Roman" w:hAnsi="Times New Roman" w:cs="Times New Roman"/>
          <w:bCs/>
          <w:color w:val="000000" w:themeColor="text1"/>
          <w:sz w:val="24"/>
          <w:szCs w:val="24"/>
        </w:rPr>
        <w:t>In</w:t>
      </w:r>
      <w:r w:rsidRPr="00597FFB">
        <w:rPr>
          <w:rFonts w:ascii="Times New Roman" w:eastAsia="Times New Roman" w:hAnsi="Times New Roman" w:cs="Times New Roman"/>
          <w:bCs/>
          <w:color w:val="000000" w:themeColor="text1"/>
          <w:sz w:val="24"/>
          <w:szCs w:val="24"/>
        </w:rPr>
        <w:t xml:space="preserve"> adults, </w:t>
      </w:r>
      <w:r w:rsidR="0016316A" w:rsidRPr="00597FFB">
        <w:rPr>
          <w:rFonts w:ascii="Times New Roman" w:eastAsia="Times New Roman" w:hAnsi="Times New Roman" w:cs="Times New Roman"/>
          <w:bCs/>
          <w:color w:val="000000" w:themeColor="text1"/>
          <w:sz w:val="24"/>
          <w:szCs w:val="24"/>
        </w:rPr>
        <w:t xml:space="preserve">levels of </w:t>
      </w:r>
      <w:r w:rsidRPr="00597FFB">
        <w:rPr>
          <w:rFonts w:ascii="Times New Roman" w:eastAsia="Times New Roman" w:hAnsi="Times New Roman" w:cs="Times New Roman"/>
          <w:bCs/>
          <w:color w:val="000000" w:themeColor="text1"/>
          <w:sz w:val="24"/>
          <w:szCs w:val="24"/>
        </w:rPr>
        <w:t xml:space="preserve">sex hormone </w:t>
      </w:r>
      <w:r w:rsidR="00E02855" w:rsidRPr="00597FFB">
        <w:rPr>
          <w:rFonts w:ascii="Times New Roman" w:eastAsia="Times New Roman" w:hAnsi="Times New Roman" w:cs="Times New Roman"/>
          <w:bCs/>
          <w:color w:val="000000" w:themeColor="text1"/>
          <w:sz w:val="24"/>
          <w:szCs w:val="24"/>
        </w:rPr>
        <w:t>have been</w:t>
      </w:r>
      <w:r w:rsidRPr="00597FFB">
        <w:rPr>
          <w:rFonts w:ascii="Times New Roman" w:eastAsia="Times New Roman" w:hAnsi="Times New Roman" w:cs="Times New Roman"/>
          <w:bCs/>
          <w:color w:val="000000" w:themeColor="text1"/>
          <w:sz w:val="24"/>
          <w:szCs w:val="24"/>
        </w:rPr>
        <w:t xml:space="preserve"> </w:t>
      </w:r>
      <w:r w:rsidR="00E02855" w:rsidRPr="00597FFB">
        <w:rPr>
          <w:rFonts w:ascii="Times New Roman" w:eastAsia="Times New Roman" w:hAnsi="Times New Roman" w:cs="Times New Roman"/>
          <w:bCs/>
          <w:color w:val="000000" w:themeColor="text1"/>
          <w:sz w:val="24"/>
          <w:szCs w:val="24"/>
        </w:rPr>
        <w:t>linked to</w:t>
      </w:r>
      <w:r w:rsidRPr="00597FFB">
        <w:rPr>
          <w:rFonts w:ascii="Times New Roman" w:eastAsia="Times New Roman" w:hAnsi="Times New Roman" w:cs="Times New Roman"/>
          <w:bCs/>
          <w:color w:val="000000" w:themeColor="text1"/>
          <w:sz w:val="24"/>
          <w:szCs w:val="24"/>
        </w:rPr>
        <w:t xml:space="preserve"> wearing masks in the sense that they varied across individuals who wore masks while exposed to e-waste-related toxins and those who did not wear masks to prevent contamination from the toxins related to e-waste.</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Exposed groups, including neonates and children, have also shown thyroid dysfunction and DNA and gene expression damage </w:t>
      </w:r>
      <w:r w:rsidRPr="00597FFB">
        <w:rPr>
          <w:rFonts w:ascii="Times New Roman" w:eastAsiaTheme="minorHAnsi" w:hAnsi="Times New Roman" w:cs="Times New Roman"/>
          <w:color w:val="000000" w:themeColor="text1"/>
          <w:sz w:val="24"/>
        </w:rPr>
        <w:t>(Liu et al., 2019)</w:t>
      </w:r>
      <w:r w:rsidRPr="00597FFB">
        <w:rPr>
          <w:rFonts w:ascii="Times New Roman" w:eastAsia="Times New Roman" w:hAnsi="Times New Roman" w:cs="Times New Roman"/>
          <w:bCs/>
          <w:color w:val="000000" w:themeColor="text1"/>
          <w:sz w:val="24"/>
          <w:szCs w:val="24"/>
        </w:rPr>
        <w:t>.</w:t>
      </w:r>
    </w:p>
    <w:p w14:paraId="4715E245" w14:textId="41183EBE" w:rsidR="002931B4" w:rsidRPr="00597FFB" w:rsidRDefault="002931B4" w:rsidP="002931B4">
      <w:pPr>
        <w:pStyle w:val="Heading3"/>
        <w:spacing w:line="480" w:lineRule="auto"/>
        <w:ind w:firstLine="720"/>
        <w:rPr>
          <w:rFonts w:ascii="Times New Roman" w:eastAsia="Times New Roman" w:hAnsi="Times New Roman" w:cs="Times New Roman"/>
          <w:bCs/>
          <w:color w:val="000000" w:themeColor="text1"/>
          <w:sz w:val="24"/>
          <w:szCs w:val="24"/>
        </w:rPr>
      </w:pPr>
      <w:bookmarkStart w:id="118" w:name="_Toc127170286"/>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5</w:t>
      </w:r>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3</w:t>
      </w:r>
      <w:r w:rsidRPr="00597FFB">
        <w:rPr>
          <w:rFonts w:asciiTheme="majorBidi" w:hAnsiTheme="majorBidi"/>
          <w:i/>
          <w:iCs/>
          <w:color w:val="000000" w:themeColor="text1"/>
          <w:sz w:val="24"/>
          <w:szCs w:val="24"/>
        </w:rPr>
        <w:t xml:space="preserve">. </w:t>
      </w:r>
      <w:r w:rsidRPr="00597FFB">
        <w:rPr>
          <w:rFonts w:ascii="Times New Roman" w:eastAsia="Times New Roman" w:hAnsi="Times New Roman" w:cs="Times New Roman"/>
          <w:bCs/>
          <w:i/>
          <w:iCs/>
          <w:color w:val="000000" w:themeColor="text1"/>
          <w:sz w:val="24"/>
          <w:szCs w:val="24"/>
        </w:rPr>
        <w:t>Social Impact.</w:t>
      </w:r>
      <w:bookmarkEnd w:id="118"/>
    </w:p>
    <w:p w14:paraId="245A069D" w14:textId="155E1BD1" w:rsidR="0003140E" w:rsidRPr="00597FFB" w:rsidRDefault="0003140E" w:rsidP="002931B4">
      <w:pPr>
        <w:spacing w:line="480" w:lineRule="auto"/>
        <w:ind w:firstLine="360"/>
        <w:jc w:val="both"/>
        <w:rPr>
          <w:rFonts w:ascii="Times New Roman" w:eastAsia="Times New Roman" w:hAnsi="Times New Roman" w:cs="Times New Roman"/>
          <w:bCs/>
          <w:color w:val="000000" w:themeColor="text1"/>
          <w:sz w:val="24"/>
          <w:szCs w:val="24"/>
          <w:lang w:val="en-GB"/>
        </w:rPr>
      </w:pPr>
      <w:r w:rsidRPr="00597FFB">
        <w:rPr>
          <w:rFonts w:ascii="Times New Roman" w:eastAsia="Times New Roman" w:hAnsi="Times New Roman" w:cs="Times New Roman"/>
          <w:bCs/>
          <w:color w:val="000000" w:themeColor="text1"/>
          <w:sz w:val="24"/>
          <w:szCs w:val="24"/>
          <w:lang w:val="en-GB"/>
        </w:rPr>
        <w:t xml:space="preserve">The social impact of e-waste involves the effects towards community, family, and individuals. It includes such forms as visual pollution that occurs because of unorganized dumping wires, worn-out buildings, cables, and billboards </w:t>
      </w:r>
      <w:r w:rsidRPr="00597FFB">
        <w:rPr>
          <w:rFonts w:ascii="Times New Roman" w:eastAsia="Times New Roman" w:hAnsi="Times New Roman" w:cs="Times New Roman"/>
          <w:noProof/>
          <w:color w:val="000000" w:themeColor="text1"/>
          <w:sz w:val="24"/>
          <w:szCs w:val="24"/>
          <w:lang w:val="en-GB"/>
        </w:rPr>
        <w:t>(Jayaraman, Vejayon, Raman, &amp; Mostafiz, 2019)</w:t>
      </w:r>
      <w:sdt>
        <w:sdtPr>
          <w:rPr>
            <w:rFonts w:eastAsiaTheme="minorHAnsi"/>
            <w:color w:val="000000" w:themeColor="text1"/>
            <w:lang w:val="en-GB"/>
          </w:rPr>
          <w:id w:val="-9068592"/>
          <w:citation/>
        </w:sdtPr>
        <w:sdtContent/>
      </w:sdt>
      <w:r w:rsidRPr="00597FFB">
        <w:rPr>
          <w:rFonts w:ascii="Times New Roman" w:eastAsia="Times New Roman" w:hAnsi="Times New Roman" w:cs="Times New Roman"/>
          <w:bCs/>
          <w:color w:val="000000" w:themeColor="text1"/>
          <w:sz w:val="24"/>
          <w:szCs w:val="24"/>
          <w:lang w:val="en-GB"/>
        </w:rPr>
        <w:t xml:space="preserve">. When it comes to the impact on health as a social outcome of e-waste, formal sites may have better occupational health and safety standards. For example, they </w:t>
      </w:r>
      <w:r w:rsidR="00DB13D0" w:rsidRPr="00597FFB">
        <w:rPr>
          <w:rFonts w:ascii="Times New Roman" w:eastAsia="Times New Roman" w:hAnsi="Times New Roman" w:cs="Times New Roman"/>
          <w:bCs/>
          <w:color w:val="000000" w:themeColor="text1"/>
          <w:sz w:val="24"/>
          <w:szCs w:val="24"/>
          <w:lang w:val="en-GB"/>
        </w:rPr>
        <w:t>prohibit</w:t>
      </w:r>
      <w:r w:rsidRPr="00597FFB">
        <w:rPr>
          <w:rFonts w:ascii="Times New Roman" w:eastAsia="Times New Roman" w:hAnsi="Times New Roman" w:cs="Times New Roman"/>
          <w:bCs/>
          <w:color w:val="000000" w:themeColor="text1"/>
          <w:sz w:val="24"/>
          <w:szCs w:val="24"/>
          <w:lang w:val="en-GB"/>
        </w:rPr>
        <w:t xml:space="preserve"> child </w:t>
      </w:r>
      <w:r w:rsidR="003D4CB1" w:rsidRPr="00597FFB">
        <w:rPr>
          <w:rFonts w:ascii="Times New Roman" w:eastAsia="Times New Roman" w:hAnsi="Times New Roman" w:cs="Times New Roman"/>
          <w:bCs/>
          <w:color w:val="000000" w:themeColor="text1"/>
          <w:sz w:val="24"/>
          <w:szCs w:val="24"/>
          <w:lang w:val="en-GB"/>
        </w:rPr>
        <w:t>labour</w:t>
      </w:r>
      <w:r w:rsidRPr="00597FFB">
        <w:rPr>
          <w:rFonts w:ascii="Times New Roman" w:eastAsia="Times New Roman" w:hAnsi="Times New Roman" w:cs="Times New Roman"/>
          <w:bCs/>
          <w:color w:val="000000" w:themeColor="text1"/>
          <w:sz w:val="24"/>
          <w:szCs w:val="24"/>
          <w:lang w:val="en-GB"/>
        </w:rPr>
        <w:t xml:space="preserve"> and </w:t>
      </w:r>
      <w:r w:rsidR="00DB13D0" w:rsidRPr="00597FFB">
        <w:rPr>
          <w:rFonts w:ascii="Times New Roman" w:eastAsia="Times New Roman" w:hAnsi="Times New Roman" w:cs="Times New Roman"/>
          <w:bCs/>
          <w:color w:val="000000" w:themeColor="text1"/>
          <w:sz w:val="24"/>
          <w:szCs w:val="24"/>
          <w:lang w:val="en-GB"/>
        </w:rPr>
        <w:t>adhere to relevant</w:t>
      </w:r>
      <w:r w:rsidRPr="00597FFB">
        <w:rPr>
          <w:rFonts w:ascii="Times New Roman" w:eastAsia="Times New Roman" w:hAnsi="Times New Roman" w:cs="Times New Roman"/>
          <w:bCs/>
          <w:color w:val="000000" w:themeColor="text1"/>
          <w:sz w:val="24"/>
          <w:szCs w:val="24"/>
          <w:lang w:val="en-GB"/>
        </w:rPr>
        <w:t xml:space="preserve"> laws and regulations </w:t>
      </w:r>
      <w:r w:rsidRPr="00597FFB">
        <w:rPr>
          <w:rFonts w:ascii="Times New Roman" w:eastAsiaTheme="minorHAnsi" w:hAnsi="Times New Roman" w:cs="Times New Roman"/>
          <w:color w:val="000000" w:themeColor="text1"/>
          <w:sz w:val="24"/>
          <w:lang w:val="en-GB"/>
        </w:rPr>
        <w:t>(Zeng et al., 2017)</w:t>
      </w:r>
      <w:r w:rsidRPr="00597FFB">
        <w:rPr>
          <w:rFonts w:ascii="Times New Roman" w:eastAsia="Times New Roman" w:hAnsi="Times New Roman" w:cs="Times New Roman"/>
          <w:bCs/>
          <w:color w:val="000000" w:themeColor="text1"/>
          <w:sz w:val="24"/>
          <w:szCs w:val="24"/>
          <w:lang w:val="en-GB"/>
        </w:rPr>
        <w:t xml:space="preserve"> unlike in informal. Additionally, since </w:t>
      </w:r>
      <w:r w:rsidR="0042141E" w:rsidRPr="00597FFB">
        <w:rPr>
          <w:rFonts w:ascii="Times New Roman" w:eastAsia="Times New Roman" w:hAnsi="Times New Roman" w:cs="Times New Roman"/>
          <w:bCs/>
          <w:color w:val="000000" w:themeColor="text1"/>
          <w:sz w:val="24"/>
          <w:szCs w:val="24"/>
          <w:lang w:val="en-GB"/>
        </w:rPr>
        <w:t>laborers</w:t>
      </w:r>
      <w:r w:rsidRPr="00597FFB">
        <w:rPr>
          <w:rFonts w:ascii="Times New Roman" w:eastAsia="Times New Roman" w:hAnsi="Times New Roman" w:cs="Times New Roman"/>
          <w:bCs/>
          <w:color w:val="000000" w:themeColor="text1"/>
          <w:sz w:val="24"/>
          <w:szCs w:val="24"/>
          <w:lang w:val="en-GB"/>
        </w:rPr>
        <w:t xml:space="preserve"> work for only 8 hours each day in formal recycling sites, </w:t>
      </w:r>
      <w:r w:rsidRPr="00597FFB">
        <w:rPr>
          <w:rFonts w:ascii="Times New Roman" w:eastAsiaTheme="minorHAnsi" w:hAnsi="Times New Roman" w:cs="Times New Roman"/>
          <w:color w:val="000000" w:themeColor="text1"/>
          <w:sz w:val="24"/>
          <w:szCs w:val="24"/>
          <w:lang w:val="en-GB"/>
        </w:rPr>
        <w:t>their</w:t>
      </w:r>
      <w:r w:rsidRPr="00597FFB">
        <w:rPr>
          <w:rFonts w:eastAsiaTheme="minorHAnsi"/>
          <w:color w:val="000000" w:themeColor="text1"/>
          <w:lang w:val="en-GB"/>
        </w:rPr>
        <w:t xml:space="preserve"> </w:t>
      </w:r>
      <w:r w:rsidRPr="00597FFB">
        <w:rPr>
          <w:rFonts w:ascii="Times New Roman" w:eastAsia="Times New Roman" w:hAnsi="Times New Roman" w:cs="Times New Roman"/>
          <w:bCs/>
          <w:color w:val="000000" w:themeColor="text1"/>
          <w:sz w:val="24"/>
          <w:szCs w:val="24"/>
          <w:lang w:val="en-GB"/>
        </w:rPr>
        <w:t xml:space="preserve">biomarkers have lower concentrations than </w:t>
      </w:r>
      <w:r w:rsidR="0042141E" w:rsidRPr="00597FFB">
        <w:rPr>
          <w:rFonts w:ascii="Times New Roman" w:eastAsia="Times New Roman" w:hAnsi="Times New Roman" w:cs="Times New Roman"/>
          <w:bCs/>
          <w:color w:val="000000" w:themeColor="text1"/>
          <w:sz w:val="24"/>
          <w:szCs w:val="24"/>
          <w:lang w:val="en-GB"/>
        </w:rPr>
        <w:t>laborers</w:t>
      </w:r>
      <w:r w:rsidRPr="00597FFB">
        <w:rPr>
          <w:rFonts w:ascii="Times New Roman" w:eastAsia="Times New Roman" w:hAnsi="Times New Roman" w:cs="Times New Roman"/>
          <w:bCs/>
          <w:color w:val="000000" w:themeColor="text1"/>
          <w:sz w:val="24"/>
          <w:szCs w:val="24"/>
          <w:lang w:val="en-GB"/>
        </w:rPr>
        <w:t xml:space="preserve"> in informal</w:t>
      </w:r>
      <w:r w:rsidR="0042141E" w:rsidRPr="00597FFB">
        <w:rPr>
          <w:rFonts w:ascii="Times New Roman" w:eastAsia="Times New Roman" w:hAnsi="Times New Roman" w:cs="Times New Roman"/>
          <w:bCs/>
          <w:color w:val="000000" w:themeColor="text1"/>
          <w:sz w:val="24"/>
          <w:szCs w:val="24"/>
          <w:lang w:val="en-GB"/>
        </w:rPr>
        <w:t xml:space="preserve"> recycling</w:t>
      </w:r>
      <w:r w:rsidRPr="00597FFB">
        <w:rPr>
          <w:rFonts w:ascii="Times New Roman" w:eastAsia="Times New Roman" w:hAnsi="Times New Roman" w:cs="Times New Roman"/>
          <w:bCs/>
          <w:color w:val="000000" w:themeColor="text1"/>
          <w:sz w:val="24"/>
          <w:szCs w:val="24"/>
          <w:lang w:val="en-GB"/>
        </w:rPr>
        <w:t xml:space="preserve"> sites who </w:t>
      </w:r>
      <w:r w:rsidR="0042141E" w:rsidRPr="00597FFB">
        <w:rPr>
          <w:rFonts w:ascii="Times New Roman" w:eastAsia="Times New Roman" w:hAnsi="Times New Roman" w:cs="Times New Roman"/>
          <w:bCs/>
          <w:color w:val="000000" w:themeColor="text1"/>
          <w:sz w:val="24"/>
          <w:szCs w:val="24"/>
          <w:lang w:val="en-GB"/>
        </w:rPr>
        <w:t>suffer exposure</w:t>
      </w:r>
      <w:r w:rsidRPr="00597FFB">
        <w:rPr>
          <w:rFonts w:ascii="Times New Roman" w:eastAsia="Times New Roman" w:hAnsi="Times New Roman" w:cs="Times New Roman"/>
          <w:bCs/>
          <w:color w:val="000000" w:themeColor="text1"/>
          <w:sz w:val="24"/>
          <w:szCs w:val="24"/>
          <w:lang w:val="en-GB"/>
        </w:rPr>
        <w:t xml:space="preserve"> via recycling, contaminated </w:t>
      </w:r>
      <w:r w:rsidR="0042141E" w:rsidRPr="00597FFB">
        <w:rPr>
          <w:rFonts w:ascii="Times New Roman" w:eastAsia="Times New Roman" w:hAnsi="Times New Roman" w:cs="Times New Roman"/>
          <w:bCs/>
          <w:color w:val="000000" w:themeColor="text1"/>
          <w:sz w:val="24"/>
          <w:szCs w:val="24"/>
          <w:lang w:val="en-GB"/>
        </w:rPr>
        <w:t>soil</w:t>
      </w:r>
      <w:r w:rsidRPr="00597FFB">
        <w:rPr>
          <w:rFonts w:ascii="Times New Roman" w:eastAsia="Times New Roman" w:hAnsi="Times New Roman" w:cs="Times New Roman"/>
          <w:bCs/>
          <w:color w:val="000000" w:themeColor="text1"/>
          <w:sz w:val="24"/>
          <w:szCs w:val="24"/>
          <w:lang w:val="en-GB"/>
        </w:rPr>
        <w:t xml:space="preserve">, air, </w:t>
      </w:r>
      <w:r w:rsidR="0042141E" w:rsidRPr="00597FFB">
        <w:rPr>
          <w:rFonts w:ascii="Times New Roman" w:eastAsia="Times New Roman" w:hAnsi="Times New Roman" w:cs="Times New Roman"/>
          <w:bCs/>
          <w:color w:val="000000" w:themeColor="text1"/>
          <w:sz w:val="24"/>
          <w:szCs w:val="24"/>
          <w:lang w:val="en-GB"/>
        </w:rPr>
        <w:t xml:space="preserve">food, </w:t>
      </w:r>
      <w:r w:rsidRPr="00597FFB">
        <w:rPr>
          <w:rFonts w:ascii="Times New Roman" w:eastAsia="Times New Roman" w:hAnsi="Times New Roman" w:cs="Times New Roman"/>
          <w:bCs/>
          <w:color w:val="000000" w:themeColor="text1"/>
          <w:sz w:val="24"/>
          <w:szCs w:val="24"/>
          <w:lang w:val="en-GB"/>
        </w:rPr>
        <w:t xml:space="preserve">and </w:t>
      </w:r>
      <w:r w:rsidR="0042141E" w:rsidRPr="00597FFB">
        <w:rPr>
          <w:rFonts w:ascii="Times New Roman" w:eastAsia="Times New Roman" w:hAnsi="Times New Roman" w:cs="Times New Roman"/>
          <w:bCs/>
          <w:color w:val="000000" w:themeColor="text1"/>
          <w:sz w:val="24"/>
          <w:szCs w:val="24"/>
          <w:lang w:val="en-GB"/>
        </w:rPr>
        <w:t xml:space="preserve">water </w:t>
      </w:r>
      <w:r w:rsidRPr="00597FFB">
        <w:rPr>
          <w:rFonts w:ascii="Times New Roman" w:eastAsia="Times New Roman" w:hAnsi="Times New Roman" w:cs="Times New Roman"/>
          <w:bCs/>
          <w:color w:val="000000" w:themeColor="text1"/>
          <w:sz w:val="24"/>
          <w:szCs w:val="24"/>
          <w:lang w:val="en-GB"/>
        </w:rPr>
        <w:t xml:space="preserve">items. Moreover, </w:t>
      </w:r>
      <w:r w:rsidR="0042141E" w:rsidRPr="00597FFB">
        <w:rPr>
          <w:rFonts w:ascii="Times New Roman" w:eastAsia="Times New Roman" w:hAnsi="Times New Roman" w:cs="Times New Roman"/>
          <w:bCs/>
          <w:color w:val="000000" w:themeColor="text1"/>
          <w:sz w:val="24"/>
          <w:szCs w:val="24"/>
          <w:lang w:val="en-GB"/>
        </w:rPr>
        <w:t xml:space="preserve">recycling e-waste </w:t>
      </w:r>
      <w:r w:rsidRPr="00597FFB">
        <w:rPr>
          <w:rFonts w:ascii="Times New Roman" w:eastAsia="Times New Roman" w:hAnsi="Times New Roman" w:cs="Times New Roman"/>
          <w:bCs/>
          <w:color w:val="000000" w:themeColor="text1"/>
          <w:sz w:val="24"/>
          <w:szCs w:val="24"/>
          <w:lang w:val="en-GB"/>
        </w:rPr>
        <w:t>formal</w:t>
      </w:r>
      <w:r w:rsidR="0042141E" w:rsidRPr="00597FFB">
        <w:rPr>
          <w:rFonts w:ascii="Times New Roman" w:eastAsia="Times New Roman" w:hAnsi="Times New Roman" w:cs="Times New Roman"/>
          <w:bCs/>
          <w:color w:val="000000" w:themeColor="text1"/>
          <w:sz w:val="24"/>
          <w:szCs w:val="24"/>
          <w:lang w:val="en-GB"/>
        </w:rPr>
        <w:t>ly</w:t>
      </w:r>
      <w:r w:rsidRPr="00597FFB">
        <w:rPr>
          <w:rFonts w:ascii="Times New Roman" w:eastAsia="Times New Roman" w:hAnsi="Times New Roman" w:cs="Times New Roman"/>
          <w:bCs/>
          <w:color w:val="000000" w:themeColor="text1"/>
          <w:sz w:val="24"/>
          <w:szCs w:val="24"/>
          <w:lang w:val="en-GB"/>
        </w:rPr>
        <w:t xml:space="preserve"> can </w:t>
      </w:r>
      <w:r w:rsidR="0042141E" w:rsidRPr="00597FFB">
        <w:rPr>
          <w:rFonts w:ascii="Times New Roman" w:eastAsia="Times New Roman" w:hAnsi="Times New Roman" w:cs="Times New Roman"/>
          <w:bCs/>
          <w:color w:val="000000" w:themeColor="text1"/>
          <w:sz w:val="24"/>
          <w:szCs w:val="24"/>
          <w:lang w:val="en-GB"/>
        </w:rPr>
        <w:t>be useful in</w:t>
      </w:r>
      <w:r w:rsidRPr="00597FFB">
        <w:rPr>
          <w:rFonts w:ascii="Times New Roman" w:eastAsia="Times New Roman" w:hAnsi="Times New Roman" w:cs="Times New Roman"/>
          <w:bCs/>
          <w:color w:val="000000" w:themeColor="text1"/>
          <w:sz w:val="24"/>
          <w:szCs w:val="24"/>
          <w:lang w:val="en-GB"/>
        </w:rPr>
        <w:t xml:space="preserve"> recover approximately 99.9% of mercury </w:t>
      </w:r>
      <w:r w:rsidR="0042141E" w:rsidRPr="00597FFB">
        <w:rPr>
          <w:rFonts w:ascii="Times New Roman" w:eastAsia="Times New Roman" w:hAnsi="Times New Roman" w:cs="Times New Roman"/>
          <w:bCs/>
          <w:color w:val="000000" w:themeColor="text1"/>
          <w:sz w:val="24"/>
          <w:szCs w:val="24"/>
          <w:lang w:val="en-GB"/>
        </w:rPr>
        <w:t>contained in</w:t>
      </w:r>
      <w:r w:rsidRPr="00597FFB">
        <w:rPr>
          <w:rFonts w:ascii="Times New Roman" w:eastAsia="Times New Roman" w:hAnsi="Times New Roman" w:cs="Times New Roman"/>
          <w:bCs/>
          <w:color w:val="000000" w:themeColor="text1"/>
          <w:sz w:val="24"/>
          <w:szCs w:val="24"/>
          <w:lang w:val="en-GB"/>
        </w:rPr>
        <w:t xml:space="preserve"> lamps and switches and </w:t>
      </w:r>
      <w:r w:rsidR="0042141E" w:rsidRPr="00597FFB">
        <w:rPr>
          <w:rFonts w:ascii="Times New Roman" w:eastAsia="Times New Roman" w:hAnsi="Times New Roman" w:cs="Times New Roman"/>
          <w:bCs/>
          <w:color w:val="000000" w:themeColor="text1"/>
          <w:sz w:val="24"/>
          <w:szCs w:val="24"/>
          <w:lang w:val="en-GB"/>
        </w:rPr>
        <w:t xml:space="preserve">in </w:t>
      </w:r>
      <w:r w:rsidRPr="00597FFB">
        <w:rPr>
          <w:rFonts w:ascii="Times New Roman" w:eastAsia="Times New Roman" w:hAnsi="Times New Roman" w:cs="Times New Roman"/>
          <w:bCs/>
          <w:color w:val="000000" w:themeColor="text1"/>
          <w:sz w:val="24"/>
          <w:szCs w:val="24"/>
          <w:lang w:val="en-GB"/>
        </w:rPr>
        <w:t>reus</w:t>
      </w:r>
      <w:r w:rsidR="0042141E" w:rsidRPr="00597FFB">
        <w:rPr>
          <w:rFonts w:ascii="Times New Roman" w:eastAsia="Times New Roman" w:hAnsi="Times New Roman" w:cs="Times New Roman"/>
          <w:bCs/>
          <w:color w:val="000000" w:themeColor="text1"/>
          <w:sz w:val="24"/>
          <w:szCs w:val="24"/>
          <w:lang w:val="en-GB"/>
        </w:rPr>
        <w:t xml:space="preserve">ing over </w:t>
      </w:r>
      <w:r w:rsidRPr="00597FFB">
        <w:rPr>
          <w:rFonts w:ascii="Times New Roman" w:eastAsia="Times New Roman" w:hAnsi="Times New Roman" w:cs="Times New Roman"/>
          <w:bCs/>
          <w:color w:val="000000" w:themeColor="text1"/>
          <w:sz w:val="24"/>
          <w:szCs w:val="24"/>
          <w:lang w:val="en-GB"/>
        </w:rPr>
        <w:t xml:space="preserve">98% of </w:t>
      </w:r>
      <w:r w:rsidR="0042141E" w:rsidRPr="00597FFB">
        <w:rPr>
          <w:rFonts w:ascii="Times New Roman" w:eastAsia="Times New Roman" w:hAnsi="Times New Roman" w:cs="Times New Roman"/>
          <w:bCs/>
          <w:color w:val="000000" w:themeColor="text1"/>
          <w:sz w:val="24"/>
          <w:szCs w:val="24"/>
          <w:lang w:val="en-GB"/>
        </w:rPr>
        <w:t xml:space="preserve">wood, </w:t>
      </w:r>
      <w:r w:rsidRPr="00597FFB">
        <w:rPr>
          <w:rFonts w:ascii="Times New Roman" w:eastAsia="Times New Roman" w:hAnsi="Times New Roman" w:cs="Times New Roman"/>
          <w:bCs/>
          <w:color w:val="000000" w:themeColor="text1"/>
          <w:sz w:val="24"/>
          <w:szCs w:val="24"/>
          <w:lang w:val="en-GB"/>
        </w:rPr>
        <w:t>metals</w:t>
      </w:r>
      <w:r w:rsidR="0042141E" w:rsidRPr="00597FFB">
        <w:rPr>
          <w:rFonts w:ascii="Times New Roman" w:eastAsia="Times New Roman" w:hAnsi="Times New Roman" w:cs="Times New Roman"/>
          <w:bCs/>
          <w:color w:val="000000" w:themeColor="text1"/>
          <w:sz w:val="24"/>
          <w:szCs w:val="24"/>
          <w:lang w:val="en-GB"/>
        </w:rPr>
        <w:t>,</w:t>
      </w:r>
      <w:r w:rsidRPr="00597FFB">
        <w:rPr>
          <w:rFonts w:ascii="Times New Roman" w:eastAsia="Times New Roman" w:hAnsi="Times New Roman" w:cs="Times New Roman"/>
          <w:bCs/>
          <w:color w:val="000000" w:themeColor="text1"/>
          <w:sz w:val="24"/>
          <w:szCs w:val="24"/>
          <w:lang w:val="en-GB"/>
        </w:rPr>
        <w:t xml:space="preserve"> and </w:t>
      </w:r>
      <w:r w:rsidR="0042141E" w:rsidRPr="00597FFB">
        <w:rPr>
          <w:rFonts w:ascii="Times New Roman" w:eastAsia="Times New Roman" w:hAnsi="Times New Roman" w:cs="Times New Roman"/>
          <w:bCs/>
          <w:color w:val="000000" w:themeColor="text1"/>
          <w:sz w:val="24"/>
          <w:szCs w:val="24"/>
          <w:lang w:val="en-GB"/>
        </w:rPr>
        <w:t>plastics</w:t>
      </w:r>
      <w:r w:rsidR="0042141E" w:rsidRPr="00597FFB">
        <w:rPr>
          <w:rFonts w:ascii="Times New Roman" w:eastAsiaTheme="minorHAnsi" w:hAnsi="Times New Roman" w:cs="Times New Roman"/>
          <w:color w:val="000000" w:themeColor="text1"/>
          <w:sz w:val="24"/>
          <w:lang w:val="en-GB"/>
        </w:rPr>
        <w:t xml:space="preserve"> </w:t>
      </w:r>
      <w:r w:rsidRPr="00597FFB">
        <w:rPr>
          <w:rFonts w:ascii="Times New Roman" w:eastAsiaTheme="minorHAnsi" w:hAnsi="Times New Roman" w:cs="Times New Roman"/>
          <w:color w:val="000000" w:themeColor="text1"/>
          <w:sz w:val="24"/>
          <w:lang w:val="en-GB"/>
        </w:rPr>
        <w:t>(Minton et al., 2018)</w:t>
      </w:r>
      <w:r w:rsidRPr="00597FFB">
        <w:rPr>
          <w:rFonts w:ascii="Times New Roman" w:eastAsia="Times New Roman" w:hAnsi="Times New Roman" w:cs="Times New Roman"/>
          <w:bCs/>
          <w:color w:val="000000" w:themeColor="text1"/>
          <w:sz w:val="24"/>
          <w:szCs w:val="24"/>
          <w:lang w:val="en-GB"/>
        </w:rPr>
        <w:t>.</w:t>
      </w:r>
    </w:p>
    <w:p w14:paraId="2CBC7E9E" w14:textId="27713815" w:rsidR="0003140E"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Informal recycling practices are mostly associated with negative social impacts although they have some positive ones too. An example of negative social impacts was that working hours were </w:t>
      </w:r>
      <w:r w:rsidR="00E0673C" w:rsidRPr="00597FFB">
        <w:rPr>
          <w:rFonts w:ascii="Times New Roman" w:eastAsia="Times New Roman" w:hAnsi="Times New Roman" w:cs="Times New Roman"/>
          <w:bCs/>
          <w:color w:val="000000" w:themeColor="text1"/>
          <w:sz w:val="24"/>
          <w:szCs w:val="24"/>
        </w:rPr>
        <w:t>over</w:t>
      </w:r>
      <w:r w:rsidRPr="00597FFB">
        <w:rPr>
          <w:rFonts w:ascii="Times New Roman" w:eastAsia="Times New Roman" w:hAnsi="Times New Roman" w:cs="Times New Roman"/>
          <w:bCs/>
          <w:color w:val="000000" w:themeColor="text1"/>
          <w:sz w:val="24"/>
          <w:szCs w:val="24"/>
        </w:rPr>
        <w:t xml:space="preserve"> 72 hours </w:t>
      </w:r>
      <w:r w:rsidR="00E0673C" w:rsidRPr="00597FFB">
        <w:rPr>
          <w:rFonts w:ascii="Times New Roman" w:eastAsia="Times New Roman" w:hAnsi="Times New Roman" w:cs="Times New Roman"/>
          <w:bCs/>
          <w:color w:val="000000" w:themeColor="text1"/>
          <w:sz w:val="24"/>
          <w:szCs w:val="24"/>
        </w:rPr>
        <w:t>per</w:t>
      </w:r>
      <w:r w:rsidRPr="00597FFB">
        <w:rPr>
          <w:rFonts w:ascii="Times New Roman" w:eastAsia="Times New Roman" w:hAnsi="Times New Roman" w:cs="Times New Roman"/>
          <w:bCs/>
          <w:color w:val="000000" w:themeColor="text1"/>
          <w:sz w:val="24"/>
          <w:szCs w:val="24"/>
        </w:rPr>
        <w:t xml:space="preserve"> week in several countries where </w:t>
      </w:r>
      <w:r w:rsidR="00E0673C" w:rsidRPr="00597FFB">
        <w:rPr>
          <w:rFonts w:ascii="Times New Roman" w:eastAsia="Times New Roman" w:hAnsi="Times New Roman" w:cs="Times New Roman"/>
          <w:bCs/>
          <w:color w:val="000000" w:themeColor="text1"/>
          <w:sz w:val="24"/>
          <w:szCs w:val="24"/>
        </w:rPr>
        <w:t>laborers</w:t>
      </w:r>
      <w:r w:rsidRPr="00597FFB">
        <w:rPr>
          <w:rFonts w:ascii="Times New Roman" w:eastAsia="Times New Roman" w:hAnsi="Times New Roman" w:cs="Times New Roman"/>
          <w:bCs/>
          <w:color w:val="000000" w:themeColor="text1"/>
          <w:sz w:val="24"/>
          <w:szCs w:val="24"/>
        </w:rPr>
        <w:t xml:space="preserve"> </w:t>
      </w:r>
      <w:r w:rsidR="00E0673C" w:rsidRPr="00597FFB">
        <w:rPr>
          <w:rFonts w:ascii="Times New Roman" w:eastAsia="Times New Roman" w:hAnsi="Times New Roman" w:cs="Times New Roman"/>
          <w:bCs/>
          <w:color w:val="000000" w:themeColor="text1"/>
          <w:sz w:val="24"/>
          <w:szCs w:val="24"/>
        </w:rPr>
        <w:t>did not have</w:t>
      </w:r>
      <w:r w:rsidRPr="00597FFB">
        <w:rPr>
          <w:rFonts w:ascii="Times New Roman" w:eastAsia="Times New Roman" w:hAnsi="Times New Roman" w:cs="Times New Roman"/>
          <w:bCs/>
          <w:color w:val="000000" w:themeColor="text1"/>
          <w:sz w:val="24"/>
          <w:szCs w:val="24"/>
        </w:rPr>
        <w:t xml:space="preserve"> social welfare</w:t>
      </w:r>
      <w:r w:rsidR="00E0673C" w:rsidRPr="00597FFB">
        <w:rPr>
          <w:rFonts w:ascii="Times New Roman" w:eastAsia="Times New Roman" w:hAnsi="Times New Roman" w:cs="Times New Roman"/>
          <w:bCs/>
          <w:color w:val="000000" w:themeColor="text1"/>
          <w:sz w:val="24"/>
          <w:szCs w:val="24"/>
        </w:rPr>
        <w:t xml:space="preserve"> benefits</w:t>
      </w:r>
      <w:r w:rsidRPr="00597FFB">
        <w:rPr>
          <w:rFonts w:ascii="Times New Roman" w:eastAsia="Times New Roman" w:hAnsi="Times New Roman" w:cs="Times New Roman"/>
          <w:bCs/>
          <w:color w:val="000000" w:themeColor="text1"/>
          <w:sz w:val="24"/>
          <w:szCs w:val="24"/>
        </w:rPr>
        <w:t xml:space="preserve"> (Xu et al., 2020). On the other hand, informal recycling practices create positive social impact by providing jobs to unskilled and often underqualified laborers (Cheng et al., 2020). </w:t>
      </w:r>
      <w:r w:rsidR="00B11D43" w:rsidRPr="00597FFB">
        <w:rPr>
          <w:rFonts w:ascii="Times New Roman" w:eastAsia="Times New Roman" w:hAnsi="Times New Roman" w:cs="Times New Roman"/>
          <w:bCs/>
          <w:color w:val="000000" w:themeColor="text1"/>
          <w:sz w:val="24"/>
          <w:szCs w:val="24"/>
        </w:rPr>
        <w:t>U</w:t>
      </w:r>
      <w:r w:rsidRPr="00597FFB">
        <w:rPr>
          <w:rFonts w:ascii="Times New Roman" w:eastAsia="Times New Roman" w:hAnsi="Times New Roman" w:cs="Times New Roman"/>
          <w:bCs/>
          <w:color w:val="000000" w:themeColor="text1"/>
          <w:sz w:val="24"/>
          <w:szCs w:val="24"/>
        </w:rPr>
        <w:t xml:space="preserve">nderprivileged people </w:t>
      </w:r>
      <w:r w:rsidR="00B11D43" w:rsidRPr="00597FFB">
        <w:rPr>
          <w:rFonts w:ascii="Times New Roman" w:eastAsia="Times New Roman" w:hAnsi="Times New Roman" w:cs="Times New Roman"/>
          <w:bCs/>
          <w:color w:val="000000" w:themeColor="text1"/>
          <w:sz w:val="24"/>
          <w:szCs w:val="24"/>
        </w:rPr>
        <w:t>including</w:t>
      </w:r>
      <w:r w:rsidRPr="00597FFB">
        <w:rPr>
          <w:rFonts w:ascii="Times New Roman" w:eastAsia="Times New Roman" w:hAnsi="Times New Roman" w:cs="Times New Roman"/>
          <w:bCs/>
          <w:color w:val="000000" w:themeColor="text1"/>
          <w:sz w:val="24"/>
          <w:szCs w:val="24"/>
        </w:rPr>
        <w:t xml:space="preserve"> unskilled laborers, </w:t>
      </w:r>
      <w:r w:rsidR="00B11D43" w:rsidRPr="00597FFB">
        <w:rPr>
          <w:rFonts w:ascii="Times New Roman" w:eastAsia="Times New Roman" w:hAnsi="Times New Roman" w:cs="Times New Roman"/>
          <w:bCs/>
          <w:color w:val="000000" w:themeColor="text1"/>
          <w:sz w:val="24"/>
          <w:szCs w:val="24"/>
        </w:rPr>
        <w:t xml:space="preserve">children </w:t>
      </w:r>
      <w:r w:rsidRPr="00597FFB">
        <w:rPr>
          <w:rFonts w:ascii="Times New Roman" w:eastAsia="Times New Roman" w:hAnsi="Times New Roman" w:cs="Times New Roman"/>
          <w:bCs/>
          <w:color w:val="000000" w:themeColor="text1"/>
          <w:sz w:val="24"/>
          <w:szCs w:val="24"/>
        </w:rPr>
        <w:t>and</w:t>
      </w:r>
      <w:r w:rsidR="00B11D43" w:rsidRPr="00597FFB">
        <w:rPr>
          <w:rFonts w:ascii="Times New Roman" w:eastAsia="Times New Roman" w:hAnsi="Times New Roman" w:cs="Times New Roman"/>
          <w:bCs/>
          <w:color w:val="000000" w:themeColor="text1"/>
          <w:sz w:val="24"/>
          <w:szCs w:val="24"/>
        </w:rPr>
        <w:t xml:space="preserve"> women</w:t>
      </w:r>
      <w:r w:rsidRPr="00597FFB">
        <w:rPr>
          <w:rFonts w:ascii="Times New Roman" w:eastAsia="Times New Roman" w:hAnsi="Times New Roman" w:cs="Times New Roman"/>
          <w:bCs/>
          <w:color w:val="000000" w:themeColor="text1"/>
          <w:sz w:val="24"/>
          <w:szCs w:val="24"/>
        </w:rPr>
        <w:t xml:space="preserve">, who often </w:t>
      </w:r>
      <w:r w:rsidR="00B11D43" w:rsidRPr="00597FFB">
        <w:rPr>
          <w:rFonts w:ascii="Times New Roman" w:eastAsia="Times New Roman" w:hAnsi="Times New Roman" w:cs="Times New Roman"/>
          <w:bCs/>
          <w:color w:val="000000" w:themeColor="text1"/>
          <w:sz w:val="24"/>
          <w:szCs w:val="24"/>
        </w:rPr>
        <w:t xml:space="preserve">belong to </w:t>
      </w:r>
      <w:r w:rsidRPr="00597FFB">
        <w:rPr>
          <w:rFonts w:ascii="Times New Roman" w:eastAsia="Times New Roman" w:hAnsi="Times New Roman" w:cs="Times New Roman"/>
          <w:bCs/>
          <w:color w:val="000000" w:themeColor="text1"/>
          <w:sz w:val="24"/>
          <w:szCs w:val="24"/>
        </w:rPr>
        <w:t>famil</w:t>
      </w:r>
      <w:r w:rsidR="00B11D43" w:rsidRPr="00597FFB">
        <w:rPr>
          <w:rFonts w:ascii="Times New Roman" w:eastAsia="Times New Roman" w:hAnsi="Times New Roman" w:cs="Times New Roman"/>
          <w:bCs/>
          <w:color w:val="000000" w:themeColor="text1"/>
          <w:sz w:val="24"/>
          <w:szCs w:val="24"/>
        </w:rPr>
        <w:t>ies that work in the</w:t>
      </w:r>
      <w:r w:rsidRPr="00597FFB">
        <w:rPr>
          <w:rFonts w:ascii="Times New Roman" w:eastAsia="Times New Roman" w:hAnsi="Times New Roman" w:cs="Times New Roman"/>
          <w:bCs/>
          <w:color w:val="000000" w:themeColor="text1"/>
          <w:sz w:val="24"/>
          <w:szCs w:val="24"/>
        </w:rPr>
        <w:t xml:space="preserve"> same space as they </w:t>
      </w:r>
      <w:r w:rsidR="00B11D43" w:rsidRPr="00597FFB">
        <w:rPr>
          <w:rFonts w:ascii="Times New Roman" w:eastAsia="Times New Roman" w:hAnsi="Times New Roman" w:cs="Times New Roman"/>
          <w:bCs/>
          <w:color w:val="000000" w:themeColor="text1"/>
          <w:sz w:val="24"/>
          <w:szCs w:val="24"/>
        </w:rPr>
        <w:t>eat, sleep</w:t>
      </w:r>
      <w:r w:rsidRPr="00597FFB">
        <w:rPr>
          <w:rFonts w:ascii="Times New Roman" w:eastAsia="Times New Roman" w:hAnsi="Times New Roman" w:cs="Times New Roman"/>
          <w:bCs/>
          <w:color w:val="000000" w:themeColor="text1"/>
          <w:sz w:val="24"/>
          <w:szCs w:val="24"/>
        </w:rPr>
        <w:t xml:space="preserve">, and </w:t>
      </w:r>
      <w:r w:rsidR="00B11D43" w:rsidRPr="00597FFB">
        <w:rPr>
          <w:rFonts w:ascii="Times New Roman" w:eastAsia="Times New Roman" w:hAnsi="Times New Roman" w:cs="Times New Roman"/>
          <w:bCs/>
          <w:color w:val="000000" w:themeColor="text1"/>
          <w:sz w:val="24"/>
          <w:szCs w:val="24"/>
        </w:rPr>
        <w:t xml:space="preserve">live undertake </w:t>
      </w:r>
      <w:r w:rsidR="00A05593" w:rsidRPr="00597FFB">
        <w:rPr>
          <w:rFonts w:ascii="Times New Roman" w:eastAsia="Times New Roman" w:hAnsi="Times New Roman" w:cs="Times New Roman"/>
          <w:bCs/>
          <w:color w:val="000000" w:themeColor="text1"/>
          <w:sz w:val="24"/>
          <w:szCs w:val="24"/>
        </w:rPr>
        <w:t xml:space="preserve">most </w:t>
      </w:r>
      <w:r w:rsidR="00A05593" w:rsidRPr="00597FFB">
        <w:rPr>
          <w:rFonts w:ascii="Times New Roman" w:eastAsiaTheme="minorHAnsi" w:hAnsi="Times New Roman" w:cs="Times New Roman"/>
          <w:color w:val="000000" w:themeColor="text1"/>
          <w:sz w:val="24"/>
        </w:rPr>
        <w:t>of</w:t>
      </w:r>
      <w:r w:rsidR="00B11D43" w:rsidRPr="00597FFB">
        <w:rPr>
          <w:rFonts w:ascii="Times New Roman" w:eastAsia="Times New Roman" w:hAnsi="Times New Roman" w:cs="Times New Roman"/>
          <w:bCs/>
          <w:color w:val="000000" w:themeColor="text1"/>
          <w:sz w:val="24"/>
          <w:szCs w:val="24"/>
        </w:rPr>
        <w:t xml:space="preserve"> the recycling </w:t>
      </w:r>
      <w:r w:rsidRPr="00597FFB">
        <w:rPr>
          <w:rFonts w:ascii="Times New Roman" w:eastAsiaTheme="minorHAnsi" w:hAnsi="Times New Roman" w:cs="Times New Roman"/>
          <w:color w:val="000000" w:themeColor="text1"/>
          <w:sz w:val="24"/>
        </w:rPr>
        <w:t>(Xu et al., 2020)</w:t>
      </w:r>
      <w:r w:rsidRPr="00597FFB">
        <w:rPr>
          <w:rFonts w:ascii="Times New Roman" w:eastAsia="Times New Roman" w:hAnsi="Times New Roman" w:cs="Times New Roman"/>
          <w:bCs/>
          <w:color w:val="000000" w:themeColor="text1"/>
          <w:sz w:val="24"/>
          <w:szCs w:val="24"/>
        </w:rPr>
        <w:t>. Additionally, the informal</w:t>
      </w:r>
      <w:r w:rsidR="009F3DAD" w:rsidRPr="00597FFB">
        <w:rPr>
          <w:rFonts w:ascii="Times New Roman" w:eastAsia="Times New Roman" w:hAnsi="Times New Roman" w:cs="Times New Roman"/>
          <w:bCs/>
          <w:color w:val="000000" w:themeColor="text1"/>
          <w:sz w:val="24"/>
          <w:szCs w:val="24"/>
        </w:rPr>
        <w:t xml:space="preserve"> e-waste</w:t>
      </w:r>
      <w:r w:rsidRPr="00597FFB">
        <w:rPr>
          <w:rFonts w:ascii="Times New Roman" w:eastAsia="Times New Roman" w:hAnsi="Times New Roman" w:cs="Times New Roman"/>
          <w:bCs/>
          <w:color w:val="000000" w:themeColor="text1"/>
          <w:sz w:val="24"/>
          <w:szCs w:val="24"/>
        </w:rPr>
        <w:t xml:space="preserve"> recycling sector contributes to poverty reduction by providing employment opportunities and helping to develop the economy in that sense </w:t>
      </w:r>
      <w:r w:rsidRPr="00597FFB">
        <w:rPr>
          <w:rFonts w:ascii="Times New Roman" w:eastAsiaTheme="minorHAnsi" w:hAnsi="Times New Roman" w:cs="Times New Roman"/>
          <w:color w:val="000000" w:themeColor="text1"/>
          <w:sz w:val="24"/>
        </w:rPr>
        <w:t>(Cheng et al., 2020)</w:t>
      </w:r>
      <w:r w:rsidRPr="00597FFB">
        <w:rPr>
          <w:rFonts w:ascii="Times New Roman" w:eastAsia="Times New Roman" w:hAnsi="Times New Roman" w:cs="Times New Roman"/>
          <w:bCs/>
          <w:color w:val="000000" w:themeColor="text1"/>
          <w:sz w:val="24"/>
          <w:szCs w:val="24"/>
        </w:rPr>
        <w:t xml:space="preserve">. For </w:t>
      </w:r>
      <w:r w:rsidR="005A73F3" w:rsidRPr="00597FFB">
        <w:rPr>
          <w:rFonts w:ascii="Times New Roman" w:eastAsia="Times New Roman" w:hAnsi="Times New Roman" w:cs="Times New Roman"/>
          <w:bCs/>
          <w:color w:val="000000" w:themeColor="text1"/>
          <w:sz w:val="24"/>
          <w:szCs w:val="24"/>
        </w:rPr>
        <w:t>example</w:t>
      </w:r>
      <w:r w:rsidRPr="00597FFB">
        <w:rPr>
          <w:rFonts w:ascii="Times New Roman" w:eastAsia="Times New Roman" w:hAnsi="Times New Roman" w:cs="Times New Roman"/>
          <w:bCs/>
          <w:color w:val="000000" w:themeColor="text1"/>
          <w:sz w:val="24"/>
          <w:szCs w:val="24"/>
        </w:rPr>
        <w:t xml:space="preserve">, when evaluating the </w:t>
      </w:r>
      <w:r w:rsidR="005A73F3" w:rsidRPr="00597FFB">
        <w:rPr>
          <w:rFonts w:ascii="Times New Roman" w:eastAsia="Times New Roman" w:hAnsi="Times New Roman" w:cs="Times New Roman"/>
          <w:bCs/>
          <w:color w:val="000000" w:themeColor="text1"/>
          <w:sz w:val="24"/>
          <w:szCs w:val="24"/>
        </w:rPr>
        <w:t>employment</w:t>
      </w:r>
      <w:r w:rsidRPr="00597FFB">
        <w:rPr>
          <w:rFonts w:ascii="Times New Roman" w:eastAsia="Times New Roman" w:hAnsi="Times New Roman" w:cs="Times New Roman"/>
          <w:bCs/>
          <w:color w:val="000000" w:themeColor="text1"/>
          <w:sz w:val="24"/>
          <w:szCs w:val="24"/>
        </w:rPr>
        <w:t xml:space="preserve"> creation potential of </w:t>
      </w:r>
      <w:r w:rsidR="005A73F3" w:rsidRPr="00597FFB">
        <w:rPr>
          <w:rFonts w:ascii="Times New Roman" w:eastAsia="Times New Roman" w:hAnsi="Times New Roman" w:cs="Times New Roman"/>
          <w:bCs/>
          <w:color w:val="000000" w:themeColor="text1"/>
          <w:sz w:val="24"/>
          <w:szCs w:val="24"/>
        </w:rPr>
        <w:t xml:space="preserve">formal </w:t>
      </w:r>
      <w:r w:rsidRPr="00597FFB">
        <w:rPr>
          <w:rFonts w:ascii="Times New Roman" w:eastAsia="Times New Roman" w:hAnsi="Times New Roman" w:cs="Times New Roman"/>
          <w:bCs/>
          <w:color w:val="000000" w:themeColor="text1"/>
          <w:sz w:val="24"/>
          <w:szCs w:val="24"/>
        </w:rPr>
        <w:t>(</w:t>
      </w:r>
      <w:r w:rsidR="005A73F3" w:rsidRPr="00597FFB">
        <w:rPr>
          <w:rFonts w:ascii="Times New Roman" w:eastAsia="Times New Roman" w:hAnsi="Times New Roman" w:cs="Times New Roman"/>
          <w:bCs/>
          <w:color w:val="000000" w:themeColor="text1"/>
          <w:sz w:val="24"/>
          <w:szCs w:val="24"/>
        </w:rPr>
        <w:t>compliant</w:t>
      </w:r>
      <w:r w:rsidRPr="00597FFB">
        <w:rPr>
          <w:rFonts w:ascii="Times New Roman" w:eastAsia="Times New Roman" w:hAnsi="Times New Roman" w:cs="Times New Roman"/>
          <w:bCs/>
          <w:color w:val="000000" w:themeColor="text1"/>
          <w:sz w:val="24"/>
          <w:szCs w:val="24"/>
        </w:rPr>
        <w:t>) WEEE pretreatment plants in Ireland,)</w:t>
      </w:r>
      <w:r w:rsidR="005A73F3" w:rsidRPr="00597FFB">
        <w:rPr>
          <w:rFonts w:ascii="Times New Roman" w:eastAsia="Times New Roman" w:hAnsi="Times New Roman" w:cs="Times New Roman"/>
          <w:bCs/>
          <w:color w:val="000000" w:themeColor="text1"/>
          <w:sz w:val="24"/>
          <w:szCs w:val="24"/>
        </w:rPr>
        <w:t xml:space="preserve"> it was reported </w:t>
      </w:r>
      <w:r w:rsidRPr="00597FFB">
        <w:rPr>
          <w:rFonts w:ascii="Times New Roman" w:eastAsia="Times New Roman" w:hAnsi="Times New Roman" w:cs="Times New Roman"/>
          <w:bCs/>
          <w:color w:val="000000" w:themeColor="text1"/>
          <w:sz w:val="24"/>
          <w:szCs w:val="24"/>
        </w:rPr>
        <w:t>that approximately 400 k</w:t>
      </w:r>
      <w:r w:rsidR="005A73F3" w:rsidRPr="00597FFB">
        <w:rPr>
          <w:rFonts w:ascii="Times New Roman" w:eastAsia="Times New Roman" w:hAnsi="Times New Roman" w:cs="Times New Roman"/>
          <w:bCs/>
          <w:color w:val="000000" w:themeColor="text1"/>
          <w:sz w:val="24"/>
          <w:szCs w:val="24"/>
        </w:rPr>
        <w:t>ilograms</w:t>
      </w:r>
      <w:r w:rsidRPr="00597FFB">
        <w:rPr>
          <w:rFonts w:ascii="Times New Roman" w:eastAsia="Times New Roman" w:hAnsi="Times New Roman" w:cs="Times New Roman"/>
          <w:bCs/>
          <w:color w:val="000000" w:themeColor="text1"/>
          <w:sz w:val="24"/>
          <w:szCs w:val="24"/>
        </w:rPr>
        <w:t xml:space="preserve"> of mixed waste create </w:t>
      </w:r>
      <w:r w:rsidR="005A73F3" w:rsidRPr="00597FFB">
        <w:rPr>
          <w:rFonts w:ascii="Times New Roman" w:eastAsia="Times New Roman" w:hAnsi="Times New Roman" w:cs="Times New Roman"/>
          <w:bCs/>
          <w:color w:val="000000" w:themeColor="text1"/>
          <w:sz w:val="24"/>
          <w:szCs w:val="24"/>
        </w:rPr>
        <w:t>a</w:t>
      </w:r>
      <w:r w:rsidRPr="00597FFB">
        <w:rPr>
          <w:rFonts w:ascii="Times New Roman" w:eastAsia="Times New Roman" w:hAnsi="Times New Roman" w:cs="Times New Roman"/>
          <w:bCs/>
          <w:color w:val="000000" w:themeColor="text1"/>
          <w:sz w:val="24"/>
          <w:szCs w:val="24"/>
        </w:rPr>
        <w:t xml:space="preserve"> full-time equivalent job, </w:t>
      </w:r>
      <w:r w:rsidR="005A73F3" w:rsidRPr="00597FFB">
        <w:rPr>
          <w:rFonts w:ascii="Times New Roman" w:eastAsia="Times New Roman" w:hAnsi="Times New Roman" w:cs="Times New Roman"/>
          <w:bCs/>
          <w:color w:val="000000" w:themeColor="text1"/>
          <w:sz w:val="24"/>
          <w:szCs w:val="24"/>
        </w:rPr>
        <w:t>whereas</w:t>
      </w:r>
      <w:r w:rsidRPr="00597FFB">
        <w:rPr>
          <w:rFonts w:ascii="Times New Roman" w:eastAsia="Times New Roman" w:hAnsi="Times New Roman" w:cs="Times New Roman"/>
          <w:bCs/>
          <w:color w:val="000000" w:themeColor="text1"/>
          <w:sz w:val="24"/>
          <w:szCs w:val="24"/>
        </w:rPr>
        <w:t xml:space="preserve"> e-waste </w:t>
      </w:r>
      <w:r w:rsidR="005A73F3" w:rsidRPr="00597FFB">
        <w:rPr>
          <w:rFonts w:ascii="Times New Roman" w:eastAsia="Times New Roman" w:hAnsi="Times New Roman" w:cs="Times New Roman"/>
          <w:bCs/>
          <w:color w:val="000000" w:themeColor="text1"/>
          <w:sz w:val="24"/>
          <w:szCs w:val="24"/>
        </w:rPr>
        <w:t>obtained</w:t>
      </w:r>
      <w:r w:rsidRPr="00597FFB">
        <w:rPr>
          <w:rFonts w:ascii="Times New Roman" w:eastAsia="Times New Roman" w:hAnsi="Times New Roman" w:cs="Times New Roman"/>
          <w:bCs/>
          <w:color w:val="000000" w:themeColor="text1"/>
          <w:sz w:val="24"/>
          <w:szCs w:val="24"/>
        </w:rPr>
        <w:t xml:space="preserve"> from scrapyards could </w:t>
      </w:r>
      <w:r w:rsidR="005A73F3" w:rsidRPr="00597FFB">
        <w:rPr>
          <w:rFonts w:ascii="Times New Roman" w:eastAsia="Times New Roman" w:hAnsi="Times New Roman" w:cs="Times New Roman"/>
          <w:bCs/>
          <w:color w:val="000000" w:themeColor="text1"/>
          <w:sz w:val="24"/>
          <w:szCs w:val="24"/>
        </w:rPr>
        <w:t>result in the creation of between</w:t>
      </w:r>
      <w:r w:rsidRPr="00597FFB">
        <w:rPr>
          <w:rFonts w:ascii="Times New Roman" w:eastAsia="Times New Roman" w:hAnsi="Times New Roman" w:cs="Times New Roman"/>
          <w:bCs/>
          <w:color w:val="000000" w:themeColor="text1"/>
          <w:sz w:val="24"/>
          <w:szCs w:val="24"/>
        </w:rPr>
        <w:t xml:space="preserve"> 12 </w:t>
      </w:r>
      <w:r w:rsidR="005A73F3" w:rsidRPr="00597FFB">
        <w:rPr>
          <w:rFonts w:ascii="Times New Roman" w:eastAsia="Times New Roman" w:hAnsi="Times New Roman" w:cs="Times New Roman"/>
          <w:bCs/>
          <w:color w:val="000000" w:themeColor="text1"/>
          <w:sz w:val="24"/>
          <w:szCs w:val="24"/>
        </w:rPr>
        <w:t>and</w:t>
      </w:r>
      <w:r w:rsidRPr="00597FFB">
        <w:rPr>
          <w:rFonts w:ascii="Times New Roman" w:eastAsia="Times New Roman" w:hAnsi="Times New Roman" w:cs="Times New Roman"/>
          <w:bCs/>
          <w:color w:val="000000" w:themeColor="text1"/>
          <w:sz w:val="24"/>
          <w:szCs w:val="24"/>
        </w:rPr>
        <w:t xml:space="preserve"> 14 jobs in pretreatment plants </w:t>
      </w:r>
      <w:r w:rsidRPr="00597FFB">
        <w:rPr>
          <w:rFonts w:ascii="Times New Roman" w:eastAsiaTheme="minorHAnsi" w:hAnsi="Times New Roman" w:cs="Times New Roman"/>
          <w:color w:val="000000" w:themeColor="text1"/>
          <w:sz w:val="24"/>
        </w:rPr>
        <w:t>(</w:t>
      </w:r>
      <w:r w:rsidR="005A73F3" w:rsidRPr="00597FFB">
        <w:rPr>
          <w:rFonts w:ascii="Times New Roman" w:eastAsia="Times New Roman" w:hAnsi="Times New Roman" w:cs="Times New Roman"/>
          <w:bCs/>
          <w:color w:val="000000" w:themeColor="text1"/>
          <w:sz w:val="24"/>
          <w:szCs w:val="24"/>
        </w:rPr>
        <w:t xml:space="preserve">McMahon, Ryan-Fogarty, &amp; Fitzpatrick, 2021; </w:t>
      </w:r>
      <w:r w:rsidRPr="00597FFB">
        <w:rPr>
          <w:rFonts w:ascii="Times New Roman" w:eastAsiaTheme="minorHAnsi" w:hAnsi="Times New Roman" w:cs="Times New Roman"/>
          <w:color w:val="000000" w:themeColor="text1"/>
          <w:sz w:val="24"/>
        </w:rPr>
        <w:t>Shaikh, 2020)</w:t>
      </w:r>
      <w:r w:rsidRPr="00597FFB">
        <w:rPr>
          <w:rFonts w:ascii="Times New Roman" w:eastAsia="Times New Roman" w:hAnsi="Times New Roman" w:cs="Times New Roman"/>
          <w:bCs/>
          <w:color w:val="000000" w:themeColor="text1"/>
          <w:sz w:val="24"/>
          <w:szCs w:val="24"/>
        </w:rPr>
        <w:t>.</w:t>
      </w:r>
    </w:p>
    <w:p w14:paraId="65EE93C2" w14:textId="77777777" w:rsidR="002C017F" w:rsidRDefault="002C017F" w:rsidP="00A558FE">
      <w:pPr>
        <w:spacing w:line="480" w:lineRule="auto"/>
        <w:ind w:firstLine="360"/>
        <w:jc w:val="both"/>
        <w:rPr>
          <w:rFonts w:ascii="Times New Roman" w:eastAsia="Times New Roman" w:hAnsi="Times New Roman" w:cs="Times New Roman"/>
          <w:bCs/>
          <w:color w:val="000000" w:themeColor="text1"/>
          <w:sz w:val="24"/>
          <w:szCs w:val="24"/>
        </w:rPr>
      </w:pPr>
    </w:p>
    <w:p w14:paraId="5B9E8BF9" w14:textId="04B4AE96" w:rsidR="002C017F" w:rsidRPr="00597FFB" w:rsidRDefault="002C017F" w:rsidP="002C017F">
      <w:pPr>
        <w:pStyle w:val="Heading3"/>
        <w:spacing w:line="480" w:lineRule="auto"/>
        <w:ind w:firstLine="720"/>
        <w:rPr>
          <w:rFonts w:ascii="Times New Roman" w:eastAsia="Times New Roman" w:hAnsi="Times New Roman" w:cs="Times New Roman"/>
          <w:bCs/>
          <w:color w:val="000000" w:themeColor="text1"/>
          <w:sz w:val="24"/>
          <w:szCs w:val="24"/>
        </w:rPr>
      </w:pPr>
      <w:bookmarkStart w:id="119" w:name="_Toc127170287"/>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5</w:t>
      </w:r>
      <w:r w:rsidRPr="00597FFB">
        <w:rPr>
          <w:rFonts w:asciiTheme="majorBidi" w:hAnsiTheme="majorBidi"/>
          <w:i/>
          <w:iCs/>
          <w:color w:val="000000" w:themeColor="text1"/>
          <w:sz w:val="24"/>
          <w:szCs w:val="24"/>
        </w:rPr>
        <w:t>.2.</w:t>
      </w:r>
      <w:r>
        <w:rPr>
          <w:rFonts w:asciiTheme="majorBidi" w:hAnsiTheme="majorBidi"/>
          <w:i/>
          <w:iCs/>
          <w:color w:val="000000" w:themeColor="text1"/>
          <w:sz w:val="24"/>
          <w:szCs w:val="24"/>
        </w:rPr>
        <w:t>4</w:t>
      </w:r>
      <w:r w:rsidRPr="00597FFB">
        <w:rPr>
          <w:rFonts w:asciiTheme="majorBidi" w:hAnsiTheme="majorBidi"/>
          <w:i/>
          <w:iCs/>
          <w:color w:val="000000" w:themeColor="text1"/>
          <w:sz w:val="24"/>
          <w:szCs w:val="24"/>
        </w:rPr>
        <w:t xml:space="preserve">. </w:t>
      </w:r>
      <w:r w:rsidRPr="00597FFB">
        <w:rPr>
          <w:rFonts w:ascii="Times New Roman" w:eastAsia="Times New Roman" w:hAnsi="Times New Roman" w:cs="Times New Roman"/>
          <w:bCs/>
          <w:i/>
          <w:iCs/>
          <w:color w:val="000000" w:themeColor="text1"/>
          <w:sz w:val="24"/>
          <w:szCs w:val="24"/>
        </w:rPr>
        <w:t>Economic Impact.</w:t>
      </w:r>
      <w:bookmarkEnd w:id="119"/>
    </w:p>
    <w:p w14:paraId="2ACC587A" w14:textId="04FE3B9E" w:rsidR="0003140E" w:rsidRPr="00597FFB" w:rsidRDefault="0003140E" w:rsidP="002C017F">
      <w:pPr>
        <w:spacing w:line="480" w:lineRule="auto"/>
        <w:ind w:firstLine="360"/>
        <w:contextualSpacing/>
        <w:jc w:val="both"/>
        <w:rPr>
          <w:rFonts w:ascii="Times New Roman" w:eastAsia="Times New Roman" w:hAnsi="Times New Roman" w:cs="Times New Roman"/>
          <w:bCs/>
          <w:color w:val="000000" w:themeColor="text1"/>
          <w:sz w:val="24"/>
          <w:szCs w:val="24"/>
        </w:rPr>
      </w:pPr>
      <w:bookmarkStart w:id="120" w:name="_Hlk89759849"/>
      <w:r w:rsidRPr="00597FFB">
        <w:rPr>
          <w:rFonts w:ascii="Times New Roman" w:eastAsiaTheme="minorHAnsi" w:hAnsi="Times New Roman" w:cs="Times New Roman"/>
          <w:sz w:val="24"/>
          <w:szCs w:val="24"/>
        </w:rPr>
        <w:t xml:space="preserve">Analyzing </w:t>
      </w:r>
      <w:bookmarkEnd w:id="120"/>
      <w:r w:rsidRPr="00597FFB">
        <w:rPr>
          <w:rFonts w:ascii="Times New Roman" w:eastAsia="Times New Roman" w:hAnsi="Times New Roman" w:cs="Times New Roman"/>
          <w:bCs/>
          <w:sz w:val="24"/>
          <w:szCs w:val="24"/>
        </w:rPr>
        <w:t>the economic impact of EWR has mainly been analyzed based on the</w:t>
      </w:r>
      <w:r w:rsidRPr="00597FFB">
        <w:rPr>
          <w:rFonts w:ascii="Times New Roman" w:eastAsia="Times New Roman" w:hAnsi="Times New Roman" w:cs="Times New Roman"/>
          <w:b/>
          <w:sz w:val="24"/>
          <w:szCs w:val="24"/>
        </w:rPr>
        <w:t xml:space="preserve"> </w:t>
      </w:r>
      <w:r w:rsidRPr="00597FFB">
        <w:rPr>
          <w:rFonts w:ascii="Times New Roman" w:eastAsia="Times New Roman" w:hAnsi="Times New Roman" w:cs="Times New Roman"/>
          <w:bCs/>
          <w:sz w:val="24"/>
          <w:szCs w:val="24"/>
        </w:rPr>
        <w:t>precious metals found in e-waste and employment</w:t>
      </w:r>
      <w:r w:rsidRPr="00597FFB">
        <w:rPr>
          <w:rFonts w:ascii="Times New Roman" w:eastAsia="Times New Roman" w:hAnsi="Times New Roman" w:cs="Times New Roman"/>
          <w:bCs/>
          <w:color w:val="000000" w:themeColor="text1"/>
          <w:sz w:val="24"/>
          <w:szCs w:val="24"/>
        </w:rPr>
        <w:t>. For instance, precious metals</w:t>
      </w:r>
      <w:r w:rsidR="005A73F3" w:rsidRPr="00597FFB">
        <w:rPr>
          <w:rFonts w:ascii="Times New Roman" w:eastAsia="Times New Roman" w:hAnsi="Times New Roman" w:cs="Times New Roman"/>
          <w:bCs/>
          <w:color w:val="000000" w:themeColor="text1"/>
          <w:sz w:val="24"/>
          <w:szCs w:val="24"/>
        </w:rPr>
        <w:t>’ availability</w:t>
      </w:r>
      <w:r w:rsidRPr="00597FFB">
        <w:rPr>
          <w:rFonts w:ascii="Times New Roman" w:eastAsia="Times New Roman" w:hAnsi="Times New Roman" w:cs="Times New Roman"/>
          <w:bCs/>
          <w:color w:val="000000" w:themeColor="text1"/>
          <w:sz w:val="24"/>
          <w:szCs w:val="24"/>
        </w:rPr>
        <w:t xml:space="preserve"> has been found to be the </w:t>
      </w:r>
      <w:r w:rsidR="005A73F3" w:rsidRPr="00597FFB">
        <w:rPr>
          <w:rFonts w:ascii="Times New Roman" w:eastAsia="Times New Roman" w:hAnsi="Times New Roman" w:cs="Times New Roman"/>
          <w:bCs/>
          <w:color w:val="000000" w:themeColor="text1"/>
          <w:sz w:val="24"/>
          <w:szCs w:val="24"/>
        </w:rPr>
        <w:t>principal</w:t>
      </w:r>
      <w:r w:rsidRPr="00597FFB">
        <w:rPr>
          <w:rFonts w:ascii="Times New Roman" w:eastAsia="Times New Roman" w:hAnsi="Times New Roman" w:cs="Times New Roman"/>
          <w:bCs/>
          <w:color w:val="000000" w:themeColor="text1"/>
          <w:sz w:val="24"/>
          <w:szCs w:val="24"/>
        </w:rPr>
        <w:t xml:space="preserve"> economic </w:t>
      </w:r>
      <w:r w:rsidR="005A73F3" w:rsidRPr="00597FFB">
        <w:rPr>
          <w:rFonts w:ascii="Times New Roman" w:eastAsia="Times New Roman" w:hAnsi="Times New Roman" w:cs="Times New Roman"/>
          <w:bCs/>
          <w:color w:val="000000" w:themeColor="text1"/>
          <w:sz w:val="24"/>
          <w:szCs w:val="24"/>
        </w:rPr>
        <w:t>motivator</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for</w:t>
      </w:r>
      <w:r w:rsidRPr="00597FFB">
        <w:rPr>
          <w:rFonts w:ascii="Times New Roman" w:eastAsia="Times New Roman" w:hAnsi="Times New Roman" w:cs="Times New Roman"/>
          <w:bCs/>
          <w:color w:val="000000" w:themeColor="text1"/>
          <w:sz w:val="24"/>
          <w:szCs w:val="24"/>
        </w:rPr>
        <w:t xml:space="preserve"> the e-waste recycling industry </w:t>
      </w:r>
      <w:r w:rsidR="005A73F3" w:rsidRPr="00597FFB">
        <w:rPr>
          <w:rFonts w:ascii="Times New Roman" w:eastAsia="Times New Roman" w:hAnsi="Times New Roman" w:cs="Times New Roman"/>
          <w:bCs/>
          <w:color w:val="000000" w:themeColor="text1"/>
          <w:sz w:val="24"/>
          <w:szCs w:val="24"/>
        </w:rPr>
        <w:t>as</w:t>
      </w:r>
      <w:r w:rsidRPr="00597FFB">
        <w:rPr>
          <w:rFonts w:ascii="Times New Roman" w:eastAsia="Times New Roman" w:hAnsi="Times New Roman" w:cs="Times New Roman"/>
          <w:bCs/>
          <w:color w:val="000000" w:themeColor="text1"/>
          <w:sz w:val="24"/>
          <w:szCs w:val="24"/>
        </w:rPr>
        <w:t xml:space="preserve"> e-waste potentially contains more metals than ores </w:t>
      </w:r>
      <w:r w:rsidRPr="00597FFB">
        <w:rPr>
          <w:rFonts w:ascii="Times New Roman" w:eastAsiaTheme="minorHAnsi" w:hAnsi="Times New Roman" w:cs="Times New Roman"/>
          <w:color w:val="000000" w:themeColor="text1"/>
          <w:sz w:val="24"/>
          <w:szCs w:val="24"/>
        </w:rPr>
        <w:t>(Cheng et al., 2020)</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During the</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investigation of</w:t>
      </w:r>
      <w:r w:rsidRPr="00597FFB">
        <w:rPr>
          <w:rFonts w:ascii="Times New Roman" w:eastAsia="Times New Roman" w:hAnsi="Times New Roman" w:cs="Times New Roman"/>
          <w:bCs/>
          <w:color w:val="000000" w:themeColor="text1"/>
          <w:sz w:val="24"/>
          <w:szCs w:val="24"/>
        </w:rPr>
        <w:t xml:space="preserve"> the economic </w:t>
      </w:r>
      <w:r w:rsidR="005A73F3" w:rsidRPr="00597FFB">
        <w:rPr>
          <w:rFonts w:ascii="Times New Roman" w:eastAsia="Times New Roman" w:hAnsi="Times New Roman" w:cs="Times New Roman"/>
          <w:bCs/>
          <w:color w:val="000000" w:themeColor="text1"/>
          <w:sz w:val="24"/>
          <w:szCs w:val="24"/>
        </w:rPr>
        <w:t>facets</w:t>
      </w:r>
      <w:r w:rsidRPr="00597FFB">
        <w:rPr>
          <w:rFonts w:ascii="Times New Roman" w:eastAsia="Times New Roman" w:hAnsi="Times New Roman" w:cs="Times New Roman"/>
          <w:bCs/>
          <w:color w:val="000000" w:themeColor="text1"/>
          <w:sz w:val="24"/>
          <w:szCs w:val="24"/>
        </w:rPr>
        <w:t xml:space="preserve"> of material flow, </w:t>
      </w:r>
      <w:r w:rsidRPr="00597FFB">
        <w:rPr>
          <w:rFonts w:ascii="Times New Roman" w:eastAsiaTheme="minorHAnsi" w:hAnsi="Times New Roman" w:cs="Times New Roman"/>
          <w:color w:val="000000" w:themeColor="text1"/>
          <w:sz w:val="24"/>
          <w:szCs w:val="24"/>
        </w:rPr>
        <w:t>Nasrollahi et al. (2020)</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reported</w:t>
      </w:r>
      <w:r w:rsidRPr="00597FFB">
        <w:rPr>
          <w:rFonts w:ascii="Times New Roman" w:eastAsia="Times New Roman" w:hAnsi="Times New Roman" w:cs="Times New Roman"/>
          <w:bCs/>
          <w:color w:val="000000" w:themeColor="text1"/>
          <w:sz w:val="24"/>
          <w:szCs w:val="24"/>
        </w:rPr>
        <w:t xml:space="preserve"> that </w:t>
      </w:r>
      <w:r w:rsidR="005A73F3" w:rsidRPr="00597FFB">
        <w:rPr>
          <w:rFonts w:ascii="Times New Roman" w:eastAsia="Times New Roman" w:hAnsi="Times New Roman" w:cs="Times New Roman"/>
          <w:bCs/>
          <w:color w:val="000000" w:themeColor="text1"/>
          <w:sz w:val="24"/>
          <w:szCs w:val="24"/>
        </w:rPr>
        <w:t>such</w:t>
      </w:r>
      <w:r w:rsidRPr="00597FFB">
        <w:rPr>
          <w:rFonts w:ascii="Times New Roman" w:eastAsia="Times New Roman" w:hAnsi="Times New Roman" w:cs="Times New Roman"/>
          <w:bCs/>
          <w:color w:val="000000" w:themeColor="text1"/>
          <w:sz w:val="24"/>
          <w:szCs w:val="24"/>
        </w:rPr>
        <w:t xml:space="preserve"> flows </w:t>
      </w:r>
      <w:r w:rsidR="005A73F3" w:rsidRPr="00597FFB">
        <w:rPr>
          <w:rFonts w:ascii="Times New Roman" w:eastAsia="Times New Roman" w:hAnsi="Times New Roman" w:cs="Times New Roman"/>
          <w:bCs/>
          <w:color w:val="000000" w:themeColor="text1"/>
          <w:sz w:val="24"/>
          <w:szCs w:val="24"/>
        </w:rPr>
        <w:t>involved in the</w:t>
      </w:r>
      <w:r w:rsidRPr="00597FFB">
        <w:rPr>
          <w:rFonts w:ascii="Times New Roman" w:eastAsia="Times New Roman" w:hAnsi="Times New Roman" w:cs="Times New Roman"/>
          <w:bCs/>
          <w:color w:val="000000" w:themeColor="text1"/>
          <w:sz w:val="24"/>
          <w:szCs w:val="24"/>
        </w:rPr>
        <w:t xml:space="preserve"> pre-recycling processes, such as upgrades or repair </w:t>
      </w:r>
      <w:r w:rsidR="005A73F3" w:rsidRPr="00597FFB">
        <w:rPr>
          <w:rFonts w:ascii="Times New Roman" w:eastAsia="Times New Roman" w:hAnsi="Times New Roman" w:cs="Times New Roman"/>
          <w:bCs/>
          <w:color w:val="000000" w:themeColor="text1"/>
          <w:sz w:val="24"/>
          <w:szCs w:val="24"/>
        </w:rPr>
        <w:t>to</w:t>
      </w:r>
      <w:r w:rsidRPr="00597FFB">
        <w:rPr>
          <w:rFonts w:ascii="Times New Roman" w:eastAsia="Times New Roman" w:hAnsi="Times New Roman" w:cs="Times New Roman"/>
          <w:bCs/>
          <w:color w:val="000000" w:themeColor="text1"/>
          <w:sz w:val="24"/>
          <w:szCs w:val="24"/>
        </w:rPr>
        <w:t xml:space="preserve"> resell, were </w:t>
      </w:r>
      <w:r w:rsidR="005A73F3" w:rsidRPr="00597FFB">
        <w:rPr>
          <w:rFonts w:ascii="Times New Roman" w:eastAsia="Times New Roman" w:hAnsi="Times New Roman" w:cs="Times New Roman"/>
          <w:bCs/>
          <w:color w:val="000000" w:themeColor="text1"/>
          <w:sz w:val="24"/>
          <w:szCs w:val="24"/>
        </w:rPr>
        <w:t>considerably</w:t>
      </w:r>
      <w:r w:rsidRPr="00597FFB">
        <w:rPr>
          <w:rFonts w:ascii="Times New Roman" w:eastAsia="Times New Roman" w:hAnsi="Times New Roman" w:cs="Times New Roman"/>
          <w:bCs/>
          <w:color w:val="000000" w:themeColor="text1"/>
          <w:sz w:val="24"/>
          <w:szCs w:val="24"/>
        </w:rPr>
        <w:t xml:space="preserve"> higher than those from post</w:t>
      </w:r>
      <w:r w:rsidR="005A73F3" w:rsidRPr="00597FFB">
        <w:rPr>
          <w:rFonts w:ascii="Times New Roman" w:eastAsia="Times New Roman" w:hAnsi="Times New Roman" w:cs="Times New Roman"/>
          <w:bCs/>
          <w:color w:val="000000" w:themeColor="text1"/>
          <w:sz w:val="24"/>
          <w:szCs w:val="24"/>
        </w:rPr>
        <w:t>-</w:t>
      </w:r>
      <w:r w:rsidRPr="00597FFB">
        <w:rPr>
          <w:rFonts w:ascii="Times New Roman" w:eastAsia="Times New Roman" w:hAnsi="Times New Roman" w:cs="Times New Roman"/>
          <w:bCs/>
          <w:color w:val="000000" w:themeColor="text1"/>
          <w:sz w:val="24"/>
          <w:szCs w:val="24"/>
        </w:rPr>
        <w:t>recycling processes and selling</w:t>
      </w:r>
      <w:r w:rsidR="005A73F3" w:rsidRPr="00597FFB">
        <w:rPr>
          <w:rFonts w:ascii="Times New Roman" w:eastAsia="Times New Roman" w:hAnsi="Times New Roman" w:cs="Times New Roman"/>
          <w:bCs/>
          <w:color w:val="000000" w:themeColor="text1"/>
          <w:sz w:val="24"/>
          <w:szCs w:val="24"/>
        </w:rPr>
        <w:t xml:space="preserve"> of</w:t>
      </w:r>
      <w:r w:rsidRPr="00597FFB">
        <w:rPr>
          <w:rFonts w:ascii="Times New Roman" w:eastAsia="Times New Roman" w:hAnsi="Times New Roman" w:cs="Times New Roman"/>
          <w:bCs/>
          <w:color w:val="000000" w:themeColor="text1"/>
          <w:sz w:val="24"/>
          <w:szCs w:val="24"/>
        </w:rPr>
        <w:t xml:space="preserve"> parts. </w:t>
      </w:r>
      <w:r w:rsidR="005A73F3" w:rsidRPr="00597FFB">
        <w:rPr>
          <w:rFonts w:ascii="Times New Roman" w:eastAsia="Times New Roman" w:hAnsi="Times New Roman" w:cs="Times New Roman"/>
          <w:bCs/>
          <w:color w:val="000000" w:themeColor="text1"/>
          <w:sz w:val="24"/>
          <w:szCs w:val="24"/>
        </w:rPr>
        <w:t>Altogether</w:t>
      </w:r>
      <w:r w:rsidRPr="00597FFB">
        <w:rPr>
          <w:rFonts w:ascii="Times New Roman" w:eastAsia="Times New Roman" w:hAnsi="Times New Roman" w:cs="Times New Roman"/>
          <w:bCs/>
          <w:color w:val="000000" w:themeColor="text1"/>
          <w:sz w:val="24"/>
          <w:szCs w:val="24"/>
        </w:rPr>
        <w:t xml:space="preserve">, the economic impact analyses presented in these studies (Cheng et al., 2020; Nasrollahi et al., 2020) only </w:t>
      </w:r>
      <w:r w:rsidR="005A73F3" w:rsidRPr="00597FFB">
        <w:rPr>
          <w:rFonts w:ascii="Times New Roman" w:eastAsia="Times New Roman" w:hAnsi="Times New Roman" w:cs="Times New Roman"/>
          <w:bCs/>
          <w:color w:val="000000" w:themeColor="text1"/>
          <w:sz w:val="24"/>
          <w:szCs w:val="24"/>
        </w:rPr>
        <w:t>factored in</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 xml:space="preserve">revenues </w:t>
      </w:r>
      <w:r w:rsidRPr="00597FFB">
        <w:rPr>
          <w:rFonts w:ascii="Times New Roman" w:eastAsia="Times New Roman" w:hAnsi="Times New Roman" w:cs="Times New Roman"/>
          <w:bCs/>
          <w:color w:val="000000" w:themeColor="text1"/>
          <w:sz w:val="24"/>
          <w:szCs w:val="24"/>
        </w:rPr>
        <w:t xml:space="preserve">and </w:t>
      </w:r>
      <w:r w:rsidR="005A73F3" w:rsidRPr="00597FFB">
        <w:rPr>
          <w:rFonts w:ascii="Times New Roman" w:eastAsia="Times New Roman" w:hAnsi="Times New Roman" w:cs="Times New Roman"/>
          <w:bCs/>
          <w:color w:val="000000" w:themeColor="text1"/>
          <w:sz w:val="24"/>
          <w:szCs w:val="24"/>
        </w:rPr>
        <w:t xml:space="preserve">costs </w:t>
      </w:r>
      <w:r w:rsidRPr="00597FFB">
        <w:rPr>
          <w:rFonts w:ascii="Times New Roman" w:eastAsia="Times New Roman" w:hAnsi="Times New Roman" w:cs="Times New Roman"/>
          <w:bCs/>
          <w:color w:val="000000" w:themeColor="text1"/>
          <w:sz w:val="24"/>
          <w:szCs w:val="24"/>
        </w:rPr>
        <w:t xml:space="preserve">from </w:t>
      </w:r>
      <w:r w:rsidR="005A73F3" w:rsidRPr="00597FFB">
        <w:rPr>
          <w:rFonts w:ascii="Times New Roman" w:eastAsia="Times New Roman" w:hAnsi="Times New Roman" w:cs="Times New Roman"/>
          <w:bCs/>
          <w:color w:val="000000" w:themeColor="text1"/>
          <w:sz w:val="24"/>
          <w:szCs w:val="24"/>
        </w:rPr>
        <w:t>resale</w:t>
      </w:r>
      <w:r w:rsidRPr="00597FFB">
        <w:rPr>
          <w:rFonts w:ascii="Times New Roman" w:eastAsia="Times New Roman" w:hAnsi="Times New Roman" w:cs="Times New Roman"/>
          <w:bCs/>
          <w:color w:val="000000" w:themeColor="text1"/>
          <w:sz w:val="24"/>
          <w:szCs w:val="24"/>
        </w:rPr>
        <w:t xml:space="preserve"> and </w:t>
      </w:r>
      <w:r w:rsidR="005A73F3" w:rsidRPr="00597FFB">
        <w:rPr>
          <w:rFonts w:ascii="Times New Roman" w:eastAsia="Times New Roman" w:hAnsi="Times New Roman" w:cs="Times New Roman"/>
          <w:bCs/>
          <w:color w:val="000000" w:themeColor="text1"/>
          <w:sz w:val="24"/>
          <w:szCs w:val="24"/>
        </w:rPr>
        <w:t>did not include</w:t>
      </w:r>
      <w:r w:rsidRPr="00597FFB">
        <w:rPr>
          <w:rFonts w:ascii="Times New Roman" w:eastAsia="Times New Roman" w:hAnsi="Times New Roman" w:cs="Times New Roman"/>
          <w:bCs/>
          <w:color w:val="000000" w:themeColor="text1"/>
          <w:sz w:val="24"/>
          <w:szCs w:val="24"/>
        </w:rPr>
        <w:t xml:space="preserve"> other expenses such as wages</w:t>
      </w:r>
      <w:r w:rsidR="005A73F3" w:rsidRPr="00597FFB">
        <w:rPr>
          <w:rFonts w:ascii="Times New Roman" w:eastAsia="Times New Roman" w:hAnsi="Times New Roman" w:cs="Times New Roman"/>
          <w:bCs/>
          <w:color w:val="000000" w:themeColor="text1"/>
          <w:sz w:val="24"/>
          <w:szCs w:val="24"/>
        </w:rPr>
        <w:t>, transportation costs</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additional components</w:t>
      </w:r>
      <w:r w:rsidR="005A73F3"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(Dhir, Koshta, et al., 2021)</w:t>
      </w:r>
      <w:r w:rsidRPr="00597FFB">
        <w:rPr>
          <w:rFonts w:ascii="Times New Roman" w:eastAsia="Times New Roman" w:hAnsi="Times New Roman" w:cs="Times New Roman"/>
          <w:bCs/>
          <w:color w:val="000000" w:themeColor="text1"/>
          <w:sz w:val="24"/>
          <w:szCs w:val="24"/>
        </w:rPr>
        <w:t>.</w:t>
      </w:r>
    </w:p>
    <w:p w14:paraId="7C6B09F9" w14:textId="2D891515" w:rsidR="0003140E" w:rsidRPr="00597FFB" w:rsidRDefault="0003140E" w:rsidP="00A558FE">
      <w:pPr>
        <w:spacing w:line="480" w:lineRule="auto"/>
        <w:ind w:firstLine="36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the Indian context, a study was conducted to estimate e-waste generation based on the market supply method together with substance flow analysis with a view of quantifying critical raw, precious, and common materials within the WEEE </w:t>
      </w:r>
      <w:sdt>
        <w:sdtPr>
          <w:rPr>
            <w:rFonts w:ascii="Times New Roman" w:eastAsia="Times New Roman" w:hAnsi="Times New Roman" w:cs="Times New Roman"/>
            <w:bCs/>
            <w:color w:val="000000" w:themeColor="text1"/>
            <w:sz w:val="24"/>
            <w:szCs w:val="24"/>
          </w:rPr>
          <w:id w:val="-1365668330"/>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CITATION Pan21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(Panchal, Singh, &amp; Diwan,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The rationale was to evaluate the recovery economic potential and the findings showed that WEEE recycling has the potential of supplying platinum group of metals in the electronic industry thereby reducing the importing dependency of critical raw materials. Their findings also showed that gold had the highest economic recovery potential among all previous metals at an estimated USD 1.6 billion. However, indium and the extraction of rare metals was found to be infeasible due to low rates of recycling </w:t>
      </w:r>
      <w:sdt>
        <w:sdtPr>
          <w:rPr>
            <w:rFonts w:ascii="Times New Roman" w:eastAsia="Times New Roman" w:hAnsi="Times New Roman" w:cs="Times New Roman"/>
            <w:bCs/>
            <w:color w:val="000000" w:themeColor="text1"/>
            <w:sz w:val="24"/>
            <w:szCs w:val="24"/>
          </w:rPr>
          <w:id w:val="-1051379532"/>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CITATION Pan21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(Panchal, Singh, &amp; Diwan, 2021)</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w:t>
      </w:r>
    </w:p>
    <w:p w14:paraId="316A8481" w14:textId="67BC3F29"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noProof/>
          <w:color w:val="000000" w:themeColor="text1"/>
          <w:sz w:val="24"/>
          <w:szCs w:val="24"/>
        </w:rPr>
        <w:t>Ilankoon et al. (2018)</w:t>
      </w:r>
      <w:r w:rsidRPr="00597FFB">
        <w:rPr>
          <w:rFonts w:ascii="Times New Roman" w:eastAsia="Times New Roman" w:hAnsi="Times New Roman" w:cs="Times New Roman"/>
          <w:bCs/>
          <w:color w:val="000000" w:themeColor="text1"/>
          <w:sz w:val="24"/>
          <w:szCs w:val="24"/>
        </w:rPr>
        <w:t xml:space="preserve"> pointed that 1 million mobile phones have the potential of generating approximately 9,000kg of copper, 250kg of silver, </w:t>
      </w:r>
      <w:sdt>
        <w:sdtPr>
          <w:rPr>
            <w:rFonts w:ascii="Times New Roman" w:eastAsia="Times New Roman" w:hAnsi="Times New Roman" w:cs="Times New Roman"/>
            <w:bCs/>
            <w:color w:val="000000" w:themeColor="text1"/>
            <w:sz w:val="24"/>
            <w:szCs w:val="24"/>
          </w:rPr>
          <w:id w:val="1228888035"/>
          <w:citation/>
        </w:sdtPr>
        <w:sdtContent/>
      </w:sdt>
      <w:r w:rsidRPr="00597FFB">
        <w:rPr>
          <w:rFonts w:ascii="Times New Roman" w:eastAsia="Times New Roman" w:hAnsi="Times New Roman" w:cs="Times New Roman"/>
          <w:bCs/>
          <w:color w:val="000000" w:themeColor="text1"/>
          <w:sz w:val="24"/>
          <w:szCs w:val="24"/>
        </w:rPr>
        <w:t>24kg of gold, and 9kg of palladium. Similarly,</w:t>
      </w:r>
      <w:r w:rsidRPr="00597FFB">
        <w:rPr>
          <w:rFonts w:ascii="Times New Roman" w:eastAsiaTheme="minorHAnsi" w:hAnsi="Times New Roman" w:cs="Times New Roman"/>
          <w:color w:val="000000" w:themeColor="text1"/>
          <w:sz w:val="24"/>
        </w:rPr>
        <w:t xml:space="preserve"> Zhang et al. (2019)</w:t>
      </w:r>
      <w:r w:rsidRPr="00597FFB">
        <w:rPr>
          <w:rFonts w:ascii="Times New Roman" w:eastAsia="Times New Roman" w:hAnsi="Times New Roman" w:cs="Times New Roman"/>
          <w:bCs/>
          <w:color w:val="000000" w:themeColor="text1"/>
          <w:sz w:val="24"/>
          <w:szCs w:val="24"/>
        </w:rPr>
        <w:t xml:space="preserve"> examined the feasibility of reusing, recovering or recycling the components recovered from EEE to maximize profitability or minimize EWM costs and found that recovery was possibly the most profitable. This inference on recovery could be linked to observations such as those indicating that gold recovered from e-waste is typically between 80 to 250 grams per ton, which is more than the average obtained from gold ores </w:t>
      </w:r>
      <w:sdt>
        <w:sdtPr>
          <w:rPr>
            <w:rFonts w:ascii="Times New Roman" w:eastAsia="Times New Roman" w:hAnsi="Times New Roman" w:cs="Times New Roman"/>
            <w:bCs/>
            <w:color w:val="000000" w:themeColor="text1"/>
            <w:sz w:val="24"/>
            <w:szCs w:val="24"/>
          </w:rPr>
          <w:id w:val="551357020"/>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Ila18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(Ilankoon, et al., 2018)</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w:t>
      </w:r>
    </w:p>
    <w:p w14:paraId="5E6A03D5" w14:textId="096E82FC"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Another study involved the identification of </w:t>
      </w:r>
      <w:r w:rsidR="005A73F3" w:rsidRPr="00597FFB">
        <w:rPr>
          <w:rFonts w:ascii="Times New Roman" w:eastAsia="Times New Roman" w:hAnsi="Times New Roman" w:cs="Times New Roman"/>
          <w:bCs/>
          <w:color w:val="000000" w:themeColor="text1"/>
          <w:sz w:val="24"/>
          <w:szCs w:val="24"/>
        </w:rPr>
        <w:t>different</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 xml:space="preserve">EWR </w:t>
      </w:r>
      <w:r w:rsidRPr="00597FFB">
        <w:rPr>
          <w:rFonts w:ascii="Times New Roman" w:eastAsia="Times New Roman" w:hAnsi="Times New Roman" w:cs="Times New Roman"/>
          <w:bCs/>
          <w:color w:val="000000" w:themeColor="text1"/>
          <w:sz w:val="24"/>
          <w:szCs w:val="24"/>
        </w:rPr>
        <w:t xml:space="preserve">techniques and the investigation of each technique’s cost and revenue drivers and found that recycling backed by product transformation salience was more economically beneficial </w:t>
      </w:r>
      <w:r w:rsidRPr="00597FFB">
        <w:rPr>
          <w:rFonts w:ascii="Times New Roman" w:eastAsiaTheme="minorHAnsi" w:hAnsi="Times New Roman" w:cs="Times New Roman"/>
          <w:color w:val="000000" w:themeColor="text1"/>
          <w:sz w:val="24"/>
        </w:rPr>
        <w:t>(Winterich et al., 2019)</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Based on</w:t>
      </w:r>
      <w:r w:rsidRPr="00597FFB">
        <w:rPr>
          <w:rFonts w:ascii="Times New Roman" w:eastAsia="Times New Roman" w:hAnsi="Times New Roman" w:cs="Times New Roman"/>
          <w:bCs/>
          <w:color w:val="000000" w:themeColor="text1"/>
          <w:sz w:val="24"/>
          <w:szCs w:val="24"/>
        </w:rPr>
        <w:t xml:space="preserve"> </w:t>
      </w:r>
      <w:r w:rsidR="005A73F3" w:rsidRPr="00597FFB">
        <w:rPr>
          <w:rFonts w:ascii="Times New Roman" w:eastAsia="Times New Roman" w:hAnsi="Times New Roman" w:cs="Times New Roman"/>
          <w:bCs/>
          <w:color w:val="000000" w:themeColor="text1"/>
          <w:sz w:val="24"/>
          <w:szCs w:val="24"/>
        </w:rPr>
        <w:t>the same</w:t>
      </w:r>
      <w:r w:rsidRPr="00597FFB">
        <w:rPr>
          <w:rFonts w:ascii="Times New Roman" w:eastAsia="Times New Roman" w:hAnsi="Times New Roman" w:cs="Times New Roman"/>
          <w:bCs/>
          <w:color w:val="000000" w:themeColor="text1"/>
          <w:sz w:val="24"/>
          <w:szCs w:val="24"/>
        </w:rPr>
        <w:t xml:space="preserve"> cost and benefit analysis, a </w:t>
      </w:r>
      <w:r w:rsidR="005A73F3" w:rsidRPr="00597FFB">
        <w:rPr>
          <w:rFonts w:ascii="Times New Roman" w:eastAsia="Times New Roman" w:hAnsi="Times New Roman" w:cs="Times New Roman"/>
          <w:bCs/>
          <w:color w:val="000000" w:themeColor="text1"/>
          <w:sz w:val="24"/>
          <w:szCs w:val="24"/>
        </w:rPr>
        <w:t xml:space="preserve">pilot </w:t>
      </w:r>
      <w:r w:rsidRPr="00597FFB">
        <w:rPr>
          <w:rFonts w:ascii="Times New Roman" w:eastAsia="Times New Roman" w:hAnsi="Times New Roman" w:cs="Times New Roman"/>
          <w:bCs/>
          <w:color w:val="000000" w:themeColor="text1"/>
          <w:sz w:val="24"/>
          <w:szCs w:val="24"/>
        </w:rPr>
        <w:t xml:space="preserve">recycling project </w:t>
      </w:r>
      <w:r w:rsidR="005A73F3" w:rsidRPr="00597FFB">
        <w:rPr>
          <w:rFonts w:ascii="Times New Roman" w:eastAsia="Times New Roman" w:hAnsi="Times New Roman" w:cs="Times New Roman"/>
          <w:bCs/>
          <w:color w:val="000000" w:themeColor="text1"/>
          <w:sz w:val="24"/>
          <w:szCs w:val="24"/>
        </w:rPr>
        <w:t xml:space="preserve">based </w:t>
      </w:r>
      <w:r w:rsidRPr="00597FFB">
        <w:rPr>
          <w:rFonts w:ascii="Times New Roman" w:eastAsia="Times New Roman" w:hAnsi="Times New Roman" w:cs="Times New Roman"/>
          <w:bCs/>
          <w:color w:val="000000" w:themeColor="text1"/>
          <w:sz w:val="24"/>
          <w:szCs w:val="24"/>
        </w:rPr>
        <w:t xml:space="preserve">in China was </w:t>
      </w:r>
      <w:r w:rsidR="005A73F3" w:rsidRPr="00597FFB">
        <w:rPr>
          <w:rFonts w:ascii="Times New Roman" w:eastAsia="Times New Roman" w:hAnsi="Times New Roman" w:cs="Times New Roman"/>
          <w:bCs/>
          <w:color w:val="000000" w:themeColor="text1"/>
          <w:sz w:val="24"/>
          <w:szCs w:val="24"/>
        </w:rPr>
        <w:t>found</w:t>
      </w:r>
      <w:r w:rsidRPr="00597FFB">
        <w:rPr>
          <w:rFonts w:ascii="Times New Roman" w:eastAsia="Times New Roman" w:hAnsi="Times New Roman" w:cs="Times New Roman"/>
          <w:bCs/>
          <w:color w:val="000000" w:themeColor="text1"/>
          <w:sz w:val="24"/>
          <w:szCs w:val="24"/>
        </w:rPr>
        <w:t xml:space="preserve"> to have resulted in an economic failure because producer</w:t>
      </w:r>
      <w:r w:rsidR="008F29F9" w:rsidRPr="00597FFB">
        <w:rPr>
          <w:rFonts w:ascii="Times New Roman" w:eastAsia="Times New Roman" w:hAnsi="Times New Roman" w:cs="Times New Roman"/>
          <w:bCs/>
          <w:color w:val="000000" w:themeColor="text1"/>
          <w:sz w:val="24"/>
          <w:szCs w:val="24"/>
        </w:rPr>
        <w:t>s</w:t>
      </w:r>
      <w:r w:rsidRPr="00597FFB">
        <w:rPr>
          <w:rFonts w:ascii="Times New Roman" w:eastAsia="Times New Roman" w:hAnsi="Times New Roman" w:cs="Times New Roman"/>
          <w:bCs/>
          <w:color w:val="000000" w:themeColor="text1"/>
          <w:sz w:val="24"/>
          <w:szCs w:val="24"/>
        </w:rPr>
        <w:t xml:space="preserve"> (recycler</w:t>
      </w:r>
      <w:r w:rsidR="008F29F9" w:rsidRPr="00597FFB">
        <w:rPr>
          <w:rFonts w:ascii="Times New Roman" w:eastAsia="Times New Roman" w:hAnsi="Times New Roman" w:cs="Times New Roman"/>
          <w:bCs/>
          <w:color w:val="000000" w:themeColor="text1"/>
          <w:sz w:val="24"/>
          <w:szCs w:val="24"/>
        </w:rPr>
        <w:t>s</w:t>
      </w:r>
      <w:r w:rsidRPr="00597FFB">
        <w:rPr>
          <w:rFonts w:ascii="Times New Roman" w:eastAsia="Times New Roman" w:hAnsi="Times New Roman" w:cs="Times New Roman"/>
          <w:bCs/>
          <w:color w:val="000000" w:themeColor="text1"/>
          <w:sz w:val="24"/>
          <w:szCs w:val="24"/>
        </w:rPr>
        <w:t xml:space="preserve">) </w:t>
      </w:r>
      <w:r w:rsidR="008F29F9" w:rsidRPr="00597FFB">
        <w:rPr>
          <w:rFonts w:ascii="Times New Roman" w:eastAsia="Times New Roman" w:hAnsi="Times New Roman" w:cs="Times New Roman"/>
          <w:bCs/>
          <w:color w:val="000000" w:themeColor="text1"/>
          <w:sz w:val="24"/>
          <w:szCs w:val="24"/>
        </w:rPr>
        <w:t xml:space="preserve">made losses </w:t>
      </w:r>
      <w:r w:rsidRPr="00597FFB">
        <w:rPr>
          <w:rFonts w:ascii="Times New Roman" w:eastAsia="Times New Roman" w:hAnsi="Times New Roman" w:cs="Times New Roman"/>
          <w:bCs/>
          <w:color w:val="000000" w:themeColor="text1"/>
          <w:sz w:val="24"/>
          <w:szCs w:val="24"/>
        </w:rPr>
        <w:t xml:space="preserve">at all stages. As a result, there </w:t>
      </w:r>
      <w:r w:rsidR="008F29F9" w:rsidRPr="00597FFB">
        <w:rPr>
          <w:rFonts w:ascii="Times New Roman" w:eastAsia="Times New Roman" w:hAnsi="Times New Roman" w:cs="Times New Roman"/>
          <w:bCs/>
          <w:color w:val="000000" w:themeColor="text1"/>
          <w:sz w:val="24"/>
          <w:szCs w:val="24"/>
        </w:rPr>
        <w:t>lacked</w:t>
      </w:r>
      <w:r w:rsidRPr="00597FFB">
        <w:rPr>
          <w:rFonts w:ascii="Times New Roman" w:eastAsia="Times New Roman" w:hAnsi="Times New Roman" w:cs="Times New Roman"/>
          <w:bCs/>
          <w:color w:val="000000" w:themeColor="text1"/>
          <w:sz w:val="24"/>
          <w:szCs w:val="24"/>
        </w:rPr>
        <w:t xml:space="preserve"> incentive to </w:t>
      </w:r>
      <w:r w:rsidR="008F29F9" w:rsidRPr="00597FFB">
        <w:rPr>
          <w:rFonts w:ascii="Times New Roman" w:eastAsia="Times New Roman" w:hAnsi="Times New Roman" w:cs="Times New Roman"/>
          <w:bCs/>
          <w:color w:val="000000" w:themeColor="text1"/>
          <w:sz w:val="24"/>
          <w:szCs w:val="24"/>
        </w:rPr>
        <w:t>run</w:t>
      </w:r>
      <w:r w:rsidRPr="00597FFB">
        <w:rPr>
          <w:rFonts w:ascii="Times New Roman" w:eastAsia="Times New Roman" w:hAnsi="Times New Roman" w:cs="Times New Roman"/>
          <w:bCs/>
          <w:color w:val="000000" w:themeColor="text1"/>
          <w:sz w:val="24"/>
          <w:szCs w:val="24"/>
        </w:rPr>
        <w:t xml:space="preserve"> </w:t>
      </w:r>
      <w:r w:rsidR="008F29F9" w:rsidRPr="00597FFB">
        <w:rPr>
          <w:rFonts w:ascii="Times New Roman" w:eastAsia="Times New Roman" w:hAnsi="Times New Roman" w:cs="Times New Roman"/>
          <w:bCs/>
          <w:color w:val="000000" w:themeColor="text1"/>
          <w:sz w:val="24"/>
          <w:szCs w:val="24"/>
        </w:rPr>
        <w:t>EWR</w:t>
      </w:r>
      <w:r w:rsidRPr="00597FFB">
        <w:rPr>
          <w:rFonts w:ascii="Times New Roman" w:eastAsia="Times New Roman" w:hAnsi="Times New Roman" w:cs="Times New Roman"/>
          <w:bCs/>
          <w:color w:val="000000" w:themeColor="text1"/>
          <w:sz w:val="24"/>
          <w:szCs w:val="24"/>
        </w:rPr>
        <w:t xml:space="preserve"> companies </w:t>
      </w:r>
      <w:r w:rsidRPr="00597FFB">
        <w:rPr>
          <w:rFonts w:ascii="Times New Roman" w:eastAsiaTheme="minorHAnsi" w:hAnsi="Times New Roman" w:cs="Times New Roman"/>
          <w:color w:val="000000" w:themeColor="text1"/>
          <w:sz w:val="24"/>
        </w:rPr>
        <w:t>(Cai et al., 2020)</w:t>
      </w:r>
      <w:r w:rsidRPr="00597FFB">
        <w:rPr>
          <w:rFonts w:ascii="Times New Roman" w:eastAsia="Times New Roman" w:hAnsi="Times New Roman" w:cs="Times New Roman"/>
          <w:bCs/>
          <w:color w:val="000000" w:themeColor="text1"/>
          <w:sz w:val="24"/>
          <w:szCs w:val="24"/>
        </w:rPr>
        <w:t xml:space="preserve">. Importantly, </w:t>
      </w:r>
      <w:r w:rsidRPr="00597FFB">
        <w:rPr>
          <w:rFonts w:ascii="Times New Roman" w:eastAsiaTheme="minorHAnsi" w:hAnsi="Times New Roman" w:cs="Times New Roman"/>
          <w:color w:val="000000" w:themeColor="text1"/>
          <w:sz w:val="24"/>
        </w:rPr>
        <w:t>Islam and Huda (2020)</w:t>
      </w:r>
      <w:r w:rsidRPr="00597FFB">
        <w:rPr>
          <w:rFonts w:ascii="Times New Roman" w:eastAsia="Times New Roman" w:hAnsi="Times New Roman" w:cs="Times New Roman"/>
          <w:bCs/>
          <w:color w:val="000000" w:themeColor="text1"/>
          <w:sz w:val="24"/>
          <w:szCs w:val="24"/>
        </w:rPr>
        <w:t xml:space="preserve"> found that the </w:t>
      </w:r>
      <w:r w:rsidR="008F29F9" w:rsidRPr="00597FFB">
        <w:rPr>
          <w:rFonts w:ascii="Times New Roman" w:eastAsia="Times New Roman" w:hAnsi="Times New Roman" w:cs="Times New Roman"/>
          <w:bCs/>
          <w:color w:val="000000" w:themeColor="text1"/>
          <w:sz w:val="24"/>
          <w:szCs w:val="24"/>
        </w:rPr>
        <w:t>EWR</w:t>
      </w:r>
      <w:r w:rsidRPr="00597FFB">
        <w:rPr>
          <w:rFonts w:ascii="Times New Roman" w:eastAsia="Times New Roman" w:hAnsi="Times New Roman" w:cs="Times New Roman"/>
          <w:bCs/>
          <w:color w:val="000000" w:themeColor="text1"/>
          <w:sz w:val="24"/>
          <w:szCs w:val="24"/>
        </w:rPr>
        <w:t xml:space="preserve"> sector provides economic benefits in terms of </w:t>
      </w:r>
      <w:r w:rsidR="008F29F9" w:rsidRPr="00597FFB">
        <w:rPr>
          <w:rFonts w:ascii="Times New Roman" w:eastAsia="Times New Roman" w:hAnsi="Times New Roman" w:cs="Times New Roman"/>
          <w:bCs/>
          <w:color w:val="000000" w:themeColor="text1"/>
          <w:sz w:val="24"/>
          <w:szCs w:val="24"/>
        </w:rPr>
        <w:t>jobs</w:t>
      </w:r>
      <w:r w:rsidRPr="00597FFB">
        <w:rPr>
          <w:rFonts w:ascii="Times New Roman" w:eastAsia="Times New Roman" w:hAnsi="Times New Roman" w:cs="Times New Roman"/>
          <w:bCs/>
          <w:color w:val="000000" w:themeColor="text1"/>
          <w:sz w:val="24"/>
          <w:szCs w:val="24"/>
        </w:rPr>
        <w:t xml:space="preserve"> and support for livelihoods for both the informal sector such as waste pickers and the formal sector through high-end, white-collar jobs for professionals such as engineers.</w:t>
      </w:r>
    </w:p>
    <w:p w14:paraId="2421DA59" w14:textId="2452D4F7" w:rsidR="0003140E" w:rsidRPr="00597FFB" w:rsidRDefault="0003140E" w:rsidP="00A558FE">
      <w:pPr>
        <w:spacing w:after="0"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 their study, Alghazo et al. (2019) developed a model to analyze and create projections of the economic value of e-waste in millions of euros in the Gulf Corporation Council (GCC) for the period 2018 to 2040. They developed three scenarios that were classified as low, medium, and high scenarios, as shown in Figure </w:t>
      </w:r>
      <w:r w:rsidR="00D90F26" w:rsidRPr="00597FFB">
        <w:rPr>
          <w:rFonts w:ascii="Times New Roman" w:eastAsia="Times New Roman" w:hAnsi="Times New Roman" w:cs="Times New Roman"/>
          <w:bCs/>
          <w:color w:val="000000" w:themeColor="text1"/>
          <w:sz w:val="24"/>
          <w:szCs w:val="24"/>
        </w:rPr>
        <w:t>5</w:t>
      </w:r>
      <w:r w:rsidRPr="00597FFB">
        <w:rPr>
          <w:rFonts w:ascii="Times New Roman" w:eastAsia="Times New Roman" w:hAnsi="Times New Roman" w:cs="Times New Roman"/>
          <w:bCs/>
          <w:color w:val="000000" w:themeColor="text1"/>
          <w:sz w:val="24"/>
          <w:szCs w:val="24"/>
        </w:rPr>
        <w:t>. Based on their model the economic worth of the e-waste generated in the UAE was between Euro 1.028 and 1.042 billion in 2018 and was projected to rise to between Euro 1.312 and 1.49 billion in 2040. In both instances and across the low, medium, and high scenarios, UAE’s e-waste economic value was only second to Saudi Arabia (Alghazo et al., 2019).</w:t>
      </w:r>
    </w:p>
    <w:p w14:paraId="3DDB44CB" w14:textId="11452B00" w:rsidR="00A56EE5" w:rsidRPr="00597FFB" w:rsidRDefault="00A56EE5" w:rsidP="00463A8E">
      <w:pPr>
        <w:pStyle w:val="Heading2"/>
        <w:spacing w:line="480" w:lineRule="auto"/>
        <w:rPr>
          <w:rFonts w:asciiTheme="majorBidi" w:hAnsiTheme="majorBidi"/>
          <w:b/>
          <w:bCs/>
          <w:color w:val="000000" w:themeColor="text1"/>
          <w:sz w:val="24"/>
          <w:szCs w:val="24"/>
        </w:rPr>
      </w:pPr>
      <w:bookmarkStart w:id="121" w:name="_Toc127170288"/>
      <w:r w:rsidRPr="00597FFB">
        <w:rPr>
          <w:rFonts w:asciiTheme="majorBidi" w:hAnsiTheme="majorBidi"/>
          <w:b/>
          <w:bCs/>
          <w:color w:val="000000" w:themeColor="text1"/>
          <w:sz w:val="24"/>
          <w:szCs w:val="24"/>
        </w:rPr>
        <w:t>2.6. Consumers’ Recycling Behavior.</w:t>
      </w:r>
      <w:bookmarkEnd w:id="121"/>
    </w:p>
    <w:p w14:paraId="41C24540" w14:textId="0EBC80E4" w:rsidR="0003140E" w:rsidRPr="00597FFB" w:rsidRDefault="00A56EE5"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E-waste affects consumers especially when they need to discard and/or replace obsolete products or old equipment (Allison, 2019). Keeping unused EEE consumes storage space, customers incur fees for recycling and disposal, and are faced with the risk of potential environmental contamination from recycling and disposal processes. Therefore, the cumulative cost to consumers of replacing this equipment may be significant (Allison, 2019).</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Thus, recycling and involving consumers fully in proper e-waste collection is important if high recycling rates are to be achieved. Indeed, </w:t>
      </w:r>
      <w:r w:rsidRPr="00597FFB">
        <w:rPr>
          <w:rFonts w:ascii="Times New Roman" w:eastAsiaTheme="minorHAnsi" w:hAnsi="Times New Roman" w:cs="Times New Roman"/>
          <w:color w:val="000000" w:themeColor="text1"/>
          <w:sz w:val="24"/>
        </w:rPr>
        <w:t>Dhir et al. (2021)</w:t>
      </w:r>
      <w:r w:rsidRPr="00597FFB">
        <w:rPr>
          <w:rFonts w:ascii="Times New Roman" w:eastAsiaTheme="minorHAnsi" w:hAnsi="Times New Roman" w:cs="Times New Roman"/>
          <w:color w:val="000000" w:themeColor="text1"/>
          <w:sz w:val="24"/>
          <w:szCs w:val="24"/>
        </w:rPr>
        <w:t xml:space="preserve"> underscored the importance of consumer behavior in both EWM and EWR in the USA. In two different studies, Parajuly et al. (2020) and Dhir et al. (2021) </w:t>
      </w:r>
      <w:r w:rsidRPr="00597FFB">
        <w:rPr>
          <w:rFonts w:ascii="Times New Roman" w:eastAsia="Calibri" w:hAnsi="Times New Roman" w:cs="Times New Roman"/>
          <w:color w:val="000000" w:themeColor="text1"/>
          <w:sz w:val="24"/>
          <w:szCs w:val="24"/>
        </w:rPr>
        <w:t>examined</w:t>
      </w:r>
      <w:r w:rsidRPr="00597FFB">
        <w:rPr>
          <w:rFonts w:ascii="Times New Roman" w:eastAsiaTheme="minorHAnsi" w:hAnsi="Times New Roman" w:cs="Times New Roman"/>
          <w:color w:val="000000" w:themeColor="text1"/>
          <w:sz w:val="24"/>
          <w:szCs w:val="24"/>
        </w:rPr>
        <w:t xml:space="preserve"> several variables that could influence consumers' intentions toward e-waste recycling </w:t>
      </w:r>
      <w:r w:rsidRPr="00597FFB">
        <w:rPr>
          <w:rFonts w:ascii="Times New Roman" w:eastAsia="Calibri" w:hAnsi="Times New Roman" w:cs="Times New Roman"/>
          <w:color w:val="000000" w:themeColor="text1"/>
          <w:sz w:val="24"/>
          <w:szCs w:val="24"/>
        </w:rPr>
        <w:t>behavior</w:t>
      </w:r>
      <w:r w:rsidRPr="00597FFB">
        <w:rPr>
          <w:rFonts w:ascii="Times New Roman" w:eastAsiaTheme="minorHAnsi" w:hAnsi="Times New Roman" w:cs="Times New Roman"/>
          <w:color w:val="000000" w:themeColor="text1"/>
          <w:sz w:val="24"/>
          <w:szCs w:val="24"/>
        </w:rPr>
        <w:t>. Examples include lack of or inadequate incentives, ignorance on the significance of e-waste recycling, lack of supportive policy, and unsupportive business models that continually propel the production and use of short end of life EEE (Parajuly et al., 2020).</w:t>
      </w:r>
    </w:p>
    <w:p w14:paraId="54E77593" w14:textId="08E1F0AF" w:rsidR="0003140E" w:rsidRPr="00597FFB" w:rsidRDefault="0003140E" w:rsidP="0003140E">
      <w:pPr>
        <w:keepNext/>
        <w:spacing w:after="0" w:line="240" w:lineRule="auto"/>
        <w:ind w:left="1890" w:hanging="1890"/>
        <w:rPr>
          <w:rFonts w:ascii="Times New Roman" w:eastAsiaTheme="minorHAnsi" w:hAnsi="Times New Roman" w:cs="Times New Roman"/>
          <w:i/>
          <w:iCs/>
          <w:color w:val="000000" w:themeColor="text1"/>
        </w:rPr>
      </w:pPr>
      <w:r w:rsidRPr="00597FFB">
        <w:rPr>
          <w:rFonts w:ascii="Times New Roman" w:eastAsiaTheme="minorHAnsi" w:hAnsi="Times New Roman" w:cs="Times New Roman"/>
          <w:b/>
          <w:bCs/>
          <w:color w:val="000000" w:themeColor="text1"/>
        </w:rPr>
        <w:t xml:space="preserve">Figure </w:t>
      </w:r>
      <w:r w:rsidR="00C16429" w:rsidRPr="00597FFB">
        <w:rPr>
          <w:rFonts w:ascii="Times New Roman" w:eastAsiaTheme="minorHAnsi" w:hAnsi="Times New Roman" w:cs="Times New Roman"/>
          <w:b/>
          <w:bCs/>
          <w:color w:val="000000" w:themeColor="text1"/>
        </w:rPr>
        <w:t xml:space="preserve">6: </w:t>
      </w:r>
      <w:r w:rsidRPr="00597FFB">
        <w:rPr>
          <w:rFonts w:ascii="Times New Roman" w:eastAsiaTheme="minorHAnsi" w:hAnsi="Times New Roman" w:cs="Times New Roman"/>
          <w:i/>
          <w:iCs/>
          <w:color w:val="000000" w:themeColor="text1"/>
        </w:rPr>
        <w:t>E</w:t>
      </w:r>
      <w:r w:rsidR="00C16429" w:rsidRPr="00597FFB">
        <w:rPr>
          <w:rFonts w:ascii="Times New Roman" w:eastAsiaTheme="minorHAnsi" w:hAnsi="Times New Roman" w:cs="Times New Roman"/>
          <w:i/>
          <w:iCs/>
          <w:color w:val="000000" w:themeColor="text1"/>
        </w:rPr>
        <w:t xml:space="preserve">-Waste Economic Value Analyses </w:t>
      </w:r>
      <w:r w:rsidR="00A56EE5" w:rsidRPr="00597FFB">
        <w:rPr>
          <w:rFonts w:ascii="Times New Roman" w:eastAsiaTheme="minorHAnsi" w:hAnsi="Times New Roman" w:cs="Times New Roman"/>
          <w:i/>
          <w:iCs/>
          <w:color w:val="000000" w:themeColor="text1"/>
        </w:rPr>
        <w:t>a</w:t>
      </w:r>
      <w:r w:rsidR="00C16429" w:rsidRPr="00597FFB">
        <w:rPr>
          <w:rFonts w:ascii="Times New Roman" w:eastAsiaTheme="minorHAnsi" w:hAnsi="Times New Roman" w:cs="Times New Roman"/>
          <w:i/>
          <w:iCs/>
          <w:color w:val="000000" w:themeColor="text1"/>
        </w:rPr>
        <w:t xml:space="preserve">nd Projections </w:t>
      </w:r>
      <w:r w:rsidR="00A56EE5" w:rsidRPr="00597FFB">
        <w:rPr>
          <w:rFonts w:ascii="Times New Roman" w:eastAsiaTheme="minorHAnsi" w:hAnsi="Times New Roman" w:cs="Times New Roman"/>
          <w:i/>
          <w:iCs/>
          <w:color w:val="000000" w:themeColor="text1"/>
        </w:rPr>
        <w:t>i</w:t>
      </w:r>
      <w:r w:rsidR="00C16429" w:rsidRPr="00597FFB">
        <w:rPr>
          <w:rFonts w:ascii="Times New Roman" w:eastAsiaTheme="minorHAnsi" w:hAnsi="Times New Roman" w:cs="Times New Roman"/>
          <w:i/>
          <w:iCs/>
          <w:color w:val="000000" w:themeColor="text1"/>
        </w:rPr>
        <w:t xml:space="preserve">n The </w:t>
      </w:r>
      <w:r w:rsidRPr="00597FFB">
        <w:rPr>
          <w:rFonts w:ascii="Times New Roman" w:eastAsiaTheme="minorHAnsi" w:hAnsi="Times New Roman" w:cs="Times New Roman"/>
          <w:i/>
          <w:iCs/>
          <w:color w:val="000000" w:themeColor="text1"/>
        </w:rPr>
        <w:t xml:space="preserve">GCC </w:t>
      </w:r>
      <w:r w:rsidR="00C16429" w:rsidRPr="00597FFB">
        <w:rPr>
          <w:rFonts w:ascii="Times New Roman" w:eastAsiaTheme="minorHAnsi" w:hAnsi="Times New Roman" w:cs="Times New Roman"/>
          <w:i/>
          <w:iCs/>
          <w:color w:val="000000" w:themeColor="text1"/>
        </w:rPr>
        <w:t>(2018-2040).</w:t>
      </w:r>
    </w:p>
    <w:p w14:paraId="10317F8B" w14:textId="77777777" w:rsidR="0070716D" w:rsidRPr="00597FFB" w:rsidRDefault="0070716D" w:rsidP="0003140E">
      <w:pPr>
        <w:keepNext/>
        <w:spacing w:after="0" w:line="240" w:lineRule="auto"/>
        <w:ind w:left="1890" w:hanging="1890"/>
        <w:rPr>
          <w:rFonts w:ascii="Times New Roman" w:eastAsiaTheme="minorHAnsi" w:hAnsi="Times New Roman" w:cs="Times New Roman"/>
          <w:color w:val="000000" w:themeColor="text1"/>
        </w:rPr>
      </w:pPr>
    </w:p>
    <w:p w14:paraId="4E9673A0" w14:textId="4935CA82" w:rsidR="0003140E" w:rsidRPr="00597FFB" w:rsidRDefault="0003140E" w:rsidP="0003140E">
      <w:pPr>
        <w:spacing w:after="0" w:line="240" w:lineRule="auto"/>
        <w:jc w:val="center"/>
        <w:rPr>
          <w:rFonts w:ascii="Times New Roman" w:eastAsiaTheme="minorHAnsi" w:hAnsi="Times New Roman" w:cs="Times New Roman"/>
          <w:color w:val="000000" w:themeColor="text1"/>
          <w:sz w:val="24"/>
          <w:szCs w:val="24"/>
        </w:rPr>
      </w:pPr>
      <w:r w:rsidRPr="00597FFB">
        <w:rPr>
          <w:rFonts w:eastAsiaTheme="minorHAnsi"/>
          <w:noProof/>
          <w:color w:val="000000" w:themeColor="text1"/>
          <w:lang w:val="en-GB"/>
        </w:rPr>
        <w:drawing>
          <wp:inline distT="0" distB="0" distL="0" distR="0" wp14:anchorId="06A16E21" wp14:editId="2FA6B69E">
            <wp:extent cx="4380686" cy="2590800"/>
            <wp:effectExtent l="0" t="0" r="127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26488" cy="2617888"/>
                    </a:xfrm>
                    <a:prstGeom prst="rect">
                      <a:avLst/>
                    </a:prstGeom>
                  </pic:spPr>
                </pic:pic>
              </a:graphicData>
            </a:graphic>
          </wp:inline>
        </w:drawing>
      </w:r>
    </w:p>
    <w:p w14:paraId="7CDE9830" w14:textId="7D895704" w:rsidR="0003140E" w:rsidRPr="00597FFB" w:rsidRDefault="0003140E" w:rsidP="0003140E">
      <w:pPr>
        <w:spacing w:after="0" w:line="480" w:lineRule="auto"/>
        <w:rPr>
          <w:rFonts w:ascii="Times New Roman" w:eastAsiaTheme="minorHAnsi" w:hAnsi="Times New Roman" w:cs="Times New Roman"/>
          <w:i/>
          <w:iCs/>
          <w:color w:val="000000" w:themeColor="text1"/>
        </w:rPr>
      </w:pPr>
      <w:r w:rsidRPr="00597FFB">
        <w:rPr>
          <w:rFonts w:ascii="Times New Roman" w:eastAsiaTheme="minorHAnsi" w:hAnsi="Times New Roman" w:cs="Times New Roman"/>
          <w:i/>
          <w:iCs/>
          <w:color w:val="000000" w:themeColor="text1"/>
          <w:sz w:val="20"/>
          <w:szCs w:val="20"/>
        </w:rPr>
        <w:t xml:space="preserve">Source: </w:t>
      </w:r>
      <w:r w:rsidR="00E13BB7" w:rsidRPr="00597FFB">
        <w:rPr>
          <w:rFonts w:ascii="Times New Roman" w:eastAsiaTheme="minorHAnsi" w:hAnsi="Times New Roman" w:cs="Times New Roman"/>
          <w:i/>
          <w:iCs/>
          <w:color w:val="000000" w:themeColor="text1"/>
          <w:sz w:val="20"/>
          <w:szCs w:val="20"/>
        </w:rPr>
        <w:t>Bocken</w:t>
      </w:r>
      <w:r w:rsidRPr="00597FFB">
        <w:rPr>
          <w:rFonts w:ascii="Times New Roman" w:eastAsiaTheme="minorHAnsi" w:hAnsi="Times New Roman" w:cs="Times New Roman"/>
          <w:i/>
          <w:iCs/>
          <w:color w:val="000000" w:themeColor="text1"/>
          <w:sz w:val="20"/>
          <w:szCs w:val="20"/>
        </w:rPr>
        <w:t xml:space="preserve"> et al. (20</w:t>
      </w:r>
      <w:r w:rsidR="00223EA0" w:rsidRPr="00597FFB">
        <w:rPr>
          <w:rFonts w:ascii="Times New Roman" w:eastAsiaTheme="minorHAnsi" w:hAnsi="Times New Roman" w:cs="Times New Roman"/>
          <w:i/>
          <w:iCs/>
          <w:color w:val="000000" w:themeColor="text1"/>
          <w:sz w:val="20"/>
          <w:szCs w:val="20"/>
        </w:rPr>
        <w:t>21</w:t>
      </w:r>
      <w:r w:rsidRPr="00597FFB">
        <w:rPr>
          <w:rFonts w:ascii="Times New Roman" w:eastAsiaTheme="minorHAnsi" w:hAnsi="Times New Roman" w:cs="Times New Roman"/>
          <w:i/>
          <w:iCs/>
          <w:color w:val="000000" w:themeColor="text1"/>
        </w:rPr>
        <w:t>)</w:t>
      </w:r>
      <w:r w:rsidR="00223EA0" w:rsidRPr="00597FFB">
        <w:rPr>
          <w:rFonts w:ascii="Times New Roman" w:eastAsiaTheme="minorHAnsi" w:hAnsi="Times New Roman" w:cs="Times New Roman"/>
          <w:i/>
          <w:iCs/>
          <w:color w:val="000000" w:themeColor="text1"/>
        </w:rPr>
        <w:t>.</w:t>
      </w:r>
    </w:p>
    <w:p w14:paraId="0C17ECA4" w14:textId="4700732D" w:rsidR="0003140E" w:rsidRPr="00597FFB" w:rsidRDefault="0003140E" w:rsidP="00A558FE">
      <w:pPr>
        <w:spacing w:line="480" w:lineRule="auto"/>
        <w:ind w:firstLine="720"/>
        <w:jc w:val="both"/>
        <w:rPr>
          <w:rFonts w:ascii="Times New Roman" w:eastAsiaTheme="minorHAnsi" w:hAnsi="Times New Roman" w:cs="Times New Roman"/>
          <w:b/>
          <w:color w:val="000000" w:themeColor="text1"/>
          <w:sz w:val="24"/>
          <w:szCs w:val="24"/>
        </w:rPr>
      </w:pPr>
      <w:bookmarkStart w:id="122" w:name="_Hlk73884301"/>
      <w:r w:rsidRPr="00597FFB">
        <w:rPr>
          <w:rFonts w:ascii="Times New Roman" w:eastAsiaTheme="minorHAnsi" w:hAnsi="Times New Roman" w:cs="Times New Roman"/>
          <w:color w:val="000000" w:themeColor="text1"/>
          <w:sz w:val="24"/>
          <w:szCs w:val="24"/>
        </w:rPr>
        <w:t xml:space="preserve">Regarding e-waste, consumers can be divided into two categories i.e., </w:t>
      </w:r>
      <w:r w:rsidRPr="00597FFB">
        <w:rPr>
          <w:rFonts w:ascii="Times New Roman" w:eastAsia="Calibri" w:hAnsi="Times New Roman" w:cs="Times New Roman"/>
          <w:color w:val="000000" w:themeColor="text1"/>
          <w:sz w:val="24"/>
          <w:szCs w:val="24"/>
        </w:rPr>
        <w:t xml:space="preserve">EE customers (users) and holders </w:t>
      </w:r>
      <w:r w:rsidRPr="00597FFB">
        <w:rPr>
          <w:rFonts w:ascii="Times New Roman" w:eastAsiaTheme="minorHAnsi" w:hAnsi="Times New Roman" w:cs="Times New Roman"/>
          <w:color w:val="000000" w:themeColor="text1"/>
          <w:sz w:val="24"/>
          <w:szCs w:val="24"/>
        </w:rPr>
        <w:t xml:space="preserve">of e-waste (disposal). </w:t>
      </w:r>
      <w:bookmarkEnd w:id="122"/>
      <w:r w:rsidRPr="00597FFB">
        <w:rPr>
          <w:rFonts w:ascii="Times New Roman" w:eastAsiaTheme="minorHAnsi" w:hAnsi="Times New Roman" w:cs="Times New Roman"/>
          <w:color w:val="000000" w:themeColor="text1"/>
          <w:sz w:val="24"/>
        </w:rPr>
        <w:t>Dhir et al. (2021)</w:t>
      </w:r>
      <w:r w:rsidRPr="00597FFB">
        <w:rPr>
          <w:rFonts w:ascii="Times New Roman" w:eastAsia="Times New Roman" w:hAnsi="Times New Roman" w:cs="Times New Roman"/>
          <w:bCs/>
          <w:color w:val="000000" w:themeColor="text1"/>
          <w:sz w:val="24"/>
          <w:szCs w:val="24"/>
        </w:rPr>
        <w:t xml:space="preserve"> identified several factors that influence return and recycling behavior with the potential of serving as either drivers or barriers </w:t>
      </w:r>
      <w:r w:rsidR="008F29F9" w:rsidRPr="00597FFB">
        <w:rPr>
          <w:rFonts w:ascii="Times New Roman" w:eastAsia="Times New Roman" w:hAnsi="Times New Roman" w:cs="Times New Roman"/>
          <w:bCs/>
          <w:color w:val="000000" w:themeColor="text1"/>
          <w:sz w:val="24"/>
          <w:szCs w:val="24"/>
        </w:rPr>
        <w:t>subject to</w:t>
      </w:r>
      <w:r w:rsidRPr="00597FFB">
        <w:rPr>
          <w:rFonts w:ascii="Times New Roman" w:eastAsia="Times New Roman" w:hAnsi="Times New Roman" w:cs="Times New Roman"/>
          <w:bCs/>
          <w:color w:val="000000" w:themeColor="text1"/>
          <w:sz w:val="24"/>
          <w:szCs w:val="24"/>
        </w:rPr>
        <w:t xml:space="preserve"> the social context and were categorized as </w:t>
      </w:r>
      <w:r w:rsidR="008F29F9" w:rsidRPr="00597FFB">
        <w:rPr>
          <w:rFonts w:ascii="Times New Roman" w:eastAsia="Times New Roman" w:hAnsi="Times New Roman" w:cs="Times New Roman"/>
          <w:bCs/>
          <w:color w:val="000000" w:themeColor="text1"/>
          <w:sz w:val="24"/>
          <w:szCs w:val="24"/>
        </w:rPr>
        <w:t xml:space="preserve">external </w:t>
      </w:r>
      <w:r w:rsidRPr="00597FFB">
        <w:rPr>
          <w:rFonts w:ascii="Times New Roman" w:eastAsia="Times New Roman" w:hAnsi="Times New Roman" w:cs="Times New Roman"/>
          <w:bCs/>
          <w:color w:val="000000" w:themeColor="text1"/>
          <w:sz w:val="24"/>
          <w:szCs w:val="24"/>
        </w:rPr>
        <w:t>or</w:t>
      </w:r>
      <w:r w:rsidR="008F29F9" w:rsidRPr="00597FFB">
        <w:rPr>
          <w:rFonts w:ascii="Times New Roman" w:eastAsia="Times New Roman" w:hAnsi="Times New Roman" w:cs="Times New Roman"/>
          <w:bCs/>
          <w:color w:val="000000" w:themeColor="text1"/>
          <w:sz w:val="24"/>
          <w:szCs w:val="24"/>
        </w:rPr>
        <w:t xml:space="preserve"> internal</w:t>
      </w:r>
      <w:r w:rsidRPr="00597FFB">
        <w:rPr>
          <w:rFonts w:ascii="Times New Roman" w:eastAsia="Times New Roman" w:hAnsi="Times New Roman" w:cs="Times New Roman"/>
          <w:bCs/>
          <w:color w:val="000000" w:themeColor="text1"/>
          <w:sz w:val="24"/>
          <w:szCs w:val="24"/>
        </w:rPr>
        <w:t>, technical or organizational factors, sociopsychological factors, and context-specific factors. Technical or organizational factors include collection schemes for households to recycle (e.g., special containers, collection vehicles, unique methods, and distance to collection points). Sociopsychological factors encompass motivational factors (i.e., general environmental concerns, moral norms, legal norms, and social norms) and situational factors (i.e., information, knowledge, past behavior, personal effort). As for context-specific factors, they include a large and diverse number of variables such as population density, political alliance, religious identity and sense of community (Dhir et al., 2021). These factors may further be perceived as either internal or external factors, as discussed below</w:t>
      </w:r>
      <w:r w:rsidRPr="00597FFB">
        <w:rPr>
          <w:rFonts w:ascii="Times New Roman" w:eastAsia="Times New Roman" w:hAnsi="Times New Roman" w:cs="Times New Roman"/>
          <w:bCs/>
          <w:color w:val="FF0000"/>
          <w:sz w:val="24"/>
          <w:szCs w:val="24"/>
        </w:rPr>
        <w:t>.</w:t>
      </w:r>
    </w:p>
    <w:p w14:paraId="0CDDFF76" w14:textId="439296BE" w:rsidR="0003140E" w:rsidRPr="00597FFB" w:rsidRDefault="00C63701"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23" w:name="_Toc127170289"/>
      <w:r w:rsidRPr="00597FFB">
        <w:rPr>
          <w:rFonts w:ascii="Times New Roman" w:eastAsia="Calibri" w:hAnsi="Times New Roman" w:cs="Times New Roman"/>
          <w:i/>
          <w:iCs/>
          <w:color w:val="000000" w:themeColor="text1"/>
          <w:sz w:val="24"/>
          <w:szCs w:val="24"/>
        </w:rPr>
        <w:t xml:space="preserve">2.6.1. </w:t>
      </w:r>
      <w:r w:rsidR="0003140E" w:rsidRPr="00597FFB">
        <w:rPr>
          <w:rFonts w:ascii="Times New Roman" w:eastAsia="Calibri" w:hAnsi="Times New Roman" w:cs="Times New Roman"/>
          <w:i/>
          <w:iCs/>
          <w:color w:val="000000" w:themeColor="text1"/>
          <w:sz w:val="24"/>
          <w:szCs w:val="24"/>
        </w:rPr>
        <w:t>Internal</w:t>
      </w:r>
      <w:r w:rsidR="0003140E" w:rsidRPr="00597FFB">
        <w:rPr>
          <w:rFonts w:ascii="Times New Roman" w:eastAsia="Times New Roman" w:hAnsi="Times New Roman" w:cs="Times New Roman"/>
          <w:i/>
          <w:iCs/>
          <w:color w:val="000000" w:themeColor="text1"/>
          <w:sz w:val="24"/>
          <w:szCs w:val="24"/>
        </w:rPr>
        <w:t xml:space="preserve"> </w:t>
      </w:r>
      <w:r w:rsidR="0003140E" w:rsidRPr="00597FFB">
        <w:rPr>
          <w:rFonts w:ascii="Times New Roman" w:eastAsia="Calibri" w:hAnsi="Times New Roman" w:cs="Times New Roman"/>
          <w:i/>
          <w:iCs/>
          <w:color w:val="000000" w:themeColor="text1"/>
          <w:sz w:val="24"/>
          <w:szCs w:val="24"/>
        </w:rPr>
        <w:t>Factors</w:t>
      </w:r>
      <w:r w:rsidR="00DC518A" w:rsidRPr="00597FFB">
        <w:rPr>
          <w:rFonts w:ascii="Times New Roman" w:eastAsia="Calibri" w:hAnsi="Times New Roman" w:cs="Times New Roman"/>
          <w:i/>
          <w:iCs/>
          <w:color w:val="000000" w:themeColor="text1"/>
          <w:sz w:val="24"/>
          <w:szCs w:val="24"/>
        </w:rPr>
        <w:t>.</w:t>
      </w:r>
      <w:bookmarkEnd w:id="123"/>
    </w:p>
    <w:p w14:paraId="3B9E07F7" w14:textId="05C88F2D"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Internal factors are the psychological determinants of behavior and include </w:t>
      </w:r>
      <w:r w:rsidR="008F29F9" w:rsidRPr="00597FFB">
        <w:rPr>
          <w:rFonts w:ascii="Times New Roman" w:eastAsia="Times New Roman" w:hAnsi="Times New Roman" w:cs="Times New Roman"/>
          <w:bCs/>
          <w:color w:val="000000" w:themeColor="text1"/>
          <w:sz w:val="24"/>
          <w:szCs w:val="24"/>
        </w:rPr>
        <w:t xml:space="preserve">social </w:t>
      </w:r>
      <w:r w:rsidRPr="00597FFB">
        <w:rPr>
          <w:rFonts w:ascii="Times New Roman" w:eastAsia="Times New Roman" w:hAnsi="Times New Roman" w:cs="Times New Roman"/>
          <w:bCs/>
          <w:color w:val="000000" w:themeColor="text1"/>
          <w:sz w:val="24"/>
          <w:szCs w:val="24"/>
        </w:rPr>
        <w:t xml:space="preserve">and </w:t>
      </w:r>
      <w:r w:rsidR="008F29F9" w:rsidRPr="00597FFB">
        <w:rPr>
          <w:rFonts w:ascii="Times New Roman" w:eastAsia="Times New Roman" w:hAnsi="Times New Roman" w:cs="Times New Roman"/>
          <w:bCs/>
          <w:color w:val="000000" w:themeColor="text1"/>
          <w:sz w:val="24"/>
          <w:szCs w:val="24"/>
        </w:rPr>
        <w:t xml:space="preserve">personal </w:t>
      </w:r>
      <w:r w:rsidRPr="00597FFB">
        <w:rPr>
          <w:rFonts w:ascii="Times New Roman" w:eastAsia="Times New Roman" w:hAnsi="Times New Roman" w:cs="Times New Roman"/>
          <w:bCs/>
          <w:color w:val="000000" w:themeColor="text1"/>
          <w:sz w:val="24"/>
          <w:szCs w:val="24"/>
        </w:rPr>
        <w:t xml:space="preserve">norms, </w:t>
      </w:r>
      <w:r w:rsidR="008F29F9" w:rsidRPr="00597FFB">
        <w:rPr>
          <w:rFonts w:ascii="Times New Roman" w:eastAsia="Times New Roman" w:hAnsi="Times New Roman" w:cs="Times New Roman"/>
          <w:bCs/>
          <w:color w:val="000000" w:themeColor="text1"/>
          <w:sz w:val="24"/>
          <w:szCs w:val="24"/>
        </w:rPr>
        <w:t xml:space="preserve">knowledge </w:t>
      </w:r>
      <w:r w:rsidRPr="00597FFB">
        <w:rPr>
          <w:rFonts w:ascii="Times New Roman" w:eastAsia="Times New Roman" w:hAnsi="Times New Roman" w:cs="Times New Roman"/>
          <w:bCs/>
          <w:color w:val="000000" w:themeColor="text1"/>
          <w:sz w:val="24"/>
          <w:szCs w:val="24"/>
        </w:rPr>
        <w:t xml:space="preserve">emotions, </w:t>
      </w:r>
      <w:r w:rsidR="008F29F9"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 xml:space="preserve">habits (Ajzen, 1991). In other words, internal factors are the drivers and barriers that are </w:t>
      </w:r>
      <w:r w:rsidR="00252C4F" w:rsidRPr="00597FFB">
        <w:rPr>
          <w:rFonts w:ascii="Times New Roman" w:eastAsia="Times New Roman" w:hAnsi="Times New Roman" w:cs="Times New Roman"/>
          <w:bCs/>
          <w:color w:val="000000" w:themeColor="text1"/>
          <w:sz w:val="24"/>
          <w:szCs w:val="24"/>
        </w:rPr>
        <w:t xml:space="preserve">under heavier </w:t>
      </w:r>
      <w:r w:rsidRPr="00597FFB">
        <w:rPr>
          <w:rFonts w:ascii="Times New Roman" w:eastAsia="Times New Roman" w:hAnsi="Times New Roman" w:cs="Times New Roman"/>
          <w:bCs/>
          <w:color w:val="000000" w:themeColor="text1"/>
          <w:sz w:val="24"/>
          <w:szCs w:val="24"/>
        </w:rPr>
        <w:t xml:space="preserve">influence at the </w:t>
      </w:r>
      <w:r w:rsidR="00252C4F" w:rsidRPr="00597FFB">
        <w:rPr>
          <w:rFonts w:ascii="Times New Roman" w:eastAsia="Times New Roman" w:hAnsi="Times New Roman" w:cs="Times New Roman"/>
          <w:bCs/>
          <w:color w:val="000000" w:themeColor="text1"/>
          <w:sz w:val="24"/>
          <w:szCs w:val="24"/>
        </w:rPr>
        <w:t>personal</w:t>
      </w:r>
      <w:r w:rsidRPr="00597FFB">
        <w:rPr>
          <w:rFonts w:ascii="Times New Roman" w:eastAsia="Times New Roman" w:hAnsi="Times New Roman" w:cs="Times New Roman"/>
          <w:bCs/>
          <w:color w:val="000000" w:themeColor="text1"/>
          <w:sz w:val="24"/>
          <w:szCs w:val="24"/>
        </w:rPr>
        <w:t xml:space="preserve"> level and develop </w:t>
      </w:r>
      <w:r w:rsidR="00252C4F" w:rsidRPr="00597FFB">
        <w:rPr>
          <w:rFonts w:ascii="Times New Roman" w:eastAsia="Times New Roman" w:hAnsi="Times New Roman" w:cs="Times New Roman"/>
          <w:bCs/>
          <w:color w:val="000000" w:themeColor="text1"/>
          <w:sz w:val="24"/>
          <w:szCs w:val="24"/>
        </w:rPr>
        <w:t xml:space="preserve">from </w:t>
      </w:r>
      <w:r w:rsidRPr="00597FFB">
        <w:rPr>
          <w:rFonts w:ascii="Times New Roman" w:eastAsia="Times New Roman" w:hAnsi="Times New Roman" w:cs="Times New Roman"/>
          <w:bCs/>
          <w:color w:val="000000" w:themeColor="text1"/>
          <w:sz w:val="24"/>
          <w:szCs w:val="24"/>
        </w:rPr>
        <w:t xml:space="preserve">and </w:t>
      </w:r>
      <w:r w:rsidR="00252C4F" w:rsidRPr="00597FFB">
        <w:rPr>
          <w:rFonts w:ascii="Times New Roman" w:eastAsia="Times New Roman" w:hAnsi="Times New Roman" w:cs="Times New Roman"/>
          <w:bCs/>
          <w:color w:val="000000" w:themeColor="text1"/>
          <w:sz w:val="24"/>
          <w:szCs w:val="24"/>
        </w:rPr>
        <w:t xml:space="preserve">within </w:t>
      </w:r>
      <w:r w:rsidRPr="00597FFB">
        <w:rPr>
          <w:rFonts w:ascii="Times New Roman" w:eastAsia="Times New Roman" w:hAnsi="Times New Roman" w:cs="Times New Roman"/>
          <w:bCs/>
          <w:color w:val="000000" w:themeColor="text1"/>
          <w:sz w:val="24"/>
          <w:szCs w:val="24"/>
        </w:rPr>
        <w:t xml:space="preserve">people’s interaction with their sociocultural environments </w:t>
      </w:r>
      <w:bookmarkStart w:id="124" w:name="_Hlk90654886"/>
      <w:r w:rsidRPr="00597FFB">
        <w:rPr>
          <w:rFonts w:ascii="Times New Roman" w:eastAsiaTheme="minorHAnsi" w:hAnsi="Times New Roman" w:cs="Times New Roman"/>
          <w:color w:val="000000" w:themeColor="text1"/>
          <w:sz w:val="24"/>
        </w:rPr>
        <w:t>(Asadi et al., 2021)</w:t>
      </w:r>
      <w:r w:rsidRPr="00597FFB">
        <w:rPr>
          <w:rFonts w:ascii="Times New Roman" w:eastAsia="Times New Roman" w:hAnsi="Times New Roman" w:cs="Times New Roman"/>
          <w:bCs/>
          <w:color w:val="000000" w:themeColor="text1"/>
          <w:sz w:val="24"/>
          <w:szCs w:val="24"/>
        </w:rPr>
        <w:t>.</w:t>
      </w:r>
      <w:bookmarkEnd w:id="124"/>
      <w:r w:rsidRPr="00597FFB">
        <w:rPr>
          <w:rFonts w:ascii="Times New Roman" w:eastAsia="Times New Roman" w:hAnsi="Times New Roman" w:cs="Times New Roman"/>
          <w:bCs/>
          <w:color w:val="000000" w:themeColor="text1"/>
          <w:sz w:val="24"/>
          <w:szCs w:val="24"/>
        </w:rPr>
        <w:t xml:space="preserve"> Internal factors include personal and social norms, habits and attitudes, and knowledge and awareness, as discussed below.</w:t>
      </w:r>
    </w:p>
    <w:p w14:paraId="52D2C325" w14:textId="04960241" w:rsidR="00A1155A" w:rsidRPr="00597FFB" w:rsidRDefault="00A1155A" w:rsidP="00A558FE">
      <w:pPr>
        <w:pStyle w:val="Heading3"/>
        <w:spacing w:line="480" w:lineRule="auto"/>
        <w:ind w:firstLine="720"/>
        <w:rPr>
          <w:rFonts w:ascii="Times New Roman" w:eastAsia="Times New Roman" w:hAnsi="Times New Roman" w:cs="Times New Roman"/>
          <w:bCs/>
          <w:color w:val="FF0000"/>
          <w:sz w:val="24"/>
          <w:szCs w:val="24"/>
        </w:rPr>
      </w:pPr>
      <w:bookmarkStart w:id="125" w:name="_Toc127170290"/>
      <w:r w:rsidRPr="00597FFB">
        <w:rPr>
          <w:rFonts w:asciiTheme="majorBidi" w:hAnsiTheme="majorBidi"/>
          <w:i/>
          <w:iCs/>
          <w:color w:val="000000" w:themeColor="text1"/>
          <w:sz w:val="24"/>
          <w:szCs w:val="24"/>
        </w:rPr>
        <w:t>2.6.1.1. Personal and Social Norms</w:t>
      </w:r>
      <w:r w:rsidR="00DC518A" w:rsidRPr="00597FFB">
        <w:rPr>
          <w:rFonts w:asciiTheme="majorBidi" w:hAnsiTheme="majorBidi"/>
          <w:i/>
          <w:iCs/>
          <w:color w:val="000000" w:themeColor="text1"/>
          <w:sz w:val="24"/>
          <w:szCs w:val="24"/>
        </w:rPr>
        <w:t>.</w:t>
      </w:r>
      <w:bookmarkEnd w:id="125"/>
    </w:p>
    <w:p w14:paraId="17213125" w14:textId="009BA82B" w:rsidR="0003140E" w:rsidRPr="00597FFB" w:rsidRDefault="00252C4F" w:rsidP="00252C4F">
      <w:pPr>
        <w:spacing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Social </w:t>
      </w:r>
      <w:r w:rsidR="0003140E" w:rsidRPr="00597FFB">
        <w:rPr>
          <w:rFonts w:ascii="Times New Roman" w:eastAsia="Times New Roman" w:hAnsi="Times New Roman" w:cs="Times New Roman"/>
          <w:bCs/>
          <w:color w:val="000000" w:themeColor="text1"/>
          <w:sz w:val="24"/>
          <w:szCs w:val="24"/>
        </w:rPr>
        <w:t xml:space="preserve">and </w:t>
      </w:r>
      <w:r w:rsidRPr="00597FFB">
        <w:rPr>
          <w:rFonts w:ascii="Times New Roman" w:eastAsia="Times New Roman" w:hAnsi="Times New Roman" w:cs="Times New Roman"/>
          <w:bCs/>
          <w:color w:val="000000" w:themeColor="text1"/>
          <w:sz w:val="24"/>
          <w:szCs w:val="24"/>
        </w:rPr>
        <w:t xml:space="preserve">personal </w:t>
      </w:r>
      <w:r w:rsidR="0003140E" w:rsidRPr="00597FFB">
        <w:rPr>
          <w:rFonts w:ascii="Times New Roman" w:eastAsia="Times New Roman" w:hAnsi="Times New Roman" w:cs="Times New Roman"/>
          <w:bCs/>
          <w:color w:val="000000" w:themeColor="text1"/>
          <w:sz w:val="24"/>
          <w:szCs w:val="24"/>
        </w:rPr>
        <w:t xml:space="preserve">norms </w:t>
      </w:r>
      <w:r w:rsidRPr="00597FFB">
        <w:rPr>
          <w:rFonts w:ascii="Times New Roman" w:eastAsia="Times New Roman" w:hAnsi="Times New Roman" w:cs="Times New Roman"/>
          <w:bCs/>
          <w:color w:val="000000" w:themeColor="text1"/>
          <w:sz w:val="24"/>
          <w:szCs w:val="24"/>
        </w:rPr>
        <w:t>serve</w:t>
      </w:r>
      <w:r w:rsidR="0003140E" w:rsidRPr="00597FFB">
        <w:rPr>
          <w:rFonts w:ascii="Times New Roman" w:eastAsia="Times New Roman" w:hAnsi="Times New Roman" w:cs="Times New Roman"/>
          <w:bCs/>
          <w:color w:val="000000" w:themeColor="text1"/>
          <w:sz w:val="24"/>
          <w:szCs w:val="24"/>
        </w:rPr>
        <w:t xml:space="preserve"> as driver</w:t>
      </w:r>
      <w:r w:rsidRPr="00597FFB">
        <w:rPr>
          <w:rFonts w:ascii="Times New Roman" w:eastAsia="Times New Roman" w:hAnsi="Times New Roman" w:cs="Times New Roman"/>
          <w:bCs/>
          <w:color w:val="000000" w:themeColor="text1"/>
          <w:sz w:val="24"/>
          <w:szCs w:val="24"/>
        </w:rPr>
        <w:t>s should</w:t>
      </w:r>
      <w:r w:rsidR="0003140E" w:rsidRPr="00597FFB">
        <w:rPr>
          <w:rFonts w:ascii="Times New Roman" w:eastAsia="Times New Roman" w:hAnsi="Times New Roman" w:cs="Times New Roman"/>
          <w:bCs/>
          <w:color w:val="000000" w:themeColor="text1"/>
          <w:sz w:val="24"/>
          <w:szCs w:val="24"/>
        </w:rPr>
        <w:t xml:space="preserve"> recycling </w:t>
      </w:r>
      <w:r w:rsidRPr="00597FFB">
        <w:rPr>
          <w:rFonts w:ascii="Times New Roman" w:eastAsia="Times New Roman" w:hAnsi="Times New Roman" w:cs="Times New Roman"/>
          <w:bCs/>
          <w:color w:val="000000" w:themeColor="text1"/>
          <w:sz w:val="24"/>
          <w:szCs w:val="24"/>
        </w:rPr>
        <w:t>be</w:t>
      </w:r>
      <w:r w:rsidR="0003140E" w:rsidRPr="00597FFB">
        <w:rPr>
          <w:rFonts w:ascii="Times New Roman" w:eastAsia="Times New Roman" w:hAnsi="Times New Roman" w:cs="Times New Roman"/>
          <w:bCs/>
          <w:color w:val="000000" w:themeColor="text1"/>
          <w:sz w:val="24"/>
          <w:szCs w:val="24"/>
        </w:rPr>
        <w:t xml:space="preserve"> socially desirable and</w:t>
      </w:r>
      <w:r w:rsidRPr="00597FFB">
        <w:rPr>
          <w:rFonts w:ascii="Times New Roman" w:eastAsia="Times New Roman" w:hAnsi="Times New Roman" w:cs="Times New Roman"/>
          <w:bCs/>
          <w:color w:val="000000" w:themeColor="text1"/>
          <w:sz w:val="24"/>
          <w:szCs w:val="24"/>
        </w:rPr>
        <w:t xml:space="preserve"> be established as</w:t>
      </w:r>
      <w:r w:rsidR="0003140E" w:rsidRPr="00597FFB">
        <w:rPr>
          <w:rFonts w:ascii="Times New Roman" w:eastAsia="Times New Roman" w:hAnsi="Times New Roman" w:cs="Times New Roman"/>
          <w:bCs/>
          <w:color w:val="000000" w:themeColor="text1"/>
          <w:sz w:val="24"/>
          <w:szCs w:val="24"/>
        </w:rPr>
        <w:t xml:space="preserve"> a common </w:t>
      </w:r>
      <w:r w:rsidRPr="00597FFB">
        <w:rPr>
          <w:rFonts w:ascii="Times New Roman" w:eastAsia="Times New Roman" w:hAnsi="Times New Roman" w:cs="Times New Roman"/>
          <w:bCs/>
          <w:color w:val="000000" w:themeColor="text1"/>
          <w:sz w:val="24"/>
          <w:szCs w:val="24"/>
        </w:rPr>
        <w:t xml:space="preserve">standard </w:t>
      </w:r>
      <w:r w:rsidR="0003140E" w:rsidRPr="00597FFB">
        <w:rPr>
          <w:rFonts w:ascii="Times New Roman" w:eastAsia="Times New Roman" w:hAnsi="Times New Roman" w:cs="Times New Roman"/>
          <w:bCs/>
          <w:color w:val="000000" w:themeColor="text1"/>
          <w:sz w:val="24"/>
          <w:szCs w:val="24"/>
        </w:rPr>
        <w:t>or</w:t>
      </w:r>
      <w:r w:rsidRPr="00597FFB">
        <w:rPr>
          <w:rFonts w:ascii="Times New Roman" w:eastAsia="Times New Roman" w:hAnsi="Times New Roman" w:cs="Times New Roman"/>
          <w:bCs/>
          <w:color w:val="000000" w:themeColor="text1"/>
          <w:sz w:val="24"/>
          <w:szCs w:val="24"/>
        </w:rPr>
        <w:t xml:space="preserve"> practice that</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leads to</w:t>
      </w:r>
      <w:r w:rsidR="0003140E" w:rsidRPr="00597FFB">
        <w:rPr>
          <w:rFonts w:ascii="Times New Roman" w:eastAsia="Times New Roman" w:hAnsi="Times New Roman" w:cs="Times New Roman"/>
          <w:bCs/>
          <w:color w:val="000000" w:themeColor="text1"/>
          <w:sz w:val="24"/>
          <w:szCs w:val="24"/>
        </w:rPr>
        <w:t xml:space="preserve"> social pressure to behave in a </w:t>
      </w:r>
      <w:r w:rsidRPr="00597FFB">
        <w:rPr>
          <w:rFonts w:ascii="Times New Roman" w:eastAsia="Times New Roman" w:hAnsi="Times New Roman" w:cs="Times New Roman"/>
          <w:bCs/>
          <w:color w:val="000000" w:themeColor="text1"/>
          <w:sz w:val="24"/>
          <w:szCs w:val="24"/>
        </w:rPr>
        <w:t xml:space="preserve">given </w:t>
      </w:r>
      <w:r w:rsidR="003D4CB1" w:rsidRPr="00597FFB">
        <w:rPr>
          <w:rFonts w:ascii="Times New Roman" w:eastAsia="Times New Roman" w:hAnsi="Times New Roman" w:cs="Times New Roman"/>
          <w:bCs/>
          <w:color w:val="000000" w:themeColor="text1"/>
          <w:sz w:val="24"/>
          <w:szCs w:val="24"/>
        </w:rPr>
        <w:t>manner</w:t>
      </w:r>
      <w:r w:rsidR="003D4CB1" w:rsidRPr="00597FFB">
        <w:rPr>
          <w:rFonts w:ascii="Times New Roman" w:eastAsiaTheme="minorHAnsi" w:hAnsi="Times New Roman" w:cs="Times New Roman"/>
          <w:color w:val="000000" w:themeColor="text1"/>
          <w:sz w:val="24"/>
        </w:rPr>
        <w:t xml:space="preserve"> (</w:t>
      </w:r>
      <w:r w:rsidR="0003140E" w:rsidRPr="00597FFB">
        <w:rPr>
          <w:rFonts w:ascii="Times New Roman" w:eastAsiaTheme="minorHAnsi" w:hAnsi="Times New Roman" w:cs="Times New Roman"/>
          <w:color w:val="000000" w:themeColor="text1"/>
          <w:sz w:val="24"/>
        </w:rPr>
        <w:t>Cui et al., 2019)</w:t>
      </w:r>
      <w:r w:rsidR="0003140E" w:rsidRPr="00597FFB">
        <w:rPr>
          <w:rFonts w:ascii="Times New Roman" w:eastAsia="Times New Roman" w:hAnsi="Times New Roman" w:cs="Times New Roman"/>
          <w:bCs/>
          <w:color w:val="000000" w:themeColor="text1"/>
          <w:sz w:val="24"/>
          <w:szCs w:val="24"/>
        </w:rPr>
        <w:t xml:space="preserve">. Personal (moral norms) standards </w:t>
      </w:r>
      <w:r w:rsidRPr="00597FFB">
        <w:rPr>
          <w:rFonts w:ascii="Times New Roman" w:eastAsia="Times New Roman" w:hAnsi="Times New Roman" w:cs="Times New Roman"/>
          <w:bCs/>
          <w:color w:val="000000" w:themeColor="text1"/>
          <w:sz w:val="24"/>
          <w:szCs w:val="24"/>
        </w:rPr>
        <w:t>proceed</w:t>
      </w:r>
      <w:r w:rsidR="0003140E" w:rsidRPr="00597FFB">
        <w:rPr>
          <w:rFonts w:ascii="Times New Roman" w:eastAsia="Times New Roman" w:hAnsi="Times New Roman" w:cs="Times New Roman"/>
          <w:bCs/>
          <w:color w:val="000000" w:themeColor="text1"/>
          <w:sz w:val="24"/>
          <w:szCs w:val="24"/>
        </w:rPr>
        <w:t xml:space="preserve"> from the feeling </w:t>
      </w:r>
      <w:r w:rsidRPr="00597FFB">
        <w:rPr>
          <w:rFonts w:ascii="Times New Roman" w:eastAsia="Times New Roman" w:hAnsi="Times New Roman" w:cs="Times New Roman"/>
          <w:bCs/>
          <w:color w:val="000000" w:themeColor="text1"/>
          <w:sz w:val="24"/>
          <w:szCs w:val="24"/>
        </w:rPr>
        <w:t>that</w:t>
      </w:r>
      <w:r w:rsidR="0003140E" w:rsidRPr="00597FFB">
        <w:rPr>
          <w:rFonts w:ascii="Times New Roman" w:eastAsia="Times New Roman" w:hAnsi="Times New Roman" w:cs="Times New Roman"/>
          <w:bCs/>
          <w:color w:val="000000" w:themeColor="text1"/>
          <w:sz w:val="24"/>
          <w:szCs w:val="24"/>
        </w:rPr>
        <w:t xml:space="preserve"> one’s commitment to </w:t>
      </w:r>
      <w:r w:rsidRPr="00597FFB">
        <w:rPr>
          <w:rFonts w:ascii="Times New Roman" w:eastAsia="Times New Roman" w:hAnsi="Times New Roman" w:cs="Times New Roman"/>
          <w:bCs/>
          <w:color w:val="000000" w:themeColor="text1"/>
          <w:sz w:val="24"/>
          <w:szCs w:val="24"/>
        </w:rPr>
        <w:t xml:space="preserve">action that is considered </w:t>
      </w:r>
      <w:r w:rsidR="0003140E" w:rsidRPr="00597FFB">
        <w:rPr>
          <w:rFonts w:ascii="Times New Roman" w:eastAsia="Times New Roman" w:hAnsi="Times New Roman" w:cs="Times New Roman"/>
          <w:bCs/>
          <w:color w:val="000000" w:themeColor="text1"/>
          <w:sz w:val="24"/>
          <w:szCs w:val="24"/>
        </w:rPr>
        <w:t>environmentally responsible</w:t>
      </w:r>
      <w:r w:rsidRPr="00597FFB">
        <w:rPr>
          <w:rFonts w:ascii="Times New Roman" w:eastAsia="Times New Roman" w:hAnsi="Times New Roman" w:cs="Times New Roman"/>
          <w:bCs/>
          <w:color w:val="000000" w:themeColor="text1"/>
          <w:sz w:val="24"/>
          <w:szCs w:val="24"/>
        </w:rPr>
        <w:t xml:space="preserve">. On the other hand, </w:t>
      </w:r>
      <w:r w:rsidR="0003140E" w:rsidRPr="00597FFB">
        <w:rPr>
          <w:rFonts w:ascii="Times New Roman" w:eastAsia="Times New Roman" w:hAnsi="Times New Roman" w:cs="Times New Roman"/>
          <w:bCs/>
          <w:color w:val="000000" w:themeColor="text1"/>
          <w:sz w:val="24"/>
          <w:szCs w:val="24"/>
        </w:rPr>
        <w:t xml:space="preserve">social networks </w:t>
      </w:r>
      <w:r w:rsidRPr="00597FFB">
        <w:rPr>
          <w:rFonts w:ascii="Times New Roman" w:eastAsia="Times New Roman" w:hAnsi="Times New Roman" w:cs="Times New Roman"/>
          <w:bCs/>
          <w:color w:val="000000" w:themeColor="text1"/>
          <w:sz w:val="24"/>
          <w:szCs w:val="24"/>
        </w:rPr>
        <w:t>comprising</w:t>
      </w:r>
      <w:r w:rsidR="0003140E"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the wider society, local community</w:t>
      </w:r>
      <w:r w:rsidR="0003140E" w:rsidRPr="00597FFB">
        <w:rPr>
          <w:rFonts w:ascii="Times New Roman" w:eastAsia="Times New Roman" w:hAnsi="Times New Roman" w:cs="Times New Roman"/>
          <w:bCs/>
          <w:color w:val="000000" w:themeColor="text1"/>
          <w:sz w:val="24"/>
          <w:szCs w:val="24"/>
        </w:rPr>
        <w:t xml:space="preserve">, friends, and </w:t>
      </w:r>
      <w:r w:rsidRPr="00597FFB">
        <w:rPr>
          <w:rFonts w:ascii="Times New Roman" w:eastAsia="Times New Roman" w:hAnsi="Times New Roman" w:cs="Times New Roman"/>
          <w:bCs/>
          <w:color w:val="000000" w:themeColor="text1"/>
          <w:sz w:val="24"/>
          <w:szCs w:val="24"/>
        </w:rPr>
        <w:t xml:space="preserve">family shape social norms </w:t>
      </w:r>
      <w:r w:rsidR="0003140E" w:rsidRPr="00597FFB">
        <w:rPr>
          <w:rFonts w:ascii="Times New Roman" w:eastAsiaTheme="minorHAnsi" w:hAnsi="Times New Roman" w:cs="Times New Roman"/>
          <w:color w:val="000000" w:themeColor="text1"/>
          <w:sz w:val="24"/>
        </w:rPr>
        <w:t>(Islam et al., 2020)</w:t>
      </w:r>
      <w:r w:rsidR="0003140E" w:rsidRPr="00597FFB">
        <w:rPr>
          <w:rFonts w:ascii="Times New Roman" w:eastAsia="Times New Roman" w:hAnsi="Times New Roman" w:cs="Times New Roman"/>
          <w:bCs/>
          <w:color w:val="000000" w:themeColor="text1"/>
          <w:sz w:val="24"/>
          <w:szCs w:val="24"/>
        </w:rPr>
        <w:t xml:space="preserve">. In the context of recycling, personal norms can be understood as the degree to which an individual believes others recycle waste or engage in pro-environmental behavior </w:t>
      </w:r>
      <w:sdt>
        <w:sdtPr>
          <w:rPr>
            <w:rFonts w:eastAsiaTheme="minorHAnsi"/>
            <w:color w:val="000000" w:themeColor="text1"/>
          </w:rPr>
          <w:id w:val="1126125687"/>
          <w:citation/>
        </w:sdtPr>
        <w:sdtContent>
          <w:r w:rsidR="0003140E" w:rsidRPr="00597FFB">
            <w:rPr>
              <w:rFonts w:ascii="Times New Roman" w:eastAsia="Times New Roman" w:hAnsi="Times New Roman" w:cs="Times New Roman"/>
              <w:bCs/>
              <w:color w:val="000000" w:themeColor="text1"/>
              <w:sz w:val="24"/>
              <w:szCs w:val="24"/>
            </w:rPr>
            <w:fldChar w:fldCharType="begin"/>
          </w:r>
          <w:r w:rsidR="0003140E" w:rsidRPr="00597FFB">
            <w:rPr>
              <w:rFonts w:ascii="Times New Roman" w:eastAsia="Times New Roman" w:hAnsi="Times New Roman" w:cs="Times New Roman"/>
              <w:bCs/>
              <w:color w:val="000000" w:themeColor="text1"/>
              <w:sz w:val="24"/>
              <w:szCs w:val="24"/>
            </w:rPr>
            <w:instrText xml:space="preserve"> CITATION Han18 \l 1033 </w:instrText>
          </w:r>
          <w:r w:rsidR="0003140E"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(Han, Yu, Kim, &amp; Kim, 2018)</w:t>
          </w:r>
          <w:r w:rsidR="0003140E" w:rsidRPr="00597FFB">
            <w:rPr>
              <w:rFonts w:ascii="Times New Roman" w:eastAsia="Times New Roman" w:hAnsi="Times New Roman" w:cs="Times New Roman"/>
              <w:bCs/>
              <w:color w:val="000000" w:themeColor="text1"/>
              <w:sz w:val="24"/>
              <w:szCs w:val="24"/>
            </w:rPr>
            <w:fldChar w:fldCharType="end"/>
          </w:r>
        </w:sdtContent>
      </w:sdt>
      <w:r w:rsidR="0003140E" w:rsidRPr="00597FFB">
        <w:rPr>
          <w:rFonts w:ascii="Times New Roman" w:eastAsia="Times New Roman" w:hAnsi="Times New Roman" w:cs="Times New Roman"/>
          <w:bCs/>
          <w:color w:val="000000" w:themeColor="text1"/>
          <w:sz w:val="24"/>
          <w:szCs w:val="24"/>
        </w:rPr>
        <w:t xml:space="preserve">. Social norms are defined as the degree of social acceptance required for recycling </w:t>
      </w:r>
      <w:r w:rsidR="0003140E" w:rsidRPr="00597FFB">
        <w:rPr>
          <w:rFonts w:ascii="Times New Roman" w:eastAsiaTheme="minorHAnsi" w:hAnsi="Times New Roman" w:cs="Times New Roman"/>
          <w:color w:val="000000" w:themeColor="text1"/>
          <w:sz w:val="24"/>
          <w:szCs w:val="24"/>
        </w:rPr>
        <w:t>(Duan et al., 2019)</w:t>
      </w:r>
      <w:r w:rsidR="0003140E" w:rsidRPr="00597FFB">
        <w:rPr>
          <w:rFonts w:ascii="Times New Roman" w:eastAsia="Times New Roman" w:hAnsi="Times New Roman" w:cs="Times New Roman"/>
          <w:bCs/>
          <w:color w:val="000000" w:themeColor="text1"/>
          <w:sz w:val="24"/>
          <w:szCs w:val="24"/>
        </w:rPr>
        <w:t xml:space="preserve">. Personal moral norms comprise internalized attitudes governing an individual's behavior, such as recycling. Behaviors aligned with one's moral norms promote positive feelings within the individual and prevent negative emotions, implying that people with a robust personal norm toward recycling and engaging in pro-environmental behavior are more likely to recycle </w:t>
      </w:r>
      <w:r w:rsidR="0003140E" w:rsidRPr="00597FFB">
        <w:rPr>
          <w:rFonts w:ascii="Times New Roman" w:eastAsiaTheme="minorHAnsi" w:hAnsi="Times New Roman" w:cs="Times New Roman"/>
          <w:color w:val="000000" w:themeColor="text1"/>
          <w:sz w:val="24"/>
          <w:szCs w:val="24"/>
        </w:rPr>
        <w:t>(Sujata et al., 2019)</w:t>
      </w:r>
      <w:r w:rsidR="0003140E" w:rsidRPr="00597FFB">
        <w:rPr>
          <w:rFonts w:ascii="Times New Roman" w:eastAsia="Times New Roman" w:hAnsi="Times New Roman" w:cs="Times New Roman"/>
          <w:bCs/>
          <w:color w:val="000000" w:themeColor="text1"/>
          <w:sz w:val="24"/>
          <w:szCs w:val="24"/>
        </w:rPr>
        <w:t>.</w:t>
      </w:r>
    </w:p>
    <w:p w14:paraId="6C50568B" w14:textId="2BBE7000" w:rsidR="00A1155A"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Personal norms arise via social interaction, and</w:t>
      </w:r>
      <w:r w:rsidR="00067142" w:rsidRPr="00597FFB">
        <w:rPr>
          <w:rFonts w:ascii="Times New Roman" w:eastAsia="Times New Roman" w:hAnsi="Times New Roman" w:cs="Times New Roman"/>
          <w:bCs/>
          <w:color w:val="000000" w:themeColor="text1"/>
          <w:sz w:val="24"/>
          <w:szCs w:val="24"/>
        </w:rPr>
        <w:t xml:space="preserve">, as such, </w:t>
      </w:r>
      <w:r w:rsidRPr="00597FFB">
        <w:rPr>
          <w:rFonts w:ascii="Times New Roman" w:eastAsia="Times New Roman" w:hAnsi="Times New Roman" w:cs="Times New Roman"/>
          <w:bCs/>
          <w:color w:val="000000" w:themeColor="text1"/>
          <w:sz w:val="24"/>
          <w:szCs w:val="24"/>
        </w:rPr>
        <w:t xml:space="preserve">social norms can </w:t>
      </w:r>
      <w:r w:rsidR="00067142" w:rsidRPr="00597FFB">
        <w:rPr>
          <w:rFonts w:ascii="Times New Roman" w:eastAsia="Times New Roman" w:hAnsi="Times New Roman" w:cs="Times New Roman"/>
          <w:bCs/>
          <w:color w:val="000000" w:themeColor="text1"/>
          <w:sz w:val="24"/>
          <w:szCs w:val="24"/>
        </w:rPr>
        <w:t>promote</w:t>
      </w:r>
      <w:r w:rsidRPr="00597FFB">
        <w:rPr>
          <w:rFonts w:ascii="Times New Roman" w:eastAsia="Times New Roman" w:hAnsi="Times New Roman" w:cs="Times New Roman"/>
          <w:bCs/>
          <w:color w:val="000000" w:themeColor="text1"/>
          <w:sz w:val="24"/>
          <w:szCs w:val="24"/>
        </w:rPr>
        <w:t xml:space="preserve"> </w:t>
      </w:r>
      <w:r w:rsidR="00067142" w:rsidRPr="00597FFB">
        <w:rPr>
          <w:rFonts w:ascii="Times New Roman" w:eastAsia="Times New Roman" w:hAnsi="Times New Roman" w:cs="Times New Roman"/>
          <w:bCs/>
          <w:color w:val="000000" w:themeColor="text1"/>
          <w:sz w:val="24"/>
          <w:szCs w:val="24"/>
        </w:rPr>
        <w:t>EWR</w:t>
      </w:r>
      <w:r w:rsidRPr="00597FFB">
        <w:rPr>
          <w:rFonts w:ascii="Times New Roman" w:eastAsia="Times New Roman" w:hAnsi="Times New Roman" w:cs="Times New Roman"/>
          <w:bCs/>
          <w:color w:val="000000" w:themeColor="text1"/>
          <w:sz w:val="24"/>
          <w:szCs w:val="24"/>
        </w:rPr>
        <w:t xml:space="preserve"> if they are </w:t>
      </w:r>
      <w:r w:rsidR="00067142" w:rsidRPr="00597FFB">
        <w:rPr>
          <w:rFonts w:ascii="Times New Roman" w:eastAsia="Times New Roman" w:hAnsi="Times New Roman" w:cs="Times New Roman"/>
          <w:bCs/>
          <w:color w:val="000000" w:themeColor="text1"/>
          <w:sz w:val="24"/>
          <w:szCs w:val="24"/>
        </w:rPr>
        <w:t>seen</w:t>
      </w:r>
      <w:r w:rsidRPr="00597FFB">
        <w:rPr>
          <w:rFonts w:ascii="Times New Roman" w:eastAsia="Times New Roman" w:hAnsi="Times New Roman" w:cs="Times New Roman"/>
          <w:bCs/>
          <w:color w:val="000000" w:themeColor="text1"/>
          <w:sz w:val="24"/>
          <w:szCs w:val="24"/>
        </w:rPr>
        <w:t xml:space="preserve"> to be</w:t>
      </w:r>
      <w:r w:rsidRPr="00597FFB">
        <w:rPr>
          <w:rFonts w:eastAsiaTheme="minorHAnsi"/>
          <w:color w:val="000000" w:themeColor="text1"/>
        </w:rPr>
        <w:t xml:space="preserve"> </w:t>
      </w:r>
      <w:r w:rsidRPr="00597FFB">
        <w:rPr>
          <w:rFonts w:ascii="Times New Roman" w:eastAsia="Times New Roman" w:hAnsi="Times New Roman" w:cs="Times New Roman"/>
          <w:bCs/>
          <w:color w:val="000000" w:themeColor="text1"/>
          <w:sz w:val="24"/>
          <w:szCs w:val="24"/>
        </w:rPr>
        <w:t xml:space="preserve">positive, but social norms can </w:t>
      </w:r>
      <w:r w:rsidR="00067142" w:rsidRPr="00597FFB">
        <w:rPr>
          <w:rFonts w:ascii="Times New Roman" w:eastAsia="Times New Roman" w:hAnsi="Times New Roman" w:cs="Times New Roman"/>
          <w:bCs/>
          <w:color w:val="000000" w:themeColor="text1"/>
          <w:sz w:val="24"/>
          <w:szCs w:val="24"/>
        </w:rPr>
        <w:t>pose problems when</w:t>
      </w:r>
      <w:r w:rsidRPr="00597FFB">
        <w:rPr>
          <w:rFonts w:ascii="Times New Roman" w:eastAsia="Times New Roman" w:hAnsi="Times New Roman" w:cs="Times New Roman"/>
          <w:bCs/>
          <w:color w:val="000000" w:themeColor="text1"/>
          <w:sz w:val="24"/>
          <w:szCs w:val="24"/>
        </w:rPr>
        <w:t xml:space="preserve"> they are considered to be negative and if </w:t>
      </w:r>
      <w:r w:rsidR="00067142" w:rsidRPr="00597FFB">
        <w:rPr>
          <w:rFonts w:ascii="Times New Roman" w:eastAsia="Times New Roman" w:hAnsi="Times New Roman" w:cs="Times New Roman"/>
          <w:bCs/>
          <w:color w:val="000000" w:themeColor="text1"/>
          <w:sz w:val="24"/>
          <w:szCs w:val="24"/>
        </w:rPr>
        <w:t xml:space="preserve">recycling is disregarded by </w:t>
      </w:r>
      <w:r w:rsidRPr="00597FFB">
        <w:rPr>
          <w:rFonts w:ascii="Times New Roman" w:eastAsia="Times New Roman" w:hAnsi="Times New Roman" w:cs="Times New Roman"/>
          <w:bCs/>
          <w:color w:val="000000" w:themeColor="text1"/>
          <w:sz w:val="24"/>
          <w:szCs w:val="24"/>
        </w:rPr>
        <w:t xml:space="preserve">personal and social norms </w:t>
      </w:r>
      <w:r w:rsidRPr="00597FFB">
        <w:rPr>
          <w:rFonts w:ascii="Times New Roman" w:eastAsiaTheme="minorHAnsi" w:hAnsi="Times New Roman" w:cs="Times New Roman"/>
          <w:color w:val="000000" w:themeColor="text1"/>
          <w:sz w:val="24"/>
        </w:rPr>
        <w:t>(Esfandiar et al., 2020)</w:t>
      </w:r>
      <w:r w:rsidRPr="00597FFB">
        <w:rPr>
          <w:rFonts w:ascii="Times New Roman" w:eastAsia="Times New Roman" w:hAnsi="Times New Roman" w:cs="Times New Roman"/>
          <w:bCs/>
          <w:color w:val="000000" w:themeColor="text1"/>
          <w:sz w:val="24"/>
          <w:szCs w:val="24"/>
        </w:rPr>
        <w:t xml:space="preserve">. Studies by Huber, Viscusi, and Bell (2020) and Han et al. (2018) on recycling have concluded that personal and social norms are positively related to positive attitude towards recycling and the intention and ability to recycle. </w:t>
      </w:r>
      <w:r w:rsidRPr="00597FFB">
        <w:rPr>
          <w:rFonts w:ascii="Times New Roman" w:eastAsiaTheme="minorHAnsi" w:hAnsi="Times New Roman" w:cs="Times New Roman"/>
          <w:color w:val="000000" w:themeColor="text1"/>
          <w:sz w:val="24"/>
          <w:szCs w:val="24"/>
        </w:rPr>
        <w:t>Lange and Dewitte (2019)</w:t>
      </w:r>
      <w:r w:rsidRPr="00597FFB">
        <w:rPr>
          <w:rFonts w:ascii="Times New Roman" w:eastAsia="Times New Roman" w:hAnsi="Times New Roman" w:cs="Times New Roman"/>
          <w:bCs/>
          <w:color w:val="000000" w:themeColor="text1"/>
          <w:sz w:val="24"/>
          <w:szCs w:val="24"/>
        </w:rPr>
        <w:t xml:space="preserve"> concluded that personal responsibility to recycle reduces effort, which increases participation in recycling. A moral obligation to recycle, social approval of recycling, and other people's recycling behavior influence one’s recycling behavior. In other words, personal and social norms are positively associated with recycling (Kumar et al., 2019). However, </w:t>
      </w:r>
      <w:r w:rsidRPr="00597FFB">
        <w:rPr>
          <w:rFonts w:ascii="Times New Roman" w:eastAsiaTheme="minorHAnsi" w:hAnsi="Times New Roman" w:cs="Times New Roman"/>
          <w:color w:val="000000" w:themeColor="text1"/>
          <w:sz w:val="24"/>
          <w:szCs w:val="24"/>
        </w:rPr>
        <w:t>Adanu et al. (2020)</w:t>
      </w:r>
      <w:r w:rsidRPr="00597FFB">
        <w:rPr>
          <w:rFonts w:ascii="Times New Roman" w:eastAsia="Times New Roman" w:hAnsi="Times New Roman" w:cs="Times New Roman"/>
          <w:bCs/>
          <w:color w:val="000000" w:themeColor="text1"/>
          <w:sz w:val="24"/>
          <w:szCs w:val="24"/>
        </w:rPr>
        <w:t xml:space="preserve"> argued that social norms may be influential in the early stages of a recycling program, with healthier attitudes being formed toward the behavior, as the program is not further influenced by social pressure. Habits and attitudes are other internal factors that could influence consumers’ recycling behavior.</w:t>
      </w:r>
    </w:p>
    <w:p w14:paraId="4C304AF4" w14:textId="7C40B79E" w:rsidR="00A1155A" w:rsidRPr="00597FFB" w:rsidRDefault="00A1155A" w:rsidP="00A558FE">
      <w:pPr>
        <w:pStyle w:val="Heading3"/>
        <w:spacing w:line="480" w:lineRule="auto"/>
        <w:ind w:firstLine="720"/>
        <w:rPr>
          <w:rFonts w:ascii="Times New Roman" w:eastAsia="Times New Roman" w:hAnsi="Times New Roman" w:cs="Times New Roman"/>
          <w:bCs/>
          <w:color w:val="000000" w:themeColor="text1"/>
          <w:sz w:val="24"/>
          <w:szCs w:val="24"/>
        </w:rPr>
      </w:pPr>
      <w:bookmarkStart w:id="126" w:name="_Toc127170291"/>
      <w:r w:rsidRPr="00597FFB">
        <w:rPr>
          <w:rFonts w:asciiTheme="majorBidi" w:hAnsiTheme="majorBidi"/>
          <w:i/>
          <w:iCs/>
          <w:color w:val="000000" w:themeColor="text1"/>
          <w:sz w:val="24"/>
          <w:szCs w:val="24"/>
        </w:rPr>
        <w:t>2.6.1.2. Habits and Attitudes</w:t>
      </w:r>
      <w:r w:rsidR="00DC518A" w:rsidRPr="00597FFB">
        <w:rPr>
          <w:rFonts w:asciiTheme="majorBidi" w:hAnsiTheme="majorBidi"/>
          <w:i/>
          <w:iCs/>
          <w:color w:val="000000" w:themeColor="text1"/>
          <w:sz w:val="24"/>
          <w:szCs w:val="24"/>
        </w:rPr>
        <w:t>.</w:t>
      </w:r>
      <w:bookmarkEnd w:id="126"/>
    </w:p>
    <w:p w14:paraId="7A5EAD58" w14:textId="73EB86AA" w:rsidR="0003140E" w:rsidRPr="00597FFB" w:rsidRDefault="0003140E" w:rsidP="00A558FE">
      <w:pPr>
        <w:spacing w:after="0"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Habits and attitudes originate from social norms, where habitual </w:t>
      </w:r>
      <w:r w:rsidR="009A6DD3" w:rsidRPr="00597FFB">
        <w:rPr>
          <w:rFonts w:ascii="Times New Roman" w:eastAsia="Times New Roman" w:hAnsi="Times New Roman" w:cs="Times New Roman"/>
          <w:bCs/>
          <w:color w:val="000000" w:themeColor="text1"/>
          <w:sz w:val="24"/>
          <w:szCs w:val="24"/>
        </w:rPr>
        <w:t xml:space="preserve">actions </w:t>
      </w:r>
      <w:r w:rsidRPr="00597FFB">
        <w:rPr>
          <w:rFonts w:ascii="Times New Roman" w:eastAsia="Times New Roman" w:hAnsi="Times New Roman" w:cs="Times New Roman"/>
          <w:bCs/>
          <w:color w:val="000000" w:themeColor="text1"/>
          <w:sz w:val="24"/>
          <w:szCs w:val="24"/>
        </w:rPr>
        <w:t xml:space="preserve">and </w:t>
      </w:r>
      <w:r w:rsidR="009A6DD3" w:rsidRPr="00597FFB">
        <w:rPr>
          <w:rFonts w:ascii="Times New Roman" w:eastAsia="Times New Roman" w:hAnsi="Times New Roman" w:cs="Times New Roman"/>
          <w:bCs/>
          <w:color w:val="000000" w:themeColor="text1"/>
          <w:sz w:val="24"/>
          <w:szCs w:val="24"/>
        </w:rPr>
        <w:t xml:space="preserve">practices result from </w:t>
      </w:r>
      <w:r w:rsidRPr="00597FFB">
        <w:rPr>
          <w:rFonts w:ascii="Times New Roman" w:eastAsia="Times New Roman" w:hAnsi="Times New Roman" w:cs="Times New Roman"/>
          <w:bCs/>
          <w:color w:val="000000" w:themeColor="text1"/>
          <w:sz w:val="24"/>
          <w:szCs w:val="24"/>
        </w:rPr>
        <w:t xml:space="preserve">established </w:t>
      </w:r>
      <w:r w:rsidR="009A6DD3" w:rsidRPr="00597FFB">
        <w:rPr>
          <w:rFonts w:ascii="Times New Roman" w:eastAsia="Times New Roman" w:hAnsi="Times New Roman" w:cs="Times New Roman"/>
          <w:bCs/>
          <w:color w:val="000000" w:themeColor="text1"/>
          <w:sz w:val="24"/>
          <w:szCs w:val="24"/>
        </w:rPr>
        <w:t xml:space="preserve">understandings, </w:t>
      </w:r>
      <w:r w:rsidRPr="00597FFB">
        <w:rPr>
          <w:rFonts w:ascii="Times New Roman" w:eastAsia="Times New Roman" w:hAnsi="Times New Roman" w:cs="Times New Roman"/>
          <w:bCs/>
          <w:color w:val="000000" w:themeColor="text1"/>
          <w:sz w:val="24"/>
          <w:szCs w:val="24"/>
        </w:rPr>
        <w:t>practices, and</w:t>
      </w:r>
      <w:r w:rsidR="009A6DD3" w:rsidRPr="00597FFB">
        <w:rPr>
          <w:rFonts w:ascii="Times New Roman" w:eastAsia="Times New Roman" w:hAnsi="Times New Roman" w:cs="Times New Roman"/>
          <w:bCs/>
          <w:color w:val="000000" w:themeColor="text1"/>
          <w:sz w:val="24"/>
          <w:szCs w:val="24"/>
        </w:rPr>
        <w:t xml:space="preserve"> objectives</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(Aboelmaged, 2021)</w:t>
      </w:r>
      <w:r w:rsidRPr="00597FFB">
        <w:rPr>
          <w:rFonts w:ascii="Times New Roman" w:eastAsia="Times New Roman" w:hAnsi="Times New Roman" w:cs="Times New Roman"/>
          <w:bCs/>
          <w:color w:val="000000" w:themeColor="text1"/>
          <w:sz w:val="24"/>
          <w:szCs w:val="24"/>
        </w:rPr>
        <w:t>. Habit</w:t>
      </w:r>
      <w:r w:rsidR="00863A51" w:rsidRPr="00597FFB">
        <w:rPr>
          <w:rFonts w:ascii="Times New Roman" w:eastAsia="Times New Roman" w:hAnsi="Times New Roman" w:cs="Times New Roman"/>
          <w:bCs/>
          <w:color w:val="000000" w:themeColor="text1"/>
          <w:sz w:val="24"/>
          <w:szCs w:val="24"/>
        </w:rPr>
        <w:t>s</w:t>
      </w:r>
      <w:r w:rsidRPr="00597FFB">
        <w:rPr>
          <w:rFonts w:ascii="Times New Roman" w:eastAsia="Times New Roman" w:hAnsi="Times New Roman" w:cs="Times New Roman"/>
          <w:bCs/>
          <w:color w:val="000000" w:themeColor="text1"/>
          <w:sz w:val="24"/>
          <w:szCs w:val="24"/>
        </w:rPr>
        <w:t xml:space="preserve"> can drive recycling that already</w:t>
      </w:r>
      <w:r w:rsidR="009A6DD3" w:rsidRPr="00597FFB">
        <w:rPr>
          <w:rFonts w:ascii="Times New Roman" w:eastAsia="Times New Roman" w:hAnsi="Times New Roman" w:cs="Times New Roman"/>
          <w:bCs/>
          <w:color w:val="000000" w:themeColor="text1"/>
          <w:sz w:val="24"/>
          <w:szCs w:val="24"/>
        </w:rPr>
        <w:t xml:space="preserve"> forms</w:t>
      </w:r>
      <w:r w:rsidRPr="00597FFB">
        <w:rPr>
          <w:rFonts w:ascii="Times New Roman" w:eastAsia="Times New Roman" w:hAnsi="Times New Roman" w:cs="Times New Roman"/>
          <w:bCs/>
          <w:color w:val="000000" w:themeColor="text1"/>
          <w:sz w:val="24"/>
          <w:szCs w:val="24"/>
        </w:rPr>
        <w:t xml:space="preserve"> a part of a </w:t>
      </w:r>
      <w:r w:rsidR="009A6DD3" w:rsidRPr="00597FFB">
        <w:rPr>
          <w:rFonts w:ascii="Times New Roman" w:eastAsia="Times New Roman" w:hAnsi="Times New Roman" w:cs="Times New Roman"/>
          <w:bCs/>
          <w:color w:val="000000" w:themeColor="text1"/>
          <w:sz w:val="24"/>
          <w:szCs w:val="24"/>
        </w:rPr>
        <w:t>one’s</w:t>
      </w:r>
      <w:r w:rsidRPr="00597FFB">
        <w:rPr>
          <w:rFonts w:ascii="Times New Roman" w:eastAsia="Times New Roman" w:hAnsi="Times New Roman" w:cs="Times New Roman"/>
          <w:bCs/>
          <w:color w:val="000000" w:themeColor="text1"/>
          <w:sz w:val="24"/>
          <w:szCs w:val="24"/>
        </w:rPr>
        <w:t xml:space="preserve"> routine, </w:t>
      </w:r>
      <w:r w:rsidR="009A6DD3" w:rsidRPr="00597FFB">
        <w:rPr>
          <w:rFonts w:ascii="Times New Roman" w:eastAsia="Times New Roman" w:hAnsi="Times New Roman" w:cs="Times New Roman"/>
          <w:bCs/>
          <w:color w:val="000000" w:themeColor="text1"/>
          <w:sz w:val="24"/>
          <w:szCs w:val="24"/>
        </w:rPr>
        <w:t>although</w:t>
      </w:r>
      <w:r w:rsidRPr="00597FFB">
        <w:rPr>
          <w:rFonts w:ascii="Times New Roman" w:eastAsia="Times New Roman" w:hAnsi="Times New Roman" w:cs="Times New Roman"/>
          <w:bCs/>
          <w:color w:val="000000" w:themeColor="text1"/>
          <w:sz w:val="24"/>
          <w:szCs w:val="24"/>
        </w:rPr>
        <w:t xml:space="preserve"> it can also </w:t>
      </w:r>
      <w:r w:rsidR="009A6DD3" w:rsidRPr="00597FFB">
        <w:rPr>
          <w:rFonts w:ascii="Times New Roman" w:eastAsia="Times New Roman" w:hAnsi="Times New Roman" w:cs="Times New Roman"/>
          <w:bCs/>
          <w:color w:val="000000" w:themeColor="text1"/>
          <w:sz w:val="24"/>
          <w:szCs w:val="24"/>
        </w:rPr>
        <w:t xml:space="preserve">constitute a hindrance when </w:t>
      </w:r>
      <w:r w:rsidRPr="00597FFB">
        <w:rPr>
          <w:rFonts w:ascii="Times New Roman" w:eastAsia="Times New Roman" w:hAnsi="Times New Roman" w:cs="Times New Roman"/>
          <w:bCs/>
          <w:color w:val="000000" w:themeColor="text1"/>
          <w:sz w:val="24"/>
          <w:szCs w:val="24"/>
        </w:rPr>
        <w:t xml:space="preserve">recycling </w:t>
      </w:r>
      <w:r w:rsidR="009A6DD3" w:rsidRPr="00597FFB">
        <w:rPr>
          <w:rFonts w:ascii="Times New Roman" w:eastAsia="Times New Roman" w:hAnsi="Times New Roman" w:cs="Times New Roman"/>
          <w:bCs/>
          <w:color w:val="000000" w:themeColor="text1"/>
          <w:sz w:val="24"/>
          <w:szCs w:val="24"/>
        </w:rPr>
        <w:t>does</w:t>
      </w:r>
      <w:r w:rsidRPr="00597FFB">
        <w:rPr>
          <w:rFonts w:ascii="Times New Roman" w:eastAsia="Times New Roman" w:hAnsi="Times New Roman" w:cs="Times New Roman"/>
          <w:bCs/>
          <w:color w:val="000000" w:themeColor="text1"/>
          <w:sz w:val="24"/>
          <w:szCs w:val="24"/>
        </w:rPr>
        <w:t xml:space="preserve"> not </w:t>
      </w:r>
      <w:r w:rsidR="009A6DD3" w:rsidRPr="00597FFB">
        <w:rPr>
          <w:rFonts w:ascii="Times New Roman" w:eastAsia="Times New Roman" w:hAnsi="Times New Roman" w:cs="Times New Roman"/>
          <w:bCs/>
          <w:color w:val="000000" w:themeColor="text1"/>
          <w:sz w:val="24"/>
          <w:szCs w:val="24"/>
        </w:rPr>
        <w:t xml:space="preserve">form </w:t>
      </w:r>
      <w:r w:rsidRPr="00597FFB">
        <w:rPr>
          <w:rFonts w:ascii="Times New Roman" w:eastAsia="Times New Roman" w:hAnsi="Times New Roman" w:cs="Times New Roman"/>
          <w:bCs/>
          <w:color w:val="000000" w:themeColor="text1"/>
          <w:sz w:val="24"/>
          <w:szCs w:val="24"/>
        </w:rPr>
        <w:t xml:space="preserve">a part of </w:t>
      </w:r>
      <w:r w:rsidR="009A6DD3" w:rsidRPr="00597FFB">
        <w:rPr>
          <w:rFonts w:ascii="Times New Roman" w:eastAsia="Times New Roman" w:hAnsi="Times New Roman" w:cs="Times New Roman"/>
          <w:bCs/>
          <w:color w:val="000000" w:themeColor="text1"/>
          <w:sz w:val="24"/>
          <w:szCs w:val="24"/>
        </w:rPr>
        <w:t>one’s</w:t>
      </w:r>
      <w:r w:rsidRPr="00597FFB">
        <w:rPr>
          <w:rFonts w:ascii="Times New Roman" w:eastAsia="Times New Roman" w:hAnsi="Times New Roman" w:cs="Times New Roman"/>
          <w:bCs/>
          <w:color w:val="000000" w:themeColor="text1"/>
          <w:sz w:val="24"/>
          <w:szCs w:val="24"/>
        </w:rPr>
        <w:t xml:space="preserve"> routine and requires norms </w:t>
      </w:r>
      <w:r w:rsidR="00863A51" w:rsidRPr="00597FFB">
        <w:rPr>
          <w:rFonts w:ascii="Times New Roman" w:eastAsia="Times New Roman" w:hAnsi="Times New Roman" w:cs="Times New Roman"/>
          <w:bCs/>
          <w:color w:val="000000" w:themeColor="text1"/>
          <w:sz w:val="24"/>
          <w:szCs w:val="24"/>
        </w:rPr>
        <w:t>for</w:t>
      </w:r>
      <w:r w:rsidRPr="00597FFB">
        <w:rPr>
          <w:rFonts w:ascii="Times New Roman" w:eastAsia="Times New Roman" w:hAnsi="Times New Roman" w:cs="Times New Roman"/>
          <w:bCs/>
          <w:color w:val="000000" w:themeColor="text1"/>
          <w:sz w:val="24"/>
          <w:szCs w:val="24"/>
        </w:rPr>
        <w:t xml:space="preserve"> chang</w:t>
      </w:r>
      <w:r w:rsidR="00863A51" w:rsidRPr="00597FFB">
        <w:rPr>
          <w:rFonts w:ascii="Times New Roman" w:eastAsia="Times New Roman" w:hAnsi="Times New Roman" w:cs="Times New Roman"/>
          <w:bCs/>
          <w:color w:val="000000" w:themeColor="text1"/>
          <w:sz w:val="24"/>
          <w:szCs w:val="24"/>
        </w:rPr>
        <w:t>ing</w:t>
      </w:r>
      <w:r w:rsidRPr="00597FFB">
        <w:rPr>
          <w:rFonts w:ascii="Times New Roman" w:eastAsia="Times New Roman" w:hAnsi="Times New Roman" w:cs="Times New Roman"/>
          <w:bCs/>
          <w:color w:val="000000" w:themeColor="text1"/>
          <w:sz w:val="24"/>
          <w:szCs w:val="24"/>
        </w:rPr>
        <w:t xml:space="preserve">. Habits </w:t>
      </w:r>
      <w:r w:rsidR="00863A51" w:rsidRPr="00597FFB">
        <w:rPr>
          <w:rFonts w:ascii="Times New Roman" w:eastAsia="Times New Roman" w:hAnsi="Times New Roman" w:cs="Times New Roman"/>
          <w:bCs/>
          <w:color w:val="000000" w:themeColor="text1"/>
          <w:sz w:val="24"/>
          <w:szCs w:val="24"/>
        </w:rPr>
        <w:t xml:space="preserve">including </w:t>
      </w:r>
      <w:r w:rsidRPr="00597FFB">
        <w:rPr>
          <w:rFonts w:ascii="Times New Roman" w:eastAsia="Times New Roman" w:hAnsi="Times New Roman" w:cs="Times New Roman"/>
          <w:bCs/>
          <w:color w:val="000000" w:themeColor="text1"/>
          <w:sz w:val="24"/>
          <w:szCs w:val="24"/>
        </w:rPr>
        <w:t xml:space="preserve">stockpiling </w:t>
      </w:r>
      <w:r w:rsidR="00863A51" w:rsidRPr="00597FFB">
        <w:rPr>
          <w:rFonts w:ascii="Times New Roman" w:eastAsia="Times New Roman" w:hAnsi="Times New Roman" w:cs="Times New Roman"/>
          <w:bCs/>
          <w:color w:val="000000" w:themeColor="text1"/>
          <w:sz w:val="24"/>
          <w:szCs w:val="24"/>
        </w:rPr>
        <w:t>of</w:t>
      </w:r>
      <w:r w:rsidRPr="00597FFB">
        <w:rPr>
          <w:rFonts w:ascii="Times New Roman" w:eastAsia="Times New Roman" w:hAnsi="Times New Roman" w:cs="Times New Roman"/>
          <w:bCs/>
          <w:color w:val="000000" w:themeColor="text1"/>
          <w:sz w:val="24"/>
          <w:szCs w:val="24"/>
        </w:rPr>
        <w:t xml:space="preserve"> old equipment as spares </w:t>
      </w:r>
      <w:r w:rsidR="00863A51" w:rsidRPr="00597FFB">
        <w:rPr>
          <w:rFonts w:ascii="Times New Roman" w:eastAsia="Times New Roman" w:hAnsi="Times New Roman" w:cs="Times New Roman"/>
          <w:bCs/>
          <w:color w:val="000000" w:themeColor="text1"/>
          <w:sz w:val="24"/>
          <w:szCs w:val="24"/>
        </w:rPr>
        <w:t>should</w:t>
      </w:r>
      <w:r w:rsidRPr="00597FFB">
        <w:rPr>
          <w:rFonts w:ascii="Times New Roman" w:eastAsia="Times New Roman" w:hAnsi="Times New Roman" w:cs="Times New Roman"/>
          <w:bCs/>
          <w:color w:val="000000" w:themeColor="text1"/>
          <w:sz w:val="24"/>
          <w:szCs w:val="24"/>
        </w:rPr>
        <w:t xml:space="preserve"> new equipment </w:t>
      </w:r>
      <w:r w:rsidR="00863A51" w:rsidRPr="00597FFB">
        <w:rPr>
          <w:rFonts w:ascii="Times New Roman" w:eastAsia="Times New Roman" w:hAnsi="Times New Roman" w:cs="Times New Roman"/>
          <w:bCs/>
          <w:color w:val="000000" w:themeColor="text1"/>
          <w:sz w:val="24"/>
          <w:szCs w:val="24"/>
        </w:rPr>
        <w:t>be</w:t>
      </w:r>
      <w:r w:rsidRPr="00597FFB">
        <w:rPr>
          <w:rFonts w:ascii="Times New Roman" w:eastAsia="Times New Roman" w:hAnsi="Times New Roman" w:cs="Times New Roman"/>
          <w:bCs/>
          <w:color w:val="000000" w:themeColor="text1"/>
          <w:sz w:val="24"/>
          <w:szCs w:val="24"/>
        </w:rPr>
        <w:t xml:space="preserve"> </w:t>
      </w:r>
      <w:r w:rsidR="00863A51" w:rsidRPr="00597FFB">
        <w:rPr>
          <w:rFonts w:ascii="Times New Roman" w:eastAsia="Times New Roman" w:hAnsi="Times New Roman" w:cs="Times New Roman"/>
          <w:bCs/>
          <w:color w:val="000000" w:themeColor="text1"/>
          <w:sz w:val="24"/>
          <w:szCs w:val="24"/>
        </w:rPr>
        <w:t xml:space="preserve">stolen </w:t>
      </w:r>
      <w:r w:rsidR="003D4CB1" w:rsidRPr="00597FFB">
        <w:rPr>
          <w:rFonts w:ascii="Times New Roman" w:eastAsia="Times New Roman" w:hAnsi="Times New Roman" w:cs="Times New Roman"/>
          <w:bCs/>
          <w:color w:val="000000" w:themeColor="text1"/>
          <w:sz w:val="24"/>
          <w:szCs w:val="24"/>
        </w:rPr>
        <w:t>damaged or</w:t>
      </w:r>
      <w:r w:rsidR="00863A51"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lost</w:t>
      </w:r>
      <w:r w:rsidR="00863A51" w:rsidRPr="00597FFB">
        <w:rPr>
          <w:rFonts w:ascii="Times New Roman" w:eastAsia="Times New Roman" w:hAnsi="Times New Roman" w:cs="Times New Roman"/>
          <w:bCs/>
          <w:color w:val="000000" w:themeColor="text1"/>
          <w:sz w:val="24"/>
          <w:szCs w:val="24"/>
        </w:rPr>
        <w:t xml:space="preserve"> impede</w:t>
      </w:r>
      <w:r w:rsidRPr="00597FFB">
        <w:rPr>
          <w:rFonts w:ascii="Times New Roman" w:eastAsia="Times New Roman" w:hAnsi="Times New Roman" w:cs="Times New Roman"/>
          <w:bCs/>
          <w:color w:val="000000" w:themeColor="text1"/>
          <w:sz w:val="24"/>
          <w:szCs w:val="24"/>
        </w:rPr>
        <w:t xml:space="preserve"> </w:t>
      </w:r>
      <w:r w:rsidR="00863A51" w:rsidRPr="00597FFB">
        <w:rPr>
          <w:rFonts w:ascii="Times New Roman" w:eastAsia="Times New Roman" w:hAnsi="Times New Roman" w:cs="Times New Roman"/>
          <w:bCs/>
          <w:color w:val="000000" w:themeColor="text1"/>
          <w:sz w:val="24"/>
          <w:szCs w:val="24"/>
        </w:rPr>
        <w:t xml:space="preserve">e-waste </w:t>
      </w:r>
      <w:r w:rsidRPr="00597FFB">
        <w:rPr>
          <w:rFonts w:ascii="Times New Roman" w:eastAsia="Times New Roman" w:hAnsi="Times New Roman" w:cs="Times New Roman"/>
          <w:bCs/>
          <w:color w:val="000000" w:themeColor="text1"/>
          <w:sz w:val="24"/>
          <w:szCs w:val="24"/>
        </w:rPr>
        <w:t xml:space="preserve">return and recycling </w:t>
      </w:r>
      <w:r w:rsidRPr="00597FFB">
        <w:rPr>
          <w:rFonts w:ascii="Times New Roman" w:eastAsiaTheme="minorHAnsi" w:hAnsi="Times New Roman" w:cs="Times New Roman"/>
          <w:color w:val="000000" w:themeColor="text1"/>
          <w:sz w:val="24"/>
        </w:rPr>
        <w:t>(Kannan et al., 2020)</w:t>
      </w:r>
      <w:r w:rsidRPr="00597FFB">
        <w:rPr>
          <w:rFonts w:ascii="Times New Roman" w:eastAsia="Times New Roman" w:hAnsi="Times New Roman" w:cs="Times New Roman"/>
          <w:bCs/>
          <w:color w:val="000000" w:themeColor="text1"/>
          <w:sz w:val="24"/>
          <w:szCs w:val="24"/>
        </w:rPr>
        <w:t>.</w:t>
      </w:r>
    </w:p>
    <w:p w14:paraId="1D2D12FD" w14:textId="4E9DDFD0" w:rsidR="0003140E" w:rsidRPr="00597FFB" w:rsidRDefault="0003140E" w:rsidP="00A558FE">
      <w:pPr>
        <w:spacing w:line="480" w:lineRule="auto"/>
        <w:ind w:firstLine="720"/>
        <w:jc w:val="both"/>
        <w:rPr>
          <w:rFonts w:ascii="Times New Roman" w:eastAsia="Calibr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Contrary to these findings by </w:t>
      </w:r>
      <w:r w:rsidRPr="00597FFB">
        <w:rPr>
          <w:rFonts w:ascii="Times New Roman" w:eastAsiaTheme="minorHAnsi" w:hAnsi="Times New Roman" w:cs="Times New Roman"/>
          <w:color w:val="000000" w:themeColor="text1"/>
          <w:sz w:val="24"/>
        </w:rPr>
        <w:t>Kannan et al. (2020)</w:t>
      </w:r>
      <w:r w:rsidRPr="00597FFB">
        <w:rPr>
          <w:rFonts w:ascii="Times New Roman" w:eastAsia="Times New Roman" w:hAnsi="Times New Roman" w:cs="Times New Roman"/>
          <w:bCs/>
          <w:color w:val="000000" w:themeColor="text1"/>
          <w:sz w:val="24"/>
          <w:szCs w:val="24"/>
        </w:rPr>
        <w:t xml:space="preserve"> and </w:t>
      </w:r>
      <w:r w:rsidRPr="00597FFB">
        <w:rPr>
          <w:rFonts w:ascii="Times New Roman" w:eastAsiaTheme="minorHAnsi" w:hAnsi="Times New Roman" w:cs="Times New Roman"/>
          <w:color w:val="000000" w:themeColor="text1"/>
          <w:sz w:val="24"/>
        </w:rPr>
        <w:t>Aboelmaged (2021)</w:t>
      </w:r>
      <w:r w:rsidRPr="00597FFB">
        <w:rPr>
          <w:rFonts w:ascii="Times New Roman" w:eastAsiaTheme="minorHAnsi" w:hAnsi="Times New Roman" w:cs="Times New Roman"/>
          <w:color w:val="000000" w:themeColor="text1"/>
          <w:sz w:val="24"/>
          <w:szCs w:val="24"/>
        </w:rPr>
        <w:t xml:space="preserve">, Islam et al. (2021) claim </w:t>
      </w:r>
      <w:r w:rsidRPr="00597FFB">
        <w:rPr>
          <w:rFonts w:ascii="Times New Roman" w:eastAsia="Calibri" w:hAnsi="Times New Roman" w:cs="Times New Roman"/>
          <w:color w:val="000000" w:themeColor="text1"/>
          <w:sz w:val="24"/>
          <w:szCs w:val="24"/>
        </w:rPr>
        <w:t xml:space="preserve">that </w:t>
      </w:r>
      <w:r w:rsidRPr="00597FFB">
        <w:rPr>
          <w:rFonts w:ascii="Times New Roman" w:eastAsiaTheme="minorHAnsi" w:hAnsi="Times New Roman" w:cs="Times New Roman"/>
          <w:color w:val="000000" w:themeColor="text1"/>
          <w:sz w:val="24"/>
          <w:szCs w:val="24"/>
        </w:rPr>
        <w:t xml:space="preserve">attitudes and habits are the most critical factors </w:t>
      </w:r>
      <w:r w:rsidRPr="00597FFB">
        <w:rPr>
          <w:rFonts w:ascii="Times New Roman" w:eastAsia="Calibri" w:hAnsi="Times New Roman" w:cs="Times New Roman"/>
          <w:color w:val="000000" w:themeColor="text1"/>
          <w:sz w:val="24"/>
          <w:szCs w:val="24"/>
        </w:rPr>
        <w:t>determining</w:t>
      </w:r>
      <w:r w:rsidRPr="00597FFB">
        <w:rPr>
          <w:rFonts w:ascii="Times New Roman" w:eastAsiaTheme="minorHAnsi" w:hAnsi="Times New Roman" w:cs="Times New Roman"/>
          <w:color w:val="000000" w:themeColor="text1"/>
          <w:sz w:val="24"/>
          <w:szCs w:val="24"/>
        </w:rPr>
        <w:t xml:space="preserve"> e-waste recycling behavior. Even then, Aboelmaged (2021) also found that mobile phone devices are stockpiled, including when an individual has a positive intention toward recycling but not a habit of recycling. In a study conducted within the Chinese context </w:t>
      </w:r>
      <w:sdt>
        <w:sdtPr>
          <w:rPr>
            <w:rFonts w:ascii="Times New Roman" w:eastAsiaTheme="minorHAnsi" w:hAnsi="Times New Roman" w:cs="Times New Roman"/>
            <w:color w:val="000000" w:themeColor="text1"/>
            <w:sz w:val="24"/>
            <w:szCs w:val="24"/>
          </w:rPr>
          <w:id w:val="-400747686"/>
          <w:citation/>
        </w:sdtPr>
        <w:sdtContent>
          <w:r w:rsidRPr="00597FFB">
            <w:rPr>
              <w:rFonts w:ascii="Times New Roman" w:eastAsiaTheme="minorHAnsi" w:hAnsi="Times New Roman" w:cs="Times New Roman"/>
              <w:color w:val="000000" w:themeColor="text1"/>
              <w:sz w:val="24"/>
              <w:szCs w:val="24"/>
            </w:rPr>
            <w:fldChar w:fldCharType="begin"/>
          </w:r>
          <w:r w:rsidRPr="00597FFB">
            <w:rPr>
              <w:rFonts w:ascii="Times New Roman" w:eastAsiaTheme="minorHAnsi" w:hAnsi="Times New Roman" w:cs="Times New Roman"/>
              <w:color w:val="000000" w:themeColor="text1"/>
              <w:sz w:val="24"/>
              <w:szCs w:val="24"/>
            </w:rPr>
            <w:instrText xml:space="preserve">CITATION Yus17 \p 514 \l 1033 </w:instrText>
          </w:r>
          <w:r w:rsidRPr="00597FFB">
            <w:rPr>
              <w:rFonts w:ascii="Times New Roman" w:eastAsiaTheme="minorHAnsi" w:hAnsi="Times New Roman" w:cs="Times New Roman"/>
              <w:color w:val="000000" w:themeColor="text1"/>
              <w:sz w:val="24"/>
              <w:szCs w:val="24"/>
            </w:rPr>
            <w:fldChar w:fldCharType="separate"/>
          </w:r>
          <w:r w:rsidR="00F82F75" w:rsidRPr="00597FFB">
            <w:rPr>
              <w:rFonts w:ascii="Times New Roman" w:eastAsiaTheme="minorHAnsi" w:hAnsi="Times New Roman" w:cs="Times New Roman"/>
              <w:noProof/>
              <w:color w:val="000000" w:themeColor="text1"/>
              <w:sz w:val="24"/>
              <w:szCs w:val="24"/>
            </w:rPr>
            <w:t>(Yushkova &amp; Feng, 2017, p. 514)</w:t>
          </w:r>
          <w:r w:rsidRPr="00597FFB">
            <w:rPr>
              <w:rFonts w:ascii="Times New Roman" w:eastAsiaTheme="minorHAnsi" w:hAnsi="Times New Roman" w:cs="Times New Roman"/>
              <w:color w:val="000000" w:themeColor="text1"/>
              <w:sz w:val="24"/>
              <w:szCs w:val="24"/>
            </w:rPr>
            <w:fldChar w:fldCharType="end"/>
          </w:r>
        </w:sdtContent>
      </w:sdt>
      <w:r w:rsidRPr="00597FFB">
        <w:rPr>
          <w:rFonts w:ascii="Times New Roman" w:eastAsiaTheme="minorHAnsi" w:hAnsi="Times New Roman" w:cs="Times New Roman"/>
          <w:color w:val="000000" w:themeColor="text1"/>
          <w:sz w:val="24"/>
          <w:szCs w:val="24"/>
        </w:rPr>
        <w:t>, the conclusion was that “</w:t>
      </w:r>
      <w:r w:rsidRPr="00597FFB">
        <w:rPr>
          <w:rFonts w:ascii="Times New Roman" w:eastAsiaTheme="minorHAnsi" w:hAnsi="Times New Roman" w:cs="Times New Roman"/>
          <w:i/>
          <w:iCs/>
          <w:color w:val="000000" w:themeColor="text1"/>
          <w:sz w:val="24"/>
          <w:szCs w:val="24"/>
        </w:rPr>
        <w:t>Environmental education may be a critical factor that, through direct and indirect effects, would lead to a higher intention to engage in recycling activities.”</w:t>
      </w:r>
      <w:r w:rsidRPr="00597FFB">
        <w:rPr>
          <w:rFonts w:ascii="Times New Roman" w:eastAsiaTheme="minorHAnsi" w:hAnsi="Times New Roman" w:cs="Times New Roman"/>
          <w:noProof/>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A person who has recycled in the past will be more likely to develop a recycling habit and therefore is more likely to recycle in the future </w:t>
      </w:r>
      <w:r w:rsidRPr="00597FFB">
        <w:rPr>
          <w:rFonts w:ascii="Times New Roman" w:eastAsiaTheme="minorHAnsi" w:hAnsi="Times New Roman" w:cs="Times New Roman"/>
          <w:color w:val="000000" w:themeColor="text1"/>
          <w:sz w:val="24"/>
          <w:szCs w:val="24"/>
        </w:rPr>
        <w:t>(Winterich et al., 2019)</w:t>
      </w:r>
      <w:r w:rsidRPr="00597FFB">
        <w:rPr>
          <w:rFonts w:ascii="Times New Roman" w:eastAsia="Times New Roman" w:hAnsi="Times New Roman" w:cs="Times New Roman"/>
          <w:bCs/>
          <w:color w:val="000000" w:themeColor="text1"/>
          <w:sz w:val="24"/>
          <w:szCs w:val="24"/>
        </w:rPr>
        <w:t xml:space="preserve">. Some studies </w:t>
      </w:r>
      <w:r w:rsidRPr="00597FFB">
        <w:rPr>
          <w:rFonts w:ascii="Times New Roman" w:eastAsiaTheme="minorHAnsi" w:hAnsi="Times New Roman" w:cs="Times New Roman"/>
          <w:color w:val="000000" w:themeColor="text1"/>
          <w:sz w:val="24"/>
        </w:rPr>
        <w:t>(Chawla, 2019; Gunarathne et al., 2020)</w:t>
      </w:r>
      <w:r w:rsidRPr="00597FFB">
        <w:rPr>
          <w:rFonts w:ascii="Times New Roman" w:eastAsia="Times New Roman" w:hAnsi="Times New Roman" w:cs="Times New Roman"/>
          <w:bCs/>
          <w:color w:val="000000" w:themeColor="text1"/>
          <w:sz w:val="24"/>
          <w:szCs w:val="24"/>
        </w:rPr>
        <w:t xml:space="preserve"> have included practicing recycling in the past as a recycling predictor and postulate the formation of a recycling habit due to a past recycling experience. Their findings showed that past recycling experience is a significant predictor of development of recycling habit. This prediction was informed by the fact that the relationship between expertise and recycling behavior may be habitual, be related to a stronger self-identity or may cause one to perceive that less effort is required to recycle e-waste</w:t>
      </w:r>
      <w:r w:rsidRPr="00597FFB">
        <w:rPr>
          <w:rFonts w:ascii="Times New Roman" w:eastAsia="Calibri" w:hAnsi="Times New Roman" w:cs="Times New Roman"/>
          <w:color w:val="000000" w:themeColor="text1"/>
          <w:sz w:val="24"/>
          <w:szCs w:val="24"/>
        </w:rPr>
        <w:t>. Another internal factor that could affect consumers’ recycling behavior is knowledge and awareness.</w:t>
      </w:r>
    </w:p>
    <w:p w14:paraId="4EB53380" w14:textId="57F1BD93" w:rsidR="002105B9" w:rsidRPr="00597FFB" w:rsidRDefault="002105B9" w:rsidP="00A558FE">
      <w:pPr>
        <w:pStyle w:val="Heading3"/>
        <w:spacing w:line="480" w:lineRule="auto"/>
        <w:ind w:firstLine="720"/>
        <w:rPr>
          <w:rFonts w:ascii="Times New Roman" w:eastAsia="Times New Roman" w:hAnsi="Times New Roman" w:cs="Times New Roman"/>
          <w:bCs/>
          <w:color w:val="000000" w:themeColor="text1"/>
          <w:sz w:val="24"/>
          <w:szCs w:val="24"/>
        </w:rPr>
      </w:pPr>
      <w:bookmarkStart w:id="127" w:name="_Toc127170292"/>
      <w:r w:rsidRPr="00597FFB">
        <w:rPr>
          <w:rFonts w:asciiTheme="majorBidi" w:hAnsiTheme="majorBidi"/>
          <w:i/>
          <w:iCs/>
          <w:color w:val="000000" w:themeColor="text1"/>
          <w:sz w:val="24"/>
          <w:szCs w:val="24"/>
        </w:rPr>
        <w:t>2.6.1.3. Knowledge and Awareness</w:t>
      </w:r>
      <w:r w:rsidR="00DD5CFE" w:rsidRPr="00597FFB">
        <w:rPr>
          <w:rFonts w:asciiTheme="majorBidi" w:hAnsiTheme="majorBidi"/>
          <w:i/>
          <w:iCs/>
          <w:color w:val="000000" w:themeColor="text1"/>
          <w:sz w:val="24"/>
          <w:szCs w:val="24"/>
        </w:rPr>
        <w:t>.</w:t>
      </w:r>
      <w:bookmarkEnd w:id="127"/>
    </w:p>
    <w:p w14:paraId="1FD82BD7" w14:textId="48271272" w:rsidR="0003140E" w:rsidRPr="00597FFB" w:rsidRDefault="002105B9" w:rsidP="00A558FE">
      <w:pPr>
        <w:spacing w:line="480" w:lineRule="auto"/>
        <w:ind w:firstLine="360"/>
        <w:contextualSpacing/>
        <w:jc w:val="both"/>
        <w:rPr>
          <w:rFonts w:ascii="Times New Roman" w:eastAsia="Calibri" w:hAnsi="Times New Roman" w:cs="Times New Roman"/>
          <w:color w:val="000000" w:themeColor="text1"/>
          <w:sz w:val="24"/>
          <w:szCs w:val="24"/>
        </w:rPr>
      </w:pPr>
      <w:r w:rsidRPr="00597FFB">
        <w:rPr>
          <w:rFonts w:ascii="Times New Roman" w:eastAsia="Calibri" w:hAnsi="Times New Roman" w:cs="Times New Roman"/>
          <w:color w:val="000000" w:themeColor="text1"/>
          <w:sz w:val="24"/>
          <w:szCs w:val="24"/>
        </w:rPr>
        <w:t xml:space="preserve"> </w:t>
      </w:r>
      <w:r w:rsidR="005B2916" w:rsidRPr="00597FFB">
        <w:rPr>
          <w:rFonts w:ascii="Times New Roman" w:eastAsia="Calibri" w:hAnsi="Times New Roman" w:cs="Times New Roman"/>
          <w:color w:val="000000" w:themeColor="text1"/>
          <w:sz w:val="24"/>
          <w:szCs w:val="24"/>
        </w:rPr>
        <w:tab/>
      </w:r>
      <w:r w:rsidR="0003140E" w:rsidRPr="00597FFB">
        <w:rPr>
          <w:rFonts w:ascii="Times New Roman" w:eastAsia="Times New Roman" w:hAnsi="Times New Roman" w:cs="Times New Roman"/>
          <w:bCs/>
          <w:color w:val="000000" w:themeColor="text1"/>
          <w:sz w:val="24"/>
          <w:szCs w:val="24"/>
        </w:rPr>
        <w:t xml:space="preserve">Knowledge and awareness about the e-waste problem and about </w:t>
      </w:r>
      <w:r w:rsidR="00863A51" w:rsidRPr="00597FFB">
        <w:rPr>
          <w:rFonts w:ascii="Times New Roman" w:eastAsia="Times New Roman" w:hAnsi="Times New Roman" w:cs="Times New Roman"/>
          <w:bCs/>
          <w:color w:val="000000" w:themeColor="text1"/>
          <w:sz w:val="24"/>
          <w:szCs w:val="24"/>
        </w:rPr>
        <w:t xml:space="preserve">how </w:t>
      </w:r>
      <w:r w:rsidR="0003140E" w:rsidRPr="00597FFB">
        <w:rPr>
          <w:rFonts w:ascii="Times New Roman" w:eastAsia="Times New Roman" w:hAnsi="Times New Roman" w:cs="Times New Roman"/>
          <w:bCs/>
          <w:color w:val="000000" w:themeColor="text1"/>
          <w:sz w:val="24"/>
          <w:szCs w:val="24"/>
        </w:rPr>
        <w:t xml:space="preserve">and </w:t>
      </w:r>
      <w:r w:rsidR="00863A51" w:rsidRPr="00597FFB">
        <w:rPr>
          <w:rFonts w:ascii="Times New Roman" w:eastAsia="Times New Roman" w:hAnsi="Times New Roman" w:cs="Times New Roman"/>
          <w:bCs/>
          <w:color w:val="000000" w:themeColor="text1"/>
          <w:sz w:val="24"/>
          <w:szCs w:val="24"/>
        </w:rPr>
        <w:t xml:space="preserve">where </w:t>
      </w:r>
      <w:r w:rsidR="0003140E" w:rsidRPr="00597FFB">
        <w:rPr>
          <w:rFonts w:ascii="Times New Roman" w:eastAsia="Times New Roman" w:hAnsi="Times New Roman" w:cs="Times New Roman"/>
          <w:bCs/>
          <w:color w:val="000000" w:themeColor="text1"/>
          <w:sz w:val="24"/>
          <w:szCs w:val="24"/>
        </w:rPr>
        <w:t>to dispose</w:t>
      </w:r>
      <w:r w:rsidR="00863A51" w:rsidRPr="00597FFB">
        <w:rPr>
          <w:rFonts w:ascii="Times New Roman" w:eastAsia="Times New Roman" w:hAnsi="Times New Roman" w:cs="Times New Roman"/>
          <w:bCs/>
          <w:color w:val="000000" w:themeColor="text1"/>
          <w:sz w:val="24"/>
          <w:szCs w:val="24"/>
        </w:rPr>
        <w:t xml:space="preserve"> it</w:t>
      </w:r>
      <w:r w:rsidR="0003140E" w:rsidRPr="00597FFB">
        <w:rPr>
          <w:rFonts w:ascii="Times New Roman" w:eastAsia="Times New Roman" w:hAnsi="Times New Roman" w:cs="Times New Roman"/>
          <w:bCs/>
          <w:color w:val="000000" w:themeColor="text1"/>
          <w:sz w:val="24"/>
          <w:szCs w:val="24"/>
        </w:rPr>
        <w:t xml:space="preserve"> of </w:t>
      </w:r>
      <w:r w:rsidR="00863A51" w:rsidRPr="00597FFB">
        <w:rPr>
          <w:rFonts w:ascii="Times New Roman" w:eastAsia="Times New Roman" w:hAnsi="Times New Roman" w:cs="Times New Roman"/>
          <w:bCs/>
          <w:color w:val="000000" w:themeColor="text1"/>
          <w:sz w:val="24"/>
          <w:szCs w:val="24"/>
        </w:rPr>
        <w:t>could</w:t>
      </w:r>
      <w:r w:rsidR="0003140E" w:rsidRPr="00597FFB">
        <w:rPr>
          <w:rFonts w:ascii="Times New Roman" w:eastAsia="Times New Roman" w:hAnsi="Times New Roman" w:cs="Times New Roman"/>
          <w:bCs/>
          <w:color w:val="000000" w:themeColor="text1"/>
          <w:sz w:val="24"/>
          <w:szCs w:val="24"/>
        </w:rPr>
        <w:t xml:space="preserve"> drive return and recycling behavior (</w:t>
      </w:r>
      <w:r w:rsidR="0003140E" w:rsidRPr="00597FFB">
        <w:rPr>
          <w:rFonts w:ascii="Times New Roman" w:eastAsiaTheme="minorHAnsi" w:hAnsi="Times New Roman" w:cs="Times New Roman"/>
          <w:color w:val="000000" w:themeColor="text1"/>
          <w:sz w:val="24"/>
          <w:szCs w:val="24"/>
        </w:rPr>
        <w:t>Vassanadumrongdee &amp; Kittipongvises, 2018; Mawed, 2020)</w:t>
      </w:r>
      <w:r w:rsidR="0003140E" w:rsidRPr="00597FFB">
        <w:rPr>
          <w:rFonts w:ascii="Times New Roman" w:eastAsia="Times New Roman" w:hAnsi="Times New Roman" w:cs="Times New Roman"/>
          <w:bCs/>
          <w:color w:val="000000" w:themeColor="text1"/>
          <w:sz w:val="24"/>
          <w:szCs w:val="24"/>
        </w:rPr>
        <w:t xml:space="preserve">. On the contrary, limited knowledge can act as a barrier against return and recycling behavior. </w:t>
      </w:r>
      <w:r w:rsidR="00863A51" w:rsidRPr="00597FFB">
        <w:rPr>
          <w:rFonts w:ascii="Times New Roman" w:eastAsia="Times New Roman" w:hAnsi="Times New Roman" w:cs="Times New Roman"/>
          <w:bCs/>
          <w:color w:val="000000" w:themeColor="text1"/>
          <w:sz w:val="24"/>
          <w:szCs w:val="24"/>
        </w:rPr>
        <w:t>Thus</w:t>
      </w:r>
      <w:r w:rsidR="0003140E" w:rsidRPr="00597FFB">
        <w:rPr>
          <w:rFonts w:ascii="Times New Roman" w:eastAsia="Times New Roman" w:hAnsi="Times New Roman" w:cs="Times New Roman"/>
          <w:bCs/>
          <w:color w:val="000000" w:themeColor="text1"/>
          <w:sz w:val="24"/>
          <w:szCs w:val="24"/>
        </w:rPr>
        <w:t xml:space="preserve">, </w:t>
      </w:r>
      <w:r w:rsidR="00863A51" w:rsidRPr="00597FFB">
        <w:rPr>
          <w:rFonts w:ascii="Times New Roman" w:eastAsia="Times New Roman" w:hAnsi="Times New Roman" w:cs="Times New Roman"/>
          <w:bCs/>
          <w:color w:val="000000" w:themeColor="text1"/>
          <w:sz w:val="24"/>
          <w:szCs w:val="24"/>
        </w:rPr>
        <w:t>adequate</w:t>
      </w:r>
      <w:r w:rsidR="0003140E" w:rsidRPr="00597FFB">
        <w:rPr>
          <w:rFonts w:ascii="Times New Roman" w:eastAsia="Times New Roman" w:hAnsi="Times New Roman" w:cs="Times New Roman"/>
          <w:bCs/>
          <w:color w:val="000000" w:themeColor="text1"/>
          <w:sz w:val="24"/>
          <w:szCs w:val="24"/>
        </w:rPr>
        <w:t xml:space="preserve"> knowledge is </w:t>
      </w:r>
      <w:r w:rsidR="00863A51" w:rsidRPr="00597FFB">
        <w:rPr>
          <w:rFonts w:ascii="Times New Roman" w:eastAsia="Times New Roman" w:hAnsi="Times New Roman" w:cs="Times New Roman"/>
          <w:bCs/>
          <w:color w:val="000000" w:themeColor="text1"/>
          <w:sz w:val="24"/>
          <w:szCs w:val="24"/>
        </w:rPr>
        <w:t xml:space="preserve">vital in </w:t>
      </w:r>
      <w:r w:rsidR="0003140E" w:rsidRPr="00597FFB">
        <w:rPr>
          <w:rFonts w:ascii="Times New Roman" w:eastAsia="Times New Roman" w:hAnsi="Times New Roman" w:cs="Times New Roman"/>
          <w:bCs/>
          <w:color w:val="000000" w:themeColor="text1"/>
          <w:sz w:val="24"/>
          <w:szCs w:val="24"/>
        </w:rPr>
        <w:t xml:space="preserve">awareness </w:t>
      </w:r>
      <w:r w:rsidR="00863A51" w:rsidRPr="00597FFB">
        <w:rPr>
          <w:rFonts w:ascii="Times New Roman" w:eastAsia="Times New Roman" w:hAnsi="Times New Roman" w:cs="Times New Roman"/>
          <w:bCs/>
          <w:color w:val="000000" w:themeColor="text1"/>
          <w:sz w:val="24"/>
          <w:szCs w:val="24"/>
        </w:rPr>
        <w:t xml:space="preserve">creation </w:t>
      </w:r>
      <w:r w:rsidR="0003140E" w:rsidRPr="00597FFB">
        <w:rPr>
          <w:rFonts w:ascii="Times New Roman" w:eastAsia="Times New Roman" w:hAnsi="Times New Roman" w:cs="Times New Roman"/>
          <w:bCs/>
          <w:color w:val="000000" w:themeColor="text1"/>
          <w:sz w:val="24"/>
          <w:szCs w:val="24"/>
        </w:rPr>
        <w:t>and encourag</w:t>
      </w:r>
      <w:r w:rsidR="00863A51" w:rsidRPr="00597FFB">
        <w:rPr>
          <w:rFonts w:ascii="Times New Roman" w:eastAsia="Times New Roman" w:hAnsi="Times New Roman" w:cs="Times New Roman"/>
          <w:bCs/>
          <w:color w:val="000000" w:themeColor="text1"/>
          <w:sz w:val="24"/>
          <w:szCs w:val="24"/>
        </w:rPr>
        <w:t>ing</w:t>
      </w:r>
      <w:r w:rsidR="0003140E" w:rsidRPr="00597FFB">
        <w:rPr>
          <w:rFonts w:ascii="Times New Roman" w:eastAsia="Times New Roman" w:hAnsi="Times New Roman" w:cs="Times New Roman"/>
          <w:bCs/>
          <w:color w:val="000000" w:themeColor="text1"/>
          <w:sz w:val="24"/>
          <w:szCs w:val="24"/>
        </w:rPr>
        <w:t xml:space="preserve"> return and recycling behavior. However, knowledge </w:t>
      </w:r>
      <w:r w:rsidR="00863A51" w:rsidRPr="00597FFB">
        <w:rPr>
          <w:rFonts w:ascii="Times New Roman" w:eastAsia="Times New Roman" w:hAnsi="Times New Roman" w:cs="Times New Roman"/>
          <w:bCs/>
          <w:color w:val="000000" w:themeColor="text1"/>
          <w:sz w:val="24"/>
          <w:szCs w:val="24"/>
        </w:rPr>
        <w:t>on its own</w:t>
      </w:r>
      <w:r w:rsidR="0003140E" w:rsidRPr="00597FFB">
        <w:rPr>
          <w:rFonts w:ascii="Times New Roman" w:eastAsia="Times New Roman" w:hAnsi="Times New Roman" w:cs="Times New Roman"/>
          <w:bCs/>
          <w:color w:val="000000" w:themeColor="text1"/>
          <w:sz w:val="24"/>
          <w:szCs w:val="24"/>
        </w:rPr>
        <w:t xml:space="preserve"> is </w:t>
      </w:r>
      <w:r w:rsidR="00863A51" w:rsidRPr="00597FFB">
        <w:rPr>
          <w:rFonts w:ascii="Times New Roman" w:eastAsia="Times New Roman" w:hAnsi="Times New Roman" w:cs="Times New Roman"/>
          <w:bCs/>
          <w:color w:val="000000" w:themeColor="text1"/>
          <w:sz w:val="24"/>
          <w:szCs w:val="24"/>
        </w:rPr>
        <w:t>in</w:t>
      </w:r>
      <w:r w:rsidR="0003140E" w:rsidRPr="00597FFB">
        <w:rPr>
          <w:rFonts w:ascii="Times New Roman" w:eastAsia="Times New Roman" w:hAnsi="Times New Roman" w:cs="Times New Roman"/>
          <w:bCs/>
          <w:color w:val="000000" w:themeColor="text1"/>
          <w:sz w:val="24"/>
          <w:szCs w:val="24"/>
        </w:rPr>
        <w:t xml:space="preserve">sufficient for </w:t>
      </w:r>
      <w:r w:rsidR="00863A51" w:rsidRPr="00597FFB">
        <w:rPr>
          <w:rFonts w:ascii="Times New Roman" w:eastAsia="Times New Roman" w:hAnsi="Times New Roman" w:cs="Times New Roman"/>
          <w:bCs/>
          <w:color w:val="000000" w:themeColor="text1"/>
          <w:sz w:val="24"/>
          <w:szCs w:val="24"/>
        </w:rPr>
        <w:t>informing</w:t>
      </w:r>
      <w:r w:rsidR="0003140E" w:rsidRPr="00597FFB">
        <w:rPr>
          <w:rFonts w:ascii="Times New Roman" w:eastAsia="Times New Roman" w:hAnsi="Times New Roman" w:cs="Times New Roman"/>
          <w:bCs/>
          <w:color w:val="000000" w:themeColor="text1"/>
          <w:sz w:val="24"/>
          <w:szCs w:val="24"/>
        </w:rPr>
        <w:t xml:space="preserve"> pro-environmental decisions </w:t>
      </w:r>
      <w:r w:rsidR="0003140E" w:rsidRPr="00597FFB">
        <w:rPr>
          <w:rFonts w:ascii="Times New Roman" w:eastAsiaTheme="minorHAnsi" w:hAnsi="Times New Roman" w:cs="Times New Roman"/>
          <w:color w:val="000000" w:themeColor="text1"/>
          <w:sz w:val="24"/>
        </w:rPr>
        <w:t>(Mawed, 2020)</w:t>
      </w:r>
      <w:r w:rsidR="0003140E" w:rsidRPr="00597FFB">
        <w:rPr>
          <w:rFonts w:ascii="Times New Roman" w:eastAsia="Times New Roman" w:hAnsi="Times New Roman" w:cs="Times New Roman"/>
          <w:bCs/>
          <w:color w:val="000000" w:themeColor="text1"/>
          <w:sz w:val="24"/>
          <w:szCs w:val="24"/>
        </w:rPr>
        <w:t>.</w:t>
      </w:r>
    </w:p>
    <w:p w14:paraId="4316A7CE"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Increased knowledge about recycling or environmental problems should encourage the recycling of waste </w:t>
      </w:r>
      <w:r w:rsidRPr="00597FFB">
        <w:rPr>
          <w:rFonts w:ascii="Times New Roman" w:eastAsiaTheme="minorHAnsi" w:hAnsi="Times New Roman" w:cs="Times New Roman"/>
          <w:color w:val="000000" w:themeColor="text1"/>
          <w:sz w:val="24"/>
          <w:szCs w:val="24"/>
        </w:rPr>
        <w:t>(Vassanadumrongdee &amp; Kittipongvises, 2018)</w:t>
      </w:r>
      <w:r w:rsidRPr="00597FFB">
        <w:rPr>
          <w:rFonts w:ascii="Times New Roman" w:eastAsia="Times New Roman" w:hAnsi="Times New Roman" w:cs="Times New Roman"/>
          <w:bCs/>
          <w:color w:val="000000" w:themeColor="text1"/>
          <w:sz w:val="24"/>
          <w:szCs w:val="24"/>
        </w:rPr>
        <w:t xml:space="preserve">. Nevertheless, </w:t>
      </w:r>
      <w:r w:rsidRPr="00597FFB">
        <w:rPr>
          <w:rFonts w:ascii="Times New Roman" w:eastAsiaTheme="minorHAnsi" w:hAnsi="Times New Roman" w:cs="Times New Roman"/>
          <w:color w:val="000000" w:themeColor="text1"/>
          <w:sz w:val="24"/>
          <w:szCs w:val="24"/>
        </w:rPr>
        <w:t>Choi and Johnson (2019)</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found that learning about recycling was less predictive than motivational factors in explaining recycling behavior. However, knowledge affected recycling only if the individual had prior motivation to engage in the behavior. People with knowledge about the causes and effects of environmental challenges and concern for the environment are more likely to recycle (Choi &amp; Johnson, 2019).</w:t>
      </w:r>
    </w:p>
    <w:p w14:paraId="5730555D"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Public awareness is deemed to be one of the most important factors in the success of takeback and recycling initiatives. Such awareness is essential to EWM’s success (Borthakur &amp; Govind, 2018). Therefore, low collection and recycling could be a result of lack of knowledge and awareness because no public discussions and debates about sustainability and e-waste occur </w:t>
      </w:r>
      <w:r w:rsidRPr="00597FFB">
        <w:rPr>
          <w:rFonts w:ascii="Times New Roman" w:eastAsiaTheme="minorHAnsi" w:hAnsi="Times New Roman" w:cs="Times New Roman"/>
          <w:color w:val="000000" w:themeColor="text1"/>
          <w:sz w:val="24"/>
        </w:rPr>
        <w:t>(Minton et al., 2018.)</w:t>
      </w:r>
      <w:r w:rsidRPr="00597FFB">
        <w:rPr>
          <w:rFonts w:ascii="Times New Roman" w:eastAsia="Times New Roman" w:hAnsi="Times New Roman" w:cs="Times New Roman"/>
          <w:bCs/>
          <w:color w:val="000000" w:themeColor="text1"/>
          <w:sz w:val="24"/>
          <w:szCs w:val="24"/>
        </w:rPr>
        <w:t xml:space="preserve"> This lack of awareness and knowledge could revolve around three issues </w:t>
      </w:r>
      <w:r w:rsidRPr="00597FFB">
        <w:rPr>
          <w:rFonts w:ascii="Times New Roman" w:eastAsiaTheme="minorHAnsi" w:hAnsi="Times New Roman" w:cs="Times New Roman"/>
          <w:color w:val="000000" w:themeColor="text1"/>
          <w:sz w:val="24"/>
        </w:rPr>
        <w:t>(Ramzan et al., 2019)</w:t>
      </w:r>
      <w:r w:rsidRPr="00597FFB">
        <w:rPr>
          <w:rFonts w:ascii="Times New Roman" w:eastAsia="Times New Roman" w:hAnsi="Times New Roman" w:cs="Times New Roman"/>
          <w:bCs/>
          <w:color w:val="000000" w:themeColor="text1"/>
          <w:sz w:val="24"/>
          <w:szCs w:val="24"/>
        </w:rPr>
        <w:t xml:space="preserve">. Firstly, it may be about lack of knowledge about the resources available in e-waste in terms of how valuable they are and the presence of hazardous and toxic elements in e-waste. Secondly, it could be related to knowledge and awareness about the toxic ways in which e-waste is processed and recycled (i.e., awareness of the environmental problem). Finally, it could be about lack of knowledge and awareness concerning where and how e-waste should be disposed of responsibly. In other words, these three perspectives reflect to individual’s knowledge and awareness of the relevance of their own behavior and abilities </w:t>
      </w:r>
      <w:r w:rsidRPr="00597FFB">
        <w:rPr>
          <w:rFonts w:ascii="Times New Roman" w:eastAsiaTheme="minorHAnsi" w:hAnsi="Times New Roman" w:cs="Times New Roman"/>
          <w:color w:val="000000" w:themeColor="text1"/>
          <w:sz w:val="24"/>
        </w:rPr>
        <w:t>(Ramzan et al., 2019)</w:t>
      </w:r>
      <w:r w:rsidRPr="00597FFB">
        <w:rPr>
          <w:rFonts w:ascii="Times New Roman" w:eastAsia="Times New Roman" w:hAnsi="Times New Roman" w:cs="Times New Roman"/>
          <w:bCs/>
          <w:color w:val="000000" w:themeColor="text1"/>
          <w:sz w:val="24"/>
          <w:szCs w:val="24"/>
        </w:rPr>
        <w:t>.</w:t>
      </w:r>
    </w:p>
    <w:p w14:paraId="7447AE38"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szCs w:val="24"/>
        </w:rPr>
        <w:t>Decisions about disposal appear to be dependent primarily on the convenience of the available options.</w:t>
      </w:r>
      <w:r w:rsidRPr="00597FFB">
        <w:rPr>
          <w:rFonts w:ascii="Times New Roman" w:eastAsia="Times New Roman" w:hAnsi="Times New Roman" w:cs="Times New Roman"/>
          <w:bCs/>
          <w:color w:val="000000" w:themeColor="text1"/>
          <w:sz w:val="24"/>
          <w:szCs w:val="24"/>
        </w:rPr>
        <w:t xml:space="preserve"> Some studies (Lee et al., 2018; Jayaraman et al., 2019) highlight the low level of awareness of e-waste in several countries and regions. </w:t>
      </w:r>
      <w:r w:rsidRPr="00597FFB">
        <w:rPr>
          <w:rFonts w:ascii="Times New Roman" w:eastAsiaTheme="minorHAnsi" w:hAnsi="Times New Roman" w:cs="Times New Roman"/>
          <w:color w:val="000000" w:themeColor="text1"/>
          <w:sz w:val="24"/>
          <w:szCs w:val="24"/>
        </w:rPr>
        <w:t>Lee et al. (2018)</w:t>
      </w:r>
      <w:r w:rsidRPr="00597FFB">
        <w:rPr>
          <w:rFonts w:ascii="Times New Roman" w:eastAsia="Times New Roman" w:hAnsi="Times New Roman" w:cs="Times New Roman"/>
          <w:bCs/>
          <w:color w:val="000000" w:themeColor="text1"/>
          <w:sz w:val="24"/>
          <w:szCs w:val="24"/>
        </w:rPr>
        <w:t xml:space="preserve"> studied factors that would encourage more remarkable recycling in the United States. He found that curbside collection and awareness of the harmful effects of chemicals in batteries were conducive to improved recycling rates. In the Malaysian context, </w:t>
      </w:r>
      <w:r w:rsidRPr="00597FFB">
        <w:rPr>
          <w:rFonts w:ascii="Times New Roman" w:eastAsiaTheme="minorHAnsi" w:hAnsi="Times New Roman" w:cs="Times New Roman"/>
          <w:color w:val="000000" w:themeColor="text1"/>
          <w:sz w:val="24"/>
          <w:szCs w:val="24"/>
        </w:rPr>
        <w:t>Jayaraman et al. (2019)</w:t>
      </w:r>
      <w:r w:rsidRPr="00597FFB">
        <w:rPr>
          <w:rFonts w:ascii="Times New Roman" w:eastAsia="Times New Roman" w:hAnsi="Times New Roman" w:cs="Times New Roman"/>
          <w:bCs/>
          <w:color w:val="000000" w:themeColor="text1"/>
          <w:sz w:val="24"/>
          <w:szCs w:val="24"/>
        </w:rPr>
        <w:t xml:space="preserve"> found that “awareness of laptop disposal” and “laptop usage” positively influenced laptop disposal practices, while computer literacy positively moderated the link between social consequences to beliefs and understanding of laptop disposal practices. Besides the internal factors that affect consumers’ recycling behavior, some external factors may also have influence how consumers perceive and engage in recycling.</w:t>
      </w:r>
      <w:r w:rsidRPr="00597FFB">
        <w:rPr>
          <w:rFonts w:eastAsiaTheme="minorHAnsi"/>
          <w:color w:val="000000" w:themeColor="text1"/>
          <w:lang w:val="en-GB"/>
        </w:rPr>
        <w:t xml:space="preserve"> </w:t>
      </w:r>
    </w:p>
    <w:p w14:paraId="7CF38796" w14:textId="029AECFB" w:rsidR="0003140E" w:rsidRPr="00597FFB" w:rsidRDefault="00927B6D" w:rsidP="00A558FE">
      <w:pPr>
        <w:keepLines/>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28" w:name="_Toc127170293"/>
      <w:r w:rsidRPr="00597FFB">
        <w:rPr>
          <w:rFonts w:ascii="Times New Roman" w:eastAsia="Calibri" w:hAnsi="Times New Roman" w:cs="Times New Roman"/>
          <w:i/>
          <w:iCs/>
          <w:color w:val="000000" w:themeColor="text1"/>
          <w:sz w:val="24"/>
          <w:szCs w:val="24"/>
        </w:rPr>
        <w:t xml:space="preserve">2.6.2. </w:t>
      </w:r>
      <w:r w:rsidR="0003140E" w:rsidRPr="00597FFB">
        <w:rPr>
          <w:rFonts w:ascii="Times New Roman" w:eastAsia="Calibri" w:hAnsi="Times New Roman" w:cs="Times New Roman"/>
          <w:i/>
          <w:iCs/>
          <w:color w:val="000000" w:themeColor="text1"/>
          <w:sz w:val="24"/>
          <w:szCs w:val="24"/>
        </w:rPr>
        <w:t>External Factors</w:t>
      </w:r>
      <w:r w:rsidR="00DD5CFE" w:rsidRPr="00597FFB">
        <w:rPr>
          <w:rFonts w:ascii="Times New Roman" w:eastAsia="Calibri" w:hAnsi="Times New Roman" w:cs="Times New Roman"/>
          <w:i/>
          <w:iCs/>
          <w:color w:val="000000" w:themeColor="text1"/>
          <w:sz w:val="24"/>
          <w:szCs w:val="24"/>
        </w:rPr>
        <w:t>.</w:t>
      </w:r>
      <w:bookmarkEnd w:id="128"/>
    </w:p>
    <w:p w14:paraId="25A57F67" w14:textId="7AF0ED97"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Unlike the internal factors discussed in the previous section, external factors are resident outside the individual and mostly in the external environment (Ajzen, 1991). In other words, external factors are not personal although they influence someone’s behavior. External factors include the </w:t>
      </w:r>
      <w:r w:rsidR="00B13B70" w:rsidRPr="00597FFB">
        <w:rPr>
          <w:rFonts w:ascii="Times New Roman" w:eastAsia="Times New Roman" w:hAnsi="Times New Roman" w:cs="Times New Roman"/>
          <w:bCs/>
          <w:color w:val="000000" w:themeColor="text1"/>
          <w:sz w:val="24"/>
          <w:szCs w:val="24"/>
        </w:rPr>
        <w:t xml:space="preserve">barriers </w:t>
      </w:r>
      <w:r w:rsidRPr="00597FFB">
        <w:rPr>
          <w:rFonts w:ascii="Times New Roman" w:eastAsia="Times New Roman" w:hAnsi="Times New Roman" w:cs="Times New Roman"/>
          <w:bCs/>
          <w:color w:val="000000" w:themeColor="text1"/>
          <w:sz w:val="24"/>
          <w:szCs w:val="24"/>
        </w:rPr>
        <w:t xml:space="preserve">and </w:t>
      </w:r>
      <w:r w:rsidR="00B13B70" w:rsidRPr="00597FFB">
        <w:rPr>
          <w:rFonts w:ascii="Times New Roman" w:eastAsia="Times New Roman" w:hAnsi="Times New Roman" w:cs="Times New Roman"/>
          <w:bCs/>
          <w:color w:val="000000" w:themeColor="text1"/>
          <w:sz w:val="24"/>
          <w:szCs w:val="24"/>
        </w:rPr>
        <w:t xml:space="preserve">drivers </w:t>
      </w:r>
      <w:r w:rsidRPr="00597FFB">
        <w:rPr>
          <w:rFonts w:ascii="Times New Roman" w:eastAsia="Times New Roman" w:hAnsi="Times New Roman" w:cs="Times New Roman"/>
          <w:bCs/>
          <w:color w:val="000000" w:themeColor="text1"/>
          <w:sz w:val="24"/>
          <w:szCs w:val="24"/>
        </w:rPr>
        <w:t xml:space="preserve">that </w:t>
      </w:r>
      <w:r w:rsidR="00B13B70" w:rsidRPr="00597FFB">
        <w:rPr>
          <w:rFonts w:ascii="Times New Roman" w:eastAsia="Times New Roman" w:hAnsi="Times New Roman" w:cs="Times New Roman"/>
          <w:bCs/>
          <w:color w:val="000000" w:themeColor="text1"/>
          <w:sz w:val="24"/>
          <w:szCs w:val="24"/>
        </w:rPr>
        <w:t>affect the consumption patterns and recycling decisions of</w:t>
      </w:r>
      <w:r w:rsidRPr="00597FFB">
        <w:rPr>
          <w:rFonts w:ascii="Times New Roman" w:eastAsia="Times New Roman" w:hAnsi="Times New Roman" w:cs="Times New Roman"/>
          <w:bCs/>
          <w:color w:val="000000" w:themeColor="text1"/>
          <w:sz w:val="24"/>
          <w:szCs w:val="24"/>
        </w:rPr>
        <w:t xml:space="preserve"> a person </w:t>
      </w:r>
      <w:r w:rsidR="00B13B70" w:rsidRPr="00597FFB">
        <w:rPr>
          <w:rFonts w:ascii="Times New Roman" w:eastAsia="Times New Roman" w:hAnsi="Times New Roman" w:cs="Times New Roman"/>
          <w:bCs/>
          <w:color w:val="000000" w:themeColor="text1"/>
          <w:sz w:val="24"/>
          <w:szCs w:val="24"/>
        </w:rPr>
        <w:t>because of</w:t>
      </w:r>
      <w:r w:rsidRPr="00597FFB">
        <w:rPr>
          <w:rFonts w:ascii="Times New Roman" w:eastAsia="Times New Roman" w:hAnsi="Times New Roman" w:cs="Times New Roman"/>
          <w:bCs/>
          <w:color w:val="000000" w:themeColor="text1"/>
          <w:sz w:val="24"/>
          <w:szCs w:val="24"/>
        </w:rPr>
        <w:t xml:space="preserve"> systematic, </w:t>
      </w:r>
      <w:r w:rsidR="00B13B70" w:rsidRPr="00597FFB">
        <w:rPr>
          <w:rFonts w:ascii="Times New Roman" w:eastAsia="Times New Roman" w:hAnsi="Times New Roman" w:cs="Times New Roman"/>
          <w:bCs/>
          <w:color w:val="000000" w:themeColor="text1"/>
          <w:sz w:val="24"/>
          <w:szCs w:val="24"/>
        </w:rPr>
        <w:t xml:space="preserve">institutional, </w:t>
      </w:r>
      <w:r w:rsidRPr="00597FFB">
        <w:rPr>
          <w:rFonts w:ascii="Times New Roman" w:eastAsia="Times New Roman" w:hAnsi="Times New Roman" w:cs="Times New Roman"/>
          <w:bCs/>
          <w:color w:val="000000" w:themeColor="text1"/>
          <w:sz w:val="24"/>
          <w:szCs w:val="24"/>
        </w:rPr>
        <w:t xml:space="preserve">and </w:t>
      </w:r>
      <w:r w:rsidR="00B13B70" w:rsidRPr="00597FFB">
        <w:rPr>
          <w:rFonts w:ascii="Times New Roman" w:eastAsia="Times New Roman" w:hAnsi="Times New Roman" w:cs="Times New Roman"/>
          <w:bCs/>
          <w:color w:val="000000" w:themeColor="text1"/>
          <w:sz w:val="24"/>
          <w:szCs w:val="24"/>
        </w:rPr>
        <w:t xml:space="preserve">structural </w:t>
      </w:r>
      <w:r w:rsidRPr="00597FFB">
        <w:rPr>
          <w:rFonts w:ascii="Times New Roman" w:eastAsia="Times New Roman" w:hAnsi="Times New Roman" w:cs="Times New Roman"/>
          <w:bCs/>
          <w:color w:val="000000" w:themeColor="text1"/>
          <w:sz w:val="24"/>
          <w:szCs w:val="24"/>
        </w:rPr>
        <w:t xml:space="preserve">factors. They are determined more at the </w:t>
      </w:r>
      <w:r w:rsidR="00B13B70" w:rsidRPr="00597FFB">
        <w:rPr>
          <w:rFonts w:ascii="Times New Roman" w:eastAsia="Times New Roman" w:hAnsi="Times New Roman" w:cs="Times New Roman"/>
          <w:bCs/>
          <w:color w:val="000000" w:themeColor="text1"/>
          <w:sz w:val="24"/>
          <w:szCs w:val="24"/>
        </w:rPr>
        <w:t xml:space="preserve">political </w:t>
      </w:r>
      <w:r w:rsidRPr="00597FFB">
        <w:rPr>
          <w:rFonts w:ascii="Times New Roman" w:eastAsia="Times New Roman" w:hAnsi="Times New Roman" w:cs="Times New Roman"/>
          <w:bCs/>
          <w:color w:val="000000" w:themeColor="text1"/>
          <w:sz w:val="24"/>
          <w:szCs w:val="24"/>
        </w:rPr>
        <w:t xml:space="preserve">or </w:t>
      </w:r>
      <w:r w:rsidR="00B13B70" w:rsidRPr="00597FFB">
        <w:rPr>
          <w:rFonts w:ascii="Times New Roman" w:eastAsia="Times New Roman" w:hAnsi="Times New Roman" w:cs="Times New Roman"/>
          <w:bCs/>
          <w:color w:val="000000" w:themeColor="text1"/>
          <w:sz w:val="24"/>
          <w:szCs w:val="24"/>
        </w:rPr>
        <w:t xml:space="preserve">corporate </w:t>
      </w:r>
      <w:r w:rsidRPr="00597FFB">
        <w:rPr>
          <w:rFonts w:ascii="Times New Roman" w:eastAsia="Times New Roman" w:hAnsi="Times New Roman" w:cs="Times New Roman"/>
          <w:bCs/>
          <w:color w:val="000000" w:themeColor="text1"/>
          <w:sz w:val="24"/>
          <w:szCs w:val="24"/>
        </w:rPr>
        <w:t>level</w:t>
      </w:r>
      <w:r w:rsidR="00B13B70" w:rsidRPr="00597FFB">
        <w:rPr>
          <w:rFonts w:ascii="Times New Roman" w:eastAsia="Times New Roman" w:hAnsi="Times New Roman" w:cs="Times New Roman"/>
          <w:bCs/>
          <w:color w:val="000000" w:themeColor="text1"/>
          <w:sz w:val="24"/>
          <w:szCs w:val="24"/>
        </w:rPr>
        <w:t>s than they are</w:t>
      </w:r>
      <w:r w:rsidRPr="00597FFB">
        <w:rPr>
          <w:rFonts w:ascii="Times New Roman" w:eastAsia="Times New Roman" w:hAnsi="Times New Roman" w:cs="Times New Roman"/>
          <w:bCs/>
          <w:color w:val="000000" w:themeColor="text1"/>
          <w:sz w:val="24"/>
          <w:szCs w:val="24"/>
        </w:rPr>
        <w:t xml:space="preserve"> at personal level</w:t>
      </w:r>
      <w:r w:rsidR="00B13B70" w:rsidRPr="00597FFB">
        <w:rPr>
          <w:rFonts w:ascii="Times New Roman" w:eastAsia="Times New Roman" w:hAnsi="Times New Roman" w:cs="Times New Roman"/>
          <w:bCs/>
          <w:color w:val="000000" w:themeColor="text1"/>
          <w:sz w:val="24"/>
          <w:szCs w:val="24"/>
        </w:rPr>
        <w:t>s</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rPr>
        <w:t>(Asadi et al., 2021)</w:t>
      </w:r>
      <w:r w:rsidRPr="00597FFB">
        <w:rPr>
          <w:rFonts w:ascii="Times New Roman" w:eastAsia="Times New Roman" w:hAnsi="Times New Roman" w:cs="Times New Roman"/>
          <w:bCs/>
          <w:color w:val="000000" w:themeColor="text1"/>
          <w:sz w:val="24"/>
          <w:szCs w:val="24"/>
        </w:rPr>
        <w:t>.</w:t>
      </w:r>
    </w:p>
    <w:p w14:paraId="1B66AA83" w14:textId="2E8CDE41" w:rsidR="007F4BB6" w:rsidRPr="00597FFB" w:rsidRDefault="007F4BB6" w:rsidP="00463A8E">
      <w:pPr>
        <w:pStyle w:val="Heading3"/>
        <w:spacing w:line="480" w:lineRule="auto"/>
        <w:ind w:firstLine="720"/>
        <w:rPr>
          <w:rFonts w:ascii="Times New Roman" w:eastAsia="Times New Roman" w:hAnsi="Times New Roman" w:cs="Times New Roman"/>
          <w:bCs/>
          <w:color w:val="000000" w:themeColor="text1"/>
          <w:sz w:val="24"/>
          <w:szCs w:val="24"/>
        </w:rPr>
      </w:pPr>
      <w:bookmarkStart w:id="129" w:name="_Toc127170294"/>
      <w:r w:rsidRPr="00597FFB">
        <w:rPr>
          <w:rFonts w:asciiTheme="majorBidi" w:hAnsiTheme="majorBidi"/>
          <w:i/>
          <w:iCs/>
          <w:color w:val="000000" w:themeColor="text1"/>
          <w:sz w:val="24"/>
          <w:szCs w:val="24"/>
        </w:rPr>
        <w:t>2.6.2.1. Incentive</w:t>
      </w:r>
      <w:r w:rsidR="003815B9">
        <w:rPr>
          <w:rFonts w:asciiTheme="majorBidi" w:hAnsiTheme="majorBidi"/>
          <w:i/>
          <w:iCs/>
          <w:color w:val="000000" w:themeColor="text1"/>
          <w:sz w:val="24"/>
          <w:szCs w:val="24"/>
        </w:rPr>
        <w:t>s</w:t>
      </w:r>
      <w:r w:rsidRPr="00597FFB">
        <w:rPr>
          <w:rFonts w:asciiTheme="majorBidi" w:hAnsiTheme="majorBidi"/>
          <w:i/>
          <w:iCs/>
          <w:color w:val="000000" w:themeColor="text1"/>
          <w:sz w:val="24"/>
          <w:szCs w:val="24"/>
        </w:rPr>
        <w:t xml:space="preserve"> (monetary or nonmonetary)</w:t>
      </w:r>
      <w:r w:rsidR="00463A8E" w:rsidRPr="00597FFB">
        <w:rPr>
          <w:rFonts w:asciiTheme="majorBidi" w:hAnsiTheme="majorBidi"/>
          <w:i/>
          <w:iCs/>
          <w:color w:val="000000" w:themeColor="text1"/>
          <w:sz w:val="24"/>
          <w:szCs w:val="24"/>
        </w:rPr>
        <w:t>.</w:t>
      </w:r>
      <w:bookmarkEnd w:id="129"/>
    </w:p>
    <w:p w14:paraId="233510B0" w14:textId="7FF3048C" w:rsidR="0003140E" w:rsidRPr="00597FFB" w:rsidRDefault="0003140E" w:rsidP="00A558FE">
      <w:pPr>
        <w:spacing w:line="480" w:lineRule="auto"/>
        <w:ind w:firstLine="720"/>
        <w:contextualSpacing/>
        <w:jc w:val="both"/>
        <w:rPr>
          <w:rFonts w:ascii="Times New Roman" w:eastAsia="Calibr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lang w:val="en-GB"/>
        </w:rPr>
        <w:t xml:space="preserve">Incentive (monetary or nonmonetary) factors are important in driving/motivating return and recycling behavior </w:t>
      </w:r>
      <w:r w:rsidRPr="00597FFB">
        <w:rPr>
          <w:rFonts w:ascii="Times New Roman" w:eastAsiaTheme="minorHAnsi" w:hAnsi="Times New Roman" w:cs="Times New Roman"/>
          <w:color w:val="000000" w:themeColor="text1"/>
          <w:sz w:val="24"/>
          <w:lang w:val="en-GB"/>
        </w:rPr>
        <w:t>(Kryscynski et al., 2021)</w:t>
      </w:r>
      <w:r w:rsidRPr="00597FFB">
        <w:rPr>
          <w:rFonts w:ascii="Times New Roman" w:eastAsia="Times New Roman" w:hAnsi="Times New Roman" w:cs="Times New Roman"/>
          <w:bCs/>
          <w:color w:val="000000" w:themeColor="text1"/>
          <w:sz w:val="24"/>
          <w:szCs w:val="24"/>
          <w:lang w:val="en-GB"/>
        </w:rPr>
        <w:t xml:space="preserve">. </w:t>
      </w:r>
      <w:r w:rsidRPr="00597FFB">
        <w:rPr>
          <w:rFonts w:ascii="Times New Roman" w:eastAsiaTheme="minorHAnsi" w:hAnsi="Times New Roman" w:cs="Times New Roman"/>
          <w:color w:val="000000" w:themeColor="text1"/>
          <w:sz w:val="24"/>
          <w:lang w:val="en-GB"/>
        </w:rPr>
        <w:t>Dhingra and Maheshwari (2018)</w:t>
      </w:r>
      <w:r w:rsidRPr="00597FFB">
        <w:rPr>
          <w:rFonts w:ascii="Times New Roman" w:eastAsiaTheme="minorHAnsi" w:hAnsi="Times New Roman" w:cs="Times New Roman"/>
          <w:color w:val="000000" w:themeColor="text1"/>
          <w:sz w:val="24"/>
          <w:szCs w:val="24"/>
          <w:lang w:val="en-GB"/>
        </w:rPr>
        <w:t xml:space="preserve"> identified three categories of incentives in the Indian context, which included financial, environmental, and society charity incentives. Financial incentives include cashback and discount coupons. An example of environmental incentives is donation of e-waste to an organization in return for tree planting. Societal charity incentives may be in form of donations to the society. </w:t>
      </w:r>
      <w:r w:rsidRPr="00597FFB">
        <w:rPr>
          <w:rFonts w:ascii="Times New Roman" w:eastAsia="Calibri" w:hAnsi="Times New Roman" w:cs="Times New Roman"/>
          <w:color w:val="000000" w:themeColor="text1"/>
          <w:sz w:val="24"/>
          <w:szCs w:val="24"/>
          <w:lang w:val="en-GB"/>
        </w:rPr>
        <w:t>Upon ranking them,</w:t>
      </w:r>
      <w:r w:rsidRPr="00597FFB">
        <w:rPr>
          <w:rFonts w:ascii="Times New Roman" w:eastAsiaTheme="minorHAnsi" w:hAnsi="Times New Roman" w:cs="Times New Roman"/>
          <w:color w:val="000000" w:themeColor="text1"/>
          <w:sz w:val="24"/>
          <w:szCs w:val="24"/>
          <w:lang w:val="en-GB"/>
        </w:rPr>
        <w:t xml:space="preserve"> most consumers </w:t>
      </w:r>
      <w:r w:rsidR="007F4BB6" w:rsidRPr="00597FFB">
        <w:rPr>
          <w:rFonts w:ascii="Times New Roman" w:eastAsiaTheme="minorHAnsi" w:hAnsi="Times New Roman" w:cs="Times New Roman"/>
          <w:color w:val="000000" w:themeColor="text1"/>
          <w:sz w:val="24"/>
          <w:szCs w:val="24"/>
          <w:lang w:val="en-GB"/>
        </w:rPr>
        <w:t>favoured</w:t>
      </w:r>
      <w:r w:rsidRPr="00597FFB">
        <w:rPr>
          <w:rFonts w:ascii="Times New Roman" w:eastAsiaTheme="minorHAnsi" w:hAnsi="Times New Roman" w:cs="Times New Roman"/>
          <w:color w:val="000000" w:themeColor="text1"/>
          <w:sz w:val="24"/>
          <w:szCs w:val="24"/>
          <w:lang w:val="en-GB"/>
        </w:rPr>
        <w:t xml:space="preserve"> the “cashback” incentive, followed by “donate e-waste in exchange for planting a tree,” “discount in the purchase of another product,” and “donate for charity” (Dhingra &amp; Maheshwari, 2018). Economic incentives such as “discount coupons” or “purchase discount” and similar monetary payments are used in e-waste collection schemes, along with a donation to charity and entry into a prize draw in European countries (Aboelmaged, 2021). This type of motivational tool encourages the return of EEE. However, one drawback is that people must buy new products simultaneously. In Finland, 70% of respondents claimed that a 20-euro deposit would motivate them to return old mobile phones (Ylä-Mella &amp; Román, 2019).</w:t>
      </w:r>
    </w:p>
    <w:p w14:paraId="45CE00EF"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In Asian countries, e-waste management initiatives are challenging because ﬁnancial attributions largely determine consumer e-waste disposal behavior unlike among European or American consumers who believe that they mitigate environmental degradation by engaging in recycling activities (Chao et al., 2021). Since economic incentives in Asia dominate determinants </w:t>
      </w:r>
      <w:r w:rsidRPr="00597FFB">
        <w:rPr>
          <w:rFonts w:ascii="Times New Roman" w:eastAsia="Calibri" w:hAnsi="Times New Roman" w:cs="Times New Roman"/>
          <w:color w:val="000000" w:themeColor="text1"/>
          <w:sz w:val="24"/>
          <w:szCs w:val="24"/>
        </w:rPr>
        <w:t>of</w:t>
      </w:r>
      <w:r w:rsidRPr="00597FFB">
        <w:rPr>
          <w:rFonts w:ascii="Times New Roman" w:eastAsiaTheme="minorHAnsi" w:hAnsi="Times New Roman" w:cs="Times New Roman"/>
          <w:color w:val="000000" w:themeColor="text1"/>
          <w:sz w:val="24"/>
          <w:szCs w:val="24"/>
        </w:rPr>
        <w:t xml:space="preserve"> consumer recycling behavior and Asian countries tend to lack legislative norms, the informal e-waste sector is gaining momentum in these countries. An attempt to apply deposit-refund systems is demonstrated in the Thai government initiative called, “</w:t>
      </w:r>
      <w:r w:rsidRPr="00597FFB">
        <w:rPr>
          <w:rFonts w:ascii="Times New Roman" w:eastAsiaTheme="minorHAnsi" w:hAnsi="Times New Roman" w:cs="Times New Roman"/>
          <w:i/>
          <w:iCs/>
          <w:color w:val="000000" w:themeColor="text1"/>
          <w:sz w:val="24"/>
          <w:szCs w:val="24"/>
        </w:rPr>
        <w:t>Buyback e-waste from households</w:t>
      </w:r>
      <w:r w:rsidRPr="00597FFB">
        <w:rPr>
          <w:rFonts w:ascii="Times New Roman" w:eastAsiaTheme="minorHAnsi" w:hAnsi="Times New Roman" w:cs="Times New Roman"/>
          <w:color w:val="000000" w:themeColor="text1"/>
          <w:sz w:val="24"/>
          <w:szCs w:val="24"/>
        </w:rPr>
        <w:t xml:space="preserve">” within the Thai e-waste strategy draft </w:t>
      </w:r>
      <w:r w:rsidRPr="00597FFB">
        <w:rPr>
          <w:rFonts w:ascii="Times New Roman" w:eastAsiaTheme="minorHAnsi" w:hAnsi="Times New Roman" w:cs="Times New Roman"/>
          <w:color w:val="000000" w:themeColor="text1"/>
          <w:sz w:val="24"/>
        </w:rPr>
        <w:t>(Vassanadumrongdee &amp; Kittipongvises, 2018)</w:t>
      </w:r>
      <w:r w:rsidRPr="00597FFB">
        <w:rPr>
          <w:rFonts w:ascii="Times New Roman" w:eastAsiaTheme="minorHAnsi" w:hAnsi="Times New Roman" w:cs="Times New Roman"/>
          <w:color w:val="000000" w:themeColor="text1"/>
          <w:sz w:val="24"/>
          <w:szCs w:val="24"/>
        </w:rPr>
        <w:t xml:space="preserve">. All in all, </w:t>
      </w:r>
      <w:r w:rsidRPr="00597FFB">
        <w:rPr>
          <w:rFonts w:ascii="Times New Roman" w:eastAsia="Times New Roman" w:hAnsi="Times New Roman" w:cs="Times New Roman"/>
          <w:bCs/>
          <w:color w:val="000000" w:themeColor="text1"/>
          <w:sz w:val="24"/>
          <w:szCs w:val="24"/>
        </w:rPr>
        <w:t xml:space="preserve">these incentives have different impacts and levels of effectiveness although a system that involves immediate material compensation motivates more people to return and recycle </w:t>
      </w:r>
      <w:r w:rsidRPr="00597FFB">
        <w:rPr>
          <w:rFonts w:ascii="Times New Roman" w:eastAsiaTheme="minorHAnsi" w:hAnsi="Times New Roman" w:cs="Times New Roman"/>
          <w:color w:val="000000" w:themeColor="text1"/>
          <w:sz w:val="24"/>
          <w:szCs w:val="24"/>
        </w:rPr>
        <w:t>(Chao et al., 2021)</w:t>
      </w:r>
      <w:r w:rsidRPr="00597FFB">
        <w:rPr>
          <w:rFonts w:ascii="Times New Roman" w:eastAsia="Times New Roman" w:hAnsi="Times New Roman" w:cs="Times New Roman"/>
          <w:bCs/>
          <w:color w:val="000000" w:themeColor="text1"/>
          <w:sz w:val="24"/>
          <w:szCs w:val="24"/>
        </w:rPr>
        <w:t>.</w:t>
      </w:r>
    </w:p>
    <w:p w14:paraId="0B06B83B"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Special attention has been given to economic motivation for mass and consumer involvement in a proper EWM. </w:t>
      </w:r>
      <w:r w:rsidRPr="00597FFB">
        <w:rPr>
          <w:rFonts w:ascii="Times New Roman" w:eastAsiaTheme="minorHAnsi" w:hAnsi="Times New Roman" w:cs="Times New Roman"/>
          <w:color w:val="000000" w:themeColor="text1"/>
          <w:sz w:val="24"/>
        </w:rPr>
        <w:t>Wang et al. (2020b)</w:t>
      </w:r>
      <w:r w:rsidRPr="00597FFB">
        <w:rPr>
          <w:rFonts w:ascii="Times New Roman" w:eastAsiaTheme="minorHAnsi" w:hAnsi="Times New Roman" w:cs="Times New Roman"/>
          <w:color w:val="000000" w:themeColor="text1"/>
          <w:sz w:val="24"/>
          <w:szCs w:val="24"/>
        </w:rPr>
        <w:t xml:space="preserve"> show that the costs of offering a financial incentive are low compared to the costs of promotion, monitoring, and evaluation. The limiting factor in any recycling scheme is minimizing collection and transportation costs. In contrast, </w:t>
      </w:r>
      <w:bookmarkStart w:id="130" w:name="_Hlk75094822"/>
      <w:r w:rsidRPr="00597FFB">
        <w:rPr>
          <w:rFonts w:ascii="Times New Roman" w:eastAsiaTheme="minorHAnsi" w:hAnsi="Times New Roman" w:cs="Times New Roman"/>
          <w:color w:val="000000" w:themeColor="text1"/>
          <w:sz w:val="24"/>
          <w:szCs w:val="24"/>
        </w:rPr>
        <w:t>Dalvi-Esfahani et al. (2020)</w:t>
      </w:r>
      <w:bookmarkEnd w:id="130"/>
      <w:r w:rsidRPr="00597FFB">
        <w:rPr>
          <w:rFonts w:ascii="Times New Roman" w:eastAsiaTheme="minorHAnsi" w:hAnsi="Times New Roman" w:cs="Times New Roman"/>
          <w:color w:val="000000" w:themeColor="text1"/>
          <w:sz w:val="24"/>
          <w:szCs w:val="24"/>
        </w:rPr>
        <w:t xml:space="preserve"> argued that some e-waste categories, such as IT and telecommunication equipment, are perceived as having residual value in developed countries. Therefore, consumers tend to store a few categories, such as EoL EEE, past the end-of-life stage at home. Consumer motivation to return EoL EEE likely depends on economic incentives, irrespective of whether the country is developed or not, as the high price of EEE results in one perceiving a higher residual value. As reviewed below, infrastructure to recycle e-waste is another external factor with the potential to affect consumers’ recycling behavior.</w:t>
      </w:r>
    </w:p>
    <w:p w14:paraId="2734A4D4" w14:textId="51CCAB10" w:rsidR="007F4BB6" w:rsidRPr="00597FFB" w:rsidRDefault="007F4BB6" w:rsidP="00A558FE">
      <w:pPr>
        <w:pStyle w:val="Heading3"/>
        <w:spacing w:line="480" w:lineRule="auto"/>
        <w:ind w:firstLine="720"/>
        <w:rPr>
          <w:rFonts w:ascii="Times New Roman" w:eastAsiaTheme="minorHAnsi" w:hAnsi="Times New Roman" w:cs="Times New Roman"/>
          <w:color w:val="FF0000"/>
          <w:sz w:val="24"/>
          <w:szCs w:val="24"/>
        </w:rPr>
      </w:pPr>
      <w:bookmarkStart w:id="131" w:name="_Toc127170295"/>
      <w:r w:rsidRPr="00597FFB">
        <w:rPr>
          <w:rFonts w:asciiTheme="majorBidi" w:hAnsiTheme="majorBidi"/>
          <w:i/>
          <w:iCs/>
          <w:color w:val="000000" w:themeColor="text1"/>
          <w:sz w:val="24"/>
          <w:szCs w:val="24"/>
        </w:rPr>
        <w:t xml:space="preserve">2.6.2.2. The Infrastructure </w:t>
      </w:r>
      <w:r w:rsidR="00A56EE5" w:rsidRPr="00597FF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o Recycle E-</w:t>
      </w:r>
      <w:r w:rsidR="001423E7">
        <w:rPr>
          <w:rFonts w:asciiTheme="majorBidi" w:hAnsiTheme="majorBidi"/>
          <w:i/>
          <w:iCs/>
          <w:color w:val="000000" w:themeColor="text1"/>
          <w:sz w:val="24"/>
          <w:szCs w:val="24"/>
        </w:rPr>
        <w:t>w</w:t>
      </w:r>
      <w:r w:rsidRPr="00597FFB">
        <w:rPr>
          <w:rFonts w:asciiTheme="majorBidi" w:hAnsiTheme="majorBidi"/>
          <w:i/>
          <w:iCs/>
          <w:color w:val="000000" w:themeColor="text1"/>
          <w:sz w:val="24"/>
          <w:szCs w:val="24"/>
        </w:rPr>
        <w:t>aste</w:t>
      </w:r>
      <w:r w:rsidR="00DD5CFE" w:rsidRPr="00597FFB">
        <w:rPr>
          <w:rFonts w:asciiTheme="majorBidi" w:hAnsiTheme="majorBidi"/>
          <w:i/>
          <w:iCs/>
          <w:color w:val="000000" w:themeColor="text1"/>
          <w:sz w:val="24"/>
          <w:szCs w:val="24"/>
        </w:rPr>
        <w:t>.</w:t>
      </w:r>
      <w:bookmarkEnd w:id="131"/>
    </w:p>
    <w:p w14:paraId="08AEEC90" w14:textId="3AF72A16" w:rsidR="0003140E" w:rsidRPr="00597FFB" w:rsidRDefault="0003140E" w:rsidP="00A558FE">
      <w:pPr>
        <w:spacing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color w:val="000000" w:themeColor="text1"/>
          <w:sz w:val="24"/>
          <w:szCs w:val="24"/>
        </w:rPr>
        <w:t>The infrastructure to recycle e-waste</w:t>
      </w:r>
      <w:r w:rsidR="00B36435" w:rsidRPr="00597FFB">
        <w:rPr>
          <w:rFonts w:ascii="Times New Roman" w:eastAsia="Times New Roman" w:hAnsi="Times New Roman" w:cs="Times New Roman"/>
          <w:color w:val="000000" w:themeColor="text1"/>
          <w:sz w:val="24"/>
          <w:szCs w:val="24"/>
        </w:rPr>
        <w:t xml:space="preserve"> including</w:t>
      </w:r>
      <w:r w:rsidRPr="00597FFB">
        <w:rPr>
          <w:rFonts w:ascii="Times New Roman" w:eastAsia="Times New Roman" w:hAnsi="Times New Roman" w:cs="Times New Roman"/>
          <w:bCs/>
          <w:color w:val="000000" w:themeColor="text1"/>
          <w:sz w:val="24"/>
          <w:szCs w:val="24"/>
        </w:rPr>
        <w:t xml:space="preserve"> collection systems with </w:t>
      </w:r>
      <w:r w:rsidR="00B36435" w:rsidRPr="00597FFB">
        <w:rPr>
          <w:rFonts w:ascii="Times New Roman" w:eastAsia="Times New Roman" w:hAnsi="Times New Roman" w:cs="Times New Roman"/>
          <w:bCs/>
          <w:color w:val="000000" w:themeColor="text1"/>
          <w:sz w:val="24"/>
          <w:szCs w:val="24"/>
        </w:rPr>
        <w:t xml:space="preserve">convenient </w:t>
      </w:r>
      <w:r w:rsidRPr="00597FFB">
        <w:rPr>
          <w:rFonts w:ascii="Times New Roman" w:eastAsia="Times New Roman" w:hAnsi="Times New Roman" w:cs="Times New Roman"/>
          <w:bCs/>
          <w:color w:val="000000" w:themeColor="text1"/>
          <w:sz w:val="24"/>
          <w:szCs w:val="24"/>
        </w:rPr>
        <w:t xml:space="preserve">and </w:t>
      </w:r>
      <w:r w:rsidR="00B36435" w:rsidRPr="00597FFB">
        <w:rPr>
          <w:rFonts w:ascii="Times New Roman" w:eastAsia="Times New Roman" w:hAnsi="Times New Roman" w:cs="Times New Roman"/>
          <w:bCs/>
          <w:color w:val="000000" w:themeColor="text1"/>
          <w:sz w:val="24"/>
          <w:szCs w:val="24"/>
        </w:rPr>
        <w:t xml:space="preserve">easy </w:t>
      </w:r>
      <w:r w:rsidRPr="00597FFB">
        <w:rPr>
          <w:rFonts w:ascii="Times New Roman" w:eastAsia="Times New Roman" w:hAnsi="Times New Roman" w:cs="Times New Roman"/>
          <w:bCs/>
          <w:color w:val="000000" w:themeColor="text1"/>
          <w:sz w:val="24"/>
          <w:szCs w:val="24"/>
        </w:rPr>
        <w:t xml:space="preserve">access to </w:t>
      </w:r>
      <w:r w:rsidR="00B36435" w:rsidRPr="00597FFB">
        <w:rPr>
          <w:rFonts w:ascii="Times New Roman" w:eastAsia="Times New Roman" w:hAnsi="Times New Roman" w:cs="Times New Roman"/>
          <w:bCs/>
          <w:color w:val="000000" w:themeColor="text1"/>
          <w:sz w:val="24"/>
          <w:szCs w:val="24"/>
        </w:rPr>
        <w:t xml:space="preserve">either </w:t>
      </w:r>
      <w:r w:rsidRPr="00597FFB">
        <w:rPr>
          <w:rFonts w:ascii="Times New Roman" w:eastAsia="Times New Roman" w:hAnsi="Times New Roman" w:cs="Times New Roman"/>
          <w:bCs/>
          <w:color w:val="000000" w:themeColor="text1"/>
          <w:sz w:val="24"/>
          <w:szCs w:val="24"/>
        </w:rPr>
        <w:t xml:space="preserve">recycling bins or other </w:t>
      </w:r>
      <w:r w:rsidR="00B36435" w:rsidRPr="00597FFB">
        <w:rPr>
          <w:rFonts w:ascii="Times New Roman" w:eastAsia="Times New Roman" w:hAnsi="Times New Roman" w:cs="Times New Roman"/>
          <w:bCs/>
          <w:color w:val="000000" w:themeColor="text1"/>
          <w:sz w:val="24"/>
          <w:szCs w:val="24"/>
        </w:rPr>
        <w:t xml:space="preserve">points of </w:t>
      </w:r>
      <w:r w:rsidRPr="00597FFB">
        <w:rPr>
          <w:rFonts w:ascii="Times New Roman" w:eastAsia="Times New Roman" w:hAnsi="Times New Roman" w:cs="Times New Roman"/>
          <w:bCs/>
          <w:color w:val="000000" w:themeColor="text1"/>
          <w:sz w:val="24"/>
          <w:szCs w:val="24"/>
        </w:rPr>
        <w:t xml:space="preserve">collection, is </w:t>
      </w:r>
      <w:r w:rsidR="00B36435" w:rsidRPr="00597FFB">
        <w:rPr>
          <w:rFonts w:ascii="Times New Roman" w:eastAsia="Times New Roman" w:hAnsi="Times New Roman" w:cs="Times New Roman"/>
          <w:bCs/>
          <w:color w:val="000000" w:themeColor="text1"/>
          <w:sz w:val="24"/>
          <w:szCs w:val="24"/>
        </w:rPr>
        <w:t>central to</w:t>
      </w:r>
      <w:r w:rsidRPr="00597FFB">
        <w:rPr>
          <w:rFonts w:ascii="Times New Roman" w:eastAsia="Times New Roman" w:hAnsi="Times New Roman" w:cs="Times New Roman"/>
          <w:bCs/>
          <w:color w:val="000000" w:themeColor="text1"/>
          <w:sz w:val="24"/>
          <w:szCs w:val="24"/>
        </w:rPr>
        <w:t xml:space="preserve"> </w:t>
      </w:r>
      <w:r w:rsidR="00B36435" w:rsidRPr="00597FFB">
        <w:rPr>
          <w:rFonts w:ascii="Times New Roman" w:eastAsia="Times New Roman" w:hAnsi="Times New Roman" w:cs="Times New Roman"/>
          <w:bCs/>
          <w:color w:val="000000" w:themeColor="text1"/>
          <w:sz w:val="24"/>
          <w:szCs w:val="24"/>
        </w:rPr>
        <w:t xml:space="preserve">fostering an </w:t>
      </w:r>
      <w:r w:rsidRPr="00597FFB">
        <w:rPr>
          <w:rFonts w:ascii="Times New Roman" w:eastAsia="Times New Roman" w:hAnsi="Times New Roman" w:cs="Times New Roman"/>
          <w:bCs/>
          <w:color w:val="000000" w:themeColor="text1"/>
          <w:sz w:val="24"/>
          <w:szCs w:val="24"/>
        </w:rPr>
        <w:t xml:space="preserve">e-waste return and recycling culture </w:t>
      </w:r>
      <w:r w:rsidR="00B36435" w:rsidRPr="00597FFB">
        <w:rPr>
          <w:rFonts w:ascii="Times New Roman" w:eastAsia="Times New Roman" w:hAnsi="Times New Roman" w:cs="Times New Roman"/>
          <w:bCs/>
          <w:color w:val="000000" w:themeColor="text1"/>
          <w:sz w:val="24"/>
          <w:szCs w:val="24"/>
        </w:rPr>
        <w:t>that increases the rates of r</w:t>
      </w:r>
      <w:r w:rsidRPr="00597FFB">
        <w:rPr>
          <w:rFonts w:ascii="Times New Roman" w:eastAsia="Times New Roman" w:hAnsi="Times New Roman" w:cs="Times New Roman"/>
          <w:bCs/>
          <w:color w:val="000000" w:themeColor="text1"/>
          <w:sz w:val="24"/>
          <w:szCs w:val="24"/>
        </w:rPr>
        <w:t xml:space="preserve">ecovery </w:t>
      </w:r>
      <w:r w:rsidRPr="00597FFB">
        <w:rPr>
          <w:rFonts w:ascii="Times New Roman" w:eastAsiaTheme="minorHAnsi" w:hAnsi="Times New Roman" w:cs="Times New Roman"/>
          <w:color w:val="000000" w:themeColor="text1"/>
          <w:sz w:val="24"/>
        </w:rPr>
        <w:t>(Jayaraman et al., 2019b)</w:t>
      </w:r>
      <w:r w:rsidRPr="00597FFB">
        <w:rPr>
          <w:rFonts w:ascii="Times New Roman" w:eastAsia="Times New Roman" w:hAnsi="Times New Roman" w:cs="Times New Roman"/>
          <w:bCs/>
          <w:color w:val="000000" w:themeColor="text1"/>
          <w:sz w:val="24"/>
          <w:szCs w:val="24"/>
        </w:rPr>
        <w:t xml:space="preserve">. Low perceived effort </w:t>
      </w:r>
      <w:r w:rsidR="00FB6BB5" w:rsidRPr="00597FFB">
        <w:rPr>
          <w:rFonts w:ascii="Times New Roman" w:eastAsia="Times New Roman" w:hAnsi="Times New Roman" w:cs="Times New Roman"/>
          <w:bCs/>
          <w:color w:val="000000" w:themeColor="text1"/>
          <w:sz w:val="24"/>
          <w:szCs w:val="24"/>
        </w:rPr>
        <w:t>i.e., an action’s</w:t>
      </w:r>
      <w:r w:rsidRPr="00597FFB">
        <w:rPr>
          <w:rFonts w:ascii="Times New Roman" w:eastAsia="Times New Roman" w:hAnsi="Times New Roman" w:cs="Times New Roman"/>
          <w:bCs/>
          <w:color w:val="000000" w:themeColor="text1"/>
          <w:sz w:val="24"/>
          <w:szCs w:val="24"/>
        </w:rPr>
        <w:t xml:space="preserve"> cost/benefit ratio, </w:t>
      </w:r>
      <w:r w:rsidR="00FB6BB5" w:rsidRPr="00597FFB">
        <w:rPr>
          <w:rFonts w:ascii="Times New Roman" w:eastAsia="Times New Roman" w:hAnsi="Times New Roman" w:cs="Times New Roman"/>
          <w:bCs/>
          <w:color w:val="000000" w:themeColor="text1"/>
          <w:sz w:val="24"/>
          <w:szCs w:val="24"/>
        </w:rPr>
        <w:t>the time loss</w:t>
      </w:r>
      <w:r w:rsidRPr="00597FFB">
        <w:rPr>
          <w:rFonts w:ascii="Times New Roman" w:eastAsia="Times New Roman" w:hAnsi="Times New Roman" w:cs="Times New Roman"/>
          <w:bCs/>
          <w:color w:val="000000" w:themeColor="text1"/>
          <w:sz w:val="24"/>
          <w:szCs w:val="24"/>
        </w:rPr>
        <w:t>, or</w:t>
      </w:r>
      <w:r w:rsidR="00FB6BB5" w:rsidRPr="00597FFB">
        <w:rPr>
          <w:rFonts w:ascii="Times New Roman" w:eastAsia="Times New Roman" w:hAnsi="Times New Roman" w:cs="Times New Roman"/>
          <w:bCs/>
          <w:color w:val="000000" w:themeColor="text1"/>
          <w:sz w:val="24"/>
          <w:szCs w:val="24"/>
        </w:rPr>
        <w:t xml:space="preserve"> the discomfort</w:t>
      </w:r>
      <w:r w:rsidRPr="00597FFB">
        <w:rPr>
          <w:rFonts w:ascii="Times New Roman" w:eastAsia="Times New Roman" w:hAnsi="Times New Roman" w:cs="Times New Roman"/>
          <w:bCs/>
          <w:color w:val="000000" w:themeColor="text1"/>
          <w:sz w:val="24"/>
          <w:szCs w:val="24"/>
        </w:rPr>
        <w:t xml:space="preserve">) and rewards for an action increase the likelihood of consumers returning and recycling. On the other hand, consumers who perceive that returning e-waste requires a high amount of effort or is inconvenient are less likely to return it </w:t>
      </w:r>
      <w:r w:rsidRPr="00597FFB">
        <w:rPr>
          <w:rFonts w:ascii="Times New Roman" w:eastAsiaTheme="minorHAnsi" w:hAnsi="Times New Roman" w:cs="Times New Roman"/>
          <w:color w:val="000000" w:themeColor="text1"/>
          <w:sz w:val="24"/>
        </w:rPr>
        <w:t>(Park &amp; Lin, 2020)</w:t>
      </w:r>
      <w:r w:rsidRPr="00597FFB">
        <w:rPr>
          <w:rFonts w:ascii="Times New Roman" w:eastAsia="Times New Roman" w:hAnsi="Times New Roman" w:cs="Times New Roman"/>
          <w:bCs/>
          <w:color w:val="000000" w:themeColor="text1"/>
          <w:sz w:val="24"/>
          <w:szCs w:val="24"/>
        </w:rPr>
        <w:t>.</w:t>
      </w:r>
    </w:p>
    <w:p w14:paraId="39B6159F" w14:textId="03EFD644"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Additionally, consumers who mistrust the recycling infrastructure due to lacking a full understanding of the relevant processes prefer </w:t>
      </w:r>
      <w:r w:rsidR="008923CE" w:rsidRPr="00597FFB">
        <w:rPr>
          <w:rFonts w:ascii="Times New Roman" w:eastAsia="Times New Roman" w:hAnsi="Times New Roman" w:cs="Times New Roman"/>
          <w:bCs/>
          <w:color w:val="000000" w:themeColor="text1"/>
          <w:sz w:val="24"/>
          <w:szCs w:val="24"/>
        </w:rPr>
        <w:t>keeping</w:t>
      </w:r>
      <w:r w:rsidRPr="00597FFB">
        <w:rPr>
          <w:rFonts w:ascii="Times New Roman" w:eastAsia="Times New Roman" w:hAnsi="Times New Roman" w:cs="Times New Roman"/>
          <w:bCs/>
          <w:color w:val="000000" w:themeColor="text1"/>
          <w:sz w:val="24"/>
          <w:szCs w:val="24"/>
        </w:rPr>
        <w:t xml:space="preserve"> e-waste </w:t>
      </w:r>
      <w:r w:rsidR="008923CE" w:rsidRPr="00597FFB">
        <w:rPr>
          <w:rFonts w:ascii="Times New Roman" w:eastAsia="Times New Roman" w:hAnsi="Times New Roman" w:cs="Times New Roman"/>
          <w:bCs/>
          <w:color w:val="000000" w:themeColor="text1"/>
          <w:sz w:val="24"/>
          <w:szCs w:val="24"/>
        </w:rPr>
        <w:t xml:space="preserve">in their houses </w:t>
      </w:r>
      <w:r w:rsidRPr="00597FFB">
        <w:rPr>
          <w:rFonts w:ascii="Times New Roman" w:eastAsia="Times New Roman" w:hAnsi="Times New Roman" w:cs="Times New Roman"/>
          <w:bCs/>
          <w:color w:val="000000" w:themeColor="text1"/>
          <w:sz w:val="24"/>
          <w:szCs w:val="24"/>
        </w:rPr>
        <w:t xml:space="preserve">and are </w:t>
      </w:r>
      <w:r w:rsidR="008923CE" w:rsidRPr="00597FFB">
        <w:rPr>
          <w:rFonts w:ascii="Times New Roman" w:eastAsia="Times New Roman" w:hAnsi="Times New Roman" w:cs="Times New Roman"/>
          <w:bCs/>
          <w:color w:val="000000" w:themeColor="text1"/>
          <w:sz w:val="24"/>
          <w:szCs w:val="24"/>
        </w:rPr>
        <w:t>hesitant</w:t>
      </w:r>
      <w:r w:rsidRPr="00597FFB">
        <w:rPr>
          <w:rFonts w:ascii="Times New Roman" w:eastAsia="Times New Roman" w:hAnsi="Times New Roman" w:cs="Times New Roman"/>
          <w:bCs/>
          <w:color w:val="000000" w:themeColor="text1"/>
          <w:sz w:val="24"/>
          <w:szCs w:val="24"/>
        </w:rPr>
        <w:t xml:space="preserve"> to return and recycle</w:t>
      </w:r>
      <w:r w:rsidR="008923CE" w:rsidRPr="00597FFB">
        <w:rPr>
          <w:rFonts w:ascii="Times New Roman" w:eastAsia="Times New Roman" w:hAnsi="Times New Roman" w:cs="Times New Roman"/>
          <w:bCs/>
          <w:color w:val="000000" w:themeColor="text1"/>
          <w:sz w:val="24"/>
          <w:szCs w:val="24"/>
        </w:rPr>
        <w:t xml:space="preserve"> possibly because of</w:t>
      </w:r>
      <w:r w:rsidRPr="00597FFB">
        <w:rPr>
          <w:rFonts w:ascii="Times New Roman" w:eastAsia="Times New Roman" w:hAnsi="Times New Roman" w:cs="Times New Roman"/>
          <w:bCs/>
          <w:color w:val="000000" w:themeColor="text1"/>
          <w:sz w:val="24"/>
          <w:szCs w:val="24"/>
        </w:rPr>
        <w:t xml:space="preserve"> fear that other</w:t>
      </w:r>
      <w:r w:rsidR="008923CE" w:rsidRPr="00597FFB">
        <w:rPr>
          <w:rFonts w:ascii="Times New Roman" w:eastAsia="Times New Roman" w:hAnsi="Times New Roman" w:cs="Times New Roman"/>
          <w:bCs/>
          <w:color w:val="000000" w:themeColor="text1"/>
          <w:sz w:val="24"/>
          <w:szCs w:val="24"/>
        </w:rPr>
        <w:t xml:space="preserve"> people</w:t>
      </w:r>
      <w:r w:rsidRPr="00597FFB">
        <w:rPr>
          <w:rFonts w:ascii="Times New Roman" w:eastAsia="Times New Roman" w:hAnsi="Times New Roman" w:cs="Times New Roman"/>
          <w:bCs/>
          <w:color w:val="000000" w:themeColor="text1"/>
          <w:sz w:val="24"/>
          <w:szCs w:val="24"/>
        </w:rPr>
        <w:t xml:space="preserve"> might become enriched using their </w:t>
      </w:r>
      <w:r w:rsidR="008923CE" w:rsidRPr="00597FFB">
        <w:rPr>
          <w:rFonts w:ascii="Times New Roman" w:eastAsia="Times New Roman" w:hAnsi="Times New Roman" w:cs="Times New Roman"/>
          <w:bCs/>
          <w:color w:val="000000" w:themeColor="text1"/>
          <w:sz w:val="24"/>
          <w:szCs w:val="24"/>
        </w:rPr>
        <w:t xml:space="preserve">data </w:t>
      </w:r>
      <w:r w:rsidRPr="00597FFB">
        <w:rPr>
          <w:rFonts w:ascii="Times New Roman" w:eastAsia="Times New Roman" w:hAnsi="Times New Roman" w:cs="Times New Roman"/>
          <w:bCs/>
          <w:color w:val="000000" w:themeColor="text1"/>
          <w:sz w:val="24"/>
          <w:szCs w:val="24"/>
        </w:rPr>
        <w:t xml:space="preserve">and </w:t>
      </w:r>
      <w:r w:rsidR="008923CE" w:rsidRPr="00597FFB">
        <w:rPr>
          <w:rFonts w:ascii="Times New Roman" w:eastAsia="Times New Roman" w:hAnsi="Times New Roman" w:cs="Times New Roman"/>
          <w:bCs/>
          <w:color w:val="000000" w:themeColor="text1"/>
          <w:sz w:val="24"/>
          <w:szCs w:val="24"/>
        </w:rPr>
        <w:t xml:space="preserve">devices </w:t>
      </w:r>
      <w:r w:rsidRPr="00597FFB">
        <w:rPr>
          <w:rFonts w:ascii="Times New Roman" w:eastAsia="Times New Roman" w:hAnsi="Times New Roman" w:cs="Times New Roman"/>
          <w:bCs/>
          <w:color w:val="000000" w:themeColor="text1"/>
          <w:sz w:val="24"/>
          <w:szCs w:val="24"/>
        </w:rPr>
        <w:t xml:space="preserve">or </w:t>
      </w:r>
      <w:r w:rsidR="008923CE" w:rsidRPr="00597FFB">
        <w:rPr>
          <w:rFonts w:ascii="Times New Roman" w:eastAsia="Times New Roman" w:hAnsi="Times New Roman" w:cs="Times New Roman"/>
          <w:bCs/>
          <w:color w:val="000000" w:themeColor="text1"/>
          <w:sz w:val="24"/>
          <w:szCs w:val="24"/>
        </w:rPr>
        <w:t>because of being</w:t>
      </w:r>
      <w:r w:rsidRPr="00597FFB">
        <w:rPr>
          <w:rFonts w:ascii="Times New Roman" w:eastAsia="Times New Roman" w:hAnsi="Times New Roman" w:cs="Times New Roman"/>
          <w:bCs/>
          <w:color w:val="000000" w:themeColor="text1"/>
          <w:sz w:val="24"/>
          <w:szCs w:val="24"/>
        </w:rPr>
        <w:t xml:space="preserve"> uncertain about where their e-waste will </w:t>
      </w:r>
      <w:r w:rsidR="008923CE" w:rsidRPr="00597FFB">
        <w:rPr>
          <w:rFonts w:ascii="Times New Roman" w:eastAsia="Times New Roman" w:hAnsi="Times New Roman" w:cs="Times New Roman"/>
          <w:bCs/>
          <w:color w:val="000000" w:themeColor="text1"/>
          <w:sz w:val="24"/>
          <w:szCs w:val="24"/>
        </w:rPr>
        <w:t>go</w:t>
      </w:r>
      <w:r w:rsidRPr="00597FFB">
        <w:rPr>
          <w:rFonts w:ascii="Times New Roman" w:eastAsiaTheme="minorHAnsi" w:hAnsi="Times New Roman" w:cs="Times New Roman"/>
          <w:color w:val="000000" w:themeColor="text1"/>
          <w:sz w:val="24"/>
        </w:rPr>
        <w:t xml:space="preserve"> (Goworek et al., 2020)</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Related research</w:t>
      </w:r>
      <w:r w:rsidRPr="00597FFB">
        <w:rPr>
          <w:rFonts w:ascii="Times New Roman" w:eastAsiaTheme="minorHAnsi" w:hAnsi="Times New Roman" w:cs="Times New Roman"/>
          <w:b/>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results show that convenience is also a principal determinant of rational consumer e-waste recycling behavior for American consumers, which has prompted municipalities in the USA to try to create convenient infrastructure (Adanu et al., 2020). Dagiliūtė et al. (2019, p. 100), in Lithuania, mention that </w:t>
      </w:r>
      <w:r w:rsidRPr="00597FFB">
        <w:rPr>
          <w:rFonts w:ascii="Times New Roman" w:eastAsiaTheme="minorHAnsi" w:hAnsi="Times New Roman" w:cs="Times New Roman"/>
          <w:i/>
          <w:iCs/>
          <w:color w:val="000000" w:themeColor="text1"/>
          <w:sz w:val="24"/>
          <w:szCs w:val="24"/>
        </w:rPr>
        <w:t>“information provision remains the primary tool for EWM system efficiency from the consumer side,”</w:t>
      </w:r>
      <w:r w:rsidRPr="00597FFB">
        <w:rPr>
          <w:rFonts w:ascii="Times New Roman" w:eastAsiaTheme="minorHAnsi" w:hAnsi="Times New Roman" w:cs="Times New Roman"/>
          <w:color w:val="000000" w:themeColor="text1"/>
          <w:sz w:val="24"/>
          <w:szCs w:val="24"/>
        </w:rPr>
        <w:t xml:space="preserve"> along with proper infrastructure.</w:t>
      </w:r>
    </w:p>
    <w:p w14:paraId="0B714327" w14:textId="17FCD06A" w:rsidR="00984B39" w:rsidRPr="00597FFB" w:rsidRDefault="007F4BB6" w:rsidP="00463A8E">
      <w:pPr>
        <w:pStyle w:val="Heading3"/>
        <w:spacing w:line="480" w:lineRule="auto"/>
        <w:ind w:firstLine="720"/>
        <w:rPr>
          <w:rFonts w:ascii="Times New Roman" w:eastAsiaTheme="minorHAnsi" w:hAnsi="Times New Roman" w:cs="Times New Roman"/>
          <w:color w:val="FF0000"/>
          <w:sz w:val="24"/>
          <w:szCs w:val="24"/>
        </w:rPr>
      </w:pPr>
      <w:bookmarkStart w:id="132" w:name="_Toc127170296"/>
      <w:r w:rsidRPr="00597FFB">
        <w:rPr>
          <w:rFonts w:asciiTheme="majorBidi" w:hAnsiTheme="majorBidi"/>
          <w:i/>
          <w:iCs/>
          <w:color w:val="000000" w:themeColor="text1"/>
          <w:sz w:val="24"/>
          <w:szCs w:val="24"/>
        </w:rPr>
        <w:t xml:space="preserve">2.6.2.3. </w:t>
      </w:r>
      <w:r w:rsidR="00984B39" w:rsidRPr="00597FFB">
        <w:rPr>
          <w:rFonts w:asciiTheme="majorBidi" w:hAnsiTheme="majorBidi"/>
          <w:i/>
          <w:iCs/>
          <w:color w:val="000000" w:themeColor="text1"/>
          <w:sz w:val="24"/>
          <w:szCs w:val="24"/>
        </w:rPr>
        <w:t xml:space="preserve">Legislation, Policy, </w:t>
      </w:r>
      <w:r w:rsidR="00DD5CFE" w:rsidRPr="00597FFB">
        <w:rPr>
          <w:rFonts w:asciiTheme="majorBidi" w:hAnsiTheme="majorBidi"/>
          <w:i/>
          <w:iCs/>
          <w:color w:val="000000" w:themeColor="text1"/>
          <w:sz w:val="24"/>
          <w:szCs w:val="24"/>
        </w:rPr>
        <w:t>a</w:t>
      </w:r>
      <w:r w:rsidR="00984B39" w:rsidRPr="00597FFB">
        <w:rPr>
          <w:rFonts w:asciiTheme="majorBidi" w:hAnsiTheme="majorBidi"/>
          <w:i/>
          <w:iCs/>
          <w:color w:val="000000" w:themeColor="text1"/>
          <w:sz w:val="24"/>
          <w:szCs w:val="24"/>
        </w:rPr>
        <w:t>nd Government Participation</w:t>
      </w:r>
      <w:r w:rsidR="00DD5CFE" w:rsidRPr="00597FFB">
        <w:rPr>
          <w:rFonts w:asciiTheme="majorBidi" w:hAnsiTheme="majorBidi"/>
          <w:i/>
          <w:iCs/>
          <w:color w:val="000000" w:themeColor="text1"/>
          <w:sz w:val="24"/>
          <w:szCs w:val="24"/>
        </w:rPr>
        <w:t>.</w:t>
      </w:r>
      <w:bookmarkEnd w:id="132"/>
    </w:p>
    <w:p w14:paraId="51B61A74" w14:textId="60969223" w:rsidR="0003140E" w:rsidRPr="00597FFB" w:rsidRDefault="0003140E" w:rsidP="00A558FE">
      <w:pPr>
        <w:spacing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Legislation, policy, and government participation to minimize the negative impact on the public environment and health and to maximize resource recycling. E-waste legislation has been enforced in over 90 jurisdictions worldwide. More than 2,000 pieces of legislation affect EWM </w:t>
      </w:r>
      <w:r w:rsidRPr="00597FFB">
        <w:rPr>
          <w:rFonts w:ascii="Times New Roman" w:eastAsiaTheme="minorHAnsi" w:hAnsi="Times New Roman" w:cs="Times New Roman"/>
          <w:color w:val="000000" w:themeColor="text1"/>
          <w:sz w:val="24"/>
        </w:rPr>
        <w:t>(Fuldauer et al., 2019)</w:t>
      </w:r>
      <w:r w:rsidRPr="00597FFB">
        <w:rPr>
          <w:rFonts w:ascii="Times New Roman" w:eastAsia="Times New Roman" w:hAnsi="Times New Roman" w:cs="Times New Roman"/>
          <w:bCs/>
          <w:color w:val="000000" w:themeColor="text1"/>
          <w:sz w:val="24"/>
          <w:szCs w:val="24"/>
        </w:rPr>
        <w:t>. Zhang et al. (2019) noted that many countries or regions such as the EU, Japan, and China, have implemented e-waste legislation.</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Such legislation ranges from regional regulations (e.g., EU WEEE directive) to international treaties (e.g., Basel Convention). Currently, global e-waste regulations have considerable discrepancies </w:t>
      </w:r>
      <w:r w:rsidRPr="00597FFB">
        <w:rPr>
          <w:rFonts w:ascii="Times New Roman" w:eastAsiaTheme="minorHAnsi" w:hAnsi="Times New Roman" w:cs="Times New Roman"/>
          <w:color w:val="000000" w:themeColor="text1"/>
          <w:sz w:val="24"/>
        </w:rPr>
        <w:t>(Zhang et al., 2019)</w:t>
      </w:r>
      <w:r w:rsidRPr="00597FFB">
        <w:rPr>
          <w:rFonts w:ascii="Times New Roman" w:eastAsia="Times New Roman" w:hAnsi="Times New Roman" w:cs="Times New Roman"/>
          <w:bCs/>
          <w:color w:val="000000" w:themeColor="text1"/>
          <w:sz w:val="24"/>
          <w:szCs w:val="24"/>
        </w:rPr>
        <w:t>.</w:t>
      </w:r>
    </w:p>
    <w:p w14:paraId="5221AECE"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Research regarding recycling legal norms is inconclusive in determining recycling behavior </w:t>
      </w:r>
      <w:r w:rsidRPr="00597FFB">
        <w:rPr>
          <w:rFonts w:ascii="Times New Roman" w:eastAsiaTheme="minorHAnsi" w:hAnsi="Times New Roman" w:cs="Times New Roman"/>
          <w:color w:val="000000" w:themeColor="text1"/>
          <w:sz w:val="24"/>
          <w:szCs w:val="24"/>
        </w:rPr>
        <w:t>(Kulin &amp; Johansson Sevä, 2020)</w:t>
      </w:r>
      <w:r w:rsidRPr="00597FFB">
        <w:rPr>
          <w:rFonts w:ascii="Times New Roman" w:eastAsia="Times New Roman" w:hAnsi="Times New Roman" w:cs="Times New Roman"/>
          <w:bCs/>
          <w:color w:val="000000" w:themeColor="text1"/>
          <w:sz w:val="24"/>
          <w:szCs w:val="24"/>
        </w:rPr>
        <w:t>. However, legislation, policy, and government participation are crucial in e-waste recycling</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(Banerjee &amp; Sarkhel, 2020)</w:t>
      </w:r>
      <w:r w:rsidRPr="00597FFB">
        <w:rPr>
          <w:rFonts w:ascii="Times New Roman" w:eastAsia="Times New Roman" w:hAnsi="Times New Roman" w:cs="Times New Roman"/>
          <w:bCs/>
          <w:color w:val="000000" w:themeColor="text1"/>
          <w:sz w:val="24"/>
          <w:szCs w:val="24"/>
        </w:rPr>
        <w:t>.</w:t>
      </w:r>
      <w:r w:rsidRPr="00597FFB">
        <w:rPr>
          <w:rFonts w:ascii="Times New Roman" w:eastAsiaTheme="minorHAnsi" w:hAnsi="Times New Roman" w:cs="Times New Roman"/>
          <w:color w:val="000000" w:themeColor="text1"/>
          <w:sz w:val="24"/>
          <w:szCs w:val="24"/>
        </w:rPr>
        <w:t xml:space="preserve"> Shaikh (2020) further claims that clear, effective policies are needed upstream to increase awareness and improve formal disposal mechanisms downstream. Ramzan et al. (2019) agree and conclude </w:t>
      </w:r>
      <w:r w:rsidRPr="00597FFB">
        <w:rPr>
          <w:rFonts w:ascii="Times New Roman" w:eastAsia="Calibri" w:hAnsi="Times New Roman" w:cs="Times New Roman"/>
          <w:color w:val="000000" w:themeColor="text1"/>
          <w:sz w:val="24"/>
          <w:szCs w:val="24"/>
        </w:rPr>
        <w:t xml:space="preserve">that </w:t>
      </w:r>
      <w:r w:rsidRPr="00597FFB">
        <w:rPr>
          <w:rFonts w:ascii="Times New Roman" w:eastAsiaTheme="minorHAnsi" w:hAnsi="Times New Roman" w:cs="Times New Roman"/>
          <w:color w:val="000000" w:themeColor="text1"/>
          <w:sz w:val="24"/>
          <w:szCs w:val="24"/>
        </w:rPr>
        <w:t>a need for a legislative framework around e-waste is necessary to encourage consumers’ participation in formal recycling activities.</w:t>
      </w:r>
      <w:r w:rsidRPr="00597FFB">
        <w:rPr>
          <w:rFonts w:ascii="Times New Roman" w:eastAsia="Times New Roman" w:hAnsi="Times New Roman" w:cs="Times New Roman"/>
          <w:bCs/>
          <w:color w:val="000000" w:themeColor="text1"/>
          <w:sz w:val="24"/>
          <w:szCs w:val="24"/>
        </w:rPr>
        <w:t xml:space="preserve"> Nguyen et al. (2018) found that laws and regulations significantly help predict individuals' intentions when forecasting e-waste recycling. Their research in Vietnam concerning e-waste recycling found that laws and regulations and the inconvenience of recycling significantly affected residents' behavioral intention to recycle.</w:t>
      </w:r>
    </w:p>
    <w:p w14:paraId="713BE66E"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To protect the environment, the Chinese government enacted the Environmental Protection Law of the People's Republic of China, the Law of the People's Republic of China on Circular Economy Promotion, and the Law of the People's Republic of China on Cleaner Production Promotion, among other laws. A series of legislations have also been enacted regarding e-waste, such as the Management Regulation on the Recycling of E-waste Products, Opinions on Strengthening the Prevention and Control of Pollution from E-waste, and Administrative Measures for the Prevention and Control of Environmental Pollution from E-waste </w:t>
      </w:r>
      <w:r w:rsidRPr="00597FFB">
        <w:rPr>
          <w:rFonts w:ascii="Times New Roman" w:eastAsiaTheme="minorHAnsi" w:hAnsi="Times New Roman" w:cs="Times New Roman"/>
          <w:color w:val="000000" w:themeColor="text1"/>
          <w:sz w:val="24"/>
        </w:rPr>
        <w:t>(Cui et al., 2019)</w:t>
      </w:r>
      <w:r w:rsidRPr="00597FFB">
        <w:rPr>
          <w:rFonts w:ascii="Times New Roman" w:eastAsia="Times New Roman" w:hAnsi="Times New Roman" w:cs="Times New Roman"/>
          <w:bCs/>
          <w:color w:val="000000" w:themeColor="text1"/>
          <w:sz w:val="24"/>
          <w:szCs w:val="24"/>
        </w:rPr>
        <w:t>. However, consumers need to be educated about such legislations with clear communication to ensure their full participation in e-waste recycling, as discussed next.</w:t>
      </w:r>
    </w:p>
    <w:p w14:paraId="3A28CBF0" w14:textId="258CE047" w:rsidR="00984B39" w:rsidRPr="00597FFB" w:rsidRDefault="00984B39" w:rsidP="00A558FE">
      <w:pPr>
        <w:pStyle w:val="Heading3"/>
        <w:spacing w:line="480" w:lineRule="auto"/>
        <w:ind w:firstLine="720"/>
        <w:rPr>
          <w:rFonts w:ascii="Times New Roman" w:eastAsia="Times New Roman" w:hAnsi="Times New Roman" w:cs="Times New Roman"/>
          <w:b/>
          <w:color w:val="FF0000"/>
          <w:sz w:val="24"/>
          <w:szCs w:val="24"/>
        </w:rPr>
      </w:pPr>
      <w:bookmarkStart w:id="133" w:name="_Toc127170297"/>
      <w:r w:rsidRPr="00597FFB">
        <w:rPr>
          <w:rFonts w:asciiTheme="majorBidi" w:hAnsiTheme="majorBidi"/>
          <w:i/>
          <w:iCs/>
          <w:color w:val="000000" w:themeColor="text1"/>
          <w:sz w:val="24"/>
          <w:szCs w:val="24"/>
        </w:rPr>
        <w:t>2.6.2.4. Education and Communication</w:t>
      </w:r>
      <w:r w:rsidR="00DD5CFE" w:rsidRPr="00597FFB">
        <w:rPr>
          <w:rFonts w:asciiTheme="majorBidi" w:hAnsiTheme="majorBidi"/>
          <w:i/>
          <w:iCs/>
          <w:color w:val="000000" w:themeColor="text1"/>
          <w:sz w:val="24"/>
          <w:szCs w:val="24"/>
        </w:rPr>
        <w:t>.</w:t>
      </w:r>
      <w:bookmarkEnd w:id="133"/>
    </w:p>
    <w:p w14:paraId="0EEA2BBC" w14:textId="1803B034" w:rsidR="0003140E" w:rsidRPr="00597FFB" w:rsidRDefault="0003140E" w:rsidP="00A558FE">
      <w:pPr>
        <w:spacing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Education and communication about resource scarcity, the social and environmental impact of the production and usage of electronic devices, and the recycling process can be effective drivers by creating awareness about the sustainable use of ICT equipment </w:t>
      </w:r>
      <w:r w:rsidRPr="00597FFB">
        <w:rPr>
          <w:rFonts w:ascii="Times New Roman" w:eastAsiaTheme="minorHAnsi" w:hAnsi="Times New Roman" w:cs="Times New Roman"/>
          <w:color w:val="000000" w:themeColor="text1"/>
          <w:sz w:val="24"/>
        </w:rPr>
        <w:t>(Gunarathne et al., 2020)</w:t>
      </w:r>
      <w:r w:rsidRPr="00597FFB">
        <w:rPr>
          <w:rFonts w:ascii="Times New Roman" w:eastAsia="Times New Roman" w:hAnsi="Times New Roman" w:cs="Times New Roman"/>
          <w:bCs/>
          <w:color w:val="000000" w:themeColor="text1"/>
          <w:sz w:val="24"/>
          <w:szCs w:val="24"/>
        </w:rPr>
        <w:t xml:space="preserve">. Therefore, education about the environment can potentially encourage more pro-environmental behavior (e.g., return and recycling) and help reduce the level of mistrust </w:t>
      </w:r>
      <w:r w:rsidRPr="00597FFB">
        <w:rPr>
          <w:rFonts w:ascii="Times New Roman" w:eastAsiaTheme="minorHAnsi" w:hAnsi="Times New Roman" w:cs="Times New Roman"/>
          <w:color w:val="000000" w:themeColor="text1"/>
          <w:sz w:val="24"/>
        </w:rPr>
        <w:t>(Danso et al., 2020)</w:t>
      </w:r>
      <w:r w:rsidRPr="00597FFB">
        <w:rPr>
          <w:rFonts w:ascii="Times New Roman" w:eastAsia="Times New Roman" w:hAnsi="Times New Roman" w:cs="Times New Roman"/>
          <w:bCs/>
          <w:color w:val="000000" w:themeColor="text1"/>
          <w:sz w:val="24"/>
          <w:szCs w:val="24"/>
        </w:rPr>
        <w:t xml:space="preserve">. From a psychological perspective, the behavior of different people can be induced when global problems (e-waste) are transferred to the individual scale. Education and information are the primary tools to create awareness and a habit of separating e-waste from regular waste. An individual’s engagement in a particular behavior, such as recycling, increases the more positive he or she feels toward that behavior, with the inverse also being true </w:t>
      </w:r>
      <w:r w:rsidRPr="00597FFB">
        <w:rPr>
          <w:rFonts w:ascii="Times New Roman" w:eastAsiaTheme="minorHAnsi" w:hAnsi="Times New Roman" w:cs="Times New Roman"/>
          <w:color w:val="000000" w:themeColor="text1"/>
          <w:sz w:val="24"/>
          <w:szCs w:val="24"/>
        </w:rPr>
        <w:t>(Gilli et al., 2018).</w:t>
      </w:r>
    </w:p>
    <w:p w14:paraId="489C96AD" w14:textId="77777777" w:rsidR="0003140E" w:rsidRPr="00597FFB" w:rsidRDefault="0003140E" w:rsidP="00A558FE">
      <w:pPr>
        <w:spacing w:line="480" w:lineRule="auto"/>
        <w:ind w:firstLine="720"/>
        <w:jc w:val="both"/>
        <w:rPr>
          <w:rFonts w:ascii="Times New Roman" w:eastAsia="Times New Roman"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Liu et al. (2019)</w:t>
      </w:r>
      <w:r w:rsidRPr="00597FFB">
        <w:rPr>
          <w:rFonts w:ascii="Times New Roman" w:eastAsia="Times New Roman" w:hAnsi="Times New Roman" w:cs="Times New Roman"/>
          <w:color w:val="000000" w:themeColor="text1"/>
          <w:sz w:val="24"/>
          <w:szCs w:val="24"/>
        </w:rPr>
        <w:t xml:space="preserve"> further argued that environmental education must increase consumer awareness of e-waste recycling.</w:t>
      </w:r>
      <w:r w:rsidRPr="00597FFB">
        <w:rPr>
          <w:rFonts w:ascii="Times New Roman" w:eastAsiaTheme="minorHAnsi" w:hAnsi="Times New Roman" w:cs="Times New Roman"/>
          <w:color w:val="000000" w:themeColor="text1"/>
          <w:sz w:val="24"/>
          <w:szCs w:val="24"/>
        </w:rPr>
        <w:t xml:space="preserve"> The level of awareness becomes more important in consideration of results that confirm that most of the population is willing to participate in recycling programs and be involved in extended producer responsibility (EPR) schemes (Miner et al., 2020). For example, according to a survey, most Nigerians from the Jos Metropolis were willing to participate in e-waste management. However, such participation was on condition that they were given appropriate information about its safe disposal and recycling. This conditional participation further strengthens the calls for awareness measurement and the need to increase the number of e-waste programs (Miner et al., 2020). In Pakistan, Shaikh (2020) indicated that consumers are willing to pay for proper e-waste recycling mechanisms.</w:t>
      </w:r>
      <w:r w:rsidRPr="00597FFB">
        <w:rPr>
          <w:rFonts w:ascii="Times New Roman" w:eastAsia="Times New Roman" w:hAnsi="Times New Roman" w:cs="Times New Roman"/>
          <w:color w:val="000000" w:themeColor="text1"/>
          <w:sz w:val="24"/>
          <w:szCs w:val="24"/>
        </w:rPr>
        <w:t xml:space="preserve"> Therefore, an individual’s perception of recycling determines his or her attitude toward recycling and awareness of recycling's environmental consequences. An individual’s attitude is related to recycling costs and benefits as well as their consideration of environmental costs and benefits (</w:t>
      </w:r>
      <w:r w:rsidRPr="00597FFB">
        <w:rPr>
          <w:rFonts w:ascii="Times New Roman" w:eastAsia="Calibri" w:hAnsi="Times New Roman" w:cs="Times New Roman"/>
          <w:color w:val="000000" w:themeColor="text1"/>
          <w:sz w:val="24"/>
          <w:szCs w:val="24"/>
        </w:rPr>
        <w:t>Wang</w:t>
      </w:r>
      <w:r w:rsidRPr="00597FFB">
        <w:rPr>
          <w:rFonts w:ascii="Times New Roman" w:eastAsia="Times New Roman" w:hAnsi="Times New Roman" w:cs="Times New Roman"/>
          <w:color w:val="000000" w:themeColor="text1"/>
          <w:sz w:val="24"/>
          <w:szCs w:val="24"/>
        </w:rPr>
        <w:t xml:space="preserve"> et al., 2019). Still, an individual’s sociodemographic variables could influence their recycling behavior, as reviewed below.</w:t>
      </w:r>
    </w:p>
    <w:p w14:paraId="04667129" w14:textId="44CF9222" w:rsidR="00984B39" w:rsidRPr="00597FFB" w:rsidRDefault="00984B39" w:rsidP="00E02054">
      <w:pPr>
        <w:pStyle w:val="Heading3"/>
        <w:spacing w:line="480" w:lineRule="auto"/>
        <w:ind w:firstLine="720"/>
        <w:rPr>
          <w:rFonts w:ascii="Times New Roman" w:eastAsia="Times New Roman" w:hAnsi="Times New Roman" w:cs="Times New Roman"/>
          <w:b/>
          <w:color w:val="FF0000"/>
          <w:sz w:val="24"/>
          <w:szCs w:val="24"/>
        </w:rPr>
      </w:pPr>
      <w:bookmarkStart w:id="134" w:name="_Toc127170298"/>
      <w:r w:rsidRPr="00597FFB">
        <w:rPr>
          <w:rFonts w:asciiTheme="majorBidi" w:hAnsiTheme="majorBidi"/>
          <w:i/>
          <w:iCs/>
          <w:color w:val="000000" w:themeColor="text1"/>
          <w:sz w:val="24"/>
          <w:szCs w:val="24"/>
        </w:rPr>
        <w:t>2.6.2.5. Sociodemographic Variables</w:t>
      </w:r>
      <w:r w:rsidR="00265B9A" w:rsidRPr="00597FFB">
        <w:rPr>
          <w:rFonts w:asciiTheme="majorBidi" w:hAnsiTheme="majorBidi"/>
          <w:i/>
          <w:iCs/>
          <w:color w:val="000000" w:themeColor="text1"/>
          <w:sz w:val="24"/>
          <w:szCs w:val="24"/>
        </w:rPr>
        <w:t>.</w:t>
      </w:r>
      <w:bookmarkEnd w:id="134"/>
    </w:p>
    <w:p w14:paraId="3FC43775" w14:textId="17391850" w:rsidR="0003140E" w:rsidRPr="00597FFB" w:rsidRDefault="0003140E" w:rsidP="00A558FE">
      <w:pPr>
        <w:spacing w:line="480" w:lineRule="auto"/>
        <w:ind w:firstLine="720"/>
        <w:contextualSpacing/>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Sociodemographic variables</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such as age, gender, income, dwelling, and education level are also impactful. The study suggests that the enablers and challenges associated with recycling are not necessarily related to consumers' sociodemographic characteristics but may be context-specific. </w:t>
      </w:r>
      <w:r w:rsidRPr="00597FFB">
        <w:rPr>
          <w:rFonts w:ascii="Times New Roman" w:eastAsiaTheme="minorHAnsi" w:hAnsi="Times New Roman" w:cs="Times New Roman"/>
          <w:color w:val="000000" w:themeColor="text1"/>
          <w:sz w:val="24"/>
          <w:szCs w:val="24"/>
        </w:rPr>
        <w:t xml:space="preserve">Hornik et al. (1995) concluded that even if the </w:t>
      </w:r>
      <w:r w:rsidRPr="00597FFB">
        <w:rPr>
          <w:rFonts w:ascii="Times New Roman" w:eastAsia="Calibri" w:hAnsi="Times New Roman" w:cs="Times New Roman"/>
          <w:color w:val="000000" w:themeColor="text1"/>
          <w:sz w:val="24"/>
          <w:szCs w:val="24"/>
        </w:rPr>
        <w:t>sociodemographic</w:t>
      </w:r>
      <w:r w:rsidRPr="00597FFB">
        <w:rPr>
          <w:rFonts w:ascii="Times New Roman" w:eastAsiaTheme="minorHAnsi" w:hAnsi="Times New Roman" w:cs="Times New Roman"/>
          <w:color w:val="000000" w:themeColor="text1"/>
          <w:sz w:val="24"/>
          <w:szCs w:val="24"/>
        </w:rPr>
        <w:t xml:space="preserve"> variables are statistically significant, they have little descriptive power in terms of the extent to which they influence an individual’s recycling behavior.</w:t>
      </w:r>
      <w:r w:rsidRPr="00597FFB">
        <w:rPr>
          <w:rFonts w:ascii="Times New Roman" w:eastAsiaTheme="minorHAnsi" w:hAnsi="Times New Roman" w:cs="Times New Roman"/>
          <w:b/>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Disposal and recycling behavior studies </w:t>
      </w:r>
      <w:bookmarkStart w:id="135" w:name="_Hlk90880096"/>
      <w:r w:rsidRPr="00597FFB">
        <w:rPr>
          <w:rFonts w:ascii="Times New Roman" w:eastAsiaTheme="minorHAnsi" w:hAnsi="Times New Roman" w:cs="Times New Roman"/>
          <w:color w:val="000000" w:themeColor="text1"/>
          <w:sz w:val="24"/>
          <w:szCs w:val="24"/>
        </w:rPr>
        <w:t>(Abbas &amp; Sağsan, 2019; Parajuly et al., 2020)</w:t>
      </w:r>
      <w:bookmarkEnd w:id="135"/>
      <w:r w:rsidRPr="00597FFB">
        <w:rPr>
          <w:rFonts w:ascii="Times New Roman" w:eastAsiaTheme="minorHAnsi" w:hAnsi="Times New Roman" w:cs="Times New Roman"/>
          <w:color w:val="000000" w:themeColor="text1"/>
          <w:sz w:val="24"/>
          <w:szCs w:val="24"/>
        </w:rPr>
        <w:t xml:space="preserve"> help identify the necessary </w:t>
      </w:r>
      <w:r w:rsidRPr="00597FFB">
        <w:rPr>
          <w:rFonts w:ascii="Times New Roman" w:eastAsia="Calibri" w:hAnsi="Times New Roman" w:cs="Times New Roman"/>
          <w:color w:val="000000" w:themeColor="text1"/>
          <w:sz w:val="24"/>
          <w:szCs w:val="24"/>
        </w:rPr>
        <w:t>socioeconomic</w:t>
      </w:r>
      <w:r w:rsidRPr="00597FFB">
        <w:rPr>
          <w:rFonts w:ascii="Times New Roman" w:eastAsiaTheme="minorHAnsi" w:hAnsi="Times New Roman" w:cs="Times New Roman"/>
          <w:color w:val="000000" w:themeColor="text1"/>
          <w:sz w:val="24"/>
          <w:szCs w:val="24"/>
        </w:rPr>
        <w:t xml:space="preserve"> groups targeted to maximize the effectiveness of waste management strategies. </w:t>
      </w:r>
      <w:r w:rsidRPr="00597FFB">
        <w:rPr>
          <w:rFonts w:ascii="Times New Roman" w:eastAsia="Times New Roman" w:hAnsi="Times New Roman" w:cs="Times New Roman"/>
          <w:bCs/>
          <w:color w:val="000000" w:themeColor="text1"/>
          <w:sz w:val="24"/>
          <w:szCs w:val="24"/>
        </w:rPr>
        <w:t xml:space="preserve">Many studies (Abbas &amp; Sağsan, 2019; Asefi et al., 2019; Wang et al., 2016; Nguyen et al., 2019) on this topic have tested the direct or indirect impact of sociodemographic factors on individuals' recycling behavior and have produced mixed results. A survey conducted on Greece's Blue Bin recycling program concluded that demographic characteristics, including age, gender, education, and income, were weak predictors of recycling intention </w:t>
      </w:r>
      <w:r w:rsidRPr="00597FFB">
        <w:rPr>
          <w:rFonts w:ascii="Times New Roman" w:eastAsiaTheme="minorHAnsi" w:hAnsi="Times New Roman" w:cs="Times New Roman"/>
          <w:color w:val="000000" w:themeColor="text1"/>
          <w:sz w:val="24"/>
        </w:rPr>
        <w:t>(Asefi et al., 2019)</w:t>
      </w:r>
      <w:r w:rsidRPr="00597FFB">
        <w:rPr>
          <w:rFonts w:ascii="Times New Roman" w:eastAsia="Times New Roman" w:hAnsi="Times New Roman" w:cs="Times New Roman"/>
          <w:bCs/>
          <w:color w:val="000000" w:themeColor="text1"/>
          <w:sz w:val="24"/>
          <w:szCs w:val="24"/>
        </w:rPr>
        <w:t>. This is because no relationship existed between the demographic characteristics and recycling intention.</w:t>
      </w:r>
    </w:p>
    <w:p w14:paraId="65905626"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A systematic review by Varotti and Spagnolli (2017) revealed that ethnicity, family size, political beliefs, and homeownership or types of housing also influence recycling intention.</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Household size is likely to correlate with consumption and resulting waste generation (Addo et al., 2017), but this relationship does not appear to have been studied extensively. </w:t>
      </w:r>
      <w:r w:rsidRPr="00597FFB">
        <w:rPr>
          <w:rFonts w:ascii="Times New Roman" w:eastAsia="Calibri" w:hAnsi="Times New Roman" w:cs="Times New Roman"/>
          <w:color w:val="000000" w:themeColor="text1"/>
          <w:sz w:val="24"/>
          <w:szCs w:val="24"/>
        </w:rPr>
        <w:t xml:space="preserve">Abbas and Sağsan (2019) </w:t>
      </w:r>
      <w:r w:rsidRPr="00597FFB">
        <w:rPr>
          <w:rFonts w:ascii="Times New Roman" w:eastAsia="Times New Roman" w:hAnsi="Times New Roman" w:cs="Times New Roman"/>
          <w:bCs/>
          <w:color w:val="000000" w:themeColor="text1"/>
          <w:sz w:val="24"/>
          <w:szCs w:val="24"/>
        </w:rPr>
        <w:t xml:space="preserve">could not establish such a relationship but reported that large families contribute more to recycling. </w:t>
      </w:r>
      <w:r w:rsidRPr="00597FFB">
        <w:rPr>
          <w:rFonts w:ascii="Times New Roman" w:eastAsiaTheme="minorHAnsi" w:hAnsi="Times New Roman" w:cs="Times New Roman"/>
          <w:color w:val="000000" w:themeColor="text1"/>
          <w:sz w:val="24"/>
          <w:szCs w:val="24"/>
        </w:rPr>
        <w:t>Wang et al. (2020)</w:t>
      </w:r>
      <w:r w:rsidRPr="00597FFB">
        <w:rPr>
          <w:rFonts w:ascii="Times New Roman" w:eastAsia="Times New Roman" w:hAnsi="Times New Roman" w:cs="Times New Roman"/>
          <w:bCs/>
          <w:color w:val="000000" w:themeColor="text1"/>
          <w:sz w:val="24"/>
          <w:szCs w:val="24"/>
        </w:rPr>
        <w:t xml:space="preserve"> hypothesized that social norms influence the rate at which people participate in the e-waste recycling processes. The study investigated whether the perception of Bangladeshi consumers varied depending on gender, region, and type of housing.</w:t>
      </w:r>
    </w:p>
    <w:p w14:paraId="6D45D70E"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It has been argued that the high-income segment of the population contributes more to recycling (Nguyen et al., 2019). This can be linked to the cost of recycling, which has also been correlated with individual income and has been suggested to impact e-waste recycling behavior (Wang et al., 2016; Nguyen et al., 2019). However, </w:t>
      </w:r>
      <w:r w:rsidRPr="00597FFB">
        <w:rPr>
          <w:rFonts w:ascii="Times New Roman" w:eastAsiaTheme="minorHAnsi" w:hAnsi="Times New Roman" w:cs="Times New Roman"/>
          <w:color w:val="000000" w:themeColor="text1"/>
          <w:sz w:val="24"/>
          <w:szCs w:val="24"/>
        </w:rPr>
        <w:t>Elhoushy and Lanzini (2021)</w:t>
      </w:r>
      <w:r w:rsidRPr="00597FFB">
        <w:rPr>
          <w:rFonts w:ascii="Times New Roman" w:eastAsia="Times New Roman" w:hAnsi="Times New Roman" w:cs="Times New Roman"/>
          <w:bCs/>
          <w:color w:val="000000" w:themeColor="text1"/>
          <w:sz w:val="24"/>
          <w:szCs w:val="24"/>
        </w:rPr>
        <w:t xml:space="preserve"> disagree that the high-income population contributes more to recycling because people with higher household income have also been shown to be wasteful and unwilling to recycle their waste being more involved in a throwaway culture.</w:t>
      </w:r>
      <w:r w:rsidRPr="00597FFB">
        <w:rPr>
          <w:rFonts w:ascii="Times New Roman" w:eastAsia="Times New Roman" w:hAnsi="Times New Roman" w:cs="Times New Roman"/>
          <w:b/>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Conversely, a study conducted in Brazil on e-waste recycling behavior </w:t>
      </w:r>
      <w:r w:rsidRPr="00597FFB">
        <w:rPr>
          <w:rFonts w:ascii="Times New Roman" w:eastAsiaTheme="minorHAnsi" w:hAnsi="Times New Roman" w:cs="Times New Roman"/>
          <w:color w:val="000000" w:themeColor="text1"/>
          <w:sz w:val="24"/>
          <w:szCs w:val="24"/>
        </w:rPr>
        <w:t>(Rodrigues et al., 2020)</w:t>
      </w:r>
      <w:r w:rsidRPr="00597FFB">
        <w:rPr>
          <w:rFonts w:ascii="Times New Roman" w:eastAsia="Times New Roman" w:hAnsi="Times New Roman" w:cs="Times New Roman"/>
          <w:bCs/>
          <w:color w:val="000000" w:themeColor="text1"/>
          <w:sz w:val="24"/>
          <w:szCs w:val="24"/>
        </w:rPr>
        <w:t xml:space="preserve"> concluded that age and income level indeed influence people's recycling behavior, with higher-income respondents being more likely to adequately dispose of e-waste and older respondents being more likely to participate in recycling initiatives. This was further supported by a study conducted in Iran that aimed to understand household waste behaviors in a developing context </w:t>
      </w:r>
      <w:r w:rsidRPr="00597FFB">
        <w:rPr>
          <w:rFonts w:ascii="Times New Roman" w:eastAsiaTheme="minorHAnsi" w:hAnsi="Times New Roman" w:cs="Times New Roman"/>
          <w:color w:val="000000" w:themeColor="text1"/>
          <w:sz w:val="24"/>
          <w:szCs w:val="24"/>
        </w:rPr>
        <w:t>(Bureš et al., 2020)</w:t>
      </w:r>
      <w:r w:rsidRPr="00597FFB">
        <w:rPr>
          <w:rFonts w:ascii="Times New Roman" w:eastAsia="Times New Roman" w:hAnsi="Times New Roman" w:cs="Times New Roman"/>
          <w:bCs/>
          <w:color w:val="000000" w:themeColor="text1"/>
          <w:sz w:val="24"/>
          <w:szCs w:val="24"/>
        </w:rPr>
        <w:t xml:space="preserve">. The researchers concluded that age and gender significantly predict household waste behaviors. Similarly, education does not clearly impact the recycling process </w:t>
      </w:r>
      <w:r w:rsidRPr="00597FFB">
        <w:rPr>
          <w:rFonts w:ascii="Times New Roman" w:eastAsiaTheme="minorHAnsi" w:hAnsi="Times New Roman" w:cs="Times New Roman"/>
          <w:color w:val="000000" w:themeColor="text1"/>
          <w:sz w:val="24"/>
        </w:rPr>
        <w:t xml:space="preserve">(Ahmad et al., 2019) with some highly educated individuals showing </w:t>
      </w:r>
      <w:proofErr w:type="spellStart"/>
      <w:r w:rsidRPr="00597FFB">
        <w:rPr>
          <w:rFonts w:ascii="Times New Roman" w:eastAsiaTheme="minorHAnsi" w:hAnsi="Times New Roman" w:cs="Times New Roman"/>
          <w:color w:val="000000" w:themeColor="text1"/>
          <w:sz w:val="24"/>
        </w:rPr>
        <w:t>lw</w:t>
      </w:r>
      <w:proofErr w:type="spellEnd"/>
      <w:r w:rsidRPr="00597FFB">
        <w:rPr>
          <w:rFonts w:ascii="Times New Roman" w:eastAsiaTheme="minorHAnsi" w:hAnsi="Times New Roman" w:cs="Times New Roman"/>
          <w:color w:val="000000" w:themeColor="text1"/>
          <w:sz w:val="24"/>
        </w:rPr>
        <w:t xml:space="preserve"> levels of recycling intention.</w:t>
      </w:r>
      <w:r w:rsidRPr="00597FFB">
        <w:rPr>
          <w:rFonts w:ascii="Times New Roman" w:eastAsia="Times New Roman" w:hAnsi="Times New Roman" w:cs="Times New Roman"/>
          <w:b/>
          <w:bCs/>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On the other hand, </w:t>
      </w:r>
      <w:r w:rsidRPr="00597FFB">
        <w:rPr>
          <w:rFonts w:ascii="Times New Roman" w:eastAsia="Calibri" w:hAnsi="Times New Roman" w:cs="Times New Roman"/>
          <w:color w:val="000000" w:themeColor="text1"/>
          <w:sz w:val="24"/>
          <w:szCs w:val="24"/>
        </w:rPr>
        <w:t>Heidari et al.</w:t>
      </w:r>
      <w:r w:rsidRPr="00597FFB">
        <w:rPr>
          <w:rFonts w:ascii="Times New Roman" w:eastAsia="Times New Roman" w:hAnsi="Times New Roman" w:cs="Times New Roman"/>
          <w:bCs/>
          <w:color w:val="000000" w:themeColor="text1"/>
          <w:sz w:val="24"/>
          <w:szCs w:val="24"/>
        </w:rPr>
        <w:t xml:space="preserve"> (2020) concluded that better education impacts recycling progressively. This means that being more educated leads to better intention towards recycling possibly due to increased awareness on the significance of recycling waste.</w:t>
      </w:r>
    </w:p>
    <w:p w14:paraId="2B581977"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According to </w:t>
      </w:r>
      <w:r w:rsidRPr="00597FFB">
        <w:rPr>
          <w:rFonts w:ascii="Times New Roman" w:eastAsiaTheme="minorHAnsi" w:hAnsi="Times New Roman" w:cs="Times New Roman"/>
          <w:color w:val="000000" w:themeColor="text1"/>
          <w:sz w:val="24"/>
        </w:rPr>
        <w:t>Asadi et al. (2021)</w:t>
      </w:r>
      <w:r w:rsidRPr="00597FFB">
        <w:rPr>
          <w:rFonts w:ascii="Times New Roman" w:eastAsiaTheme="minorHAnsi" w:hAnsi="Times New Roman" w:cs="Times New Roman"/>
          <w:color w:val="000000" w:themeColor="text1"/>
          <w:sz w:val="24"/>
          <w:szCs w:val="24"/>
        </w:rPr>
        <w:t xml:space="preserve">, older people contribute more to recycling, but Adanu et al. (2020) found no significant relationship between recycling and age. Bătae et al. (2021) </w:t>
      </w:r>
      <w:r w:rsidRPr="00597FFB">
        <w:rPr>
          <w:rFonts w:ascii="Times New Roman" w:eastAsia="Times New Roman" w:hAnsi="Times New Roman" w:cs="Times New Roman"/>
          <w:bCs/>
          <w:color w:val="000000" w:themeColor="text1"/>
          <w:sz w:val="24"/>
          <w:szCs w:val="24"/>
        </w:rPr>
        <w:t xml:space="preserve">noted that </w:t>
      </w:r>
      <w:r w:rsidRPr="00597FFB">
        <w:rPr>
          <w:rFonts w:ascii="Times New Roman" w:eastAsiaTheme="minorHAnsi" w:hAnsi="Times New Roman" w:cs="Times New Roman"/>
          <w:color w:val="000000" w:themeColor="text1"/>
          <w:sz w:val="24"/>
          <w:szCs w:val="24"/>
        </w:rPr>
        <w:t xml:space="preserve">claimed courses and campaigns from e-waste organizations should focus on adults because they are responsible for their disposal decisions. </w:t>
      </w:r>
      <w:r w:rsidRPr="00597FFB">
        <w:rPr>
          <w:rFonts w:ascii="Times New Roman" w:eastAsia="Calibri" w:hAnsi="Times New Roman" w:cs="Times New Roman"/>
          <w:color w:val="000000" w:themeColor="text1"/>
          <w:sz w:val="24"/>
          <w:szCs w:val="24"/>
        </w:rPr>
        <w:t xml:space="preserve">On the other hand, </w:t>
      </w:r>
      <w:r w:rsidRPr="00597FFB">
        <w:rPr>
          <w:rFonts w:ascii="Times New Roman" w:eastAsiaTheme="minorHAnsi" w:hAnsi="Times New Roman" w:cs="Times New Roman"/>
          <w:color w:val="000000" w:themeColor="text1"/>
          <w:sz w:val="24"/>
        </w:rPr>
        <w:t>Aboelmaged (2021)</w:t>
      </w:r>
      <w:r w:rsidRPr="00597FFB">
        <w:rPr>
          <w:rFonts w:ascii="Times New Roman" w:eastAsiaTheme="minorHAnsi" w:hAnsi="Times New Roman" w:cs="Times New Roman"/>
          <w:color w:val="000000" w:themeColor="text1"/>
          <w:sz w:val="24"/>
          <w:szCs w:val="24"/>
        </w:rPr>
        <w:t xml:space="preserve"> found that </w:t>
      </w:r>
      <w:bookmarkStart w:id="136" w:name="_Hlk63154772"/>
      <w:r w:rsidRPr="00597FFB">
        <w:rPr>
          <w:rFonts w:ascii="Times New Roman" w:eastAsiaTheme="minorHAnsi" w:hAnsi="Times New Roman" w:cs="Times New Roman"/>
          <w:color w:val="000000" w:themeColor="text1"/>
          <w:sz w:val="24"/>
          <w:szCs w:val="24"/>
        </w:rPr>
        <w:t xml:space="preserve">younger generations </w:t>
      </w:r>
      <w:bookmarkEnd w:id="136"/>
      <w:r w:rsidRPr="00597FFB">
        <w:rPr>
          <w:rFonts w:ascii="Times New Roman" w:eastAsiaTheme="minorHAnsi" w:hAnsi="Times New Roman" w:cs="Times New Roman"/>
          <w:color w:val="000000" w:themeColor="text1"/>
          <w:sz w:val="24"/>
          <w:szCs w:val="24"/>
        </w:rPr>
        <w:t xml:space="preserve">are more familiar with small personal electronics, which are often replaced because of a loss of function, such as in the case of outdated devices. </w:t>
      </w:r>
      <w:r w:rsidRPr="00597FFB">
        <w:rPr>
          <w:rFonts w:ascii="Times New Roman" w:eastAsia="Times New Roman" w:hAnsi="Times New Roman" w:cs="Times New Roman"/>
          <w:bCs/>
          <w:color w:val="000000" w:themeColor="text1"/>
          <w:sz w:val="24"/>
          <w:szCs w:val="24"/>
        </w:rPr>
        <w:t>Islam et al. (2020) and Aboelmaged (2021) surveyed younger generations and</w:t>
      </w:r>
      <w:r w:rsidRPr="00597FFB">
        <w:rPr>
          <w:rFonts w:ascii="Times New Roman" w:eastAsiaTheme="minorHAnsi" w:hAnsi="Times New Roman" w:cs="Times New Roman"/>
          <w:color w:val="000000" w:themeColor="text1"/>
          <w:sz w:val="24"/>
          <w:szCs w:val="24"/>
        </w:rPr>
        <w:t xml:space="preserve"> found that they represent a significant source of e-waste, as they replaced their phones at least once per year. Similarly, in China, Zhang et al. (2020) found that the lifespan of small electronics of younger generations was shorter than that of the general population. Several other studies (Kumar, 2019; Ramzan et al., 2020; Rousseau, 2020; Xu et al., 2020) about younger generations and recycling of e-waste have been </w:t>
      </w:r>
      <w:r w:rsidRPr="00597FFB">
        <w:rPr>
          <w:rFonts w:ascii="Times New Roman" w:eastAsia="Calibri" w:hAnsi="Times New Roman" w:cs="Times New Roman"/>
          <w:color w:val="000000" w:themeColor="text1"/>
          <w:sz w:val="24"/>
          <w:szCs w:val="24"/>
        </w:rPr>
        <w:t>conducted</w:t>
      </w:r>
      <w:r w:rsidRPr="00597FFB">
        <w:rPr>
          <w:rFonts w:ascii="Times New Roman" w:eastAsiaTheme="minorHAnsi" w:hAnsi="Times New Roman" w:cs="Times New Roman"/>
          <w:color w:val="000000" w:themeColor="text1"/>
          <w:sz w:val="24"/>
          <w:szCs w:val="24"/>
        </w:rPr>
        <w:t>.</w:t>
      </w:r>
    </w:p>
    <w:p w14:paraId="5CFFE736" w14:textId="72CC55A4"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imes New Roman" w:hAnsi="Times New Roman" w:cs="Times New Roman"/>
          <w:bCs/>
          <w:color w:val="000000" w:themeColor="text1"/>
          <w:sz w:val="24"/>
          <w:szCs w:val="24"/>
        </w:rPr>
        <w:t xml:space="preserve">For example, </w:t>
      </w:r>
      <w:r w:rsidRPr="00597FFB">
        <w:rPr>
          <w:rFonts w:ascii="Times New Roman" w:eastAsiaTheme="minorHAnsi" w:hAnsi="Times New Roman" w:cs="Times New Roman"/>
          <w:color w:val="000000" w:themeColor="text1"/>
          <w:sz w:val="24"/>
          <w:szCs w:val="24"/>
        </w:rPr>
        <w:t>Ramzan et al. (2020)</w:t>
      </w:r>
      <w:r w:rsidRPr="00597FFB">
        <w:rPr>
          <w:rFonts w:ascii="Times New Roman" w:eastAsia="Times New Roman" w:hAnsi="Times New Roman" w:cs="Times New Roman"/>
          <w:bCs/>
          <w:color w:val="000000" w:themeColor="text1"/>
          <w:sz w:val="24"/>
          <w:szCs w:val="24"/>
        </w:rPr>
        <w:t xml:space="preserve"> found that young consumers have low awareness about e-waste-related laws, policies, recycling programs, and formal and informal recycling sectors.</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szCs w:val="24"/>
        </w:rPr>
        <w:t xml:space="preserve">Similar results were found in China by </w:t>
      </w:r>
      <w:r w:rsidRPr="00597FFB">
        <w:rPr>
          <w:rFonts w:ascii="Times New Roman" w:eastAsiaTheme="minorHAnsi" w:hAnsi="Times New Roman" w:cs="Times New Roman"/>
          <w:color w:val="000000" w:themeColor="text1"/>
          <w:sz w:val="24"/>
        </w:rPr>
        <w:t>Xu et al. (2020)</w:t>
      </w:r>
      <w:r w:rsidRPr="00597FFB">
        <w:rPr>
          <w:rFonts w:ascii="Times New Roman" w:eastAsiaTheme="minorHAnsi" w:hAnsi="Times New Roman" w:cs="Times New Roman"/>
          <w:color w:val="000000" w:themeColor="text1"/>
          <w:sz w:val="24"/>
          <w:szCs w:val="24"/>
        </w:rPr>
        <w:t>, who showed that the lifespan of small electronics of university students was shorter than that of the general population. This implies that the attitudes and intentions of young consumer such as millennials is important in the quest for better e-waste recycling practices. With the UAE being one of the biggest contributors of e-waste in the MENA region (Iatonni et al., 2020), younger generations in the UAE are an important fraction of the population that could impact the effectiveness of e-waste management programs and efforts. Thus, developing a deeper understanding of millennials’ perceptions is crucial to study their role in e-waste practices.</w:t>
      </w:r>
    </w:p>
    <w:p w14:paraId="17F8236E" w14:textId="4B3E736D" w:rsidR="00207111" w:rsidRPr="00597FFB" w:rsidRDefault="00207111" w:rsidP="00A558FE">
      <w:pPr>
        <w:pStyle w:val="Heading2"/>
        <w:spacing w:line="480" w:lineRule="auto"/>
        <w:rPr>
          <w:rFonts w:asciiTheme="majorBidi" w:hAnsiTheme="majorBidi"/>
          <w:b/>
          <w:bCs/>
          <w:color w:val="000000" w:themeColor="text1"/>
          <w:sz w:val="24"/>
          <w:szCs w:val="24"/>
        </w:rPr>
      </w:pPr>
      <w:bookmarkStart w:id="137" w:name="_Toc127170299"/>
      <w:r w:rsidRPr="00597FFB">
        <w:rPr>
          <w:rFonts w:asciiTheme="majorBidi" w:hAnsiTheme="majorBidi"/>
          <w:b/>
          <w:bCs/>
          <w:color w:val="000000" w:themeColor="text1"/>
          <w:sz w:val="24"/>
          <w:szCs w:val="24"/>
        </w:rPr>
        <w:t>2.7. Millennial</w:t>
      </w:r>
      <w:r w:rsidR="00206DFA">
        <w:rPr>
          <w:rFonts w:asciiTheme="majorBidi" w:hAnsiTheme="majorBidi"/>
          <w:b/>
          <w:bCs/>
          <w:color w:val="000000" w:themeColor="text1"/>
          <w:sz w:val="24"/>
          <w:szCs w:val="24"/>
        </w:rPr>
        <w:t>s</w:t>
      </w:r>
      <w:r w:rsidR="00265B9A" w:rsidRPr="00597FFB">
        <w:rPr>
          <w:rFonts w:asciiTheme="majorBidi" w:hAnsiTheme="majorBidi"/>
          <w:b/>
          <w:bCs/>
          <w:color w:val="000000" w:themeColor="text1"/>
          <w:sz w:val="24"/>
          <w:szCs w:val="24"/>
        </w:rPr>
        <w:t>.</w:t>
      </w:r>
      <w:bookmarkEnd w:id="137"/>
    </w:p>
    <w:p w14:paraId="745EA353" w14:textId="71FB8026" w:rsidR="00E63C05" w:rsidRPr="00597FFB" w:rsidRDefault="00E63C05"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38" w:name="_Toc127170300"/>
      <w:r w:rsidRPr="00597FFB">
        <w:rPr>
          <w:rFonts w:ascii="Times New Roman" w:eastAsia="Calibri" w:hAnsi="Times New Roman" w:cs="Times New Roman"/>
          <w:i/>
          <w:iCs/>
          <w:color w:val="000000" w:themeColor="text1"/>
          <w:sz w:val="24"/>
          <w:szCs w:val="24"/>
        </w:rPr>
        <w:t>2.7.1. Millennials Generation</w:t>
      </w:r>
      <w:r w:rsidR="00265B9A" w:rsidRPr="00597FFB">
        <w:rPr>
          <w:rFonts w:ascii="Times New Roman" w:eastAsia="Calibri" w:hAnsi="Times New Roman" w:cs="Times New Roman"/>
          <w:i/>
          <w:iCs/>
          <w:color w:val="000000" w:themeColor="text1"/>
          <w:sz w:val="24"/>
          <w:szCs w:val="24"/>
        </w:rPr>
        <w:t>.</w:t>
      </w:r>
      <w:bookmarkEnd w:id="138"/>
    </w:p>
    <w:p w14:paraId="5DC58ED3" w14:textId="77777777" w:rsidR="0003140E" w:rsidRPr="00597FFB" w:rsidRDefault="0003140E" w:rsidP="00A558FE">
      <w:pPr>
        <w:spacing w:line="480" w:lineRule="auto"/>
        <w:ind w:firstLine="720"/>
        <w:jc w:val="both"/>
        <w:rPr>
          <w:rFonts w:ascii="Times New Roman" w:eastAsia="Times New Roman" w:hAnsi="Times New Roman" w:cs="Times New Roman"/>
          <w:b/>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The millennial generation comprises individuals born between 1980 and 2000 </w:t>
      </w:r>
      <w:r w:rsidRPr="00597FFB">
        <w:rPr>
          <w:rFonts w:ascii="Times New Roman" w:eastAsiaTheme="minorHAnsi" w:hAnsi="Times New Roman" w:cs="Times New Roman"/>
          <w:color w:val="000000" w:themeColor="text1"/>
          <w:sz w:val="24"/>
          <w:szCs w:val="24"/>
        </w:rPr>
        <w:t>(Ramzan et al., 2019)</w:t>
      </w:r>
      <w:r w:rsidRPr="00597FFB">
        <w:rPr>
          <w:rFonts w:ascii="Times New Roman" w:eastAsia="Times New Roman" w:hAnsi="Times New Roman" w:cs="Times New Roman"/>
          <w:bCs/>
          <w:color w:val="000000" w:themeColor="text1"/>
          <w:sz w:val="24"/>
          <w:szCs w:val="24"/>
        </w:rPr>
        <w:t xml:space="preserve">. Therefore, they are between the ages of 20 and 40 years old. This group has been referred to by many different names, including “Echo Boom,” “Gen Y,” “Baby Busters,” “Gen Next,” “Digital Natives,” and the “Plastic Generation” </w:t>
      </w:r>
      <w:r w:rsidRPr="00597FFB">
        <w:rPr>
          <w:rFonts w:ascii="Times New Roman" w:eastAsiaTheme="minorHAnsi" w:hAnsi="Times New Roman" w:cs="Times New Roman"/>
          <w:color w:val="000000" w:themeColor="text1"/>
          <w:sz w:val="24"/>
        </w:rPr>
        <w:t>(Yarimoglu &amp; Gunay, 2020)</w:t>
      </w:r>
      <w:r w:rsidRPr="00597FFB">
        <w:rPr>
          <w:rFonts w:ascii="Times New Roman" w:eastAsia="Times New Roman" w:hAnsi="Times New Roman" w:cs="Times New Roman"/>
          <w:bCs/>
          <w:color w:val="000000" w:themeColor="text1"/>
          <w:sz w:val="24"/>
          <w:szCs w:val="24"/>
        </w:rPr>
        <w:t>.</w:t>
      </w:r>
      <w:r w:rsidRPr="00597FFB">
        <w:rPr>
          <w:rFonts w:ascii="Times New Roman" w:eastAsia="Calibri" w:hAnsi="Times New Roman" w:cs="Times New Roman"/>
          <w:color w:val="000000" w:themeColor="text1"/>
          <w:sz w:val="24"/>
          <w:szCs w:val="24"/>
        </w:rPr>
        <w:t xml:space="preserve"> </w:t>
      </w:r>
      <w:r w:rsidRPr="00597FFB">
        <w:rPr>
          <w:rFonts w:ascii="Times New Roman" w:eastAsiaTheme="minorHAnsi" w:hAnsi="Times New Roman" w:cs="Times New Roman"/>
          <w:color w:val="000000" w:themeColor="text1"/>
          <w:sz w:val="24"/>
        </w:rPr>
        <w:t>Elgie et al. (2021)</w:t>
      </w:r>
      <w:r w:rsidRPr="00597FFB">
        <w:rPr>
          <w:rFonts w:ascii="Times New Roman" w:eastAsia="Times New Roman" w:hAnsi="Times New Roman" w:cs="Times New Roman"/>
          <w:bCs/>
          <w:color w:val="000000" w:themeColor="text1"/>
          <w:sz w:val="24"/>
          <w:szCs w:val="24"/>
        </w:rPr>
        <w:t xml:space="preserve"> characterized millennials as highly technical, adaptive, ambitious, and confident. In general, they have a higher level of satisfaction with the government and their world, feeling a sense of closeness due to their continual connectedness. However, </w:t>
      </w:r>
      <w:r w:rsidRPr="00597FFB">
        <w:rPr>
          <w:rFonts w:ascii="Times New Roman" w:eastAsiaTheme="minorHAnsi" w:hAnsi="Times New Roman" w:cs="Times New Roman"/>
          <w:color w:val="000000" w:themeColor="text1"/>
          <w:sz w:val="24"/>
          <w:szCs w:val="24"/>
        </w:rPr>
        <w:t>Bonera et al. (2020)</w:t>
      </w:r>
      <w:r w:rsidRPr="00597FFB">
        <w:rPr>
          <w:rFonts w:ascii="Times New Roman" w:eastAsia="Times New Roman" w:hAnsi="Times New Roman" w:cs="Times New Roman"/>
          <w:bCs/>
          <w:color w:val="000000" w:themeColor="text1"/>
          <w:sz w:val="24"/>
          <w:szCs w:val="24"/>
        </w:rPr>
        <w:t xml:space="preserve"> noted that millennials’ belief systems and values are not necessarily different from those of earlier generations; they are not more altruistic, family-oriented, or motivated to succeed than earlier generations.</w:t>
      </w:r>
    </w:p>
    <w:p w14:paraId="7F050EF0"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According to </w:t>
      </w:r>
      <w:r w:rsidRPr="00597FFB">
        <w:rPr>
          <w:rFonts w:ascii="Times New Roman" w:eastAsiaTheme="minorHAnsi" w:hAnsi="Times New Roman" w:cs="Times New Roman"/>
          <w:color w:val="000000" w:themeColor="text1"/>
          <w:sz w:val="24"/>
        </w:rPr>
        <w:t>Islam et al. (2021)</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when discussing crucial environmental issues that affect the world, millennials, as a highly educated cohort, are among the most knowledgeable consumers possibly because they are more exposed to information and knowledge more than previous generations given the proliferation of technology globally. Indeed, millennial consumers claim to be “born green” </w:t>
      </w:r>
      <w:r w:rsidRPr="00597FFB">
        <w:rPr>
          <w:rFonts w:ascii="Times New Roman" w:eastAsiaTheme="minorHAnsi" w:hAnsi="Times New Roman" w:cs="Times New Roman"/>
          <w:color w:val="000000" w:themeColor="text1"/>
          <w:sz w:val="24"/>
        </w:rPr>
        <w:t>(Mhatre &amp; Srivatsa, 2019)</w:t>
      </w:r>
      <w:r w:rsidRPr="00597FFB">
        <w:rPr>
          <w:rFonts w:ascii="Times New Roman" w:eastAsia="Times New Roman" w:hAnsi="Times New Roman" w:cs="Times New Roman"/>
          <w:color w:val="000000" w:themeColor="text1"/>
          <w:sz w:val="24"/>
          <w:szCs w:val="24"/>
        </w:rPr>
        <w:t>.</w:t>
      </w:r>
      <w:r w:rsidRPr="00597FFB">
        <w:rPr>
          <w:rFonts w:ascii="Times New Roman" w:eastAsia="Times New Roman" w:hAnsi="Times New Roman" w:cs="Times New Roman"/>
          <w:bCs/>
          <w:color w:val="000000" w:themeColor="text1"/>
          <w:sz w:val="24"/>
          <w:szCs w:val="24"/>
        </w:rPr>
        <w:t xml:space="preserve"> This is because they came of age when environmental issues such as global warming were publicly accepted. Thus, millennials are assumed to be especially aware of the ecological landscape </w:t>
      </w:r>
      <w:r w:rsidRPr="00597FFB">
        <w:rPr>
          <w:rFonts w:ascii="Times New Roman" w:eastAsiaTheme="minorHAnsi" w:hAnsi="Times New Roman" w:cs="Times New Roman"/>
          <w:color w:val="000000" w:themeColor="text1"/>
          <w:sz w:val="24"/>
          <w:szCs w:val="24"/>
        </w:rPr>
        <w:t>(Ganak et al., 2020)</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Common characteristics ascribed include high environmental consciousness, heightened engagement in green behaviors, or a particular valuation of green practices (</w:t>
      </w:r>
      <w:r w:rsidRPr="00597FFB">
        <w:rPr>
          <w:rFonts w:ascii="Times New Roman" w:eastAsia="Calibri" w:hAnsi="Times New Roman" w:cs="Times New Roman"/>
          <w:color w:val="000000" w:themeColor="text1"/>
          <w:sz w:val="24"/>
          <w:szCs w:val="24"/>
        </w:rPr>
        <w:t>Blose et al.</w:t>
      </w:r>
      <w:r w:rsidRPr="00597FFB">
        <w:rPr>
          <w:rFonts w:ascii="Times New Roman" w:eastAsia="Times New Roman" w:hAnsi="Times New Roman" w:cs="Times New Roman"/>
          <w:bCs/>
          <w:color w:val="000000" w:themeColor="text1"/>
          <w:sz w:val="24"/>
          <w:szCs w:val="24"/>
        </w:rPr>
        <w:t>, 2020).</w:t>
      </w:r>
    </w:p>
    <w:p w14:paraId="001B08AC"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rPr>
        <w:t>Elgie et al. (2021)</w:t>
      </w:r>
      <w:r w:rsidRPr="00597FFB">
        <w:rPr>
          <w:rFonts w:ascii="Times New Roman" w:eastAsia="Times New Roman" w:hAnsi="Times New Roman" w:cs="Times New Roman"/>
          <w:bCs/>
          <w:color w:val="000000" w:themeColor="text1"/>
          <w:sz w:val="24"/>
          <w:szCs w:val="24"/>
        </w:rPr>
        <w:t xml:space="preserve"> stated that millennials differ from earlier generations in their demographic composition (they are the most diverse generation) and their choices of when to marry, make significant purchases, and start families. They have emerged as the most culturally diverse generation, partly due to an influx in immigration that began in the 1940s, resulting in 15 percent of the generation originating from a foreign country. Tapping into this uniqueness in terms of knowledgeability and access to information, millennials' influence on societal consumption patterns and e-waste is important to the overall waste management practices and not just in terms of e-waste management practices. Thus, their environmental attitudes and consumer behaviors are significant components of the e-waste issue. </w:t>
      </w:r>
      <w:r w:rsidRPr="00597FFB">
        <w:rPr>
          <w:rFonts w:ascii="Times New Roman" w:eastAsiaTheme="minorHAnsi" w:hAnsi="Times New Roman" w:cs="Times New Roman"/>
          <w:color w:val="000000" w:themeColor="text1"/>
          <w:sz w:val="24"/>
          <w:szCs w:val="24"/>
        </w:rPr>
        <w:t>Chillakuri (2020)</w:t>
      </w:r>
      <w:r w:rsidRPr="00597FFB">
        <w:rPr>
          <w:rFonts w:ascii="Times New Roman" w:eastAsia="Times New Roman" w:hAnsi="Times New Roman" w:cs="Times New Roman"/>
          <w:bCs/>
          <w:color w:val="000000" w:themeColor="text1"/>
          <w:sz w:val="24"/>
          <w:szCs w:val="24"/>
        </w:rPr>
        <w:t xml:space="preserve"> posits that this generation perceives themselves as having a more substantial amount of time to develop and engage in future-oriented goals about sustainability. </w:t>
      </w:r>
      <w:r w:rsidRPr="00597FFB">
        <w:rPr>
          <w:rFonts w:ascii="Times New Roman" w:eastAsiaTheme="minorHAnsi" w:hAnsi="Times New Roman" w:cs="Times New Roman"/>
          <w:color w:val="000000" w:themeColor="text1"/>
          <w:sz w:val="24"/>
        </w:rPr>
        <w:t>Kumar (2019)</w:t>
      </w:r>
      <w:r w:rsidRPr="00597FFB">
        <w:rPr>
          <w:rFonts w:ascii="Times New Roman" w:eastAsia="Times New Roman" w:hAnsi="Times New Roman" w:cs="Times New Roman"/>
          <w:bCs/>
          <w:color w:val="000000" w:themeColor="text1"/>
          <w:sz w:val="24"/>
          <w:szCs w:val="24"/>
        </w:rPr>
        <w:t xml:space="preserve"> stated that millennials believe that they can improve the world through their actions and motivate others to join them since they assume that collective action is vital for change. Ironically, </w:t>
      </w:r>
      <w:r w:rsidRPr="00597FFB">
        <w:rPr>
          <w:rFonts w:ascii="Times New Roman" w:eastAsiaTheme="minorHAnsi" w:hAnsi="Times New Roman" w:cs="Times New Roman"/>
          <w:color w:val="000000" w:themeColor="text1"/>
          <w:sz w:val="24"/>
        </w:rPr>
        <w:t>Dilotsotlhe (2021)</w:t>
      </w:r>
      <w:r w:rsidRPr="00597FFB">
        <w:rPr>
          <w:rFonts w:ascii="Times New Roman" w:eastAsia="Times New Roman" w:hAnsi="Times New Roman" w:cs="Times New Roman"/>
          <w:bCs/>
          <w:color w:val="000000" w:themeColor="text1"/>
          <w:sz w:val="24"/>
          <w:szCs w:val="24"/>
        </w:rPr>
        <w:t xml:space="preserve"> found that millennials do not actively engage in sustainability practices and activities such as EWR and this has been linked to the difficulty associated with identifying millennial-specific motivating factors to engage in ethical consumption.</w:t>
      </w:r>
    </w:p>
    <w:p w14:paraId="28286F26"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Calibri" w:hAnsi="Times New Roman" w:cs="Times New Roman"/>
          <w:color w:val="000000" w:themeColor="text1"/>
          <w:sz w:val="24"/>
          <w:szCs w:val="24"/>
        </w:rPr>
        <w:t>Blose et al.</w:t>
      </w:r>
      <w:r w:rsidRPr="00597FFB">
        <w:rPr>
          <w:rFonts w:ascii="Times New Roman" w:eastAsia="Times New Roman" w:hAnsi="Times New Roman" w:cs="Times New Roman"/>
          <w:bCs/>
          <w:color w:val="000000" w:themeColor="text1"/>
          <w:sz w:val="24"/>
          <w:szCs w:val="24"/>
        </w:rPr>
        <w:t xml:space="preserve"> (2020) noted that millennials’ influence on societal consumerism, coupled with e-waste being a growing portion of all waste generated by consumers, inextricably elevates their consumer behaviors and environmental attitudes as significant components of the e-waste issue. Understanding their perceptions and considering their unique characteristics such as their demographic characteristics of education, workplace presence, and relationship with technology is essential in determining the factors that might influence this group’s sustainable behaviors.</w:t>
      </w:r>
    </w:p>
    <w:p w14:paraId="323CD548" w14:textId="4CB2FBF8" w:rsidR="0003140E" w:rsidRPr="00597FFB" w:rsidRDefault="000831B2"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39" w:name="_Toc127170301"/>
      <w:bookmarkStart w:id="140" w:name="_Hlk73009918"/>
      <w:r w:rsidRPr="00597FFB">
        <w:rPr>
          <w:rFonts w:ascii="Times New Roman" w:eastAsia="Calibri" w:hAnsi="Times New Roman" w:cs="Times New Roman"/>
          <w:i/>
          <w:iCs/>
          <w:color w:val="000000" w:themeColor="text1"/>
          <w:sz w:val="24"/>
          <w:szCs w:val="24"/>
        </w:rPr>
        <w:t>2.7.2</w:t>
      </w:r>
      <w:r w:rsidR="00580F91" w:rsidRPr="00597FFB">
        <w:rPr>
          <w:rFonts w:ascii="Times New Roman" w:eastAsia="Calibri" w:hAnsi="Times New Roman" w:cs="Times New Roman"/>
          <w:i/>
          <w:iCs/>
          <w:color w:val="000000" w:themeColor="text1"/>
          <w:sz w:val="24"/>
          <w:szCs w:val="24"/>
        </w:rPr>
        <w:t xml:space="preserve">. </w:t>
      </w:r>
      <w:r w:rsidR="0003140E" w:rsidRPr="00597FFB">
        <w:rPr>
          <w:rFonts w:ascii="Times New Roman" w:eastAsia="Calibri" w:hAnsi="Times New Roman" w:cs="Times New Roman"/>
          <w:i/>
          <w:iCs/>
          <w:color w:val="000000" w:themeColor="text1"/>
          <w:sz w:val="24"/>
          <w:szCs w:val="24"/>
        </w:rPr>
        <w:t xml:space="preserve">Millennials </w:t>
      </w:r>
      <w:r w:rsidR="00A56EE5" w:rsidRPr="00597FFB">
        <w:rPr>
          <w:rFonts w:ascii="Times New Roman" w:eastAsia="Calibri" w:hAnsi="Times New Roman" w:cs="Times New Roman"/>
          <w:i/>
          <w:iCs/>
          <w:color w:val="000000" w:themeColor="text1"/>
          <w:sz w:val="24"/>
          <w:szCs w:val="24"/>
        </w:rPr>
        <w:t>a</w:t>
      </w:r>
      <w:r w:rsidR="00580F91" w:rsidRPr="00597FFB">
        <w:rPr>
          <w:rFonts w:ascii="Times New Roman" w:eastAsia="Calibri" w:hAnsi="Times New Roman" w:cs="Times New Roman"/>
          <w:i/>
          <w:iCs/>
          <w:color w:val="000000" w:themeColor="text1"/>
          <w:sz w:val="24"/>
          <w:szCs w:val="24"/>
        </w:rPr>
        <w:t xml:space="preserve">nd </w:t>
      </w:r>
      <w:r w:rsidR="0003140E" w:rsidRPr="00597FFB">
        <w:rPr>
          <w:rFonts w:ascii="Times New Roman" w:eastAsia="Calibri" w:hAnsi="Times New Roman" w:cs="Times New Roman"/>
          <w:i/>
          <w:iCs/>
          <w:color w:val="000000" w:themeColor="text1"/>
          <w:sz w:val="24"/>
          <w:szCs w:val="24"/>
        </w:rPr>
        <w:t>Technology</w:t>
      </w:r>
      <w:r w:rsidR="00580F91" w:rsidRPr="00597FFB">
        <w:rPr>
          <w:rFonts w:ascii="Times New Roman" w:eastAsia="Calibri" w:hAnsi="Times New Roman" w:cs="Times New Roman"/>
          <w:i/>
          <w:iCs/>
          <w:color w:val="000000" w:themeColor="text1"/>
          <w:sz w:val="24"/>
          <w:szCs w:val="24"/>
        </w:rPr>
        <w:t>.</w:t>
      </w:r>
      <w:bookmarkEnd w:id="139"/>
    </w:p>
    <w:bookmarkEnd w:id="140"/>
    <w:p w14:paraId="62CEF02A"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Recent studies (Ganak et al., 2020; Ramzan et al., 2020; Benabdellah et al., 2021; Bulut et al., 2021) have identified several core behavioral attributes of millennials. </w:t>
      </w:r>
      <w:r w:rsidRPr="00597FFB">
        <w:rPr>
          <w:rFonts w:ascii="Times New Roman" w:eastAsiaTheme="minorHAnsi" w:hAnsi="Times New Roman" w:cs="Times New Roman"/>
          <w:color w:val="000000" w:themeColor="text1"/>
          <w:sz w:val="24"/>
        </w:rPr>
        <w:t>Benabdellah et al. (2021)</w:t>
      </w:r>
      <w:r w:rsidRPr="00597FFB">
        <w:rPr>
          <w:rFonts w:ascii="Times New Roman" w:eastAsia="Times New Roman" w:hAnsi="Times New Roman" w:cs="Times New Roman"/>
          <w:bCs/>
          <w:color w:val="000000" w:themeColor="text1"/>
          <w:sz w:val="24"/>
          <w:szCs w:val="24"/>
        </w:rPr>
        <w:t xml:space="preserve"> noted that millennials are the first to be raised with the internet and mobile devices. Younger millennials have had access to digital technology such as cell phones since birth. They are more comfortable using technologies than previous generations. Millennials demand continuous connectivity to high-speed internet, multitask, and anxiously await and purchase the newest technology devices (Benabdellah et al., 2021). Moreover, there has been a global shift toward the “</w:t>
      </w:r>
      <w:r w:rsidRPr="00597FFB">
        <w:rPr>
          <w:rFonts w:ascii="Times New Roman" w:eastAsia="Times New Roman" w:hAnsi="Times New Roman" w:cs="Times New Roman"/>
          <w:bCs/>
          <w:i/>
          <w:iCs/>
          <w:color w:val="000000" w:themeColor="text1"/>
          <w:sz w:val="24"/>
          <w:szCs w:val="24"/>
        </w:rPr>
        <w:t>Millennial Moment</w:t>
      </w:r>
      <w:r w:rsidRPr="00597FFB">
        <w:rPr>
          <w:rFonts w:ascii="Times New Roman" w:eastAsia="Times New Roman" w:hAnsi="Times New Roman" w:cs="Times New Roman"/>
          <w:bCs/>
          <w:color w:val="000000" w:themeColor="text1"/>
          <w:sz w:val="24"/>
          <w:szCs w:val="24"/>
        </w:rPr>
        <w:t>” in which the millennial generation will have the most significant degree of power within economic, cultural, and political spheres (</w:t>
      </w:r>
      <w:r w:rsidRPr="00597FFB">
        <w:rPr>
          <w:rFonts w:ascii="Times New Roman" w:eastAsiaTheme="minorHAnsi" w:hAnsi="Times New Roman" w:cs="Times New Roman"/>
          <w:color w:val="000000" w:themeColor="text1"/>
          <w:sz w:val="24"/>
          <w:szCs w:val="24"/>
        </w:rPr>
        <w:t>Ganak et al., 2020,</w:t>
      </w:r>
      <w:r w:rsidRPr="00597FFB">
        <w:rPr>
          <w:rFonts w:ascii="Times New Roman" w:eastAsia="Times New Roman" w:hAnsi="Times New Roman" w:cs="Times New Roman"/>
          <w:bCs/>
          <w:color w:val="000000" w:themeColor="text1"/>
          <w:sz w:val="24"/>
          <w:szCs w:val="24"/>
        </w:rPr>
        <w:t xml:space="preserve"> p. 2). Given these characteristics, this population can generate a large amount of e-waste especially because “</w:t>
      </w:r>
      <w:r w:rsidRPr="00597FFB">
        <w:rPr>
          <w:rFonts w:ascii="Times New Roman" w:eastAsia="Times New Roman" w:hAnsi="Times New Roman" w:cs="Times New Roman"/>
          <w:bCs/>
          <w:i/>
          <w:iCs/>
          <w:color w:val="000000" w:themeColor="text1"/>
          <w:sz w:val="24"/>
          <w:szCs w:val="24"/>
        </w:rPr>
        <w:t>the millennial generation enjoys a profound privilege by centering their entire socio-economic life around electronics</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imes New Roman" w:hAnsi="Times New Roman" w:cs="Times New Roman"/>
          <w:noProof/>
          <w:color w:val="000000" w:themeColor="text1"/>
          <w:sz w:val="24"/>
          <w:szCs w:val="24"/>
        </w:rPr>
        <w:t>(Masud, et al., 2019, p. 1250)</w:t>
      </w:r>
      <w:sdt>
        <w:sdtPr>
          <w:rPr>
            <w:rFonts w:ascii="Times New Roman" w:eastAsia="Times New Roman" w:hAnsi="Times New Roman" w:cs="Times New Roman"/>
            <w:bCs/>
            <w:color w:val="000000" w:themeColor="text1"/>
            <w:sz w:val="24"/>
            <w:szCs w:val="24"/>
          </w:rPr>
          <w:id w:val="-881403266"/>
          <w:citation/>
        </w:sdtPr>
        <w:sdtContent/>
      </w:sdt>
      <w:r w:rsidRPr="00597FFB">
        <w:rPr>
          <w:rFonts w:ascii="Times New Roman" w:eastAsia="Times New Roman" w:hAnsi="Times New Roman" w:cs="Times New Roman"/>
          <w:bCs/>
          <w:color w:val="000000" w:themeColor="text1"/>
          <w:sz w:val="24"/>
          <w:szCs w:val="24"/>
        </w:rPr>
        <w:t xml:space="preserve"> and is worthy of study from the perspective of e-waste recycling. Furthermore, Ramzan et al. (2020) found that millennials are socially aware of their environmental impact and are motivated to participate in the movement toward sustainable practices. </w:t>
      </w:r>
      <w:r w:rsidRPr="00597FFB">
        <w:rPr>
          <w:rFonts w:ascii="Times New Roman" w:eastAsiaTheme="minorHAnsi" w:hAnsi="Times New Roman" w:cs="Times New Roman"/>
          <w:color w:val="000000" w:themeColor="text1"/>
          <w:sz w:val="24"/>
          <w:szCs w:val="24"/>
        </w:rPr>
        <w:t>Bulut et al. (2021)</w:t>
      </w:r>
      <w:r w:rsidRPr="00597FFB">
        <w:rPr>
          <w:rFonts w:ascii="Times New Roman" w:eastAsia="Times New Roman" w:hAnsi="Times New Roman" w:cs="Times New Roman"/>
          <w:bCs/>
          <w:color w:val="000000" w:themeColor="text1"/>
          <w:sz w:val="24"/>
          <w:szCs w:val="24"/>
        </w:rPr>
        <w:t xml:space="preserve"> focused on their attitudes toward sustainability and interactive technologies' material effects. The findings revealed that the environmental concern trait of millennials triggers their behavioral tendencies towards green purchasing and recycling.</w:t>
      </w:r>
    </w:p>
    <w:p w14:paraId="6ED50C26" w14:textId="676AFDAC" w:rsidR="00864FCF"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According to Benabdellah et al. (2021), some millennials meet their social needs online, in contrast to earlier generations. As such, they are less likely to connect via traditional means or engage in activities that preceding generations value such as practicing religion, marrying, or affiliating themselves with a political party. According to </w:t>
      </w:r>
      <w:r w:rsidRPr="00597FFB">
        <w:rPr>
          <w:rFonts w:ascii="Times New Roman" w:eastAsiaTheme="minorHAnsi" w:hAnsi="Times New Roman" w:cs="Times New Roman"/>
          <w:color w:val="000000" w:themeColor="text1"/>
          <w:sz w:val="24"/>
          <w:szCs w:val="24"/>
        </w:rPr>
        <w:t>Ameen and Anand (2020)</w:t>
      </w:r>
      <w:r w:rsidRPr="00597FFB">
        <w:rPr>
          <w:rFonts w:ascii="Times New Roman" w:eastAsia="Times New Roman" w:hAnsi="Times New Roman" w:cs="Times New Roman"/>
          <w:bCs/>
          <w:color w:val="000000" w:themeColor="text1"/>
          <w:sz w:val="24"/>
          <w:szCs w:val="24"/>
        </w:rPr>
        <w:t>, 93% of millennials use the internet, 72% use social networks, and increasing numbers have multiple social network profiles, which asserts the uniqueness of the millennials compared to previous generations, as explained in previous studies (Ramzan et al., 2020; Bulut et al., 2021; Masud et al., 2021).</w:t>
      </w:r>
    </w:p>
    <w:p w14:paraId="35D9BE7C" w14:textId="71492998" w:rsidR="0003140E" w:rsidRPr="00597FFB" w:rsidRDefault="00580F91"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41" w:name="_Toc127170302"/>
      <w:bookmarkStart w:id="142" w:name="_Hlk73884063"/>
      <w:bookmarkStart w:id="143" w:name="_Hlk54686461"/>
      <w:r w:rsidRPr="00597FFB">
        <w:rPr>
          <w:rFonts w:ascii="Times New Roman" w:eastAsia="Calibri" w:hAnsi="Times New Roman" w:cs="Times New Roman"/>
          <w:i/>
          <w:iCs/>
          <w:color w:val="000000" w:themeColor="text1"/>
          <w:sz w:val="24"/>
          <w:szCs w:val="24"/>
        </w:rPr>
        <w:t xml:space="preserve">2.7.3. </w:t>
      </w:r>
      <w:r w:rsidR="0003140E" w:rsidRPr="00597FFB">
        <w:rPr>
          <w:rFonts w:ascii="Times New Roman" w:eastAsia="Calibri" w:hAnsi="Times New Roman" w:cs="Times New Roman"/>
          <w:i/>
          <w:iCs/>
          <w:color w:val="000000" w:themeColor="text1"/>
          <w:sz w:val="24"/>
          <w:szCs w:val="24"/>
        </w:rPr>
        <w:t xml:space="preserve">Millennials </w:t>
      </w:r>
      <w:r w:rsidR="00A56EE5" w:rsidRPr="00597FFB">
        <w:rPr>
          <w:rFonts w:ascii="Times New Roman" w:eastAsia="Calibri" w:hAnsi="Times New Roman" w:cs="Times New Roman"/>
          <w:i/>
          <w:iCs/>
          <w:color w:val="000000" w:themeColor="text1"/>
          <w:sz w:val="24"/>
          <w:szCs w:val="24"/>
        </w:rPr>
        <w:t>a</w:t>
      </w:r>
      <w:r w:rsidRPr="00597FFB">
        <w:rPr>
          <w:rFonts w:ascii="Times New Roman" w:eastAsia="Calibri" w:hAnsi="Times New Roman" w:cs="Times New Roman"/>
          <w:i/>
          <w:iCs/>
          <w:color w:val="000000" w:themeColor="text1"/>
          <w:sz w:val="24"/>
          <w:szCs w:val="24"/>
        </w:rPr>
        <w:t xml:space="preserve">s </w:t>
      </w:r>
      <w:r w:rsidR="0003140E" w:rsidRPr="00597FFB">
        <w:rPr>
          <w:rFonts w:ascii="Times New Roman" w:eastAsia="Calibri" w:hAnsi="Times New Roman" w:cs="Times New Roman"/>
          <w:i/>
          <w:iCs/>
          <w:color w:val="000000" w:themeColor="text1"/>
          <w:sz w:val="24"/>
          <w:szCs w:val="24"/>
        </w:rPr>
        <w:t>Consumers</w:t>
      </w:r>
      <w:r w:rsidRPr="00597FFB">
        <w:rPr>
          <w:rFonts w:ascii="Times New Roman" w:eastAsia="Calibri" w:hAnsi="Times New Roman" w:cs="Times New Roman"/>
          <w:i/>
          <w:iCs/>
          <w:color w:val="000000" w:themeColor="text1"/>
          <w:sz w:val="24"/>
          <w:szCs w:val="24"/>
        </w:rPr>
        <w:t>.</w:t>
      </w:r>
      <w:bookmarkEnd w:id="141"/>
    </w:p>
    <w:bookmarkEnd w:id="142"/>
    <w:bookmarkEnd w:id="143"/>
    <w:p w14:paraId="7D6D7435"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Millennials own multiple small electronic devices such as smartphones, tablets, and gaming consoles since they are the earliest and fastest adopters of new technologies. These device consumption renders millennials vital in the conversation of e-waste recycling </w:t>
      </w:r>
      <w:r w:rsidRPr="00597FFB">
        <w:rPr>
          <w:rFonts w:ascii="Times New Roman" w:eastAsiaTheme="minorHAnsi" w:hAnsi="Times New Roman" w:cs="Times New Roman"/>
          <w:color w:val="000000" w:themeColor="text1"/>
          <w:sz w:val="24"/>
          <w:szCs w:val="24"/>
        </w:rPr>
        <w:t>(González</w:t>
      </w:r>
      <w:r w:rsidRPr="00597FFB">
        <w:rPr>
          <w:rFonts w:ascii="Cambria Math" w:eastAsiaTheme="minorHAnsi" w:hAnsi="Cambria Math" w:cs="Cambria Math"/>
          <w:color w:val="000000" w:themeColor="text1"/>
          <w:sz w:val="24"/>
          <w:szCs w:val="24"/>
        </w:rPr>
        <w:t>‐</w:t>
      </w:r>
      <w:r w:rsidRPr="00597FFB">
        <w:rPr>
          <w:rFonts w:ascii="Times New Roman" w:eastAsiaTheme="minorHAnsi" w:hAnsi="Times New Roman" w:cs="Times New Roman"/>
          <w:color w:val="000000" w:themeColor="text1"/>
          <w:sz w:val="24"/>
          <w:szCs w:val="24"/>
        </w:rPr>
        <w:t>Teruel et al., 2021)</w:t>
      </w:r>
      <w:r w:rsidRPr="00597FFB">
        <w:rPr>
          <w:rFonts w:ascii="Times New Roman" w:eastAsia="Times New Roman" w:hAnsi="Times New Roman" w:cs="Times New Roman"/>
          <w:bCs/>
          <w:color w:val="000000" w:themeColor="text1"/>
          <w:sz w:val="24"/>
          <w:szCs w:val="24"/>
        </w:rPr>
        <w:t xml:space="preserve">. </w:t>
      </w:r>
      <w:r w:rsidRPr="00597FFB">
        <w:rPr>
          <w:rFonts w:ascii="Times New Roman" w:eastAsiaTheme="minorHAnsi" w:hAnsi="Times New Roman" w:cs="Times New Roman"/>
          <w:color w:val="000000" w:themeColor="text1"/>
          <w:sz w:val="24"/>
          <w:szCs w:val="24"/>
        </w:rPr>
        <w:t>Bulut et al. (2021)</w:t>
      </w:r>
      <w:r w:rsidRPr="00597FFB">
        <w:rPr>
          <w:rFonts w:ascii="Times New Roman" w:eastAsia="Times New Roman" w:hAnsi="Times New Roman" w:cs="Times New Roman"/>
          <w:bCs/>
          <w:color w:val="000000" w:themeColor="text1"/>
          <w:sz w:val="24"/>
          <w:szCs w:val="24"/>
        </w:rPr>
        <w:t xml:space="preserve"> indicate that millennials, as a highly educated cohort, represent some of the most knowledgeable consumers regarding the importance of environmental issues affecting the world. However, millennials' consumption patterns were significantly impacted by the economic recession of 2007–2009 by lowering their consumption trends through a reduction of their buying power, and as the economy recovered, their spending patterns evolved (</w:t>
      </w:r>
      <w:r w:rsidRPr="00597FFB">
        <w:rPr>
          <w:rFonts w:ascii="Times New Roman" w:eastAsia="Calibri" w:hAnsi="Times New Roman" w:cs="Times New Roman"/>
          <w:color w:val="000000" w:themeColor="text1"/>
          <w:sz w:val="24"/>
          <w:szCs w:val="24"/>
        </w:rPr>
        <w:t>Ramzan et al.</w:t>
      </w:r>
      <w:r w:rsidRPr="00597FFB">
        <w:rPr>
          <w:rFonts w:ascii="Times New Roman" w:eastAsia="Times New Roman" w:hAnsi="Times New Roman" w:cs="Times New Roman"/>
          <w:bCs/>
          <w:color w:val="000000" w:themeColor="text1"/>
          <w:sz w:val="24"/>
          <w:szCs w:val="24"/>
        </w:rPr>
        <w:t xml:space="preserve">, 2020). As employment rates for young adults increased, millennials' car purchases increased by 118 percent between 2010 and 2014, which is more than double the increase for Generation X </w:t>
      </w:r>
      <w:r w:rsidRPr="00597FFB">
        <w:rPr>
          <w:rFonts w:ascii="Times New Roman" w:eastAsiaTheme="minorHAnsi" w:hAnsi="Times New Roman" w:cs="Times New Roman"/>
          <w:color w:val="000000" w:themeColor="text1"/>
          <w:sz w:val="24"/>
          <w:szCs w:val="24"/>
        </w:rPr>
        <w:t>(Blose et al., 2020)</w:t>
      </w:r>
      <w:r w:rsidRPr="00597FFB">
        <w:rPr>
          <w:rFonts w:ascii="Times New Roman" w:eastAsia="Times New Roman" w:hAnsi="Times New Roman" w:cs="Times New Roman"/>
          <w:bCs/>
          <w:color w:val="000000" w:themeColor="text1"/>
          <w:sz w:val="24"/>
          <w:szCs w:val="24"/>
        </w:rPr>
        <w:t xml:space="preserve"> further demonstrating the comparatively their higher consumption power with respect to other generations. Although millennials’ spending habits are evolving, their negative experiences with the economic recession that reduced their purchasing power exacerbated further by growing student debts have made them more cautious spenders. They seek the best prices by leveraging technology to gather information about the products and prices available to them; therefore, they are more susceptible to purchasing based on peer reviews rather than advertisements (</w:t>
      </w:r>
      <w:r w:rsidRPr="00597FFB">
        <w:rPr>
          <w:rFonts w:ascii="Times New Roman" w:eastAsia="Calibri" w:hAnsi="Times New Roman" w:cs="Times New Roman"/>
          <w:color w:val="000000" w:themeColor="text1"/>
          <w:sz w:val="24"/>
          <w:szCs w:val="24"/>
        </w:rPr>
        <w:t>Kumar</w:t>
      </w:r>
      <w:r w:rsidRPr="00597FFB">
        <w:rPr>
          <w:rFonts w:ascii="Times New Roman" w:eastAsia="Times New Roman" w:hAnsi="Times New Roman" w:cs="Times New Roman"/>
          <w:bCs/>
          <w:color w:val="000000" w:themeColor="text1"/>
          <w:sz w:val="24"/>
          <w:szCs w:val="24"/>
        </w:rPr>
        <w:t xml:space="preserve">, 2019). According to </w:t>
      </w:r>
      <w:r w:rsidRPr="00597FFB">
        <w:rPr>
          <w:rFonts w:ascii="Times New Roman" w:eastAsiaTheme="minorHAnsi" w:hAnsi="Times New Roman" w:cs="Times New Roman"/>
          <w:color w:val="000000" w:themeColor="text1"/>
          <w:sz w:val="24"/>
          <w:szCs w:val="24"/>
        </w:rPr>
        <w:t>Chillakuri (2020)</w:t>
      </w:r>
      <w:r w:rsidRPr="00597FFB">
        <w:rPr>
          <w:rFonts w:ascii="Times New Roman" w:eastAsia="Times New Roman" w:hAnsi="Times New Roman" w:cs="Times New Roman"/>
          <w:bCs/>
          <w:color w:val="000000" w:themeColor="text1"/>
          <w:sz w:val="24"/>
          <w:szCs w:val="24"/>
        </w:rPr>
        <w:t>, millennials are more aware of marketing ploys than earlier generations, which contributes to their preference to purchase based on peer opinions rather than advertisements.</w:t>
      </w:r>
    </w:p>
    <w:p w14:paraId="6B101B4C"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Millennials’ behaviors and the resulting purchases ultimately contribute to the waste stream because they discard old technology in preference for the latest devices more often than their older counterparts. Although many believe that millennials are the most environmentally friendly generation </w:t>
      </w:r>
      <w:r w:rsidRPr="00597FFB">
        <w:rPr>
          <w:rFonts w:ascii="Times New Roman" w:eastAsia="Times New Roman" w:hAnsi="Times New Roman" w:cs="Times New Roman"/>
          <w:noProof/>
          <w:color w:val="000000" w:themeColor="text1"/>
          <w:sz w:val="24"/>
          <w:szCs w:val="24"/>
        </w:rPr>
        <w:t>(Han, Yu, Kim, &amp; Kim, 2018; Masud, et al., 2019)</w:t>
      </w:r>
      <w:sdt>
        <w:sdtPr>
          <w:rPr>
            <w:rFonts w:ascii="Times New Roman" w:eastAsia="Times New Roman" w:hAnsi="Times New Roman" w:cs="Times New Roman"/>
            <w:bCs/>
            <w:color w:val="000000" w:themeColor="text1"/>
            <w:sz w:val="24"/>
            <w:szCs w:val="24"/>
          </w:rPr>
          <w:id w:val="-1884543576"/>
          <w:citation/>
        </w:sdtPr>
        <w:sdtContent/>
      </w:sdt>
      <w:r w:rsidRPr="00597FFB">
        <w:rPr>
          <w:rFonts w:ascii="Times New Roman" w:eastAsia="Times New Roman" w:hAnsi="Times New Roman" w:cs="Times New Roman"/>
          <w:bCs/>
          <w:color w:val="000000" w:themeColor="text1"/>
          <w:sz w:val="24"/>
          <w:szCs w:val="24"/>
        </w:rPr>
        <w:t xml:space="preserve"> and are more likely than earlier generations to believe that climate change is occurring, </w:t>
      </w:r>
      <w:r w:rsidRPr="00597FFB">
        <w:rPr>
          <w:rFonts w:ascii="Times New Roman" w:eastAsiaTheme="minorHAnsi" w:hAnsi="Times New Roman" w:cs="Times New Roman"/>
          <w:color w:val="000000" w:themeColor="text1"/>
          <w:sz w:val="24"/>
        </w:rPr>
        <w:t>Kumar (2019)</w:t>
      </w:r>
      <w:r w:rsidRPr="00597FFB">
        <w:rPr>
          <w:rFonts w:ascii="Times New Roman" w:eastAsia="Times New Roman" w:hAnsi="Times New Roman" w:cs="Times New Roman"/>
          <w:bCs/>
          <w:color w:val="000000" w:themeColor="text1"/>
          <w:sz w:val="24"/>
          <w:szCs w:val="24"/>
        </w:rPr>
        <w:t xml:space="preserve"> indicated that this does not necessarily translate to behavior change towards environmentally friendly practices. However, millennials do not consider themselves to be less concerned with the environment, even though they avoid the term “environmentalist.” </w:t>
      </w:r>
      <w:r w:rsidRPr="00597FFB">
        <w:rPr>
          <w:rFonts w:ascii="Times New Roman" w:eastAsiaTheme="minorHAnsi" w:hAnsi="Times New Roman" w:cs="Times New Roman"/>
          <w:color w:val="000000" w:themeColor="text1"/>
          <w:sz w:val="24"/>
          <w:szCs w:val="24"/>
        </w:rPr>
        <w:t>Nicolau et al. (2020)</w:t>
      </w:r>
      <w:r w:rsidRPr="00597FFB">
        <w:rPr>
          <w:rFonts w:ascii="Times New Roman" w:eastAsia="Times New Roman" w:hAnsi="Times New Roman" w:cs="Times New Roman"/>
          <w:bCs/>
          <w:color w:val="000000" w:themeColor="text1"/>
          <w:sz w:val="24"/>
          <w:szCs w:val="24"/>
        </w:rPr>
        <w:t xml:space="preserve"> revealed that this generation is 30 percent more likely to favor the development of alternative energy sources. For millennials, </w:t>
      </w:r>
      <w:r w:rsidRPr="00597FFB">
        <w:rPr>
          <w:rFonts w:ascii="Times New Roman" w:eastAsiaTheme="minorHAnsi" w:hAnsi="Times New Roman" w:cs="Times New Roman"/>
          <w:color w:val="000000" w:themeColor="text1"/>
          <w:sz w:val="24"/>
        </w:rPr>
        <w:t>Islam et al. (2021)</w:t>
      </w:r>
      <w:r w:rsidRPr="00597FFB">
        <w:rPr>
          <w:rFonts w:ascii="Times New Roman" w:eastAsia="Times New Roman" w:hAnsi="Times New Roman" w:cs="Times New Roman"/>
          <w:bCs/>
          <w:color w:val="000000" w:themeColor="text1"/>
          <w:sz w:val="24"/>
          <w:szCs w:val="24"/>
        </w:rPr>
        <w:t xml:space="preserve"> argued that environmental issues and the actions of millennials to support environmental causes have created a complicated relationship.</w:t>
      </w:r>
    </w:p>
    <w:p w14:paraId="63F43129" w14:textId="77777777"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szCs w:val="24"/>
        </w:rPr>
        <w:t>Rousseau (2020)</w:t>
      </w:r>
      <w:r w:rsidRPr="00597FFB">
        <w:rPr>
          <w:rFonts w:ascii="Times New Roman" w:eastAsia="Times New Roman" w:hAnsi="Times New Roman" w:cs="Times New Roman"/>
          <w:bCs/>
          <w:color w:val="000000" w:themeColor="text1"/>
          <w:sz w:val="24"/>
          <w:szCs w:val="24"/>
        </w:rPr>
        <w:t xml:space="preserve"> indicates that millennial consumers are more likely to purchase environmentally friendly food products, but not environmentally friendly clothing or technology products. </w:t>
      </w:r>
      <w:r w:rsidRPr="00597FFB">
        <w:rPr>
          <w:rFonts w:ascii="Times New Roman" w:eastAsiaTheme="minorHAnsi" w:hAnsi="Times New Roman" w:cs="Times New Roman"/>
          <w:color w:val="000000" w:themeColor="text1"/>
          <w:sz w:val="24"/>
        </w:rPr>
        <w:t>Taufique and Islam (2021)</w:t>
      </w:r>
      <w:r w:rsidRPr="00597FFB">
        <w:rPr>
          <w:rFonts w:ascii="Times New Roman" w:eastAsia="Times New Roman" w:hAnsi="Times New Roman" w:cs="Times New Roman"/>
          <w:bCs/>
          <w:color w:val="000000" w:themeColor="text1"/>
          <w:sz w:val="24"/>
          <w:szCs w:val="24"/>
        </w:rPr>
        <w:t xml:space="preserve"> concluded that 85-90 percent of millennials are receptive to their peers but not leaders regarding the protection of the environment and natural resources. Moreover, they are not interested in being severely inconvenienced or paying extra to protect the environment.</w:t>
      </w:r>
      <w:r w:rsidRPr="00597FFB">
        <w:rPr>
          <w:rFonts w:eastAsiaTheme="minorHAnsi"/>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 xml:space="preserve">The disconnect between millennials' environmental concerns and their actions is consistent with similar findings and patterns discussed earlier regarding attitudes toward environmentalism as a whole. In defense of their attitudes, </w:t>
      </w:r>
      <w:r w:rsidRPr="00597FFB">
        <w:rPr>
          <w:rFonts w:ascii="Times New Roman" w:eastAsiaTheme="minorHAnsi" w:hAnsi="Times New Roman" w:cs="Times New Roman"/>
          <w:color w:val="000000" w:themeColor="text1"/>
          <w:sz w:val="24"/>
        </w:rPr>
        <w:t>Elgie et al. (2021)</w:t>
      </w:r>
      <w:r w:rsidRPr="00597FFB">
        <w:rPr>
          <w:rFonts w:ascii="Times New Roman" w:eastAsia="Times New Roman" w:hAnsi="Times New Roman" w:cs="Times New Roman"/>
          <w:bCs/>
          <w:color w:val="000000" w:themeColor="text1"/>
          <w:sz w:val="24"/>
          <w:szCs w:val="24"/>
        </w:rPr>
        <w:t xml:space="preserve"> indicated that these young consumers understand the importance of acting in an ecologically relevant and sustainable manner but do not understand how to adjust their behaviors. The Boston Consulting Group (</w:t>
      </w:r>
      <w:r w:rsidRPr="00597FFB">
        <w:rPr>
          <w:rFonts w:ascii="Times New Roman" w:eastAsiaTheme="minorHAnsi" w:hAnsi="Times New Roman" w:cs="Times New Roman"/>
          <w:color w:val="000000" w:themeColor="text1"/>
          <w:sz w:val="24"/>
          <w:szCs w:val="24"/>
        </w:rPr>
        <w:t>Nicolau</w:t>
      </w:r>
      <w:r w:rsidRPr="00597FFB">
        <w:rPr>
          <w:rFonts w:ascii="Times New Roman" w:eastAsia="Calibri" w:hAnsi="Times New Roman" w:cs="Times New Roman"/>
          <w:color w:val="000000" w:themeColor="text1"/>
          <w:sz w:val="24"/>
          <w:szCs w:val="24"/>
        </w:rPr>
        <w:t xml:space="preserve"> et al.</w:t>
      </w:r>
      <w:r w:rsidRPr="00597FFB">
        <w:rPr>
          <w:rFonts w:ascii="Times New Roman" w:eastAsia="Times New Roman" w:hAnsi="Times New Roman" w:cs="Times New Roman"/>
          <w:bCs/>
          <w:color w:val="000000" w:themeColor="text1"/>
          <w:sz w:val="24"/>
          <w:szCs w:val="24"/>
        </w:rPr>
        <w:t>, 2020) refers to millennials exhibiting "slacktivism" to describe their desires to support socially relevant and environmentally oriented causes only if little personal effort is required.</w:t>
      </w:r>
    </w:p>
    <w:p w14:paraId="2A0EEA28" w14:textId="5C7D1BD2"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Although consumerism contributes to e-waste, the concept of political consumerism, which is “</w:t>
      </w:r>
      <w:r w:rsidRPr="00597FFB">
        <w:rPr>
          <w:rFonts w:ascii="Times New Roman" w:eastAsia="Times New Roman" w:hAnsi="Times New Roman" w:cs="Times New Roman"/>
          <w:bCs/>
          <w:i/>
          <w:iCs/>
          <w:color w:val="000000" w:themeColor="text1"/>
          <w:sz w:val="24"/>
          <w:szCs w:val="24"/>
        </w:rPr>
        <w:t>the deliberate purchase or avoidance of products, goods, or services for political reasons</w:t>
      </w:r>
      <w:r w:rsidRPr="00597FFB">
        <w:rPr>
          <w:rFonts w:ascii="Times New Roman" w:eastAsia="Times New Roman" w:hAnsi="Times New Roman" w:cs="Times New Roman"/>
          <w:bCs/>
          <w:color w:val="000000" w:themeColor="text1"/>
          <w:sz w:val="24"/>
          <w:szCs w:val="24"/>
        </w:rPr>
        <w:t xml:space="preserve">” </w:t>
      </w:r>
      <w:sdt>
        <w:sdtPr>
          <w:rPr>
            <w:rFonts w:ascii="Times New Roman" w:eastAsia="Times New Roman" w:hAnsi="Times New Roman" w:cs="Times New Roman"/>
            <w:bCs/>
            <w:color w:val="000000" w:themeColor="text1"/>
            <w:sz w:val="24"/>
            <w:szCs w:val="24"/>
          </w:rPr>
          <w:id w:val="-1628773562"/>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CITATION Cop22 \p 3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(Copeland &amp; Boulianne, 2022, p. 3)</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xml:space="preserve">, indicates that it may be part of the e-waste solution, especially for millennials. </w:t>
      </w:r>
      <w:r w:rsidRPr="00597FFB">
        <w:rPr>
          <w:rFonts w:ascii="Times New Roman" w:eastAsiaTheme="minorHAnsi" w:hAnsi="Times New Roman" w:cs="Times New Roman"/>
          <w:color w:val="000000" w:themeColor="text1"/>
          <w:sz w:val="24"/>
        </w:rPr>
        <w:t>Dilotsotlhe (2021)</w:t>
      </w:r>
      <w:r w:rsidRPr="00597FFB">
        <w:rPr>
          <w:rFonts w:ascii="Times New Roman" w:eastAsia="Times New Roman" w:hAnsi="Times New Roman" w:cs="Times New Roman"/>
          <w:bCs/>
          <w:color w:val="000000" w:themeColor="text1"/>
          <w:sz w:val="24"/>
          <w:szCs w:val="24"/>
        </w:rPr>
        <w:t xml:space="preserve"> defined political consumerism as intentional buying or abstinence from buying specific products for political, social, or ethical reasons. It is important to factor in that increases in education, interest in politics, and a citizen’s duty add to the probability of engaging in political consumerism when determining whether this concept applies to millennials who may have higher educational levels than earlier generations, but are less interested in politics (Islam et al., 2021). They are some of the largest consumers of electronics (</w:t>
      </w:r>
      <w:r w:rsidRPr="00597FFB">
        <w:rPr>
          <w:rFonts w:ascii="Times New Roman" w:eastAsiaTheme="minorHAnsi" w:hAnsi="Times New Roman" w:cs="Times New Roman"/>
          <w:color w:val="000000" w:themeColor="text1"/>
          <w:sz w:val="24"/>
          <w:szCs w:val="24"/>
        </w:rPr>
        <w:t>Rousseau, 2020)</w:t>
      </w:r>
      <w:r w:rsidRPr="00597FFB">
        <w:rPr>
          <w:rFonts w:ascii="Times New Roman" w:eastAsia="Times New Roman" w:hAnsi="Times New Roman" w:cs="Times New Roman"/>
          <w:bCs/>
          <w:color w:val="000000" w:themeColor="text1"/>
          <w:sz w:val="24"/>
          <w:szCs w:val="24"/>
        </w:rPr>
        <w:t xml:space="preserve">. Although green purchasing is inconsistent among millennials </w:t>
      </w:r>
      <w:sdt>
        <w:sdtPr>
          <w:rPr>
            <w:rFonts w:ascii="Times New Roman" w:eastAsia="Times New Roman" w:hAnsi="Times New Roman" w:cs="Times New Roman"/>
            <w:bCs/>
            <w:color w:val="000000" w:themeColor="text1"/>
            <w:sz w:val="24"/>
            <w:szCs w:val="24"/>
          </w:rPr>
          <w:id w:val="-234473782"/>
          <w:citation/>
        </w:sdtPr>
        <w:sdtContent>
          <w:r w:rsidRPr="00597FFB">
            <w:rPr>
              <w:rFonts w:ascii="Times New Roman" w:eastAsia="Times New Roman" w:hAnsi="Times New Roman" w:cs="Times New Roman"/>
              <w:bCs/>
              <w:color w:val="000000" w:themeColor="text1"/>
              <w:sz w:val="24"/>
              <w:szCs w:val="24"/>
            </w:rPr>
            <w:fldChar w:fldCharType="begin"/>
          </w:r>
          <w:r w:rsidRPr="00597FFB">
            <w:rPr>
              <w:rFonts w:ascii="Times New Roman" w:eastAsia="Times New Roman" w:hAnsi="Times New Roman" w:cs="Times New Roman"/>
              <w:bCs/>
              <w:color w:val="000000" w:themeColor="text1"/>
              <w:sz w:val="24"/>
              <w:szCs w:val="24"/>
            </w:rPr>
            <w:instrText xml:space="preserve"> CITATION Cop22 \l 1033 </w:instrText>
          </w:r>
          <w:r w:rsidRPr="00597FFB">
            <w:rPr>
              <w:rFonts w:ascii="Times New Roman" w:eastAsia="Times New Roman" w:hAnsi="Times New Roman" w:cs="Times New Roman"/>
              <w:bCs/>
              <w:color w:val="000000" w:themeColor="text1"/>
              <w:sz w:val="24"/>
              <w:szCs w:val="24"/>
            </w:rPr>
            <w:fldChar w:fldCharType="separate"/>
          </w:r>
          <w:r w:rsidR="00F82F75" w:rsidRPr="00597FFB">
            <w:rPr>
              <w:rFonts w:ascii="Times New Roman" w:eastAsia="Times New Roman" w:hAnsi="Times New Roman" w:cs="Times New Roman"/>
              <w:noProof/>
              <w:color w:val="000000" w:themeColor="text1"/>
              <w:sz w:val="24"/>
              <w:szCs w:val="24"/>
            </w:rPr>
            <w:t>(Copeland &amp; Boulianne, 2022)</w:t>
          </w:r>
          <w:r w:rsidRPr="00597FFB">
            <w:rPr>
              <w:rFonts w:ascii="Times New Roman" w:eastAsia="Times New Roman" w:hAnsi="Times New Roman" w:cs="Times New Roman"/>
              <w:bCs/>
              <w:color w:val="000000" w:themeColor="text1"/>
              <w:sz w:val="24"/>
              <w:szCs w:val="24"/>
            </w:rPr>
            <w:fldChar w:fldCharType="end"/>
          </w:r>
        </w:sdtContent>
      </w:sdt>
      <w:r w:rsidRPr="00597FFB">
        <w:rPr>
          <w:rFonts w:ascii="Times New Roman" w:eastAsia="Times New Roman" w:hAnsi="Times New Roman" w:cs="Times New Roman"/>
          <w:bCs/>
          <w:color w:val="000000" w:themeColor="text1"/>
          <w:sz w:val="24"/>
          <w:szCs w:val="24"/>
        </w:rPr>
        <w:t>, other indicators for political consumerism including youth and political distrust, indicate that the concept could become more widespread (</w:t>
      </w:r>
      <w:r w:rsidRPr="00597FFB">
        <w:rPr>
          <w:rFonts w:ascii="Times New Roman" w:eastAsia="Calibri" w:hAnsi="Times New Roman" w:cs="Times New Roman"/>
          <w:color w:val="000000" w:themeColor="text1"/>
          <w:sz w:val="24"/>
          <w:szCs w:val="24"/>
        </w:rPr>
        <w:t>Ramzan et al., 2020).</w:t>
      </w:r>
    </w:p>
    <w:p w14:paraId="1939C877" w14:textId="0B3F4B7C"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heme="minorHAnsi" w:hAnsi="Times New Roman" w:cs="Times New Roman"/>
          <w:color w:val="000000" w:themeColor="text1"/>
          <w:sz w:val="24"/>
        </w:rPr>
        <w:t>Islam and Huda (2020)</w:t>
      </w:r>
      <w:r w:rsidRPr="00597FFB">
        <w:rPr>
          <w:rFonts w:ascii="Times New Roman" w:eastAsia="Times New Roman" w:hAnsi="Times New Roman" w:cs="Times New Roman"/>
          <w:bCs/>
          <w:color w:val="000000" w:themeColor="text1"/>
          <w:sz w:val="24"/>
          <w:szCs w:val="24"/>
        </w:rPr>
        <w:t xml:space="preserve"> suggested that the millennial generation may perceive themselves as having more time to prepare and engage in future-oriented goals related to sustainability. Research published by the Boston Consulting Group (Kumar, 2019) </w:t>
      </w:r>
      <w:r w:rsidR="00CA6113" w:rsidRPr="00597FFB">
        <w:rPr>
          <w:rFonts w:ascii="Times New Roman" w:eastAsia="Times New Roman" w:hAnsi="Times New Roman" w:cs="Times New Roman"/>
          <w:bCs/>
          <w:color w:val="000000" w:themeColor="text1"/>
          <w:sz w:val="24"/>
          <w:szCs w:val="24"/>
        </w:rPr>
        <w:t>and Shin</w:t>
      </w:r>
      <w:r w:rsidRPr="00597FFB">
        <w:rPr>
          <w:rFonts w:ascii="Times New Roman" w:eastAsiaTheme="minorHAnsi" w:hAnsi="Times New Roman" w:cs="Times New Roman"/>
          <w:color w:val="000000" w:themeColor="text1"/>
          <w:sz w:val="24"/>
          <w:szCs w:val="24"/>
        </w:rPr>
        <w:t xml:space="preserve"> and Kang (2021)</w:t>
      </w:r>
      <w:r w:rsidRPr="00597FFB">
        <w:rPr>
          <w:rFonts w:ascii="Times New Roman" w:eastAsia="Times New Roman" w:hAnsi="Times New Roman" w:cs="Times New Roman"/>
          <w:bCs/>
          <w:color w:val="000000" w:themeColor="text1"/>
          <w:sz w:val="24"/>
          <w:szCs w:val="24"/>
        </w:rPr>
        <w:t xml:space="preserve"> indicate that millennials believe that they can improve the world through their actions. They are more inclined to persuade others to participate due to their belief that collective action is necessary for change. Regardless of the reason why millennials do not actively engage in sustainable activities such as e-waste recycling, researchers agree that isolating motivators that encourage ethical consumption can be difficult (</w:t>
      </w:r>
      <w:r w:rsidRPr="00597FFB">
        <w:rPr>
          <w:rFonts w:ascii="Times New Roman" w:eastAsia="Calibri" w:hAnsi="Times New Roman" w:cs="Times New Roman"/>
          <w:color w:val="000000" w:themeColor="text1"/>
          <w:sz w:val="24"/>
          <w:szCs w:val="24"/>
        </w:rPr>
        <w:t>Islam et al.</w:t>
      </w:r>
      <w:r w:rsidRPr="00597FFB">
        <w:rPr>
          <w:rFonts w:ascii="Times New Roman" w:eastAsia="Times New Roman" w:hAnsi="Times New Roman" w:cs="Times New Roman"/>
          <w:bCs/>
          <w:color w:val="000000" w:themeColor="text1"/>
          <w:sz w:val="24"/>
          <w:szCs w:val="24"/>
        </w:rPr>
        <w:t>, 2021).</w:t>
      </w:r>
    </w:p>
    <w:p w14:paraId="58CC3F17" w14:textId="1645D129" w:rsidR="0003140E" w:rsidRPr="00597FFB" w:rsidRDefault="00580F91" w:rsidP="00A558FE">
      <w:pPr>
        <w:spacing w:after="0" w:line="480" w:lineRule="auto"/>
        <w:contextualSpacing/>
        <w:jc w:val="both"/>
        <w:outlineLvl w:val="2"/>
        <w:rPr>
          <w:rFonts w:ascii="Times New Roman" w:eastAsia="Calibri" w:hAnsi="Times New Roman" w:cs="Times New Roman"/>
          <w:i/>
          <w:iCs/>
          <w:color w:val="000000" w:themeColor="text1"/>
          <w:sz w:val="24"/>
          <w:szCs w:val="24"/>
        </w:rPr>
      </w:pPr>
      <w:bookmarkStart w:id="144" w:name="_Toc127170303"/>
      <w:bookmarkStart w:id="145" w:name="_Hlk63334978"/>
      <w:r w:rsidRPr="00597FFB">
        <w:rPr>
          <w:rFonts w:ascii="Times New Roman" w:eastAsia="Calibri" w:hAnsi="Times New Roman" w:cs="Times New Roman"/>
          <w:i/>
          <w:iCs/>
          <w:color w:val="000000" w:themeColor="text1"/>
          <w:sz w:val="24"/>
          <w:szCs w:val="24"/>
        </w:rPr>
        <w:t xml:space="preserve">2.7.4. </w:t>
      </w:r>
      <w:r w:rsidR="0003140E" w:rsidRPr="00597FFB">
        <w:rPr>
          <w:rFonts w:ascii="Times New Roman" w:eastAsia="Calibri" w:hAnsi="Times New Roman" w:cs="Times New Roman"/>
          <w:i/>
          <w:iCs/>
          <w:color w:val="000000" w:themeColor="text1"/>
          <w:sz w:val="24"/>
          <w:szCs w:val="24"/>
        </w:rPr>
        <w:t xml:space="preserve">Millennials </w:t>
      </w:r>
      <w:r w:rsidR="00A56EE5" w:rsidRPr="00597FFB">
        <w:rPr>
          <w:rFonts w:ascii="Times New Roman" w:eastAsia="Calibri" w:hAnsi="Times New Roman" w:cs="Times New Roman"/>
          <w:i/>
          <w:iCs/>
          <w:color w:val="000000" w:themeColor="text1"/>
          <w:sz w:val="24"/>
          <w:szCs w:val="24"/>
        </w:rPr>
        <w:t>a</w:t>
      </w:r>
      <w:r w:rsidRPr="00597FFB">
        <w:rPr>
          <w:rFonts w:ascii="Times New Roman" w:eastAsia="Calibri" w:hAnsi="Times New Roman" w:cs="Times New Roman"/>
          <w:i/>
          <w:iCs/>
          <w:color w:val="000000" w:themeColor="text1"/>
          <w:sz w:val="24"/>
          <w:szCs w:val="24"/>
        </w:rPr>
        <w:t xml:space="preserve">nd </w:t>
      </w:r>
      <w:r w:rsidR="00A56EE5" w:rsidRPr="00597FFB">
        <w:rPr>
          <w:rFonts w:ascii="Times New Roman" w:eastAsia="Calibri" w:hAnsi="Times New Roman" w:cs="Times New Roman"/>
          <w:i/>
          <w:iCs/>
          <w:color w:val="000000" w:themeColor="text1"/>
          <w:sz w:val="24"/>
          <w:szCs w:val="24"/>
        </w:rPr>
        <w:t>t</w:t>
      </w:r>
      <w:r w:rsidRPr="00597FFB">
        <w:rPr>
          <w:rFonts w:ascii="Times New Roman" w:eastAsia="Calibri" w:hAnsi="Times New Roman" w:cs="Times New Roman"/>
          <w:i/>
          <w:iCs/>
          <w:color w:val="000000" w:themeColor="text1"/>
          <w:sz w:val="24"/>
          <w:szCs w:val="24"/>
        </w:rPr>
        <w:t xml:space="preserve">he </w:t>
      </w:r>
      <w:r w:rsidR="0003140E" w:rsidRPr="00597FFB">
        <w:rPr>
          <w:rFonts w:ascii="Times New Roman" w:eastAsia="Calibri" w:hAnsi="Times New Roman" w:cs="Times New Roman"/>
          <w:i/>
          <w:iCs/>
          <w:color w:val="000000" w:themeColor="text1"/>
          <w:sz w:val="24"/>
          <w:szCs w:val="24"/>
        </w:rPr>
        <w:t>Attitude</w:t>
      </w:r>
      <w:r w:rsidRPr="00597FFB">
        <w:rPr>
          <w:rFonts w:ascii="Times New Roman" w:eastAsia="Calibri" w:hAnsi="Times New Roman" w:cs="Times New Roman"/>
          <w:i/>
          <w:iCs/>
          <w:color w:val="000000" w:themeColor="text1"/>
          <w:sz w:val="24"/>
          <w:szCs w:val="24"/>
        </w:rPr>
        <w:t>-</w:t>
      </w:r>
      <w:r w:rsidR="0003140E" w:rsidRPr="00597FFB">
        <w:rPr>
          <w:rFonts w:ascii="Times New Roman" w:eastAsia="Calibri" w:hAnsi="Times New Roman" w:cs="Times New Roman"/>
          <w:i/>
          <w:iCs/>
          <w:color w:val="000000" w:themeColor="text1"/>
          <w:sz w:val="24"/>
          <w:szCs w:val="24"/>
        </w:rPr>
        <w:t>Intention Gap</w:t>
      </w:r>
      <w:r w:rsidRPr="00597FFB">
        <w:rPr>
          <w:rFonts w:ascii="Times New Roman" w:eastAsia="Calibri" w:hAnsi="Times New Roman" w:cs="Times New Roman"/>
          <w:i/>
          <w:iCs/>
          <w:color w:val="000000" w:themeColor="text1"/>
          <w:sz w:val="24"/>
          <w:szCs w:val="24"/>
        </w:rPr>
        <w:t>.</w:t>
      </w:r>
      <w:bookmarkEnd w:id="144"/>
    </w:p>
    <w:bookmarkEnd w:id="145"/>
    <w:p w14:paraId="2E9D4899" w14:textId="77777777" w:rsidR="0003140E" w:rsidRPr="00597FFB" w:rsidRDefault="0003140E" w:rsidP="00A558FE">
      <w:pPr>
        <w:spacing w:line="480" w:lineRule="auto"/>
        <w:ind w:firstLine="720"/>
        <w:jc w:val="both"/>
        <w:rPr>
          <w:rFonts w:ascii="Times New Roman" w:eastAsiaTheme="minorHAnsi" w:hAnsi="Times New Roman" w:cs="Times New Roman"/>
          <w:color w:val="000000" w:themeColor="text1"/>
          <w:sz w:val="24"/>
          <w:szCs w:val="24"/>
        </w:rPr>
      </w:pPr>
      <w:r w:rsidRPr="00597FFB">
        <w:rPr>
          <w:rFonts w:ascii="Times New Roman" w:eastAsiaTheme="minorHAnsi" w:hAnsi="Times New Roman" w:cs="Times New Roman"/>
          <w:color w:val="000000" w:themeColor="text1"/>
          <w:sz w:val="24"/>
          <w:szCs w:val="24"/>
        </w:rPr>
        <w:t xml:space="preserve">The purpose of this study is to examine millennials' perceptions of e-waste recycling and the possible activities that influence or motivate sustainable behavior with a view to promote e-waste recycling among this generation. Accordingly, it is important to study the existing e-waste recycling practices and the factors that contribute to participation in recycling in order to ensure to understand how best millennials can contribute to e-waste recycling management. Some the most commonly cited factors that affect the attitude and intention to engage in recycling practices are knowledge and awareness, followed by economic and convenience incentives (Nicolau et al., 2020). The importance of awareness is underscored by results indicating that many people are willing to participate in recycling programs and be involved in EPR schemes </w:t>
      </w:r>
      <w:r w:rsidRPr="00597FFB">
        <w:rPr>
          <w:rFonts w:ascii="Times New Roman" w:eastAsiaTheme="minorHAnsi" w:hAnsi="Times New Roman" w:cs="Times New Roman"/>
          <w:color w:val="000000" w:themeColor="text1"/>
          <w:sz w:val="24"/>
        </w:rPr>
        <w:t>(Kumar, 2019)</w:t>
      </w:r>
      <w:r w:rsidRPr="00597FFB">
        <w:rPr>
          <w:rFonts w:ascii="Times New Roman" w:eastAsiaTheme="minorHAnsi" w:hAnsi="Times New Roman" w:cs="Times New Roman"/>
          <w:color w:val="000000" w:themeColor="text1"/>
          <w:sz w:val="24"/>
          <w:szCs w:val="24"/>
        </w:rPr>
        <w:t xml:space="preserve">. For example, according to a survey conducted in Nigeria, most Nigerians from the Jos metropolitan area were willing to participate in e-waste management, provided they are given appropriate knowledge on its safe disposal and recycling, which further strengthens the argument to measure ERM awareness and increasing the number of programs </w:t>
      </w:r>
      <w:r w:rsidRPr="00597FFB">
        <w:rPr>
          <w:rFonts w:ascii="Times New Roman" w:eastAsiaTheme="minorHAnsi" w:hAnsi="Times New Roman" w:cs="Times New Roman"/>
          <w:color w:val="000000" w:themeColor="text1"/>
          <w:sz w:val="24"/>
        </w:rPr>
        <w:t>(Aboelmaged, 2021)</w:t>
      </w:r>
      <w:r w:rsidRPr="00597FFB">
        <w:rPr>
          <w:rFonts w:ascii="Times New Roman" w:eastAsiaTheme="minorHAnsi" w:hAnsi="Times New Roman" w:cs="Times New Roman"/>
          <w:color w:val="000000" w:themeColor="text1"/>
          <w:sz w:val="24"/>
          <w:szCs w:val="24"/>
        </w:rPr>
        <w:t>. In Pakistan, Shaikh (2020) indicated that consumers are willing to pay for proper e-waste recycling mechanisms. The disposal decisions appear to be dependent primarily on the convenience of the available options (González</w:t>
      </w:r>
      <w:r w:rsidRPr="00597FFB">
        <w:rPr>
          <w:rFonts w:ascii="Cambria Math" w:eastAsiaTheme="minorHAnsi" w:hAnsi="Cambria Math" w:cs="Cambria Math"/>
          <w:color w:val="000000" w:themeColor="text1"/>
          <w:sz w:val="24"/>
          <w:szCs w:val="24"/>
        </w:rPr>
        <w:t>‐</w:t>
      </w:r>
      <w:r w:rsidRPr="00597FFB">
        <w:rPr>
          <w:rFonts w:ascii="Times New Roman" w:eastAsiaTheme="minorHAnsi" w:hAnsi="Times New Roman" w:cs="Times New Roman"/>
          <w:color w:val="000000" w:themeColor="text1"/>
          <w:sz w:val="24"/>
          <w:szCs w:val="24"/>
        </w:rPr>
        <w:t>Teruel et al., 2021).</w:t>
      </w:r>
    </w:p>
    <w:p w14:paraId="32A2BE11" w14:textId="090A492E" w:rsidR="0003140E" w:rsidRPr="00597FFB" w:rsidRDefault="0003140E" w:rsidP="00A558FE">
      <w:pPr>
        <w:spacing w:line="480" w:lineRule="auto"/>
        <w:ind w:firstLine="720"/>
        <w:jc w:val="both"/>
        <w:rPr>
          <w:rFonts w:ascii="Times New Roman" w:eastAsia="Times New Roman" w:hAnsi="Times New Roman" w:cs="Times New Roman"/>
          <w:bCs/>
          <w:color w:val="000000" w:themeColor="text1"/>
          <w:sz w:val="24"/>
          <w:szCs w:val="24"/>
        </w:rPr>
      </w:pPr>
      <w:r w:rsidRPr="00597FFB">
        <w:rPr>
          <w:rFonts w:ascii="Times New Roman" w:eastAsia="Times New Roman" w:hAnsi="Times New Roman" w:cs="Times New Roman"/>
          <w:bCs/>
          <w:color w:val="000000" w:themeColor="text1"/>
          <w:sz w:val="24"/>
          <w:szCs w:val="24"/>
        </w:rPr>
        <w:t xml:space="preserve">The problem of intention and attitudes towards recycling and ERM in general vis-à-vis practicing recycling and ERM is reflected in the attitude-intention gap, which is a contradiction between consumers' beliefs and behavioral intention, and the significant antecedent of actual behavior </w:t>
      </w:r>
      <w:r w:rsidRPr="00597FFB">
        <w:rPr>
          <w:rFonts w:ascii="Times New Roman" w:eastAsiaTheme="minorHAnsi" w:hAnsi="Times New Roman" w:cs="Times New Roman"/>
          <w:color w:val="000000" w:themeColor="text1"/>
          <w:sz w:val="24"/>
          <w:szCs w:val="24"/>
        </w:rPr>
        <w:t>(Chaturvedi et al., 2020)</w:t>
      </w:r>
      <w:r w:rsidRPr="00597FFB">
        <w:rPr>
          <w:rFonts w:ascii="Times New Roman" w:eastAsia="Times New Roman" w:hAnsi="Times New Roman" w:cs="Times New Roman"/>
          <w:bCs/>
          <w:color w:val="000000" w:themeColor="text1"/>
          <w:sz w:val="24"/>
          <w:szCs w:val="24"/>
        </w:rPr>
        <w:t xml:space="preserve">. Applying the attitude-attention gap described by </w:t>
      </w:r>
      <w:r w:rsidRPr="00597FFB">
        <w:rPr>
          <w:rFonts w:ascii="Times New Roman" w:eastAsiaTheme="minorHAnsi" w:hAnsi="Times New Roman" w:cs="Times New Roman"/>
          <w:color w:val="000000" w:themeColor="text1"/>
          <w:sz w:val="24"/>
          <w:szCs w:val="24"/>
        </w:rPr>
        <w:t>Taufique and Islam (2021)</w:t>
      </w:r>
      <w:r w:rsidRPr="00597FFB">
        <w:rPr>
          <w:rFonts w:ascii="Times New Roman" w:eastAsia="Times New Roman" w:hAnsi="Times New Roman" w:cs="Times New Roman"/>
          <w:bCs/>
          <w:color w:val="000000" w:themeColor="text1"/>
          <w:sz w:val="24"/>
          <w:szCs w:val="24"/>
        </w:rPr>
        <w:t xml:space="preserve"> to e-waste recycling means that even if millennials are aware of e-waste landfills and have a favorable attitude toward e-waste recycling due to environmental concerns, they still may not intend to participate in e-waste recycling schemes.</w:t>
      </w:r>
    </w:p>
    <w:p w14:paraId="28626C51" w14:textId="4912F113" w:rsidR="0003140E" w:rsidRPr="00597FFB" w:rsidRDefault="00004B80" w:rsidP="00A558FE">
      <w:pPr>
        <w:spacing w:after="0" w:line="480" w:lineRule="auto"/>
        <w:contextualSpacing/>
        <w:jc w:val="both"/>
        <w:outlineLvl w:val="1"/>
        <w:rPr>
          <w:rFonts w:ascii="Times New Roman" w:eastAsia="Calibri" w:hAnsi="Times New Roman" w:cs="Times New Roman"/>
          <w:b/>
          <w:bCs/>
          <w:color w:val="000000" w:themeColor="text1"/>
          <w:sz w:val="24"/>
          <w:szCs w:val="24"/>
        </w:rPr>
      </w:pPr>
      <w:bookmarkStart w:id="146" w:name="_Toc127170304"/>
      <w:bookmarkStart w:id="147" w:name="_Hlk73010226"/>
      <w:r w:rsidRPr="00597FFB">
        <w:rPr>
          <w:rFonts w:ascii="Times New Roman" w:eastAsia="Calibri" w:hAnsi="Times New Roman" w:cs="Times New Roman"/>
          <w:b/>
          <w:bCs/>
          <w:color w:val="000000" w:themeColor="text1"/>
          <w:sz w:val="24"/>
          <w:szCs w:val="24"/>
        </w:rPr>
        <w:t xml:space="preserve">2.8. </w:t>
      </w:r>
      <w:r w:rsidR="004676C2" w:rsidRPr="00597FFB">
        <w:rPr>
          <w:rFonts w:ascii="Times New Roman" w:eastAsia="Calibri" w:hAnsi="Times New Roman" w:cs="Times New Roman"/>
          <w:b/>
          <w:bCs/>
          <w:color w:val="000000" w:themeColor="text1"/>
          <w:sz w:val="24"/>
          <w:szCs w:val="24"/>
          <w:lang w:val="en-GB"/>
        </w:rPr>
        <w:t>Chapter Summary</w:t>
      </w:r>
      <w:r w:rsidR="00580F91" w:rsidRPr="00597FFB">
        <w:rPr>
          <w:rFonts w:ascii="Times New Roman" w:eastAsia="Calibri" w:hAnsi="Times New Roman" w:cs="Times New Roman"/>
          <w:b/>
          <w:bCs/>
          <w:color w:val="000000" w:themeColor="text1"/>
          <w:sz w:val="24"/>
          <w:szCs w:val="24"/>
          <w:lang w:val="en-GB"/>
        </w:rPr>
        <w:t>.</w:t>
      </w:r>
      <w:bookmarkEnd w:id="146"/>
    </w:p>
    <w:bookmarkEnd w:id="147"/>
    <w:p w14:paraId="62E2269B" w14:textId="7CAD0DE7" w:rsidR="0003140E" w:rsidRPr="00597FFB" w:rsidRDefault="0003140E" w:rsidP="00A558FE">
      <w:pPr>
        <w:spacing w:line="480" w:lineRule="auto"/>
        <w:ind w:firstLine="360"/>
        <w:jc w:val="both"/>
        <w:rPr>
          <w:rFonts w:ascii="Times New Roman" w:eastAsia="Times New Roman" w:hAnsi="Times New Roman" w:cs="Times New Roman"/>
          <w:bCs/>
          <w:color w:val="000000" w:themeColor="text1"/>
          <w:sz w:val="24"/>
          <w:szCs w:val="24"/>
        </w:rPr>
      </w:pPr>
      <w:r w:rsidRPr="00597FFB">
        <w:rPr>
          <w:rFonts w:ascii="Times New Roman" w:eastAsia="Calibri" w:hAnsi="Times New Roman" w:cs="Times New Roman"/>
          <w:color w:val="000000" w:themeColor="text1"/>
          <w:sz w:val="24"/>
          <w:szCs w:val="24"/>
        </w:rPr>
        <w:t xml:space="preserve">The review of literature on e-waste management, impacts of proper e-waste management, </w:t>
      </w:r>
      <w:r w:rsidR="00F0309F" w:rsidRPr="00597FFB">
        <w:rPr>
          <w:rFonts w:ascii="Times New Roman" w:eastAsia="Calibri" w:hAnsi="Times New Roman" w:cs="Times New Roman"/>
          <w:color w:val="000000" w:themeColor="text1"/>
          <w:sz w:val="24"/>
          <w:szCs w:val="24"/>
        </w:rPr>
        <w:t>and behavioral</w:t>
      </w:r>
      <w:r w:rsidRPr="00597FFB">
        <w:rPr>
          <w:rFonts w:ascii="Times New Roman" w:eastAsia="Calibri" w:hAnsi="Times New Roman" w:cs="Times New Roman"/>
          <w:color w:val="000000" w:themeColor="text1"/>
          <w:sz w:val="24"/>
          <w:szCs w:val="24"/>
        </w:rPr>
        <w:t xml:space="preserve"> intentions of consumers in general and millennials towards recycling in this chapter contributed the purpose of this research, which is to investigate </w:t>
      </w:r>
      <w:r w:rsidRPr="00597FFB">
        <w:rPr>
          <w:rFonts w:ascii="Times New Roman" w:eastAsiaTheme="minorHAnsi" w:hAnsi="Times New Roman" w:cs="Times New Roman"/>
          <w:iCs/>
          <w:color w:val="000000" w:themeColor="text1"/>
          <w:sz w:val="24"/>
          <w:szCs w:val="24"/>
          <w:lang w:val="en-GB"/>
        </w:rPr>
        <w:t xml:space="preserve">millennials' attitudes and </w:t>
      </w:r>
      <w:r w:rsidR="00F0309F" w:rsidRPr="00597FFB">
        <w:rPr>
          <w:rFonts w:ascii="Times New Roman" w:eastAsiaTheme="minorHAnsi" w:hAnsi="Times New Roman" w:cs="Times New Roman"/>
          <w:iCs/>
          <w:color w:val="000000" w:themeColor="text1"/>
          <w:sz w:val="24"/>
          <w:szCs w:val="24"/>
          <w:lang w:val="en-GB"/>
        </w:rPr>
        <w:t>behavioral</w:t>
      </w:r>
      <w:r w:rsidRPr="00597FFB">
        <w:rPr>
          <w:rFonts w:ascii="Times New Roman" w:eastAsiaTheme="minorHAnsi" w:hAnsi="Times New Roman" w:cs="Times New Roman"/>
          <w:iCs/>
          <w:color w:val="000000" w:themeColor="text1"/>
          <w:sz w:val="24"/>
          <w:szCs w:val="24"/>
          <w:lang w:val="en-GB"/>
        </w:rPr>
        <w:t xml:space="preserve"> intention for recycling E-waste in UAE</w:t>
      </w:r>
      <w:r w:rsidRPr="00597FFB">
        <w:rPr>
          <w:rFonts w:ascii="Times New Roman" w:eastAsia="Calibri" w:hAnsi="Times New Roman" w:cs="Times New Roman"/>
          <w:color w:val="000000" w:themeColor="text1"/>
          <w:sz w:val="24"/>
          <w:szCs w:val="24"/>
        </w:rPr>
        <w:t xml:space="preserve">. </w:t>
      </w:r>
      <w:r w:rsidRPr="00597FFB">
        <w:rPr>
          <w:rFonts w:ascii="Times New Roman" w:eastAsia="Times New Roman" w:hAnsi="Times New Roman" w:cs="Times New Roman"/>
          <w:bCs/>
          <w:color w:val="000000" w:themeColor="text1"/>
          <w:sz w:val="24"/>
          <w:szCs w:val="24"/>
        </w:rPr>
        <w:t>In this chapter, previous literature has been reviewed with a view to provide empirical basis and to inform the direction of this research.</w:t>
      </w:r>
      <w:bookmarkEnd w:id="113"/>
      <w:r w:rsidRPr="00597FFB">
        <w:rPr>
          <w:rFonts w:ascii="Times New Roman" w:eastAsia="Times New Roman" w:hAnsi="Times New Roman" w:cs="Times New Roman"/>
          <w:bCs/>
          <w:color w:val="000000" w:themeColor="text1"/>
          <w:sz w:val="24"/>
          <w:szCs w:val="24"/>
        </w:rPr>
        <w:t xml:space="preserve"> Based on the review in section 2.2, the concept of the circular economy with respect to e-waste has been fronted as requiring behavioral interventions to ensure its realization. This was useful in defining the importance of consumer behavior in achieving a circular economy. The rising demand for EEE, wanting or inexistent legislation, and consumer behavioral attitudes have been identified as the contributing factors of e-waste in section 2.3 of this chapter. Identifying these factors was useful in the context of this research because it gives an indication of the factors worth considering in an attempt to understand the factors that may drive millennials’ behavioral attitudes towards EEE and recycling. The review of e-waste management practices across the world in section 2.4 shows a general trend of developing countries like the UAE having significant structural and regulatory challenges to deal with e-waste compared to developed countries. Although the UAE has been found to be progressive in combating e-waste to the extent that it is the only country in the Middle East with an EPR, the fraction of e-waste recycled still remains significantly low. Literature reviewed on e-waste disposal in section 2.5 demonstrated that most developing countries such as the UAE still rely largely on informal disposal and that this approach still supports both municipal and formal e-waste disposal approaches in both developed and developing countries. E-waste recycling processes and the environmental, human health, social, and economic impacts of e-waste recycling were reviewed in section 2.6 and this was useful in demonstrating the urgency and need for proper e-waste recycling processes. In section 2.7, consumer recycling behavior was shown to be influenced by both internal and external factors and this was important in identifying some of the factors that may affect the e-waste recycling behavior of millennials in the UAE. As the target population of this study, millennials were portrayed in literature in section 2.8 as technology-oriented and huge consumers who drive e-waste despite their attitude that portrays them as being concerned about e-waste. </w:t>
      </w:r>
    </w:p>
    <w:p w14:paraId="756082E9" w14:textId="44C4DB54" w:rsidR="00815E66" w:rsidRPr="00597FFB" w:rsidRDefault="0003140E" w:rsidP="00A558FE">
      <w:pPr>
        <w:spacing w:line="480" w:lineRule="auto"/>
        <w:jc w:val="both"/>
        <w:rPr>
          <w:rFonts w:ascii="Times New Roman" w:eastAsia="Times New Roman" w:hAnsi="Times New Roman" w:cs="Times New Roman"/>
          <w:bCs/>
          <w:color w:val="000000" w:themeColor="text1"/>
          <w:sz w:val="24"/>
          <w:szCs w:val="24"/>
        </w:rPr>
        <w:sectPr w:rsidR="00815E66" w:rsidRPr="00597FFB" w:rsidSect="00E03F88">
          <w:pgSz w:w="11909" w:h="16834" w:code="9"/>
          <w:pgMar w:top="1800" w:right="2160" w:bottom="1800" w:left="2160" w:header="720" w:footer="720" w:gutter="0"/>
          <w:lnNumType w:countBy="1" w:restart="continuous"/>
          <w:cols w:space="720"/>
          <w:docGrid w:linePitch="360"/>
        </w:sectPr>
      </w:pPr>
      <w:r w:rsidRPr="00597FFB">
        <w:rPr>
          <w:rFonts w:ascii="Times New Roman" w:eastAsia="Times New Roman" w:hAnsi="Times New Roman" w:cs="Times New Roman"/>
          <w:bCs/>
          <w:color w:val="000000" w:themeColor="text1"/>
          <w:sz w:val="24"/>
          <w:szCs w:val="24"/>
        </w:rPr>
        <w:t>As demonstrated in this chapter, there remains a gap in understanding the behavioral tendencies of millennials with respect to their attitude and intentions to contribute towards e-waste recycling. This gap is even more outspoken in the Middle East and the UAE. The next chapter presents the theoretical basis for this study.</w:t>
      </w:r>
    </w:p>
    <w:p w14:paraId="5AFD9A1D" w14:textId="77777777" w:rsidR="001A7901" w:rsidRPr="00597FFB" w:rsidRDefault="001A7901" w:rsidP="001A7901">
      <w:pPr>
        <w:keepNext/>
        <w:keepLines/>
        <w:spacing w:after="0" w:line="480" w:lineRule="auto"/>
        <w:outlineLvl w:val="0"/>
        <w:rPr>
          <w:rFonts w:ascii="Times New Roman" w:eastAsiaTheme="majorEastAsia" w:hAnsi="Times New Roman" w:cstheme="majorBidi"/>
          <w:b/>
          <w:bCs/>
          <w:vanish/>
          <w:color w:val="000000" w:themeColor="text1"/>
          <w:kern w:val="24"/>
          <w:sz w:val="24"/>
          <w:szCs w:val="24"/>
          <w:lang w:eastAsia="ja-JP"/>
        </w:rPr>
      </w:pPr>
      <w:bookmarkStart w:id="148" w:name="_Hlk54687077"/>
      <w:bookmarkStart w:id="149" w:name="_Hlk73009971"/>
    </w:p>
    <w:p w14:paraId="4E0E232D" w14:textId="418702D1" w:rsidR="001A7901" w:rsidRPr="00597FFB" w:rsidRDefault="009A040C" w:rsidP="001A7901">
      <w:pPr>
        <w:keepNext/>
        <w:keepLines/>
        <w:spacing w:after="0" w:line="480" w:lineRule="auto"/>
        <w:jc w:val="center"/>
        <w:outlineLvl w:val="0"/>
        <w:rPr>
          <w:rFonts w:ascii="Times New Roman" w:eastAsiaTheme="majorEastAsia" w:hAnsi="Times New Roman" w:cstheme="majorBidi"/>
          <w:b/>
          <w:bCs/>
          <w:kern w:val="24"/>
          <w:sz w:val="28"/>
          <w:szCs w:val="28"/>
          <w:lang w:eastAsia="ja-JP"/>
        </w:rPr>
      </w:pPr>
      <w:bookmarkStart w:id="150" w:name="_Toc127170305"/>
      <w:bookmarkEnd w:id="148"/>
      <w:r w:rsidRPr="00597FFB">
        <w:rPr>
          <w:rFonts w:ascii="Times New Roman" w:eastAsiaTheme="majorEastAsia" w:hAnsi="Times New Roman" w:cstheme="majorBidi"/>
          <w:b/>
          <w:bCs/>
          <w:kern w:val="24"/>
          <w:sz w:val="28"/>
          <w:szCs w:val="28"/>
          <w:lang w:eastAsia="ja-JP"/>
        </w:rPr>
        <w:t>CHAPTER 3</w:t>
      </w:r>
      <w:bookmarkEnd w:id="150"/>
      <w:r w:rsidRPr="00597FFB">
        <w:rPr>
          <w:rFonts w:ascii="Times New Roman" w:eastAsiaTheme="majorEastAsia" w:hAnsi="Times New Roman" w:cstheme="majorBidi"/>
          <w:b/>
          <w:bCs/>
          <w:kern w:val="24"/>
          <w:sz w:val="28"/>
          <w:szCs w:val="28"/>
          <w:lang w:eastAsia="ja-JP"/>
        </w:rPr>
        <w:t xml:space="preserve"> </w:t>
      </w:r>
    </w:p>
    <w:p w14:paraId="0F684A9F" w14:textId="21A9DF79" w:rsidR="001A7901" w:rsidRPr="00597FFB" w:rsidRDefault="009B1C69" w:rsidP="001A7901">
      <w:pPr>
        <w:keepNext/>
        <w:keepLines/>
        <w:spacing w:after="0" w:line="480" w:lineRule="auto"/>
        <w:jc w:val="center"/>
        <w:outlineLvl w:val="0"/>
        <w:rPr>
          <w:rFonts w:ascii="Times New Roman" w:eastAsiaTheme="majorEastAsia" w:hAnsi="Times New Roman" w:cstheme="majorBidi"/>
          <w:b/>
          <w:bCs/>
          <w:kern w:val="24"/>
          <w:sz w:val="26"/>
          <w:szCs w:val="26"/>
          <w:lang w:eastAsia="ja-JP"/>
        </w:rPr>
      </w:pPr>
      <w:bookmarkStart w:id="151" w:name="_Toc127170306"/>
      <w:bookmarkStart w:id="152" w:name="_Hlk123404251"/>
      <w:r w:rsidRPr="00597FFB">
        <w:rPr>
          <w:rFonts w:ascii="Times New Roman" w:eastAsiaTheme="majorEastAsia" w:hAnsi="Times New Roman" w:cstheme="majorBidi"/>
          <w:b/>
          <w:bCs/>
          <w:kern w:val="24"/>
          <w:sz w:val="26"/>
          <w:szCs w:val="26"/>
          <w:lang w:eastAsia="ja-JP"/>
        </w:rPr>
        <w:t>Theoretical Background</w:t>
      </w:r>
      <w:bookmarkEnd w:id="151"/>
    </w:p>
    <w:bookmarkEnd w:id="152"/>
    <w:p w14:paraId="4F614963" w14:textId="77777777" w:rsidR="009A040C" w:rsidRPr="00597FFB" w:rsidRDefault="009A040C" w:rsidP="001A7901">
      <w:pPr>
        <w:spacing w:after="0" w:line="480" w:lineRule="auto"/>
        <w:ind w:left="360" w:hanging="360"/>
        <w:jc w:val="center"/>
        <w:rPr>
          <w:rFonts w:asciiTheme="majorBidi" w:eastAsiaTheme="minorHAnsi" w:hAnsiTheme="majorBidi" w:cstheme="majorBidi"/>
          <w:i/>
          <w:iCs/>
          <w:sz w:val="24"/>
          <w:szCs w:val="24"/>
        </w:rPr>
      </w:pPr>
    </w:p>
    <w:p w14:paraId="2F035E00" w14:textId="6DD63FFA" w:rsidR="001A7901" w:rsidRPr="00597FFB" w:rsidRDefault="001A7901" w:rsidP="001A7901">
      <w:pPr>
        <w:spacing w:after="0" w:line="480" w:lineRule="auto"/>
        <w:ind w:left="360" w:hanging="360"/>
        <w:jc w:val="center"/>
        <w:rPr>
          <w:rFonts w:asciiTheme="majorBidi" w:eastAsiaTheme="minorHAnsi" w:hAnsiTheme="majorBidi" w:cstheme="majorBidi"/>
          <w:b/>
          <w:bCs/>
          <w:sz w:val="24"/>
          <w:szCs w:val="24"/>
        </w:rPr>
      </w:pPr>
      <w:r w:rsidRPr="00597FFB">
        <w:rPr>
          <w:rFonts w:asciiTheme="majorBidi" w:eastAsiaTheme="minorHAnsi" w:hAnsiTheme="majorBidi" w:cstheme="majorBidi"/>
          <w:i/>
          <w:iCs/>
          <w:sz w:val="24"/>
          <w:szCs w:val="24"/>
        </w:rPr>
        <w:t>"Often when you think you are at the end of something, you’re at the beginning of something else." (Fred Rogers, Television Personality</w:t>
      </w:r>
      <w:r w:rsidRPr="00597FFB">
        <w:rPr>
          <w:rFonts w:asciiTheme="majorBidi" w:eastAsiaTheme="minorHAnsi" w:hAnsiTheme="majorBidi" w:cstheme="majorBidi"/>
          <w:b/>
          <w:bCs/>
          <w:sz w:val="24"/>
          <w:szCs w:val="24"/>
        </w:rPr>
        <w:t>)</w:t>
      </w:r>
    </w:p>
    <w:p w14:paraId="2F39EE3B" w14:textId="300D5DEA" w:rsidR="001A7901" w:rsidRPr="00597FFB" w:rsidRDefault="001A7901" w:rsidP="00A558FE">
      <w:pPr>
        <w:keepNext/>
        <w:keepLines/>
        <w:spacing w:after="0" w:line="480" w:lineRule="auto"/>
        <w:outlineLvl w:val="1"/>
        <w:rPr>
          <w:rFonts w:ascii="Times New Roman" w:eastAsia="Times New Roman" w:hAnsi="Times New Roman" w:cs="Times New Roman"/>
          <w:b/>
          <w:bCs/>
          <w:vanish/>
          <w:color w:val="000000" w:themeColor="text1"/>
          <w:kern w:val="24"/>
          <w:sz w:val="24"/>
          <w:szCs w:val="24"/>
          <w:lang w:eastAsia="ja-JP"/>
        </w:rPr>
      </w:pPr>
    </w:p>
    <w:p w14:paraId="0BD899ED" w14:textId="0EB4B064" w:rsidR="00DE65F4" w:rsidRPr="00597FFB" w:rsidRDefault="00DE65F4" w:rsidP="00804602">
      <w:pPr>
        <w:pStyle w:val="Heading2"/>
        <w:spacing w:line="480" w:lineRule="auto"/>
        <w:rPr>
          <w:rFonts w:asciiTheme="majorBidi" w:hAnsiTheme="majorBidi"/>
          <w:b/>
          <w:bCs/>
          <w:color w:val="000000" w:themeColor="text1"/>
          <w:sz w:val="24"/>
          <w:szCs w:val="24"/>
        </w:rPr>
      </w:pPr>
      <w:bookmarkStart w:id="153" w:name="_Toc127170307"/>
      <w:r w:rsidRPr="00597FFB">
        <w:rPr>
          <w:rFonts w:asciiTheme="majorBidi" w:hAnsiTheme="majorBidi"/>
          <w:b/>
          <w:bCs/>
          <w:color w:val="000000" w:themeColor="text1"/>
          <w:sz w:val="24"/>
          <w:szCs w:val="24"/>
        </w:rPr>
        <w:t>3.0. Introduction</w:t>
      </w:r>
      <w:r w:rsidR="006D5C70" w:rsidRPr="00597FFB">
        <w:rPr>
          <w:rFonts w:asciiTheme="majorBidi" w:hAnsiTheme="majorBidi"/>
          <w:b/>
          <w:bCs/>
          <w:color w:val="000000" w:themeColor="text1"/>
          <w:sz w:val="24"/>
          <w:szCs w:val="24"/>
        </w:rPr>
        <w:t>.</w:t>
      </w:r>
      <w:bookmarkEnd w:id="153"/>
    </w:p>
    <w:p w14:paraId="1605F361" w14:textId="77777777" w:rsidR="001A7901" w:rsidRPr="00597FFB" w:rsidRDefault="001A7901" w:rsidP="00A558FE">
      <w:pPr>
        <w:spacing w:before="26" w:after="26" w:line="480" w:lineRule="auto"/>
        <w:ind w:right="360" w:firstLine="720"/>
        <w:contextualSpacing/>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In chapter 2, previous literature was reviewed with the intention of providing empirical grounding for informing the direction of the current research. In section 2.2, circular economy as a concept was proposed in the context of e-waste and behavioral interventions were demonstrated to be key determinants of ensuring its realization. In section 2.3, the contributing factors in the rise of e-waste were identified as rising demand for EEE, inadequate or inexistent legislation, and unsupportive consumer behavioral attitudes. Global e-waste management practices were reviewed in section 2.4 and a trend where developing countries such as the UAE face significant structural and regulatory challenges, which make it difficult for them to deal with the e-waste challenge, emerged. In section 2.5, developing countries were found to be heavily reliant on informal disposal, which also supports both the existing municipal and formal waste disposal practices in developed and developing countries. Literature reviewed in section 2.7 revealed that consumer recycling behavior was subject to internal and external factors. Literature concerning millennials as the target population of this research was reviewed in section 2.8 and they were portrayed as a technology-oriented demographic with high EEE consumption trends thereby driving e-waste volumes higher in spite of their attitudes indicating that they are concerned about the increasing e-waste volumes.</w:t>
      </w:r>
    </w:p>
    <w:p w14:paraId="7D57FA82" w14:textId="73E7D496" w:rsidR="001A7901" w:rsidRPr="00597FFB" w:rsidRDefault="001A7901" w:rsidP="00804602">
      <w:pPr>
        <w:spacing w:before="26" w:after="26" w:line="480" w:lineRule="auto"/>
        <w:ind w:right="360" w:firstLine="720"/>
        <w:contextualSpacing/>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The goal of this chapter (3) is to provide theoretical grounding for this research in accordance with the research problem of determining the factors that influence </w:t>
      </w:r>
      <w:bookmarkStart w:id="154" w:name="_Hlk91079339"/>
      <w:r w:rsidRPr="00597FFB">
        <w:rPr>
          <w:rFonts w:ascii="Times New Roman" w:eastAsia="Times New Roman" w:hAnsi="Times New Roman" w:cs="Times New Roman"/>
          <w:bCs/>
          <w:color w:val="000000" w:themeColor="text1"/>
          <w:kern w:val="24"/>
          <w:sz w:val="24"/>
          <w:szCs w:val="24"/>
          <w:lang w:eastAsia="ja-JP"/>
        </w:rPr>
        <w:t xml:space="preserve">the </w:t>
      </w:r>
      <w:bookmarkEnd w:id="154"/>
      <w:r w:rsidRPr="00597FFB">
        <w:rPr>
          <w:rFonts w:ascii="Times New Roman" w:eastAsia="Times New Roman" w:hAnsi="Times New Roman" w:cs="Times New Roman"/>
          <w:bCs/>
          <w:color w:val="000000" w:themeColor="text1"/>
          <w:kern w:val="24"/>
          <w:sz w:val="24"/>
          <w:szCs w:val="24"/>
          <w:lang w:eastAsia="ja-JP"/>
        </w:rPr>
        <w:t>e-waste recycling behavior of UAE millennials. Based on the theory of planned behavior (hereafter TPB), the research study explored the contextual factors that impact the attitudes and behaviors of UAE’s millennials regarding e-waste recycling. In the UAE, the current level of recycling was described as low in the previous chapter. Based on the desk research for this study, no studies investigating the factors that drive millennials’ behavioral tendencies towards e-waste recycling were found. In the previous chapter (2), the TPB was mentioned as the fundamental theory for this study. In this chapter, the theoretical framework is discussed. This chapter contains five major sections with section 3.1 providing a brief review of the theories of consumer behavior intention and pro-environmental behavior. In subsection 3.1.1, the application of the TPB in the prediction of consumer behavioral intention toward e-waste recycling is discussed. Section 3.1.2 is a discussion of the Norm Activation Theory (hereafter, NAT) within the context of consumer e-waste recycling behavior. The review of the Protection Motivation Theory (hereafter, PMT) is in section 3.1.3 along with its extension using factors from other theories including the TPB and the NAT. The other factors included from different theories are stimulus that influence behavioral intention and behavior directly or indirectly to aid in the development of the extended TPB framework for this research. In section 3.2, the characteristics of the literature sources from which the proposed research model was based are presented. The chapter summary in section 3.3 provides a brief recap of the entire chapter and signposts the commencement of the fourth chapter.</w:t>
      </w:r>
    </w:p>
    <w:p w14:paraId="1885AF82" w14:textId="7BC3A808" w:rsidR="00BB7350" w:rsidRPr="00597FFB" w:rsidRDefault="00BB7350" w:rsidP="00804602">
      <w:pPr>
        <w:pStyle w:val="Heading2"/>
        <w:spacing w:line="480" w:lineRule="auto"/>
        <w:rPr>
          <w:rFonts w:asciiTheme="majorBidi" w:hAnsiTheme="majorBidi"/>
          <w:b/>
          <w:bCs/>
          <w:color w:val="000000" w:themeColor="text1"/>
          <w:sz w:val="24"/>
          <w:szCs w:val="24"/>
        </w:rPr>
      </w:pPr>
      <w:bookmarkStart w:id="155" w:name="_Toc127170308"/>
      <w:r w:rsidRPr="00597FFB">
        <w:rPr>
          <w:rFonts w:asciiTheme="majorBidi" w:hAnsiTheme="majorBidi"/>
          <w:b/>
          <w:bCs/>
          <w:color w:val="000000" w:themeColor="text1"/>
          <w:sz w:val="24"/>
          <w:szCs w:val="24"/>
        </w:rPr>
        <w:t xml:space="preserve">3.1. Theories </w:t>
      </w:r>
      <w:r w:rsidR="00A56EE5" w:rsidRPr="00597FFB">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f Consumer Behavior Intention</w:t>
      </w:r>
      <w:r w:rsidR="006D5C70" w:rsidRPr="00597FFB">
        <w:rPr>
          <w:rFonts w:asciiTheme="majorBidi" w:hAnsiTheme="majorBidi"/>
          <w:b/>
          <w:bCs/>
          <w:color w:val="000000" w:themeColor="text1"/>
          <w:sz w:val="24"/>
          <w:szCs w:val="24"/>
        </w:rPr>
        <w:t>.</w:t>
      </w:r>
      <w:bookmarkEnd w:id="155"/>
    </w:p>
    <w:p w14:paraId="1C45F2C5" w14:textId="613BCC3F" w:rsidR="00563DE6" w:rsidRPr="00597FFB" w:rsidRDefault="001A7901" w:rsidP="00A558FE">
      <w:pPr>
        <w:spacing w:after="0" w:line="480" w:lineRule="auto"/>
        <w:ind w:firstLine="720"/>
        <w:jc w:val="both"/>
        <w:rPr>
          <w:rFonts w:ascii="Times New Roman" w:eastAsia="Times New Roman" w:hAnsi="Times New Roman" w:cs="Times New Roman"/>
          <w:bCs/>
          <w:color w:val="000000" w:themeColor="text1"/>
          <w:kern w:val="24"/>
          <w:sz w:val="24"/>
          <w:szCs w:val="24"/>
          <w:lang w:eastAsia="ja-JP"/>
        </w:rPr>
      </w:pPr>
      <w:bookmarkStart w:id="156" w:name="_Hlk100075393"/>
      <w:r w:rsidRPr="00597FFB">
        <w:rPr>
          <w:rFonts w:ascii="Times New Roman" w:eastAsia="Times New Roman" w:hAnsi="Times New Roman" w:cs="Times New Roman"/>
          <w:bCs/>
          <w:color w:val="000000" w:themeColor="text1"/>
          <w:kern w:val="24"/>
          <w:sz w:val="24"/>
          <w:szCs w:val="24"/>
          <w:lang w:eastAsia="ja-JP"/>
        </w:rPr>
        <w:t xml:space="preserve">Consumers’ behavior intention </w:t>
      </w:r>
      <w:bookmarkEnd w:id="156"/>
      <w:r w:rsidRPr="00597FFB">
        <w:rPr>
          <w:rFonts w:ascii="Times New Roman" w:eastAsia="Times New Roman" w:hAnsi="Times New Roman" w:cs="Times New Roman"/>
          <w:bCs/>
          <w:color w:val="000000" w:themeColor="text1"/>
          <w:kern w:val="24"/>
          <w:sz w:val="24"/>
          <w:szCs w:val="24"/>
          <w:lang w:eastAsia="ja-JP"/>
        </w:rPr>
        <w:t>towards engaging in EWR programs is one of the primary elements of EWM (Dhingra &amp; Maheshwari, 2018).</w:t>
      </w:r>
      <w:r w:rsidRPr="00597FFB">
        <w:rPr>
          <w:rFonts w:ascii="Times New Roman" w:eastAsia="Calibri" w:hAnsi="Times New Roman" w:cs="Times New Roman"/>
          <w:iCs/>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t xml:space="preserve">It influences the success of a recycling program, which relies heavily on the extent to which individuals engage actively in the same.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{"citationID":"I43GTqxi","properties":{"formattedCitation":"(Aidonis et al., 2019)","plainCitation":"(Aidonis et al., 2019)","dontUpdate":true,"noteIndex":0},"citationItems":[{"id":2624,"uris":["http://zotero.org/users/local/b6CRLSJH/items/JL4KQPN7"],"itemData":{"id":2624,"type":"article-journal","abstract":"Waste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3F0AE2" w:rsidRPr="00597FFB">
        <w:rPr>
          <w:rFonts w:ascii="Cambria Math" w:eastAsia="Times New Roman" w:hAnsi="Cambria Math" w:cs="Cambria Math"/>
          <w:bCs/>
          <w:color w:val="000000" w:themeColor="text1"/>
          <w:kern w:val="24"/>
          <w:sz w:val="24"/>
          <w:szCs w:val="24"/>
          <w:lang w:eastAsia="ja-JP"/>
        </w:rPr>
        <w:instrText>↵</w:instrText>
      </w:r>
      <w:r w:rsidR="003F0AE2" w:rsidRPr="00597FFB">
        <w:rPr>
          <w:rFonts w:ascii="Times New Roman" w:eastAsia="Times New Roman" w:hAnsi="Times New Roman" w:cs="Times New Roman"/>
          <w:bCs/>
          <w:color w:val="000000" w:themeColor="text1"/>
          <w:kern w:val="24"/>
          <w:sz w:val="24"/>
          <w:szCs w:val="24"/>
          <w:lang w:eastAsia="ja-JP"/>
        </w:rPr>
        <w:instrText xml:space="preserve">ectiveness, is required for the integrated WEEE management at a national level.","container-title":"Sustainability","DOI":"10.3390/su11123364","ISSN":"2071-1050","issue":"12","journalAbbreviation":"Sustainability","language":"en","page":"3364","source":"DOI.org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Aidonis et al. (2019)</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demonstrated that consumers' behavior is crucial in reducing and managing e-waste and that behavior intention is the most vital antecedent of action. Hence, it is necessary to understand the public perceptions of EWR to design effective policies to deal with e-waste problems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{"citationID":"EVtQj2Fa","properties":{"formattedCitation":"(Oudah, Jabeen, and Dixon 2018)","plainCitation":"(Oudah, Jabeen, and Dixon 2018)","dontUpdate":true,"noteIndex":0},"citationItems":[{"id":3452,"uris":["http://zotero.org/users/local/b6CRLSJH/items/HGULMFZI"],"itemData":{"id":3452,"type":"article-journal","abstract":"The purpose of this study is to identify and prioritise the various success factors linked to the sustainability of large and medium sized family businesses (FB) in the United Arab Emirates (UAE). A well-researched methodology was used for the synthesis of priorities and the measurement of consistencies. The analytic hierarchy process (AHP) model was developed with seven criteria and 15 sub-criteria gleaned from prior research. Data were collected using an interview-based survey conducted on twelve medium and large sized family ﬁrms in the UAE. The data collected were interpreted and a priority vector was assigned. The ﬁndings show that large family businesses in the UAE are aware of transition failure and have long-term planning for their future generations in place; however, they need to give more importance to family values and family capital. On the other hand, medium sized family businesses are less aware of transition failure and have limited long-term planning; they are more concerned with short-term returns. Therefore, they need to create and give more importance to succession planning, strategic planning and corporate governance to ensure their business longevity. The study highlights multi-generation family business sustainability, and identiﬁes the major determinants that the family members and business leaders need to consider for their business continuity and survival. The model can be utilized by academics in family business sustainability studies. The ﬁndings interpreted can help policy makers and related associations develop various policies based on the speciﬁc factors found to run the family businesses in a sustainable manner. The research model had limited dimensions and the ﬁndings cannot be generalized. This study is the ﬁrst to study the determinants of family business sustainability in the context of the UAE using the AHP model.","container-title":"Sustainability","DOI":"10.3390/su10010246","ISSN":"2071-1050","issue":"1","journalAbbreviation":"Sustainability","language":"en","note":"number: 1","page":"246","source":"DOI.org (Crossref)","title":"Determinants Linked to Family Business Sustainability in the UAE: An AHP Approach","title-short":"Determinants Linked to Family Business Sustainability in the UAE","volume":"10","author":[{"family":"Oudah","given":"Mohammed"},{"family":"Jabeen","given":"Fauzia"},{"family":"Dixon","given":"Christopher"}],"issued":{"date-parts":[["2018",1,18]]}}}],"schema":"https://github.com/citation-style-language/schema/raw/master/csl-citation.json"}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(Oudah et al., 201</w:t>
      </w:r>
      <w:r w:rsidR="00F12517" w:rsidRPr="00597FFB">
        <w:rPr>
          <w:rFonts w:ascii="Times New Roman" w:hAnsi="Times New Roman" w:cs="Times New Roman"/>
          <w:color w:val="000000" w:themeColor="text1"/>
          <w:kern w:val="24"/>
          <w:sz w:val="24"/>
          <w:szCs w:val="24"/>
          <w:lang w:eastAsia="ja-JP"/>
        </w:rPr>
        <w:t>8</w:t>
      </w:r>
      <w:r w:rsidRPr="00597FFB">
        <w:rPr>
          <w:rFonts w:ascii="Times New Roman" w:hAnsi="Times New Roman" w:cs="Times New Roman"/>
          <w:color w:val="000000" w:themeColor="text1"/>
          <w:kern w:val="24"/>
          <w:sz w:val="24"/>
          <w:szCs w:val="24"/>
          <w:lang w:eastAsia="ja-JP"/>
        </w:rPr>
        <w:t>)</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Calibri" w:hAnsi="Times New Roman" w:cs="Times New Roman"/>
          <w:iCs/>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t xml:space="preserve"> Hitherto, several theories including the Norm Activation Theory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{"citationID":"Q5c9mWlN","properties":{"formattedCitation":"(Schwartz 1977)","plainCitation":"(Schwartz 1977)","dontUpdate":true,"noteIndex":0},"citationItems":[{"id":1321,"uris":["http://zotero.org/users/local/b6CRLSJH/items/KSMNJBQS"],"itemData":{"id":1321,"type":"chapter","container-title":"Advances in Experimental Social Psychology","ISBN":"978-0-12-015210-0","language":"en","note":"DOI: 10.1016/S0065-2601(08)60358-5","page":"221-279","publisher":"Elsevier","source":"DOI.org (Crossref)","title":"Normative Influences on Altruism","URL":"https://linkinghub.elsevier.com/retrieve/pii/S0065260108603585","volume":"10","author":[{"family":"Schwartz","given":"Shalom H."}],"accessed":{"date-parts":[["2021",4,16]]},"issued":{"date-parts":[["1977"]]}}}],"schema":"https://github.com/citation-style-language/schema/raw/master/csl-citation.json"}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(NAT; Schwartz, 1977)</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w:t>
      </w:r>
      <w:r w:rsidR="00183122" w:rsidRPr="00597FFB">
        <w:rPr>
          <w:rFonts w:ascii="Times New Roman" w:eastAsia="Times New Roman" w:hAnsi="Times New Roman" w:cs="Times New Roman"/>
          <w:bCs/>
          <w:color w:val="000000" w:themeColor="text1"/>
          <w:kern w:val="24"/>
          <w:sz w:val="24"/>
          <w:szCs w:val="24"/>
          <w:lang w:eastAsia="ja-JP"/>
        </w:rPr>
        <w:t>Janz and Becker’s (1984)</w:t>
      </w:r>
      <w:r w:rsidRPr="00597FFB">
        <w:rPr>
          <w:rFonts w:ascii="Times New Roman" w:eastAsia="Times New Roman" w:hAnsi="Times New Roman" w:cs="Times New Roman"/>
          <w:bCs/>
          <w:color w:val="000000" w:themeColor="text1"/>
          <w:kern w:val="24"/>
          <w:sz w:val="24"/>
          <w:szCs w:val="24"/>
          <w:lang w:eastAsia="ja-JP"/>
        </w:rPr>
        <w:t xml:space="preserve"> Health Belief Model, </w:t>
      </w:r>
      <w:r w:rsidR="00183122" w:rsidRPr="00597FFB">
        <w:rPr>
          <w:rFonts w:ascii="Times New Roman" w:eastAsia="Times New Roman" w:hAnsi="Times New Roman" w:cs="Times New Roman"/>
          <w:bCs/>
          <w:color w:val="000000" w:themeColor="text1"/>
          <w:kern w:val="24"/>
          <w:sz w:val="24"/>
          <w:szCs w:val="24"/>
          <w:lang w:eastAsia="ja-JP"/>
        </w:rPr>
        <w:t>Stern et al.’s (1999)</w:t>
      </w:r>
      <w:r w:rsidRPr="00597FFB">
        <w:rPr>
          <w:rFonts w:ascii="Times New Roman" w:eastAsia="Times New Roman" w:hAnsi="Times New Roman" w:cs="Times New Roman"/>
          <w:bCs/>
          <w:color w:val="000000" w:themeColor="text1"/>
          <w:kern w:val="24"/>
          <w:sz w:val="24"/>
          <w:szCs w:val="24"/>
          <w:lang w:eastAsia="ja-JP"/>
        </w:rPr>
        <w:t xml:space="preserve"> Value-Belief Norm theory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{"citationID":"2XqwezzW","properties":{"formattedCitation":"(Stern et al. 1999)","plainCitation":"(Stern et al. 1999)","dontUpdate":true,"noteIndex":0},"citationItems":[{"id":1326,"uris":["http://zotero.org/users/local/b6CRLSJH/items/ZTGUPLQ3"],"itemData":{"id":1326,"type":"chapter","container-title":"Developments in Geotectonics","ISBN":"978-0-444-50309-1","language":"en","note":"DOI: 10.1016/S0419-0254(99)80013-5","page":"217-235","publisher":"Elsevier","source":"DOI.org (Crossref)","title":"Evidence from mantle xenoliths for relatively thin (&lt;100 km) continental lithosphere below the Phanerozoic crust of southernmost South America","URL":"https://linkinghub.elsevier.com/retrieve/pii/S0419025499800135","volume":"24","author":[{"family":"Stern","given":"Charles R."},{"family":"Kilian","given":"Rolf"},{"family":"Olker","given":"Bettina"},{"family":"Hauri","given":"Eric H."},{"family":"Kurtis Kyser","given":"T."}],"accessed":{"date-parts":[["2021",4,16]]},"issued":{"date-parts":[["1999"]]}}}],"schema":"https://github.com/citation-style-language/schema/raw/master/csl-citation.json"}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(VBN)</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the Protection Motivation Theory (PMT; Rogers, 1975), the Theory of Interpersonal Behavior (TIB; Triandis, 1980), the Theory of Reasoned Action (TRA)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{"citationID":"tcst94Ik","properties":{"formattedCitation":"(Fishbein and Ajzen 1975)","plainCitation":"(Fishbein and Ajzen 1975)","dontUpdate":true,"noteIndex":0},"citationItems":[{"id":2935,"uris":["http://zotero.org/users/local/b6CRLSJH/items/L9YZ9D35"],"itemData":{"id":2935,"type":"book","call-number":"BF323.C5 F48","collection-title":"Addison-Wesley series in social psychology","event-place":"Reading, Mass","ISBN":"978-0-201-02089-2","number-of-pages":"578","publisher":"Addison-Wesley Pub. Co","publisher-place":"Reading, Mass","source":"Library of Congress ISBN","title":"Belief, attitude, intention, and behavior: an introduction to theory and research","title-short":"Belief, attitude, intention, and behavior","author":[{"family":"Fishbein","given":"Martin"},{"family":"Ajzen","given":"Icek"}],"issued":{"date-parts":[["1975"]]}}}],"schema":"https://github.com/citation-style-language/schema/raw/master/csl-citation.json"}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(Fishbein &amp; Ajzen, 1975)</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and </w:t>
      </w:r>
      <w:bookmarkStart w:id="157" w:name="_Hlk100075333"/>
      <w:r w:rsidRPr="00597FFB">
        <w:rPr>
          <w:rFonts w:ascii="Times New Roman" w:eastAsia="Times New Roman" w:hAnsi="Times New Roman" w:cs="Times New Roman"/>
          <w:bCs/>
          <w:color w:val="000000" w:themeColor="text1"/>
          <w:kern w:val="24"/>
          <w:sz w:val="24"/>
          <w:szCs w:val="24"/>
          <w:lang w:eastAsia="ja-JP"/>
        </w:rPr>
        <w:t xml:space="preserve">the </w:t>
      </w:r>
      <w:bookmarkEnd w:id="157"/>
      <w:r w:rsidRPr="00597FFB">
        <w:rPr>
          <w:rFonts w:ascii="Times New Roman" w:eastAsia="Times New Roman" w:hAnsi="Times New Roman" w:cs="Times New Roman"/>
          <w:bCs/>
          <w:color w:val="000000" w:themeColor="text1"/>
          <w:kern w:val="24"/>
          <w:sz w:val="24"/>
          <w:szCs w:val="24"/>
          <w:lang w:eastAsia="ja-JP"/>
        </w:rPr>
        <w:t xml:space="preserve">TPB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{"citationID":"u7SfMTdG","properties":{"formattedCitation":"(Ajzen 1991)","plainCitation":"(Ajzen 1991)","dontUpdate":true,"noteIndex":0},"citationItems":[{"id":4032,"uris":["http://zotero.org/users/local/b6CRLSJH/items/KZ76D6DW"],"itemData":{"id":4032,"type":"article-journal","container-title":"Organizational Behavior and Human Decision Processes","DOI":"10.1016/0749-5978(91)90020-T","ISSN":"07495978","issue":"2","journalAbbreviation":"Organizational Behavior and Human Decision Processes","language":"en","page":"179-211","source":"DOI.org (Crossref)","title":"The theory of planned behavior","volume":"50","author":[{"family":"Ajzen","given":"Icek"}],"issued":{"date-parts":[["1991",12]]}}}],"schema":"https://github.com/citation-style-language/schema/raw/master/csl-citation.json"}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(Ajzen, 1991)</w:t>
      </w:r>
      <w:r w:rsidRPr="00597FFB">
        <w:rPr>
          <w:rFonts w:ascii="Times New Roman" w:eastAsia="Times New Roman" w:hAnsi="Times New Roman" w:cs="Times New Roman"/>
          <w:bCs/>
          <w:color w:val="000000" w:themeColor="text1"/>
          <w:kern w:val="24"/>
          <w:sz w:val="24"/>
          <w:szCs w:val="24"/>
          <w:lang w:eastAsia="ja-JP"/>
        </w:rPr>
        <w:fldChar w:fldCharType="end"/>
      </w:r>
      <w:r w:rsidR="00DF73ED" w:rsidRPr="00597FFB">
        <w:rPr>
          <w:rFonts w:ascii="Times New Roman" w:eastAsia="Times New Roman" w:hAnsi="Times New Roman" w:cs="Times New Roman"/>
          <w:bCs/>
          <w:color w:val="000000" w:themeColor="text1"/>
          <w:kern w:val="24"/>
          <w:sz w:val="24"/>
          <w:szCs w:val="24"/>
          <w:lang w:eastAsia="ja-JP"/>
        </w:rPr>
        <w:t>. Notably</w:t>
      </w:r>
      <w:r w:rsidRPr="00597FFB">
        <w:rPr>
          <w:rFonts w:ascii="Times New Roman" w:eastAsia="Times New Roman" w:hAnsi="Times New Roman" w:cs="Times New Roman"/>
          <w:bCs/>
          <w:color w:val="000000" w:themeColor="text1"/>
          <w:kern w:val="24"/>
          <w:sz w:val="24"/>
          <w:szCs w:val="24"/>
          <w:lang w:eastAsia="ja-JP"/>
        </w:rPr>
        <w:t>,</w:t>
      </w:r>
      <w:r w:rsidR="00DF73ED"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t>the</w:t>
      </w:r>
      <w:r w:rsidR="00DF73ED" w:rsidRPr="00597FFB">
        <w:rPr>
          <w:rFonts w:ascii="Times New Roman" w:eastAsia="Times New Roman" w:hAnsi="Times New Roman" w:cs="Times New Roman"/>
          <w:bCs/>
          <w:color w:val="000000" w:themeColor="text1"/>
          <w:kern w:val="24"/>
          <w:sz w:val="24"/>
          <w:szCs w:val="24"/>
          <w:lang w:eastAsia="ja-JP"/>
        </w:rPr>
        <w:t xml:space="preserve"> TPB is an</w:t>
      </w:r>
      <w:r w:rsidRPr="00597FFB">
        <w:rPr>
          <w:rFonts w:ascii="Times New Roman" w:eastAsia="Times New Roman" w:hAnsi="Times New Roman" w:cs="Times New Roman"/>
          <w:bCs/>
          <w:color w:val="000000" w:themeColor="text1"/>
          <w:kern w:val="24"/>
          <w:sz w:val="24"/>
          <w:szCs w:val="24"/>
          <w:lang w:eastAsia="ja-JP"/>
        </w:rPr>
        <w:t xml:space="preserve"> extended </w:t>
      </w:r>
      <w:r w:rsidR="00DF73ED" w:rsidRPr="00597FFB">
        <w:rPr>
          <w:rFonts w:ascii="Times New Roman" w:eastAsia="Times New Roman" w:hAnsi="Times New Roman" w:cs="Times New Roman"/>
          <w:bCs/>
          <w:color w:val="000000" w:themeColor="text1"/>
          <w:kern w:val="24"/>
          <w:sz w:val="24"/>
          <w:szCs w:val="24"/>
          <w:lang w:eastAsia="ja-JP"/>
        </w:rPr>
        <w:t xml:space="preserve">TRA </w:t>
      </w:r>
      <w:r w:rsidRPr="00597FFB">
        <w:rPr>
          <w:rFonts w:ascii="Times New Roman" w:eastAsia="Times New Roman" w:hAnsi="Times New Roman" w:cs="Times New Roman"/>
          <w:bCs/>
          <w:color w:val="000000" w:themeColor="text1"/>
          <w:kern w:val="24"/>
          <w:sz w:val="24"/>
          <w:szCs w:val="24"/>
          <w:lang w:eastAsia="ja-JP"/>
        </w:rPr>
        <w:t xml:space="preserve">version </w:t>
      </w:r>
      <w:r w:rsidR="00DF73ED" w:rsidRPr="00597FFB">
        <w:rPr>
          <w:rFonts w:ascii="Times New Roman" w:eastAsia="Times New Roman" w:hAnsi="Times New Roman" w:cs="Times New Roman"/>
          <w:bCs/>
          <w:color w:val="000000" w:themeColor="text1"/>
          <w:kern w:val="24"/>
          <w:sz w:val="24"/>
          <w:szCs w:val="24"/>
          <w:lang w:eastAsia="ja-JP"/>
        </w:rPr>
        <w:t>and has</w:t>
      </w:r>
      <w:r w:rsidRPr="00597FFB">
        <w:rPr>
          <w:rFonts w:ascii="Times New Roman" w:eastAsia="Times New Roman" w:hAnsi="Times New Roman" w:cs="Times New Roman"/>
          <w:bCs/>
          <w:color w:val="000000" w:themeColor="text1"/>
          <w:kern w:val="24"/>
          <w:sz w:val="24"/>
          <w:szCs w:val="24"/>
          <w:lang w:eastAsia="ja-JP"/>
        </w:rPr>
        <w:t xml:space="preserve"> have been </w:t>
      </w:r>
      <w:r w:rsidR="00DF73ED" w:rsidRPr="00597FFB">
        <w:rPr>
          <w:rFonts w:ascii="Times New Roman" w:eastAsia="Times New Roman" w:hAnsi="Times New Roman" w:cs="Times New Roman"/>
          <w:bCs/>
          <w:color w:val="000000" w:themeColor="text1"/>
          <w:kern w:val="24"/>
          <w:sz w:val="24"/>
          <w:szCs w:val="24"/>
          <w:lang w:eastAsia="ja-JP"/>
        </w:rPr>
        <w:t>used in explaining</w:t>
      </w:r>
      <w:r w:rsidRPr="00597FFB">
        <w:rPr>
          <w:rFonts w:ascii="Times New Roman" w:eastAsia="Times New Roman" w:hAnsi="Times New Roman" w:cs="Times New Roman"/>
          <w:bCs/>
          <w:color w:val="000000" w:themeColor="text1"/>
          <w:kern w:val="24"/>
          <w:sz w:val="24"/>
          <w:szCs w:val="24"/>
          <w:lang w:eastAsia="ja-JP"/>
        </w:rPr>
        <w:t xml:space="preserve"> recycling behaviors. </w:t>
      </w:r>
      <w:r w:rsidR="00DF73ED" w:rsidRPr="00597FFB">
        <w:rPr>
          <w:rFonts w:ascii="Times New Roman" w:eastAsia="Times New Roman" w:hAnsi="Times New Roman" w:cs="Times New Roman"/>
          <w:bCs/>
          <w:color w:val="000000" w:themeColor="text1"/>
          <w:kern w:val="24"/>
          <w:sz w:val="24"/>
          <w:szCs w:val="24"/>
          <w:lang w:eastAsia="ja-JP"/>
        </w:rPr>
        <w:t>Altogether, despite the popular usage of</w:t>
      </w:r>
      <w:r w:rsidRPr="00597FFB">
        <w:rPr>
          <w:rFonts w:ascii="Times New Roman" w:eastAsia="Times New Roman" w:hAnsi="Times New Roman" w:cs="Times New Roman"/>
          <w:bCs/>
          <w:color w:val="000000" w:themeColor="text1"/>
          <w:kern w:val="24"/>
          <w:sz w:val="24"/>
          <w:szCs w:val="24"/>
          <w:lang w:eastAsia="ja-JP"/>
        </w:rPr>
        <w:t xml:space="preserve"> TRA and TPB in </w:t>
      </w:r>
      <w:r w:rsidR="00DF73ED" w:rsidRPr="00597FFB">
        <w:rPr>
          <w:rFonts w:ascii="Times New Roman" w:eastAsia="Times New Roman" w:hAnsi="Times New Roman" w:cs="Times New Roman"/>
          <w:bCs/>
          <w:color w:val="000000" w:themeColor="text1"/>
          <w:kern w:val="24"/>
          <w:sz w:val="24"/>
          <w:szCs w:val="24"/>
          <w:lang w:eastAsia="ja-JP"/>
        </w:rPr>
        <w:t xml:space="preserve">studies about </w:t>
      </w:r>
      <w:r w:rsidRPr="00597FFB">
        <w:rPr>
          <w:rFonts w:ascii="Times New Roman" w:eastAsia="Times New Roman" w:hAnsi="Times New Roman" w:cs="Times New Roman"/>
          <w:bCs/>
          <w:color w:val="000000" w:themeColor="text1"/>
          <w:kern w:val="24"/>
          <w:sz w:val="24"/>
          <w:szCs w:val="24"/>
          <w:lang w:eastAsia="ja-JP"/>
        </w:rPr>
        <w:t xml:space="preserve">recycling, there are comparatively fewer studies applying other theories like the NAT in research about </w:t>
      </w:r>
      <w:r w:rsidR="00DF73ED" w:rsidRPr="00597FFB">
        <w:rPr>
          <w:rFonts w:ascii="Times New Roman" w:eastAsia="Times New Roman" w:hAnsi="Times New Roman" w:cs="Times New Roman"/>
          <w:bCs/>
          <w:color w:val="000000" w:themeColor="text1"/>
          <w:kern w:val="24"/>
          <w:sz w:val="24"/>
          <w:szCs w:val="24"/>
          <w:lang w:eastAsia="ja-JP"/>
        </w:rPr>
        <w:t>identification of</w:t>
      </w:r>
      <w:r w:rsidRPr="00597FFB">
        <w:rPr>
          <w:rFonts w:ascii="Times New Roman" w:eastAsia="Times New Roman" w:hAnsi="Times New Roman" w:cs="Times New Roman"/>
          <w:bCs/>
          <w:color w:val="000000" w:themeColor="text1"/>
          <w:kern w:val="24"/>
          <w:sz w:val="24"/>
          <w:szCs w:val="24"/>
          <w:lang w:eastAsia="ja-JP"/>
        </w:rPr>
        <w:t xml:space="preserve"> the factors </w:t>
      </w:r>
      <w:r w:rsidR="00DF73ED" w:rsidRPr="00597FFB">
        <w:rPr>
          <w:rFonts w:ascii="Times New Roman" w:eastAsia="Times New Roman" w:hAnsi="Times New Roman" w:cs="Times New Roman"/>
          <w:bCs/>
          <w:color w:val="000000" w:themeColor="text1"/>
          <w:kern w:val="24"/>
          <w:sz w:val="24"/>
          <w:szCs w:val="24"/>
          <w:lang w:eastAsia="ja-JP"/>
        </w:rPr>
        <w:t>that explain</w:t>
      </w:r>
      <w:r w:rsidRPr="00597FFB">
        <w:rPr>
          <w:rFonts w:ascii="Times New Roman" w:eastAsia="Times New Roman" w:hAnsi="Times New Roman" w:cs="Times New Roman"/>
          <w:bCs/>
          <w:color w:val="000000" w:themeColor="text1"/>
          <w:kern w:val="24"/>
          <w:sz w:val="24"/>
          <w:szCs w:val="24"/>
          <w:lang w:eastAsia="ja-JP"/>
        </w:rPr>
        <w:t xml:space="preserve"> </w:t>
      </w:r>
      <w:r w:rsidR="00DF73ED" w:rsidRPr="00597FFB">
        <w:rPr>
          <w:rFonts w:ascii="Times New Roman" w:eastAsia="Times New Roman" w:hAnsi="Times New Roman" w:cs="Times New Roman"/>
          <w:bCs/>
          <w:color w:val="000000" w:themeColor="text1"/>
          <w:kern w:val="24"/>
          <w:sz w:val="24"/>
          <w:szCs w:val="24"/>
          <w:lang w:eastAsia="ja-JP"/>
        </w:rPr>
        <w:t xml:space="preserve">people’s </w:t>
      </w:r>
      <w:r w:rsidRPr="00597FFB">
        <w:rPr>
          <w:rFonts w:ascii="Times New Roman" w:eastAsia="Times New Roman" w:hAnsi="Times New Roman" w:cs="Times New Roman"/>
          <w:bCs/>
          <w:color w:val="000000" w:themeColor="text1"/>
          <w:kern w:val="24"/>
          <w:sz w:val="24"/>
          <w:szCs w:val="24"/>
          <w:lang w:eastAsia="ja-JP"/>
        </w:rPr>
        <w:t>recycling behaviors (</w:t>
      </w:r>
      <w:r w:rsidR="00DF73ED" w:rsidRPr="00597FFB">
        <w:rPr>
          <w:rFonts w:ascii="Times New Roman" w:eastAsia="Times New Roman" w:hAnsi="Times New Roman" w:cs="Times New Roman"/>
          <w:bCs/>
          <w:color w:val="000000" w:themeColor="text1"/>
          <w:kern w:val="24"/>
          <w:sz w:val="24"/>
          <w:szCs w:val="24"/>
          <w:lang w:eastAsia="ja-JP"/>
        </w:rPr>
        <w:t>cf.</w:t>
      </w:r>
      <w:r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{"citationID":"ekJBNGT1","properties":{"formattedCitation":"(Taylor and Todd 1995)","plainCitation":"(Taylor and Todd 1995)","dontUpdate":true,"noteIndex":0},"citationItems":[{"id":1364,"uris":["http://zotero.org/users/local/b6CRLSJH/items/IZZ29K9C"],"itemData":{"id":1364,"type":"article-journal","container-title":"International Journal of Research in Marketing","DOI":"10.1016/0167-8116(94)00019-K","ISSN":"01678116","issue":"2","journalAbbreviation":"International Journal of Research in Marketing","language":"en","page":"137-155","source":"DOI.org (Crossref)","title":"Decomposition and crossover effects in the theory of planned behavior: A study of consumer adoption intentions","title-short":"Decomposition and crossover effects in the theory of planned behavior","volume":"12","author":[{"family":"Taylor","given":"Shirley"},{"family":"Todd","given":"Peter"}],"issued":{"date-parts":[["1995",7]]}}}],"schema":"https://github.com/citation-style-language/schema/raw/master/csl-citation.json"}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Taylor &amp; Todd, 1995;</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{"citationID":"T37Hk2Kq","properties":{"formattedCitation":"(Tonglet, Phillips, and Read 2004)","plainCitation":"(Tonglet, Phillips, and Read 2004)","dontUpdate":true,"noteIndex":0},"citationItems":[{"id":963,"uris":["http://zotero.org/users/local/b6CRLSJH/items/TTYT8BTT"],"itemData":{"id":963,"type":"article-journal","abstract":"New mandatory household recycling targets present a serious challenge to UK Local Authorities (LAs). The key to achieving these targets is participation by households in waste management and recycling schemes. However, for these schemes to be successful, they must be based on a thorough understanding of householder attitudes to recycling, and their perceptions of the barriers to recycling. The Theory of Planned Behaviour (TPB), which provides a theoretical framework for systematically identifying the determinants of recycling behaviour, was used as the basis for a study of 191 participants in a local kerbside recycling scheme. The ﬁndings suggest that pro-recycling attitudes are the major contributor to recycling behaviour, and that these attitudes are inﬂuenced ﬁrstly, by having the appropriate opportunities, facilities and knowledge to recycle, and secondly by not being deterred by the issues of physically recycling (for example time, space and inconvenience). Previous recycling experience, and a concern for the community and the consequences of recycling are also signiﬁcant predictors of recycling behaviour. The implications of the ﬁndings for the development and implementation of recycling schemes and for marketing and communication campaigns which advocate the use of these schemes are discussed.","language":"en","page":"24","source":"Zotero","title":"Using the Theory of Planned Behaviour to investigate the determinants of recycling behaviour: a case study from Brixworth, UK","author":[{"family":"Tonglet","given":"Michele"},{"family":"Phillips","given":"Paul S"},{"family":"Read","given":"Adam D"}],"issued":{"date-parts":[["2004"]]}}}],"schema":"https://github.com/citation-style-language/schema/raw/master/csl-citation.json"}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Tonglet et al., 2004)</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w:t>
      </w:r>
    </w:p>
    <w:p w14:paraId="36E9C850" w14:textId="77777777" w:rsidR="00563DE6" w:rsidRPr="00597FFB" w:rsidRDefault="001A7901" w:rsidP="00A558FE">
      <w:pPr>
        <w:spacing w:after="0" w:line="480" w:lineRule="auto"/>
        <w:ind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To study the factors that influence behavior and intention to recycle electronic waste, many researchers</w:t>
      </w:r>
      <w:r w:rsidRPr="00597FFB">
        <w:rPr>
          <w:rFonts w:ascii="Times New Roman" w:eastAsia="Times New Roman" w:hAnsi="Times New Roman" w:cs="Times New Roman"/>
          <w:b/>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t>use the TPB framework (Armitage &amp; Conner, 2001; Tonglet et al., 2004; Zhang et al., 2016). The pioneers of the theory of interpersonal behavior (TIB)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{"citationID":"4aYci6QF","properties":{"formattedCitation":"(Triandis 1980)","plainCitation":"(Triandis 1980)","dontUpdate":true,"noteIndex":0},"citationItems":[{"id":4097,"uris":["http://zotero.org/users/local/b6CRLSJH/items/3ESQKLIM"],"itemData":{"id":4097,"type":"article-journal","abstract":"This review examines trends in cross-cultural research during the 1969-1979 period relative to the 1949-1969 period. Shifts in theoretical as well as methodological emphases are detected, and possible reasons for these changes are explained. Special attention is given to work on cognition, perception, aesthetics, attitudes, and to extrapolations to the next ten years of research.","container-title":"Journal of Cross-Cultural Psychology","DOI":"10.1177/0022022180111003","ISSN":"0022-0221, 1552-5422","issue":"1","journalAbbreviation":"Journal of Cross-Cultural Psychology","language":"en","page":"35-58","source":"DOI.org (Crossref)","title":"Reflections on Trends in Cross-Cultural Research","volume":"11","author":[{"family":"Triandis","given":"Harry C."}],"issued":{"date-parts":[["1980",3]]}}}],"schema":"https://github.com/citation-style-language/schema/raw/master/csl-citation.json"}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eastAsia="Times New Roman" w:hAnsi="Times New Roman" w:cs="Times New Roman"/>
          <w:bCs/>
          <w:color w:val="000000" w:themeColor="text1"/>
          <w:kern w:val="24"/>
          <w:sz w:val="24"/>
          <w:szCs w:val="24"/>
          <w:lang w:eastAsia="ja-JP"/>
        </w:rPr>
        <w:t>Triandis, 1980)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TPB (Ajzen, 1975), NAT (Schwartz, 1977), and VBN theory (Stern, 1999) models explained that behavior intention could be represented by the readiness or probability to perform a particular behavior, such as recycling</w:t>
      </w:r>
      <w:r w:rsidRPr="00597FFB">
        <w:rPr>
          <w:rFonts w:ascii="Times New Roman" w:eastAsia="Calibri" w:hAnsi="Times New Roman" w:cs="Times New Roman"/>
          <w:color w:val="000000" w:themeColor="text1"/>
          <w:kern w:val="24"/>
          <w:sz w:val="24"/>
          <w:szCs w:val="24"/>
          <w:lang w:eastAsia="ja-JP"/>
        </w:rPr>
        <w:t xml:space="preserve">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{"citationID":"yAdyXhg3","properties":{"formattedCitation":"(M. Aboelmaged, 2021c)","plainCitation":"(M. Aboelmaged, 2021c)","dontUpdate":true,"noteIndex":0},"citationItems":[{"id":2341,"uris":["http://zotero.org/users/local/b6CRLSJH/items/QQPNBA74"],"itemData":{"id":2341,"type":"article-journal","abstract":"This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(Aboelmaged, 2021)</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 In the specific context of pro-environmental behavior, the PMT (Rogers, 1975) has been described as having the benefit of pro-environmental behavior modeling especially under the situation of abrupt system shocks such as the COVID-19 pandemic and the e-waste crises (Tchetchik et al., 2021).</w:t>
      </w:r>
    </w:p>
    <w:p w14:paraId="1B0F4326" w14:textId="533F7782" w:rsidR="00151249" w:rsidRPr="00597FFB" w:rsidRDefault="001A7901" w:rsidP="00151249">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The three subsections provide brief information regarding the TPB, NAT, and PMT, which are the theories selected in this study. The choice of the TPB, NAT, and PMT was based mainly on the complementarity, robustness, and compatibility of the three theories in explaining behavioral intentions and behavior. For example, “knowledge on how, what, and where to recycle” has been linked to PBC (Muniandy &amp; Anuar, 2020, p. 1600) while NAT features awareness of consequences (information about consequences) as an antecedent of personal norm </w:t>
      </w:r>
      <w:r w:rsidRPr="00597FFB">
        <w:rPr>
          <w:rFonts w:ascii="Times New Roman" w:hAnsi="Times New Roman" w:cs="Times New Roman"/>
          <w:color w:val="000000" w:themeColor="text1"/>
          <w:kern w:val="24"/>
          <w:sz w:val="24"/>
          <w:szCs w:val="24"/>
          <w:lang w:eastAsia="ja-JP"/>
        </w:rPr>
        <w:t>(Schwartz, 1977; Dong et al., 2020)</w:t>
      </w:r>
      <w:r w:rsidRPr="00597FFB">
        <w:rPr>
          <w:rFonts w:ascii="Times New Roman" w:eastAsia="Times New Roman" w:hAnsi="Times New Roman" w:cs="Times New Roman"/>
          <w:bCs/>
          <w:color w:val="000000" w:themeColor="text1"/>
          <w:kern w:val="24"/>
          <w:sz w:val="24"/>
          <w:szCs w:val="24"/>
          <w:lang w:eastAsia="ja-JP"/>
        </w:rPr>
        <w:t xml:space="preserve"> and PMT includes information/knowledge reinforces protection motivation </w:t>
      </w:r>
      <w:r w:rsidRPr="00597FFB">
        <w:rPr>
          <w:rFonts w:ascii="Times New Roman" w:hAnsi="Times New Roman" w:cs="Times New Roman"/>
          <w:color w:val="000000" w:themeColor="text1"/>
          <w:kern w:val="24"/>
          <w:sz w:val="24"/>
          <w:szCs w:val="24"/>
          <w:lang w:eastAsia="ja-JP"/>
        </w:rPr>
        <w:t>(Tchetchik et al., 2021). In addition, while the TPB is designed to explain general behavior, the NAT is specifically designed to explain environmental behavior (Schwarz, 1977) and adding integrating it to this dissertation enhanced the specificity of the research given that the aim of this dissertation is about e-waste recycling, which is a pro-environmental behavior.</w:t>
      </w:r>
    </w:p>
    <w:p w14:paraId="7CABECB8" w14:textId="77777777" w:rsidR="00151249" w:rsidRPr="00597FFB" w:rsidRDefault="00E40C56" w:rsidP="00151249">
      <w:pPr>
        <w:keepNext/>
        <w:keepLines/>
        <w:spacing w:after="0" w:line="480" w:lineRule="auto"/>
        <w:outlineLvl w:val="2"/>
        <w:rPr>
          <w:rFonts w:ascii="Times New Roman" w:eastAsiaTheme="majorEastAsia" w:hAnsi="Times New Roman" w:cstheme="majorBidi"/>
          <w:i/>
          <w:iCs/>
          <w:color w:val="000000" w:themeColor="text1"/>
          <w:kern w:val="24"/>
          <w:sz w:val="24"/>
          <w:szCs w:val="24"/>
          <w:lang w:eastAsia="ja-JP"/>
        </w:rPr>
      </w:pPr>
      <w:bookmarkStart w:id="158" w:name="_Toc127170309"/>
      <w:r w:rsidRPr="00597FFB">
        <w:rPr>
          <w:rFonts w:ascii="Times New Roman" w:eastAsiaTheme="majorEastAsia" w:hAnsi="Times New Roman" w:cstheme="majorBidi"/>
          <w:i/>
          <w:iCs/>
          <w:color w:val="000000" w:themeColor="text1"/>
          <w:kern w:val="24"/>
          <w:sz w:val="24"/>
          <w:szCs w:val="24"/>
          <w:lang w:eastAsia="ja-JP"/>
        </w:rPr>
        <w:t xml:space="preserve">3.1.1. </w:t>
      </w:r>
      <w:r w:rsidR="001A7901" w:rsidRPr="00597FFB">
        <w:rPr>
          <w:rFonts w:ascii="Times New Roman" w:eastAsiaTheme="majorEastAsia" w:hAnsi="Times New Roman" w:cstheme="majorBidi"/>
          <w:i/>
          <w:iCs/>
          <w:color w:val="000000" w:themeColor="text1"/>
          <w:kern w:val="24"/>
          <w:sz w:val="24"/>
          <w:szCs w:val="24"/>
          <w:lang w:eastAsia="ja-JP"/>
        </w:rPr>
        <w:t xml:space="preserve">The Theory </w:t>
      </w:r>
      <w:r w:rsidR="00A56EE5" w:rsidRPr="00597FFB">
        <w:rPr>
          <w:rFonts w:ascii="Times New Roman" w:eastAsiaTheme="majorEastAsia" w:hAnsi="Times New Roman" w:cstheme="majorBidi"/>
          <w:i/>
          <w:iCs/>
          <w:color w:val="000000" w:themeColor="text1"/>
          <w:kern w:val="24"/>
          <w:sz w:val="24"/>
          <w:szCs w:val="24"/>
          <w:lang w:eastAsia="ja-JP"/>
        </w:rPr>
        <w:t>o</w:t>
      </w:r>
      <w:r w:rsidRPr="00597FFB">
        <w:rPr>
          <w:rFonts w:ascii="Times New Roman" w:eastAsiaTheme="majorEastAsia" w:hAnsi="Times New Roman" w:cstheme="majorBidi"/>
          <w:i/>
          <w:iCs/>
          <w:color w:val="000000" w:themeColor="text1"/>
          <w:kern w:val="24"/>
          <w:sz w:val="24"/>
          <w:szCs w:val="24"/>
          <w:lang w:eastAsia="ja-JP"/>
        </w:rPr>
        <w:t xml:space="preserve">f </w:t>
      </w:r>
      <w:r w:rsidR="001A7901" w:rsidRPr="00597FFB">
        <w:rPr>
          <w:rFonts w:ascii="Times New Roman" w:eastAsiaTheme="majorEastAsia" w:hAnsi="Times New Roman" w:cstheme="majorBidi"/>
          <w:i/>
          <w:iCs/>
          <w:color w:val="000000" w:themeColor="text1"/>
          <w:kern w:val="24"/>
          <w:sz w:val="24"/>
          <w:szCs w:val="24"/>
          <w:lang w:eastAsia="ja-JP"/>
        </w:rPr>
        <w:t xml:space="preserve">Planned Behavior </w:t>
      </w:r>
      <w:r w:rsidRPr="00597FFB">
        <w:rPr>
          <w:rFonts w:ascii="Times New Roman" w:eastAsiaTheme="majorEastAsia" w:hAnsi="Times New Roman" w:cstheme="majorBidi"/>
          <w:i/>
          <w:iCs/>
          <w:color w:val="000000" w:themeColor="text1"/>
          <w:kern w:val="24"/>
          <w:sz w:val="24"/>
          <w:szCs w:val="24"/>
          <w:lang w:eastAsia="ja-JP"/>
        </w:rPr>
        <w:t>(</w:t>
      </w:r>
      <w:r w:rsidR="001A7901" w:rsidRPr="00597FFB">
        <w:rPr>
          <w:rFonts w:ascii="Times New Roman" w:eastAsiaTheme="majorEastAsia" w:hAnsi="Times New Roman" w:cstheme="majorBidi"/>
          <w:i/>
          <w:iCs/>
          <w:color w:val="000000" w:themeColor="text1"/>
          <w:kern w:val="24"/>
          <w:sz w:val="24"/>
          <w:szCs w:val="24"/>
          <w:lang w:eastAsia="ja-JP"/>
        </w:rPr>
        <w:t>TPB</w:t>
      </w:r>
      <w:r w:rsidRPr="00597FFB">
        <w:rPr>
          <w:rFonts w:ascii="Times New Roman" w:eastAsiaTheme="majorEastAsia" w:hAnsi="Times New Roman" w:cstheme="majorBidi"/>
          <w:i/>
          <w:iCs/>
          <w:color w:val="000000" w:themeColor="text1"/>
          <w:kern w:val="24"/>
          <w:sz w:val="24"/>
          <w:szCs w:val="24"/>
          <w:lang w:eastAsia="ja-JP"/>
        </w:rPr>
        <w:t>).</w:t>
      </w:r>
      <w:bookmarkEnd w:id="158"/>
    </w:p>
    <w:p w14:paraId="7AF6A719" w14:textId="467BD3C3" w:rsidR="005225C0" w:rsidRPr="00597FFB" w:rsidRDefault="005225C0" w:rsidP="000F361B">
      <w:pPr>
        <w:spacing w:before="26" w:after="26" w:line="480" w:lineRule="auto"/>
        <w:ind w:right="360" w:firstLine="720"/>
        <w:jc w:val="both"/>
        <w:rPr>
          <w:rFonts w:ascii="Times New Roman" w:eastAsia="Times New Roman" w:hAnsi="Times New Roman" w:cs="Times New Roman"/>
          <w:bCs/>
          <w:i/>
          <w:i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The TPB was first proposed in 1985 by Icek Ajzen as derived from the theory of multi-attribute attitude (TMA) and the previous work on the TRA by Ajzen and Fishbein (1973). Born as the ‘Theory of Reasoned Action (TRA)’, it was reformulated as the ‘Theory of Planned Behavior’, specifically in order to explain some of the reasons why individuals may not behave as they intend </w:t>
      </w:r>
      <w:r w:rsidRPr="00597FFB">
        <w:rPr>
          <w:rFonts w:ascii="Times New Roman" w:eastAsia="Times New Roman" w:hAnsi="Times New Roman" w:cs="Times New Roman"/>
          <w:bCs/>
          <w:color w:val="000000" w:themeColor="text1"/>
          <w:kern w:val="24"/>
          <w:sz w:val="24"/>
          <w:szCs w:val="24"/>
          <w:lang w:eastAsia="ja-JP"/>
        </w:rPr>
        <w:fldChar w:fldCharType="begin"/>
      </w:r>
      <w:r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{"citationID":"NN37E35a","properties":{"formattedCitation":"(Yang et al. 2020)","plainCitation":"(Yang et al. 2020)","dontUpdate":true,"noteIndex":0},"citationItems":[{"id":4188,"uris":["http://zotero.org/users/local/b6CRLSJH/items/BPBXUJFP"],"itemData":{"id":4188,"type":"article-journal","abstract":"This study extends the theory of planned behavior by taking communication factors into account to examine the determinants of pro-environmental behavioral intention in haze mitigation. Unlike other theory of planned behavior (TPB) extension studies, we shift the focus of inquiry from examining the mediating role of TPB variables to investigating the moderating role in promoting pro-environmental behavior. Using an online survey in China, the results indicated that attitude, subjective norms, perceived behavioral control, and attention to haze-related efficacy messages were positively associated with pro-environmental behavioral intention. Notably, attention to haze-related threat messages had no significant relationship with behavioral intention. Moreover, moderation analyses revealed that the interaction effects between attention to efficacy messages and attention to threat messages on behavioral intention vary among people with different attitude, subjective norms, and perceived behavioral control. Theoretically, this study contributes to the literature of the TPB by analyzing its moderating role in promoting behavior change. Findings from this study suggest the importance of disseminating distinctive media messages to audiences with different personality traits, which is beneficial for practitioners to tailor specific messages in environmental campaigns.","container-title":"International Journal of Environmental Research and Public Health","DOI":"10.3390/ijerph17072314","ISSN":"1660-4601","issue":"7","journalAbbreviation":"IJERPH","language":"en","page":"2314","source":"DOI.org (Crossref)","title":"Personal and Media Factors Related to Citizens’ Pro-environmental Behavioral Intention against Haze in China: A Moderating Analysis of TPB","title-short":"Personal and Media Factors Related to Citizens’ Pro-environmental Behavioral Intention against Haze in China","volume":"17","author":[{"family":"Yang","given":"Xiaodong"},{"family":"Chen","given":"Liang"},{"family":"Wei","given":"Lai"},{"family":"Su","given":"Qi"}],"issued":{"date-parts":[["2020",3,30]]}}}],"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eastAsia="Times New Roman" w:hAnsi="Times New Roman" w:cs="Times New Roman"/>
          <w:bCs/>
          <w:color w:val="000000" w:themeColor="text1"/>
          <w:kern w:val="24"/>
          <w:sz w:val="24"/>
          <w:szCs w:val="24"/>
          <w:lang w:eastAsia="ja-JP"/>
        </w:rPr>
        <w:t>(Yang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The TPB adds to the TRA by including a third variable: perceived behavioral control, a measure of a person's perception of his/her ability to execute the behavior in question </w:t>
      </w:r>
      <w:r w:rsidRPr="00597FFB">
        <w:rPr>
          <w:rFonts w:ascii="Times New Roman" w:eastAsia="Times New Roman" w:hAnsi="Times New Roman" w:cs="Times New Roman"/>
          <w:bCs/>
          <w:color w:val="000000" w:themeColor="text1"/>
          <w:kern w:val="24"/>
          <w:sz w:val="24"/>
          <w:szCs w:val="24"/>
          <w:lang w:eastAsia="ja-JP"/>
        </w:rPr>
        <w:fldChar w:fldCharType="begin"/>
      </w:r>
      <w:r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{"citationID":"UXa7BFnD","properties":{"formattedCitation":"(Garg 2021a)","plainCitation":"(Garg 2021a)","dontUpdate":true,"noteIndex":0},"citationItems":[{"id":1233,"uris":["http://zotero.org/users/local/b6CRLSJH/items/NWAPRVSV"],"itemData":{"id":1233,"type":"article-journal","abstract":"E-waste problem is putting pressure on environmental agencies, government, original equipment manufacturers of developing nations like India to adopt, develop and innovate environment friendly ewaste mitigation strategies, with the objective to manage and control the ever growing threat of e-waste to the environment, society and human health. Moreover, increasing producer responsibility, informal recycling practices and disposal issues have given attention to adopt mitigation strategies for successful implementation of e-waste management system. This study acknowledges the critical strategies to recover resources along with processing and treatment of toxic and hazardous component of e-waste mitigation and management which is immediate and existing challenge for India. A combined framework based on Grey concept and DEMATEL technique has been proposed in this work to determine the interdependence among the e-waste mitigation strategies (MS) by cause/effect analysis. This study has revealed that ‘top management initiation and commitment towards return management’ is the most imperative and driving strategy in the e-waste management and control. It also inﬂuences the other existing strategies. This work has also highlighted that e-waste mitigation can be effective if it concentrates on effective implementation of e-waste policy, directives and regulations such as extended producer responsibility (EPR), advance recycling fee (ARF) etc., technological and green innovations in recycling network and strategic alliance among supply chain partners and e-waste recyclers (in-house and outsource service provider) in Indian scenario in the management of e-waste issues. The cause eeffect relationships are helpful to the managers, Government agencies and policy makers to learn crucial causal strategies that require imperative emphasis in dealing with e-waste issues in India. Sensitivity analysis was also conducted to test the robustness of the proposed framework.","container-title":"Journal of Cleaner Production","DOI":"10.1016/j.jclepro.2020.124035","ISSN":"09596526","journalAbbreviation":"Journal of Cleaner Production","language":"en","page":"124035","source":"DOI.org (Crossref)","title":"Modeling the e-waste mitigation strategies using grey-theory and DEMATEL framework","volume":"281","author":[{"family":"Garg","given":"Chandra Prakash"}],"issued":{"date-parts":[["2021",1]]}}}],"schema":"https://github.com/citation-style-language/schema/raw/master/csl-citation.json"}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eastAsia="Times New Roman" w:hAnsi="Times New Roman" w:cs="Times New Roman"/>
          <w:bCs/>
          <w:color w:val="000000" w:themeColor="text1"/>
          <w:kern w:val="24"/>
          <w:sz w:val="24"/>
          <w:szCs w:val="24"/>
          <w:lang w:eastAsia="ja-JP"/>
        </w:rPr>
        <w:t>(Garg 2021)</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In simpler words, it refers to the perceived ease or difficulty in performing a certain behavior </w:t>
      </w:r>
      <w:r w:rsidRPr="00597FFB">
        <w:rPr>
          <w:rFonts w:ascii="Times New Roman" w:eastAsia="Times New Roman" w:hAnsi="Times New Roman" w:cs="Times New Roman"/>
          <w:bCs/>
          <w:color w:val="000000" w:themeColor="text1"/>
          <w:kern w:val="24"/>
          <w:sz w:val="24"/>
          <w:szCs w:val="24"/>
          <w:lang w:eastAsia="ja-JP"/>
        </w:rPr>
        <w:fldChar w:fldCharType="begin"/>
      </w:r>
      <w:r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{"citationID":"e6Ih7pTB","properties":{"formattedCitation":"(Razali et al., 2020)","plainCitation":"(Razali et al., 2020)","noteIndex":0},"citationItems":[{"id":4098,"uris":["http://zotero.org/users/local/b6CRLSJH/items/SJL98FQM"],"itemData":{"id":4098,"type":"article-journal","container-title":"Journal of Cleaner Production","DOI":"10.1016/j.jclepro.2020.122025","ISSN":"09596526","journalAbbreviation":"Journal of Cleaner Production","language":"en","page":"122025","source":"DOI.org (Crossref)","title":"Waste separation at source behaviour among Malaysian households: The Theory of Planned Behaviour with moral norm","title-short":"Waste separation at source behaviour among Malaysian households","volume":"271","author":[{"family":"Razali","given":"Fitriyah"},{"family":"Daud","given":"Dzurllkanian"},{"family":"Weng-Wai","given":"Choong"},{"family":"Anthony Jiram","given":"Wilson Rangga"}],"issued":{"date-parts":[["2020",10]]}}}],"schema":"https://github.com/citation-style-language/schema/raw/master/csl-citation.json"}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eastAsia="Times New Roman" w:hAnsi="Times New Roman" w:cs="Times New Roman"/>
          <w:bCs/>
          <w:color w:val="000000" w:themeColor="text1"/>
          <w:kern w:val="24"/>
          <w:sz w:val="24"/>
          <w:szCs w:val="24"/>
          <w:lang w:eastAsia="ja-JP"/>
        </w:rPr>
        <w:t>(Razali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Nevertheless, the core of Ajzen's theory remains the same, i.e., individuals are more likely to perform the behaviors that they feel positive toward </w:t>
      </w:r>
      <w:r w:rsidRPr="00597FFB">
        <w:rPr>
          <w:rFonts w:ascii="Times New Roman" w:eastAsia="Times New Roman" w:hAnsi="Times New Roman" w:cs="Times New Roman"/>
          <w:bCs/>
          <w:color w:val="000000" w:themeColor="text1"/>
          <w:kern w:val="24"/>
          <w:sz w:val="24"/>
          <w:szCs w:val="24"/>
          <w:lang w:eastAsia="ja-JP"/>
        </w:rPr>
        <w:fldChar w:fldCharType="begin"/>
      </w:r>
      <w:r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{"citationID":"KwWAMnvO","properties":{"formattedCitation":"(Y. Zhang et al., 2020)","plainCitation":"(Y. Zhang et al., 2020)","noteIndex":0},"citationItems":[{"id":2565,"uris":["http://zotero.org/users/local/b6CRLSJH/items/FK68YPWZ"],"itemData":{"id":2565,"type":"article-journal","abstract":"Based on the theory of planned behavior (TPB), this article analyses how conscientiousness and risk perception inﬂuence consumers’ behavior intentions in regard to smartphone recycling. We carried out ﬁeld research in Anhui Province, China and collected 802 valid questionnaires as basic data for this study. The empirical results of structural equation model (SEM) indicate that conscientiousness is positively related to attitude, subjective norm, and perceived behavioral control towards smartphone recycling, while attitude, subjective norm, and past behavior are positively related to smartphone recycling intention. Attitude and subjective norm mediate the relationship between conscientiousness and smartphone recycling intention. In addition, we found that risk perception moderates the relationships between conscientiousness and attitude, subjective norm, perceived behavioral control, and past behavior. Theoretical and practical implications, limitations of the study, and future directions are discussed.","container-title":"Waste Management","DOI":"10.1016/j.wasman.2019.09.040","ISSN":"0956053X","journalAbbreviation":"Waste Management","language":"en","page":"116-125","source":"DOI.org (Crossref)","title":"Conscientiousness and smartphone recycling intention: The moderating effect of risk perception","title-short":"Conscientiousness and smartphone recycling intention","volume":"101","author":[{"family":"Zhang","given":"Yue"},{"family":"Wu","given":"Song"},{"family":"Rasheed","given":"Muhammad Imran"}],"issued":{"date-parts":[["2020",1]]}}}],"schema":"https://github.com/citation-style-language/schema/raw/master/csl-citation.json"}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eastAsia="Times New Roman" w:hAnsi="Times New Roman" w:cs="Times New Roman"/>
          <w:bCs/>
          <w:color w:val="000000" w:themeColor="text1"/>
          <w:kern w:val="24"/>
          <w:sz w:val="24"/>
          <w:szCs w:val="24"/>
          <w:lang w:eastAsia="ja-JP"/>
        </w:rPr>
        <w:t>(Y. Zhang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As further described;</w:t>
      </w:r>
    </w:p>
    <w:p w14:paraId="293F82AC" w14:textId="6C25A34D" w:rsidR="00BE73BA" w:rsidRPr="00597FFB" w:rsidRDefault="00BE73BA" w:rsidP="00BE73BA">
      <w:pPr>
        <w:spacing w:before="26" w:after="26" w:line="240" w:lineRule="auto"/>
        <w:ind w:left="720" w:right="36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w:t>
      </w:r>
      <w:r w:rsidRPr="00597FFB">
        <w:rPr>
          <w:rFonts w:ascii="Times New Roman" w:eastAsia="Times New Roman" w:hAnsi="Times New Roman" w:cs="Times New Roman"/>
          <w:bCs/>
          <w:i/>
          <w:iCs/>
          <w:color w:val="000000" w:themeColor="text1"/>
          <w:kern w:val="24"/>
          <w:sz w:val="24"/>
          <w:szCs w:val="24"/>
          <w:lang w:eastAsia="ja-JP"/>
        </w:rPr>
        <w:t>A central factor in the theory of planned behavior is the individual's intention to perform a given behavior. Intentions are assumed to capture the motivational factors that influence a behavior; they are indications of how hard people are willing to try, of how much of an effort they are planning to exert, in order to perform the behavior</w:t>
      </w:r>
      <w:r w:rsidRPr="00597FFB">
        <w:rPr>
          <w:rFonts w:ascii="Times New Roman" w:eastAsia="Times New Roman" w:hAnsi="Times New Roman" w:cs="Times New Roman"/>
          <w:bCs/>
          <w:color w:val="000000" w:themeColor="text1"/>
          <w:kern w:val="24"/>
          <w:sz w:val="24"/>
          <w:szCs w:val="24"/>
          <w:lang w:eastAsia="ja-JP"/>
        </w:rPr>
        <w:t>” (Ajzen, 1991, p. 181).</w:t>
      </w:r>
    </w:p>
    <w:p w14:paraId="3636B17E" w14:textId="7D517679" w:rsidR="00BE73BA" w:rsidRPr="00597FFB" w:rsidRDefault="00BE73BA" w:rsidP="00BE73BA">
      <w:pPr>
        <w:spacing w:before="26" w:after="26" w:line="480" w:lineRule="auto"/>
        <w:ind w:right="360" w:firstLine="720"/>
        <w:jc w:val="both"/>
        <w:rPr>
          <w:rFonts w:ascii="Times New Roman" w:eastAsia="Calibri" w:hAnsi="Times New Roman" w:cs="Times New Roman"/>
          <w:color w:val="000000" w:themeColor="text1"/>
          <w:kern w:val="24"/>
          <w:sz w:val="24"/>
          <w:szCs w:val="24"/>
          <w:lang w:eastAsia="ja-JP"/>
        </w:rPr>
      </w:pPr>
      <w:r w:rsidRPr="00597FFB">
        <w:rPr>
          <w:rFonts w:ascii="Times New Roman" w:eastAsia="Calibri" w:hAnsi="Times New Roman" w:cs="Times New Roman"/>
          <w:color w:val="000000" w:themeColor="text1"/>
          <w:kern w:val="24"/>
          <w:sz w:val="24"/>
          <w:szCs w:val="24"/>
          <w:lang w:eastAsia="ja-JP"/>
        </w:rPr>
        <w:t>.</w:t>
      </w:r>
    </w:p>
    <w:p w14:paraId="403511D3" w14:textId="341ACC98" w:rsidR="001A7901" w:rsidRPr="00597FFB" w:rsidRDefault="001A7901" w:rsidP="000F361B">
      <w:pPr>
        <w:spacing w:before="26" w:after="26" w:line="480" w:lineRule="auto"/>
        <w:ind w:right="360" w:firstLine="720"/>
        <w:jc w:val="both"/>
        <w:rPr>
          <w:rFonts w:ascii="Times New Roman" w:eastAsia="Calibri" w:hAnsi="Times New Roman" w:cs="Times New Roman"/>
          <w:color w:val="000000" w:themeColor="text1"/>
          <w:kern w:val="24"/>
          <w:sz w:val="24"/>
          <w:szCs w:val="24"/>
          <w:lang w:eastAsia="ja-JP"/>
        </w:rPr>
      </w:pPr>
      <w:bookmarkStart w:id="159" w:name="_Hlk126047588"/>
      <w:r w:rsidRPr="00597FFB">
        <w:rPr>
          <w:rFonts w:ascii="Times New Roman" w:hAnsi="Times New Roman" w:cs="Times New Roman"/>
          <w:color w:val="000000" w:themeColor="text1"/>
          <w:kern w:val="24"/>
          <w:sz w:val="24"/>
          <w:szCs w:val="24"/>
          <w:lang w:eastAsia="ja-JP"/>
        </w:rPr>
        <w:t xml:space="preserve">The TPB (Ajzen, 1985) commences with defining the target behavior, the action in question, the context of occurrence, and the time frame explicitly. The definition of these elements is definable at different levels of generality or specificity (Ajzen, 2020). Nonetheless, upon defining the behavior, each construct in the TPB should ideally match the behavior in each of the four elements based on the principle of compatibility according to Ajzen (1988). </w:t>
      </w:r>
      <w:r w:rsidRPr="00597FFB">
        <w:rPr>
          <w:rFonts w:ascii="Times New Roman" w:eastAsia="Times New Roman" w:hAnsi="Times New Roman" w:cs="Times New Roman"/>
          <w:bCs/>
          <w:color w:val="000000" w:themeColor="text1"/>
          <w:kern w:val="24"/>
          <w:sz w:val="24"/>
          <w:szCs w:val="24"/>
          <w:lang w:eastAsia="ja-JP"/>
        </w:rPr>
        <w:t xml:space="preserve">Ajzen’s (1975) TPB is regarded as one of researchers' most commonly used theories to interpret and predict different pro-environmental behaviors. According to the TPB, three key elements that influence behavioral intentions can directly predict individuals’ actions. The first element is an individual’s attitude towards a particular behavior. The second element is perceived behavioral control in which an individual can control the external environment. The third element is social norms, which refer to an individual’s perception of external social pressures to act in a certain way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{"citationID":"5f20Ixjv","properties":{"formattedCitation":"(Ajzen and Driver 1991)","plainCitation":"(Ajzen and Driver 1991)","dontUpdate":true,"noteIndex":0},"citationItems":[{"id":1361,"uris":["http://zotero.org/users/local/b6CRLSJH/items/5CZ7EED7"],"itemData":{"id":1361,"type":"article-journal","container-title":"Leisure Sciences","DOI":"10.1080/01490409109513137","ISSN":"0149-0400, 1521-0588","issue":"3","journalAbbreviation":"Leisure Sciences","language":"en","page":"185-204","source":"DOI.org (Crossref)","title":"Prediction of leisure participation from behavioral, normative, and control beliefs: An application of the theory of planned behavior","title-short":"Prediction of leisure participation from behavioral, normative, and control beliefs","volume":"13","author":[{"family":"Ajzen","given":"Icek"},{"family":"Driver","given":"B. L."}],"issued":{"date-parts":[["1991",1]]}}}],"schema":"https://github.com/citation-style-language/schema/raw/master/csl-citation.json"}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(Ajzen &amp; Driver, 1991)</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eastAsia="Calibri" w:hAnsi="Times New Roman" w:cs="Times New Roman"/>
          <w:color w:val="000000" w:themeColor="text1"/>
          <w:kern w:val="24"/>
          <w:sz w:val="24"/>
          <w:szCs w:val="24"/>
          <w:lang w:eastAsia="ja-JP"/>
        </w:rPr>
        <w:t xml:space="preserve">Figure </w:t>
      </w:r>
      <w:r w:rsidR="006B3404" w:rsidRPr="00597FFB">
        <w:rPr>
          <w:rFonts w:ascii="Times New Roman" w:eastAsia="Calibri" w:hAnsi="Times New Roman" w:cs="Times New Roman"/>
          <w:color w:val="000000" w:themeColor="text1"/>
          <w:kern w:val="24"/>
          <w:sz w:val="24"/>
          <w:szCs w:val="24"/>
          <w:lang w:eastAsia="ja-JP"/>
        </w:rPr>
        <w:t>7</w:t>
      </w:r>
      <w:r w:rsidRPr="00597FFB">
        <w:rPr>
          <w:rFonts w:ascii="Times New Roman" w:eastAsia="Calibri" w:hAnsi="Times New Roman" w:cs="Times New Roman"/>
          <w:color w:val="000000" w:themeColor="text1"/>
          <w:kern w:val="24"/>
          <w:sz w:val="24"/>
          <w:szCs w:val="24"/>
          <w:lang w:eastAsia="ja-JP"/>
        </w:rPr>
        <w:t xml:space="preserve"> is an illustration of the TPB.</w:t>
      </w:r>
    </w:p>
    <w:bookmarkEnd w:id="159"/>
    <w:p w14:paraId="4EF9AABC" w14:textId="61141F24"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The model reflects an expansion of the TRA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{"citationID":"70Nnd2uy","properties":{"formattedCitation":"(Fishbein and Ajzen 1975)","plainCitation":"(Fishbein and Ajzen 1975)","dontUpdate":true,"noteIndex":0},"citationItems":[{"id":2935,"uris":["http://zotero.org/users/local/b6CRLSJH/items/L9YZ9D35"],"itemData":{"id":2935,"type":"book","call-number":"BF323.C5 F48","collection-title":"Addison-Wesley series in social psychology","event-place":"Reading, Mass","ISBN":"978-0-201-02089-2","number-of-pages":"578","publisher":"Addison-Wesley Pub. Co","publisher-place":"Reading, Mass","source":"Library of Congress ISBN","title":"Belief, attitude, intention, and behavior: an introduction to theory and research","title-short":"Belief, attitude, intention, and behavior","author":[{"family":"Fishbein","given":"Martin"},{"family":"Ajzen","given":"Icek"}],"issued":{"date-parts":[["1975"]]}}}],"schema":"https://github.com/citation-style-language/schema/raw/master/csl-citation.json"}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(Fishbein &amp; Ajzen, 1975)</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ceasing the premise that human behavior solely occurs under complete volitional control by adding perceived behavioral control (PBC) as another antecedent of behavioral intention. This theoretical framework states that attitude, subjective norms (SN), and perceived behavioral control (PBC) significantly predict intentions to engage in an act or behavior (Kumar, 2019). The TPB has three antecedents (Ajzen, 1991). Attitude reflects an individual’s valuation of the intended behavior as favorable or unfavorable. Subjective norms depicts the views of relatives, friends, and other social reference groups about whether the person should carry out the intended behavior. Finally, the PBC represents an individual’s view of the intended behavior as being easy or difficult to be carried out (Ajzen, 1991; Kumar, 2019). </w:t>
      </w:r>
      <w:r w:rsidRPr="00597FFB">
        <w:rPr>
          <w:rFonts w:ascii="Times New Roman" w:eastAsia="Times New Roman" w:hAnsi="Times New Roman" w:cs="Times New Roman"/>
          <w:bCs/>
          <w:color w:val="000000" w:themeColor="text1"/>
          <w:kern w:val="24"/>
          <w:sz w:val="24"/>
          <w:szCs w:val="24"/>
          <w:lang w:eastAsia="ja-JP"/>
        </w:rPr>
        <w:t xml:space="preserve">As illustrated in Figure </w:t>
      </w:r>
      <w:r w:rsidR="006B3404" w:rsidRPr="00597FFB">
        <w:rPr>
          <w:rFonts w:ascii="Times New Roman" w:eastAsia="Times New Roman" w:hAnsi="Times New Roman" w:cs="Times New Roman"/>
          <w:bCs/>
          <w:color w:val="000000" w:themeColor="text1"/>
          <w:kern w:val="24"/>
          <w:sz w:val="24"/>
          <w:szCs w:val="24"/>
          <w:lang w:eastAsia="ja-JP"/>
        </w:rPr>
        <w:t>7</w:t>
      </w:r>
      <w:r w:rsidRPr="00597FFB">
        <w:rPr>
          <w:rFonts w:ascii="Times New Roman" w:eastAsia="Times New Roman" w:hAnsi="Times New Roman" w:cs="Times New Roman"/>
          <w:bCs/>
          <w:color w:val="000000" w:themeColor="text1"/>
          <w:kern w:val="24"/>
          <w:sz w:val="24"/>
          <w:szCs w:val="24"/>
          <w:lang w:eastAsia="ja-JP"/>
        </w:rPr>
        <w:t>, the TPB posits that volitional human behavior is a function of the intention to engage in a certain behavior and PBC (Ajzen, 1985). The said intention is posited to be a function of subjective norm, attitudes towards the behavior in question, and PBC. The extent of PBC’s influence on behavior directly as opposed to indirectly via intention is subject to the magnitude of actual control that an individual has over the behavior in question (Ajzen, 2020).</w:t>
      </w:r>
      <w:r w:rsidRPr="00597FFB">
        <w:rPr>
          <w:rFonts w:ascii="Times New Roman" w:hAnsi="Times New Roman" w:cs="Times New Roman"/>
          <w:color w:val="000000" w:themeColor="text1"/>
          <w:kern w:val="24"/>
          <w:sz w:val="24"/>
          <w:szCs w:val="24"/>
          <w:lang w:eastAsia="ja-JP"/>
        </w:rPr>
        <w:t xml:space="preserve"> </w:t>
      </w:r>
    </w:p>
    <w:p w14:paraId="5B17DB64" w14:textId="2C563777"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the latter years, several scholars have tried to apply the TPB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{"citationID":"v2gbW2A5","properties":{"formattedCitation":"(Ajzen &amp; Driver, 1991)","plainCitation":"(Ajzen &amp; Driver, 1991)","dontUpdate":true,"noteIndex":0},"citationItems":[{"id":1361,"uris":["http://zotero.org/users/local/b6CRLSJH/items/5CZ7EED7"],"itemData":{"id":1361,"type":"article-journal","container-title":"Leisure Sciences","DOI":"10.1080/01490409109513137","ISSN":"0149-0400, 1521-0588","issue":"3","journalAbbreviation":"Leisure Sciences","language":"en","page":"185-204","source":"DOI.org (Crossref)","title":"Prediction of leisure participation from behavioral, normative, and control beliefs: An application of the theory of planned behavior","title-short":"Prediction of leisure participation from behavioral, normative, and control beliefs","volume":"13","author":[{"family":"Ajzen","given":"Icek"},{"family":"Driver","given":"B. L."}],"issued":{"date-parts":[["1991",1]]}}}],"schema":"https://github.com/citation-style-language/schema/raw/master/csl-citation.json"}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(Ajzen &amp; Driver, 1991;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{"citationID":"HRN4G7cq","properties":{"formattedCitation":"(Stern et al., 1999)","plainCitation":"(Stern et al., 1999)","dontUpdate":true,"noteIndex":0},"citationItems":[{"id":1326,"uris":["http://zotero.org/users/local/b6CRLSJH/items/ZTGUPLQ3"],"itemData":{"id":1326,"type":"chapter","container-title":"Developments in Geotectonics","ISBN":"978-0-444-50309-1","language":"en","note":"DOI: 10.1016/S0419-0254(99)80013-5","page":"217-235","publisher":"Elsevier","source":"DOI.org (Crossref)","title":"Evidence from mantle xenoliths for relatively thin (&lt;100 km) continental lithosphere below the Phanerozoic crust of southernmost South America","URL":"https://linkinghub.elsevier.com/retrieve/pii/S0419025499800135","volume":"24","author":[{"family":"Stern","given":"Charles R."},{"family":"Kilian","given":"Rolf"},{"family":"Olker","given":"Bettina"},{"family":"Hauri","given":"Eric H."},{"family":"Kurtis Kyser","given":"T."}],"accessed":{"date-parts":[["2021",4,16]]},"issued":{"date-parts":[["1999"]]}}}],"schema":"https://github.com/citation-style-language/schema/raw/master/csl-citation.json"}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Stern et al., 1999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{"citationID":"19UEwvC1","properties":{"formattedCitation":"(Th\\uc0\\u248{}gersen, 2006)","plainCitation":"(Thøgersen, 2006)","dontUpdate":true,"noteIndex":0},"citationItems":[{"id":4034,"uris":["http://zotero.org/users/local/b6CRLSJH/items/Q6N3G4Q7"],"itemData":{"id":4034,"type":"article-journal","container-title":"Journal of Environmental Psychology","DOI":"10.1016/j.jenvp.2006.09.004","ISSN":"02724944","issue":"4","journalAbbreviation":"Journal of Environmental Psychology","language":"en","page":"247-261","source":"DOI.org (Crossref)","title":"Norms for environmentally responsible behaviour: An extended taxonomy","title-short":"Norms for environmentally responsible behaviour","volume":"26","author":[{"family":"Thøgersen","given":"John"}],"issued":{"date-parts":[["2006",12]]}}}],"schema":"https://github.com/citation-style-language/schema/raw/master/csl-citation.json"}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Thøgersen, 2006)</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in combination with other theories or models to explain human behavior about the environment better (Baldé et al., 2017, 2019, 2020; Shen et al., 2020)</w:t>
      </w:r>
      <w:r w:rsidRPr="00597FFB">
        <w:rPr>
          <w:rFonts w:ascii="Times New Roman" w:hAnsi="Times New Roman" w:cs="Times New Roman"/>
          <w:b/>
          <w:bCs/>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and, speciﬁcally, to waste management (Aboelmaged, 2021). Generally, this type of integration aims at giving adequate importance to factors underestimated in some theories or models. Despite the great variety of approaches, most of the recycling behaviors theories can be traced back to the Theory of Reasoned Action (TRA), or better yet, the TPB (that represents the evolution of the TRA), and to a lesser extent, to the NAT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{"citationID":"zI8rT9ki","properties":{"formattedCitation":"(Schwartz 1977)","plainCitation":"(Schwartz 1977)","dontUpdate":true,"noteIndex":0},"citationItems":[{"id":1321,"uris":["http://zotero.org/users/local/b6CRLSJH/items/KSMNJBQS"],"itemData":{"id":1321,"type":"chapter","container-title":"Advances in Experimental Social Psychology","ISBN":"978-0-12-015210-0","language":"en","note":"DOI: 10.1016/S0065-2601(08)60358-5","page":"221-279","publisher":"Elsevier","source":"DOI.org (Crossref)","title":"Normative Influences on Altruism","URL":"https://linkinghub.elsevier.com/retrieve/pii/S0065260108603585","volume":"10","author":[{"family":"Schwartz","given":"Shalom H."}],"accessed":{"date-parts":[["2021",4,16]]},"issued":{"date-parts":[["1977"]]}}}],"schema":"https://github.com/citation-style-language/schema/raw/master/csl-citation.json"}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(Schwartz, 1977)</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Theory of Interaction Behavior (TIB)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{"citationID":"LSmKcu3I","properties":{"formattedCitation":"(Triandis 1980)","plainCitation":"(Triandis 1980)","dontUpdate":true,"noteIndex":0},"citationItems":[{"id":4097,"uris":["http://zotero.org/users/local/b6CRLSJH/items/3ESQKLIM"],"itemData":{"id":4097,"type":"article-journal","abstract":"This review examines trends in cross-cultural research during the 1969-1979 period relative to the 1949-1969 period. Shifts in theoretical as well as methodological emphases are detected, and possible reasons for these changes are explained. Special attention is given to work on cognition, perception, aesthetics, attitudes, and to extrapolations to the next ten years of research.","container-title":"Journal of Cross-Cultural Psychology","DOI":"10.1177/0022022180111003","ISSN":"0022-0221, 1552-5422","issue":"1","journalAbbreviation":"Journal of Cross-Cultural Psychology","language":"en","page":"35-58","source":"DOI.org (Crossref)","title":"Reflections on Trends in Cross-Cultural Research","volume":"11","author":[{"family":"Triandis","given":"Harry C."}],"issued":{"date-parts":[["1980",3]]}}}],"schema":"https://github.com/citation-style-language/schema/raw/master/csl-citation.json"}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(Triandis, 1980)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and the Value Belief Norm (VBN) (Stern, 1999) theory. The TPB and its extended forms have provided a recognized framework for explaining human behavior concerning E-waste management, as in the case of recycling behavior (Baldé et al., 2017, 2019, 2020; Kumar, 2019;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{"citationID":"sA82XShS","properties":{"formattedCitation":"(Y. Zhang et al., 2020)","plainCitation":"(Y. Zhang et al., 2020)","dontUpdate":true,"noteIndex":0},"citationItems":[{"id":2565,"uris":["http://zotero.org/users/local/b6CRLSJH/items/FK68YPWZ"],"itemData":{"id":2565,"type":"article-journal","abstract":"Based on the theory of planned behavior (TPB), this article analyses how conscientiousness and risk perception inﬂuence consumers’ behavior intentions in regard to smartphone recycling. We carried out ﬁeld research in Anhui Province, China and collected 802 valid questionnaires as basic data for this study. The empirical results of structural equation model (SEM) indicate that conscientiousness is positively related to attitude, subjective norm, and perceived behavioral control towards smartphone recycling, while attitude, subjective norm, and past behavior are positively related to smartphone recycling intention. Attitude and subjective norm mediate the relationship between conscientiousness and smartphone recycling intention. In addition, we found that risk perception moderates the relationships between conscientiousness and attitude, subjective norm, perceived behavioral control, and past behavior. Theoretical and practical implications, limitations of the study, and future directions are discussed.","container-title":"Waste Management","DOI":"10.1016/j.wasman.2019.09.040","ISSN":"0956053X","journalAbbreviation":"Waste Management","language":"en","page":"116-125","source":"DOI.org (Crossref)","title":"Conscientiousness and smartphone recycling intention: The moderating effect of risk perception","title-short":"Conscientiousness and smartphone recycling intention","volume":"101","author":[{"family":"Zhang","given":"Yue"},{"family":"Wu","given":"Song"},{"family":"Rasheed","given":"Muhammad Imran"}],"issued":{"date-parts":[["2020",1]]}}}],"schema":"https://github.com/citation-style-language/schema/raw/master/csl-citation.json"}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 xml:space="preserve"> Zhang </w:t>
      </w:r>
      <w:r w:rsidR="005D71D6" w:rsidRPr="00597FFB">
        <w:rPr>
          <w:rFonts w:ascii="Times New Roman" w:hAnsi="Times New Roman" w:cs="Times New Roman"/>
          <w:color w:val="000000" w:themeColor="text1"/>
          <w:kern w:val="24"/>
          <w:sz w:val="24"/>
          <w:szCs w:val="24"/>
          <w:lang w:eastAsia="ja-JP"/>
        </w:rPr>
        <w:t>et al.</w:t>
      </w:r>
      <w:r w:rsidRPr="00597FFB">
        <w:rPr>
          <w:rFonts w:ascii="Times New Roman" w:hAnsi="Times New Roman" w:cs="Times New Roman"/>
          <w:color w:val="000000" w:themeColor="text1"/>
          <w:kern w:val="24"/>
          <w:sz w:val="24"/>
          <w:szCs w:val="24"/>
          <w:lang w:eastAsia="ja-JP"/>
        </w:rPr>
        <w:t>,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and waste separation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{"citationID":"3AIoV9n4","properties":{"formattedCitation":"(Razali et al., 2020)","plainCitation":"(Razali et al., 2020)","dontUpdate":true,"noteIndex":0},"citationItems":[{"id":4098,"uris":["http://zotero.org/users/local/b6CRLSJH/items/SJL98FQM"],"itemData":{"id":4098,"type":"article-journal","container-title":"Journal of Cleaner Production","DOI":"10.1016/j.jclepro.2020.122025","ISSN":"09596526","journalAbbreviation":"Journal of Cleaner Production","language":"en","page":"122025","source":"DOI.org (Crossref)","title":"Waste separation at source behaviour among Malaysian households: The Theory of Planned Behaviour with moral norm","title-short":"Waste separation at source behaviour among Malaysian households","volume":"271","author":[{"family":"Razali","given":"Fitriyah"},{"family":"Daud","given":"Dzurllkanian"},{"family":"Weng-Wai","given":"Choong"},{"family":"Anthony Jiram","given":"Wilson Rangga"}],"issued":{"date-parts":[["2020",10]]}}}],"schema":"https://github.com/citation-style-language/schema/raw/master/csl-citation.json"}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Razali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The TPB is a well-researched intention model that has been proved successful in predicting and explaining behaviors across a wide variety of domains (Yoon, 2011). The TPB has been endorsed for its explanatory power concerning people’s intention to perform a particular behavior (Hsu et al., 2017; Yarimoglu &amp; Gunay, 2020).</w:t>
      </w:r>
    </w:p>
    <w:p w14:paraId="200FD542" w14:textId="3B7C8E68"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Being the foundational theory for the current research study, all the TPB components comprising attitude, SN, PBC, intention, and behavior were adopted in the development of the proposed model for this research, as elaborated in the section 3.3 later on. In the next subsection, the empirical application of TPB in waste and environment is reviewed. The second subsection contains review of previous empirical findings in studies where TPB was employed in EWR research.</w:t>
      </w:r>
    </w:p>
    <w:p w14:paraId="1A750066" w14:textId="0221034A" w:rsidR="001A7901" w:rsidRPr="00597FFB" w:rsidRDefault="001A7901" w:rsidP="00A558FE">
      <w:pPr>
        <w:keepNext/>
        <w:spacing w:after="0" w:line="480" w:lineRule="auto"/>
        <w:rPr>
          <w:rFonts w:ascii="Times New Roman" w:hAnsi="Times New Roman" w:cs="Times New Roman"/>
          <w:i/>
          <w:iCs/>
          <w:color w:val="000000" w:themeColor="text1"/>
          <w:kern w:val="24"/>
          <w:lang w:eastAsia="ja-JP"/>
        </w:rPr>
      </w:pPr>
      <w:r w:rsidRPr="00597FFB">
        <w:rPr>
          <w:rFonts w:ascii="Times New Roman" w:hAnsi="Times New Roman" w:cs="Times New Roman"/>
          <w:b/>
          <w:bCs/>
          <w:color w:val="000000" w:themeColor="text1"/>
          <w:kern w:val="24"/>
          <w:lang w:eastAsia="ja-JP"/>
        </w:rPr>
        <w:t xml:space="preserve">Figure 7: </w:t>
      </w:r>
      <w:r w:rsidRPr="00597FFB">
        <w:rPr>
          <w:rFonts w:ascii="Times New Roman" w:hAnsi="Times New Roman" w:cs="Times New Roman"/>
          <w:i/>
          <w:iCs/>
          <w:color w:val="000000" w:themeColor="text1"/>
          <w:kern w:val="24"/>
          <w:lang w:eastAsia="ja-JP"/>
        </w:rPr>
        <w:t>TPB Model</w:t>
      </w:r>
      <w:r w:rsidR="00814987" w:rsidRPr="00597FFB">
        <w:rPr>
          <w:rFonts w:ascii="Times New Roman" w:hAnsi="Times New Roman" w:cs="Times New Roman"/>
          <w:i/>
          <w:iCs/>
          <w:color w:val="000000" w:themeColor="text1"/>
          <w:kern w:val="24"/>
          <w:lang w:eastAsia="ja-JP"/>
        </w:rPr>
        <w:t>.</w:t>
      </w:r>
    </w:p>
    <w:p w14:paraId="159CFE1B" w14:textId="77777777" w:rsidR="001A7901" w:rsidRPr="00597FFB" w:rsidRDefault="001A7901" w:rsidP="001A7901">
      <w:pPr>
        <w:spacing w:after="0" w:line="240" w:lineRule="auto"/>
        <w:jc w:val="center"/>
        <w:rPr>
          <w:rFonts w:ascii="Times New Roman" w:hAnsi="Times New Roman" w:cs="Times New Roman"/>
          <w:kern w:val="24"/>
          <w:sz w:val="24"/>
          <w:szCs w:val="24"/>
          <w:lang w:eastAsia="ja-JP"/>
        </w:rPr>
      </w:pPr>
    </w:p>
    <w:p w14:paraId="42CD1C5D" w14:textId="77777777" w:rsidR="001A7901" w:rsidRPr="00597FFB" w:rsidRDefault="001A7901" w:rsidP="001A7901">
      <w:pPr>
        <w:spacing w:after="0" w:line="240" w:lineRule="auto"/>
        <w:jc w:val="center"/>
        <w:rPr>
          <w:rFonts w:ascii="Times New Roman" w:hAnsi="Times New Roman" w:cs="Times New Roman"/>
          <w:kern w:val="24"/>
          <w:sz w:val="24"/>
          <w:szCs w:val="24"/>
          <w:lang w:eastAsia="ja-JP"/>
        </w:rPr>
      </w:pPr>
      <w:r w:rsidRPr="00597FFB">
        <w:rPr>
          <w:noProof/>
        </w:rPr>
        <mc:AlternateContent>
          <mc:Choice Requires="wpg">
            <w:drawing>
              <wp:inline distT="0" distB="0" distL="0" distR="0" wp14:anchorId="5C775E9F" wp14:editId="6A75DB78">
                <wp:extent cx="4314825" cy="2543174"/>
                <wp:effectExtent l="0" t="0" r="28575" b="1016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2543174"/>
                          <a:chOff x="0" y="0"/>
                          <a:chExt cx="5640705" cy="2994642"/>
                        </a:xfrm>
                      </wpg:grpSpPr>
                      <wps:wsp>
                        <wps:cNvPr id="281" name="Straight Arrow Connector 3"/>
                        <wps:cNvCnPr/>
                        <wps:spPr>
                          <a:xfrm>
                            <a:off x="1619250" y="457200"/>
                            <a:ext cx="857250" cy="619125"/>
                          </a:xfrm>
                          <a:prstGeom prst="straightConnector1">
                            <a:avLst/>
                          </a:prstGeom>
                          <a:noFill/>
                          <a:ln w="19050">
                            <a:solidFill>
                              <a:srgbClr val="E7E6E6">
                                <a:lumMod val="10000"/>
                              </a:srgbClr>
                            </a:solidFill>
                            <a:prstDash val="solid"/>
                            <a:miter lim="800000"/>
                            <a:headEnd/>
                            <a:tailEnd type="arrow"/>
                          </a:ln>
                          <a:effectLst/>
                        </wps:spPr>
                        <wps:bodyPr/>
                      </wps:wsp>
                      <wps:wsp>
                        <wps:cNvPr id="282" name="Oval 63"/>
                        <wps:cNvSpPr/>
                        <wps:spPr>
                          <a:xfrm>
                            <a:off x="66675" y="0"/>
                            <a:ext cx="1554480" cy="877570"/>
                          </a:xfrm>
                          <a:prstGeom prst="ellipse">
                            <a:avLst/>
                          </a:prstGeom>
                          <a:noFill/>
                          <a:ln w="12700">
                            <a:solidFill>
                              <a:sysClr val="windowText" lastClr="000000"/>
                            </a:solidFill>
                            <a:prstDash val="solid"/>
                            <a:miter lim="800000"/>
                          </a:ln>
                          <a:effectLst/>
                        </wps:spPr>
                        <wps:txbx>
                          <w:txbxContent>
                            <w:p w14:paraId="26E3E835"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Attitude</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83" name="Straight Arrow Connector 3"/>
                        <wps:cNvCnPr/>
                        <wps:spPr>
                          <a:xfrm flipV="1">
                            <a:off x="1552575" y="1819275"/>
                            <a:ext cx="923925" cy="638175"/>
                          </a:xfrm>
                          <a:prstGeom prst="straightConnector1">
                            <a:avLst/>
                          </a:prstGeom>
                          <a:noFill/>
                          <a:ln w="19050">
                            <a:solidFill>
                              <a:srgbClr val="E7E6E6">
                                <a:lumMod val="10000"/>
                              </a:srgbClr>
                            </a:solidFill>
                            <a:prstDash val="solid"/>
                            <a:miter lim="800000"/>
                            <a:headEnd/>
                            <a:tailEnd type="arrow"/>
                          </a:ln>
                          <a:effectLst/>
                        </wps:spPr>
                        <wps:bodyPr/>
                      </wps:wsp>
                      <wps:wsp>
                        <wps:cNvPr id="284" name="Oval 65"/>
                        <wps:cNvSpPr/>
                        <wps:spPr>
                          <a:xfrm>
                            <a:off x="4086225" y="1000125"/>
                            <a:ext cx="1554480" cy="877570"/>
                          </a:xfrm>
                          <a:prstGeom prst="ellipse">
                            <a:avLst/>
                          </a:prstGeom>
                          <a:noFill/>
                          <a:ln w="12700">
                            <a:solidFill>
                              <a:sysClr val="windowText" lastClr="000000"/>
                            </a:solidFill>
                            <a:prstDash val="solid"/>
                            <a:miter lim="800000"/>
                          </a:ln>
                          <a:effectLst/>
                        </wps:spPr>
                        <wps:txbx>
                          <w:txbxContent>
                            <w:p w14:paraId="105002C3"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Adoption Behavior</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85" name="Oval 66"/>
                        <wps:cNvSpPr/>
                        <wps:spPr>
                          <a:xfrm>
                            <a:off x="2076450" y="1000125"/>
                            <a:ext cx="1554480" cy="877570"/>
                          </a:xfrm>
                          <a:prstGeom prst="ellipse">
                            <a:avLst/>
                          </a:prstGeom>
                          <a:noFill/>
                          <a:ln w="12700">
                            <a:solidFill>
                              <a:sysClr val="windowText" lastClr="000000"/>
                            </a:solidFill>
                            <a:prstDash val="solid"/>
                            <a:miter lim="800000"/>
                          </a:ln>
                          <a:effectLst/>
                        </wps:spPr>
                        <wps:txbx>
                          <w:txbxContent>
                            <w:p w14:paraId="6886AD95"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Behavioral Intention</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86" name="Oval 67"/>
                        <wps:cNvSpPr/>
                        <wps:spPr>
                          <a:xfrm>
                            <a:off x="19050" y="1000125"/>
                            <a:ext cx="1554480" cy="877570"/>
                          </a:xfrm>
                          <a:prstGeom prst="ellipse">
                            <a:avLst/>
                          </a:prstGeom>
                          <a:noFill/>
                          <a:ln w="12700">
                            <a:solidFill>
                              <a:sysClr val="windowText" lastClr="000000"/>
                            </a:solidFill>
                            <a:prstDash val="solid"/>
                            <a:miter lim="800000"/>
                          </a:ln>
                          <a:effectLst/>
                        </wps:spPr>
                        <wps:txbx>
                          <w:txbxContent>
                            <w:p w14:paraId="11BE168E"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Social Norms</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87" name="Straight Arrow Connector 68"/>
                        <wps:cNvCnPr/>
                        <wps:spPr>
                          <a:xfrm>
                            <a:off x="1571625" y="1419225"/>
                            <a:ext cx="521970" cy="0"/>
                          </a:xfrm>
                          <a:prstGeom prst="straightConnector1">
                            <a:avLst/>
                          </a:prstGeom>
                          <a:noFill/>
                          <a:ln w="19050" cap="flat" cmpd="sng" algn="ctr">
                            <a:solidFill>
                              <a:sysClr val="windowText" lastClr="000000"/>
                            </a:solidFill>
                            <a:prstDash val="solid"/>
                            <a:miter lim="800000"/>
                            <a:headEnd type="none" w="med" len="med"/>
                            <a:tailEnd type="arrow" w="med" len="med"/>
                          </a:ln>
                          <a:effectLst/>
                        </wps:spPr>
                        <wps:bodyPr/>
                      </wps:wsp>
                      <wps:wsp>
                        <wps:cNvPr id="288" name="Straight Arrow Connector 69"/>
                        <wps:cNvCnPr/>
                        <wps:spPr>
                          <a:xfrm>
                            <a:off x="3629025" y="1428750"/>
                            <a:ext cx="457200" cy="0"/>
                          </a:xfrm>
                          <a:prstGeom prst="straightConnector1">
                            <a:avLst/>
                          </a:prstGeom>
                          <a:noFill/>
                          <a:ln w="19050" cap="flat" cmpd="sng" algn="ctr">
                            <a:solidFill>
                              <a:sysClr val="windowText" lastClr="000000"/>
                            </a:solidFill>
                            <a:prstDash val="solid"/>
                            <a:miter lim="800000"/>
                            <a:headEnd type="none" w="med" len="med"/>
                            <a:tailEnd type="arrow" w="med" len="med"/>
                          </a:ln>
                          <a:effectLst/>
                        </wps:spPr>
                        <wps:bodyPr/>
                      </wps:wsp>
                      <wps:wsp>
                        <wps:cNvPr id="289" name="Oval 70"/>
                        <wps:cNvSpPr/>
                        <wps:spPr>
                          <a:xfrm>
                            <a:off x="0" y="1965626"/>
                            <a:ext cx="1552574" cy="1029016"/>
                          </a:xfrm>
                          <a:prstGeom prst="ellipse">
                            <a:avLst/>
                          </a:prstGeom>
                          <a:noFill/>
                          <a:ln w="12700">
                            <a:solidFill>
                              <a:sysClr val="windowText" lastClr="000000"/>
                            </a:solidFill>
                            <a:prstDash val="solid"/>
                            <a:miter lim="800000"/>
                          </a:ln>
                          <a:effectLst/>
                        </wps:spPr>
                        <wps:txbx>
                          <w:txbxContent>
                            <w:p w14:paraId="44740EDE" w14:textId="77777777" w:rsidR="001A7901" w:rsidRPr="0053059A" w:rsidRDefault="001A7901" w:rsidP="001A7901">
                              <w:pPr>
                                <w:jc w:val="center"/>
                                <w:rPr>
                                  <w:rFonts w:ascii="Times New Roman" w:hAnsi="Times New Roman" w:cs="Times New Roman"/>
                                </w:rPr>
                              </w:pPr>
                              <w:r w:rsidRPr="008C45CE">
                                <w:rPr>
                                  <w:rFonts w:ascii="Times New Roman" w:hAnsi="Times New Roman" w:cs="Times New Roman"/>
                                </w:rPr>
                                <w:t>Perceived Behavioral Control</w:t>
                              </w:r>
                              <w:r w:rsidRPr="00F6132C">
                                <w:rPr>
                                  <w:rFonts w:ascii="Times New Roman" w:hAnsi="Times New Roman" w:cs="Times New Roman"/>
                                </w:rPr>
                                <w:t xml:space="preserve"> </w:t>
                              </w:r>
                              <w:r w:rsidRPr="0053059A">
                                <w:rPr>
                                  <w:rFonts w:ascii="Times New Roman" w:hAnsi="Times New Roman" w:cs="Times New Roman"/>
                                </w:rPr>
                                <w:t>(PBC)</w:t>
                              </w:r>
                            </w:p>
                            <w:p w14:paraId="336B26DA" w14:textId="77777777" w:rsidR="001A7901" w:rsidRPr="0053059A" w:rsidRDefault="001A7901" w:rsidP="001A7901">
                              <w:pPr>
                                <w:jc w:val="cente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wpg:wgp>
                  </a:graphicData>
                </a:graphic>
              </wp:inline>
            </w:drawing>
          </mc:Choice>
          <mc:Fallback>
            <w:pict>
              <v:group w14:anchorId="5C775E9F" id="Group 280" o:spid="_x0000_s1081" style="width:339.75pt;height:200.25pt;mso-position-horizontal-relative:char;mso-position-vertical-relative:line" coordsize="56407,2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">
                <v:shape id="Straight Arrow Connector 3" o:spid="_x0000_s1082" type="#_x0000_t32" style="position:absolute;left:16192;top:4572;width:8573;height:6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" strokecolor="#181717" strokeweight="1.5pt">
                  <v:stroke endarrow="open" joinstyle="miter"/>
                </v:shape>
                <v:oval id="Oval 63" o:spid="_x0000_s1083" style="position:absolute;left:666;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" filled="f" strokecolor="windowText" strokeweight="1pt">
                  <v:stroke joinstyle="miter"/>
                  <v:textbox>
                    <w:txbxContent>
                      <w:p w14:paraId="26E3E835"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Attitude</w:t>
                        </w:r>
                      </w:p>
                    </w:txbxContent>
                  </v:textbox>
                </v:oval>
                <v:shape id="Straight Arrow Connector 3" o:spid="_x0000_s1084" type="#_x0000_t32" style="position:absolute;left:15525;top:18192;width:9240;height:6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" strokecolor="#181717" strokeweight="1.5pt">
                  <v:stroke endarrow="open" joinstyle="miter"/>
                </v:shape>
                <v:oval id="Oval 65" o:spid="_x0000_s1085" style="position:absolute;left:40862;top:10001;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" filled="f" strokecolor="windowText" strokeweight="1pt">
                  <v:stroke joinstyle="miter"/>
                  <v:textbox>
                    <w:txbxContent>
                      <w:p w14:paraId="105002C3"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Adoption Behavior</w:t>
                        </w:r>
                      </w:p>
                    </w:txbxContent>
                  </v:textbox>
                </v:oval>
                <v:oval id="Oval 66" o:spid="_x0000_s1086" style="position:absolute;left:20764;top:10001;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" filled="f" strokecolor="windowText" strokeweight="1pt">
                  <v:stroke joinstyle="miter"/>
                  <v:textbox>
                    <w:txbxContent>
                      <w:p w14:paraId="6886AD95"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Behavioral Intention</w:t>
                        </w:r>
                      </w:p>
                    </w:txbxContent>
                  </v:textbox>
                </v:oval>
                <v:oval id="Oval 67" o:spid="_x0000_s1087" style="position:absolute;left:190;top:10001;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" filled="f" strokecolor="windowText" strokeweight="1pt">
                  <v:stroke joinstyle="miter"/>
                  <v:textbox>
                    <w:txbxContent>
                      <w:p w14:paraId="11BE168E" w14:textId="77777777" w:rsidR="001A7901" w:rsidRPr="008C45CE" w:rsidRDefault="001A7901" w:rsidP="001A7901">
                        <w:pPr>
                          <w:jc w:val="center"/>
                          <w:rPr>
                            <w:rFonts w:ascii="Times New Roman" w:hAnsi="Times New Roman" w:cs="Times New Roman"/>
                          </w:rPr>
                        </w:pPr>
                        <w:r w:rsidRPr="008C45CE">
                          <w:rPr>
                            <w:rFonts w:ascii="Times New Roman" w:hAnsi="Times New Roman" w:cs="Times New Roman"/>
                          </w:rPr>
                          <w:t>Social Norms</w:t>
                        </w:r>
                      </w:p>
                    </w:txbxContent>
                  </v:textbox>
                </v:oval>
                <v:shape id="Straight Arrow Connector 68" o:spid="_x0000_s1088" type="#_x0000_t32" style="position:absolute;left:15716;top:14192;width:52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" strokecolor="windowText" strokeweight="1.5pt">
                  <v:stroke endarrow="open" joinstyle="miter"/>
                </v:shape>
                <v:shape id="Straight Arrow Connector 69" o:spid="_x0000_s1089" type="#_x0000_t32" style="position:absolute;left:36290;top:14287;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" strokecolor="windowText" strokeweight="1.5pt">
                  <v:stroke endarrow="open" joinstyle="miter"/>
                </v:shape>
                <v:oval id="Oval 70" o:spid="_x0000_s1090" style="position:absolute;top:19656;width:15525;height:10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" filled="f" strokecolor="windowText" strokeweight="1pt">
                  <v:stroke joinstyle="miter"/>
                  <v:textbox>
                    <w:txbxContent>
                      <w:p w14:paraId="44740EDE" w14:textId="77777777" w:rsidR="001A7901" w:rsidRPr="0053059A" w:rsidRDefault="001A7901" w:rsidP="001A7901">
                        <w:pPr>
                          <w:jc w:val="center"/>
                          <w:rPr>
                            <w:rFonts w:ascii="Times New Roman" w:hAnsi="Times New Roman" w:cs="Times New Roman"/>
                          </w:rPr>
                        </w:pPr>
                        <w:r w:rsidRPr="008C45CE">
                          <w:rPr>
                            <w:rFonts w:ascii="Times New Roman" w:hAnsi="Times New Roman" w:cs="Times New Roman"/>
                          </w:rPr>
                          <w:t>Perceived Behavioral Control</w:t>
                        </w:r>
                        <w:r w:rsidRPr="00F6132C">
                          <w:rPr>
                            <w:rFonts w:ascii="Times New Roman" w:hAnsi="Times New Roman" w:cs="Times New Roman"/>
                          </w:rPr>
                          <w:t xml:space="preserve"> </w:t>
                        </w:r>
                        <w:r w:rsidRPr="0053059A">
                          <w:rPr>
                            <w:rFonts w:ascii="Times New Roman" w:hAnsi="Times New Roman" w:cs="Times New Roman"/>
                          </w:rPr>
                          <w:t>(PBC)</w:t>
                        </w:r>
                      </w:p>
                      <w:p w14:paraId="336B26DA" w14:textId="77777777" w:rsidR="001A7901" w:rsidRPr="0053059A" w:rsidRDefault="001A7901" w:rsidP="001A7901">
                        <w:pPr>
                          <w:jc w:val="center"/>
                        </w:pPr>
                      </w:p>
                    </w:txbxContent>
                  </v:textbox>
                </v:oval>
                <w10:anchorlock/>
              </v:group>
            </w:pict>
          </mc:Fallback>
        </mc:AlternateContent>
      </w:r>
    </w:p>
    <w:p w14:paraId="51C5EB5C" w14:textId="77777777" w:rsidR="001A7901" w:rsidRPr="00597FFB" w:rsidRDefault="001A7901" w:rsidP="001A7901">
      <w:pPr>
        <w:spacing w:after="0" w:line="240" w:lineRule="auto"/>
        <w:jc w:val="center"/>
        <w:rPr>
          <w:rFonts w:ascii="Times New Roman" w:hAnsi="Times New Roman" w:cs="Times New Roman"/>
          <w:kern w:val="24"/>
          <w:sz w:val="24"/>
          <w:szCs w:val="24"/>
          <w:lang w:eastAsia="ja-JP"/>
        </w:rPr>
      </w:pPr>
    </w:p>
    <w:p w14:paraId="0F4ADC7B" w14:textId="7D146743" w:rsidR="001A7901" w:rsidRPr="00597FFB" w:rsidRDefault="001A7901" w:rsidP="001A7901">
      <w:pPr>
        <w:widowControl w:val="0"/>
        <w:spacing w:after="0" w:line="240" w:lineRule="auto"/>
        <w:rPr>
          <w:rFonts w:ascii="Times New Roman" w:hAnsi="Times New Roman" w:cs="Times New Roman"/>
          <w:i/>
          <w:iCs/>
          <w:color w:val="000000" w:themeColor="text1"/>
          <w:kern w:val="24"/>
          <w:sz w:val="20"/>
          <w:szCs w:val="20"/>
          <w:lang w:eastAsia="ja-JP"/>
        </w:rPr>
      </w:pPr>
      <w:r w:rsidRPr="00597FFB">
        <w:rPr>
          <w:rFonts w:ascii="Times New Roman" w:hAnsi="Times New Roman" w:cs="Times New Roman"/>
          <w:i/>
          <w:iCs/>
          <w:color w:val="000000" w:themeColor="text1"/>
          <w:kern w:val="24"/>
          <w:sz w:val="20"/>
          <w:szCs w:val="20"/>
          <w:lang w:eastAsia="ja-JP"/>
        </w:rPr>
        <w:t>Source: Ajzen (1985)</w:t>
      </w:r>
      <w:r w:rsidR="00814987" w:rsidRPr="00597FFB">
        <w:rPr>
          <w:rFonts w:ascii="Times New Roman" w:hAnsi="Times New Roman" w:cs="Times New Roman"/>
          <w:i/>
          <w:iCs/>
          <w:color w:val="000000" w:themeColor="text1"/>
          <w:kern w:val="24"/>
          <w:sz w:val="20"/>
          <w:szCs w:val="20"/>
          <w:lang w:eastAsia="ja-JP"/>
        </w:rPr>
        <w:t>.</w:t>
      </w:r>
    </w:p>
    <w:p w14:paraId="2717AED7" w14:textId="77777777" w:rsidR="00A558FE" w:rsidRPr="00597FFB" w:rsidRDefault="00A558FE" w:rsidP="001A7901">
      <w:pPr>
        <w:widowControl w:val="0"/>
        <w:spacing w:after="0" w:line="240" w:lineRule="auto"/>
        <w:rPr>
          <w:rFonts w:ascii="Times New Roman" w:hAnsi="Times New Roman" w:cs="Times New Roman"/>
          <w:i/>
          <w:iCs/>
          <w:color w:val="000000" w:themeColor="text1"/>
          <w:kern w:val="24"/>
          <w:sz w:val="20"/>
          <w:szCs w:val="20"/>
          <w:lang w:eastAsia="ja-JP"/>
        </w:rPr>
      </w:pPr>
    </w:p>
    <w:p w14:paraId="45F91BF2" w14:textId="3AA3DF56" w:rsidR="001A7901" w:rsidRPr="00597FFB" w:rsidRDefault="00E07031" w:rsidP="00804602">
      <w:pPr>
        <w:pStyle w:val="Heading3"/>
        <w:spacing w:line="480" w:lineRule="auto"/>
        <w:ind w:firstLine="720"/>
        <w:rPr>
          <w:rFonts w:asciiTheme="majorBidi" w:hAnsiTheme="majorBidi"/>
          <w:i/>
          <w:iCs/>
          <w:color w:val="000000" w:themeColor="text1"/>
          <w:sz w:val="24"/>
          <w:szCs w:val="24"/>
        </w:rPr>
      </w:pPr>
      <w:bookmarkStart w:id="160" w:name="_Toc123641069"/>
      <w:bookmarkStart w:id="161" w:name="_Toc127170310"/>
      <w:r w:rsidRPr="00597FFB">
        <w:rPr>
          <w:rFonts w:asciiTheme="majorBidi" w:hAnsiTheme="majorBidi"/>
          <w:i/>
          <w:iCs/>
          <w:color w:val="000000" w:themeColor="text1"/>
          <w:sz w:val="24"/>
          <w:szCs w:val="24"/>
        </w:rPr>
        <w:t>3.1</w:t>
      </w:r>
      <w:r w:rsidR="00867826" w:rsidRPr="00597FFB">
        <w:rPr>
          <w:rFonts w:asciiTheme="majorBidi" w:hAnsiTheme="majorBidi"/>
          <w:i/>
          <w:iCs/>
          <w:color w:val="000000" w:themeColor="text1"/>
          <w:sz w:val="24"/>
          <w:szCs w:val="24"/>
        </w:rPr>
        <w:t>.1.1.</w:t>
      </w:r>
      <w:bookmarkEnd w:id="160"/>
      <w:r w:rsidR="005F0330" w:rsidRPr="00597FFB">
        <w:rPr>
          <w:rFonts w:asciiTheme="majorBidi" w:hAnsiTheme="majorBidi"/>
          <w:i/>
          <w:iCs/>
          <w:color w:val="000000" w:themeColor="text1"/>
          <w:sz w:val="24"/>
          <w:szCs w:val="24"/>
        </w:rPr>
        <w:t xml:space="preserve"> </w:t>
      </w:r>
      <w:bookmarkStart w:id="162" w:name="_Hlk123718852"/>
      <w:r w:rsidRPr="00597FFB">
        <w:rPr>
          <w:rFonts w:asciiTheme="majorBidi" w:hAnsiTheme="majorBidi"/>
          <w:i/>
          <w:iCs/>
          <w:color w:val="000000" w:themeColor="text1"/>
          <w:sz w:val="24"/>
          <w:szCs w:val="24"/>
        </w:rPr>
        <w:t>TPB</w:t>
      </w:r>
      <w:r w:rsidR="00814987" w:rsidRPr="00597FFB">
        <w:rPr>
          <w:rFonts w:asciiTheme="majorBidi" w:hAnsiTheme="majorBidi"/>
          <w:i/>
          <w:iCs/>
          <w:color w:val="000000" w:themeColor="text1"/>
          <w:sz w:val="24"/>
          <w:szCs w:val="24"/>
        </w:rPr>
        <w:t xml:space="preserve">, </w:t>
      </w:r>
      <w:r w:rsidRPr="00597FFB">
        <w:rPr>
          <w:rFonts w:asciiTheme="majorBidi" w:hAnsiTheme="majorBidi"/>
          <w:i/>
          <w:iCs/>
          <w:color w:val="000000" w:themeColor="text1"/>
          <w:sz w:val="24"/>
          <w:szCs w:val="24"/>
        </w:rPr>
        <w:t xml:space="preserve">Waste </w:t>
      </w:r>
      <w:r w:rsidR="00DF1E15" w:rsidRPr="00597FFB">
        <w:rPr>
          <w:rFonts w:asciiTheme="majorBidi" w:hAnsiTheme="majorBidi"/>
          <w:i/>
          <w:iCs/>
          <w:color w:val="000000" w:themeColor="text1"/>
          <w:sz w:val="24"/>
          <w:szCs w:val="24"/>
        </w:rPr>
        <w:t>a</w:t>
      </w:r>
      <w:r w:rsidR="00814987" w:rsidRPr="00597FFB">
        <w:rPr>
          <w:rFonts w:asciiTheme="majorBidi" w:hAnsiTheme="majorBidi"/>
          <w:i/>
          <w:iCs/>
          <w:color w:val="000000" w:themeColor="text1"/>
          <w:sz w:val="24"/>
          <w:szCs w:val="24"/>
        </w:rPr>
        <w:t xml:space="preserve">nd </w:t>
      </w:r>
      <w:r w:rsidRPr="00597FFB">
        <w:rPr>
          <w:rFonts w:asciiTheme="majorBidi" w:hAnsiTheme="majorBidi"/>
          <w:i/>
          <w:iCs/>
          <w:color w:val="000000" w:themeColor="text1"/>
          <w:sz w:val="24"/>
          <w:szCs w:val="24"/>
        </w:rPr>
        <w:t>Environment</w:t>
      </w:r>
      <w:r w:rsidR="00814987" w:rsidRPr="00597FFB">
        <w:rPr>
          <w:rFonts w:asciiTheme="majorBidi" w:hAnsiTheme="majorBidi"/>
          <w:i/>
          <w:iCs/>
          <w:color w:val="000000" w:themeColor="text1"/>
          <w:sz w:val="24"/>
          <w:szCs w:val="24"/>
        </w:rPr>
        <w:t>.</w:t>
      </w:r>
      <w:bookmarkEnd w:id="161"/>
      <w:bookmarkEnd w:id="162"/>
    </w:p>
    <w:p w14:paraId="46080BF2" w14:textId="351DB88E"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The TPB is the most applied model in examining pro-environmental behaviors and its capacity to demonstrate that intention-driven environmentally friendly behavior has been supported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{"citationID":"mH9Cr3jY","properties":{"formattedCitation":"(Borusiak et al. 2021)","plainCitation":"(Borusiak et al. 2021)","dontUpdate":true,"noteIndex":0},"citationItems":[{"id":4186,"uris":["http://zotero.org/users/local/b6CRLSJH/items/CDRWGCNE"],"itemData":{"id":4186,"type":"article-journal","abstract":"The plastic bottles that are used for packaging water are harmful to the environment. The objective of this study was to examine the influence of consumers’ environmental concern on both their intention to reduce consumption of water sold in single-use plastic bottles and their actual behaviour. An extended version of the theory of planned behaviour is used as the main theoretical framework. Structural equation modelling is employed based on data gathered in 2020 from 1011 Polish respondents to test the study’s hypotheses. The results support the model, as all tested relations are statistically significant. More specifically, we confirm the indirect impact of environmental concern on both intention and behaviour concerning bottled water consumption (BWC): environmental concern is positively related to attitudes towards reducing BWC, subjective norms regarding reduction in BWC, perceived behavioural control over BWC, and perceived moral obligation to protect natural resources, all of which, in turn, are positively related to intention to reduce BWC. We also prove that intention to reduce BWC is positively related to consumption of non-bottled water. The results may serve to guide decision makers seeking to promote ecologically friendly behaviour.","container-title":"Energies","DOI":"10.3390/en14071985","ISSN":"1996-1073","issue":"7","journalAbbreviation":"Energies","language":"en","page":"1985","source":"DOI.org (Crossref)","title":"The Impact of Environmental Concern on Intention to Reduce Consumption of Single-Use Bottled Water","volume":"14","author":[{"family":"Borusiak","given":"Barbara"},{"family":"Szymkowiak","given":"Andrzej"},{"family":"Pierański","given":"Bartłomiej"},{"family":"Szalonka","given":"Katarzyna"}],"issued":{"date-parts":[["2021",4,2]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(Borusiak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The TPB model has been widely applied to explore individuals’ intention to perform pro-environmental behaviors such as using green e-books (Hsu et al., 2017) and adoption of green behaviors in the information technology sector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{"citationID":"72DNI3ey","properties":{"formattedCitation":"(Yarimoglu and Gunay 2020)","plainCitation":"(Yarimoglu and Gunay 2020)","dontUpdate":true,"noteIndex":0},"citationItems":[{"id":1787,"uris":["http://zotero.org/users/local/b6CRLSJH/items/QW9KIS8M"],"itemData":{"id":1787,"type":"article-journal","container-title":"Business Strategy and the Environment","DOI":"10.1002/bse.2419","ISSN":"0964-4733, 1099-0836","issue":"3","journalAbbreviation":"Bus Strat Env","language":"en","page":"1097-1108","source":"DOI.org (Crossref)","title":"The extended theory of planned behavior in Turkish customers' intentions to visit green hotels","volume":"29","author":[{"family":"Yarimoglu","given":"Emel"},{"family":"Gunay","given":"Tugrul"}],"issued":{"date-parts":[["2020",3]]}}}],"schema":"https://github.com/citation-style-language/schema/raw/master/csl-citation.json"}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(Yarimoglu &amp; Gunay,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w:t>
      </w:r>
    </w:p>
    <w:p w14:paraId="3DBF2FB6" w14:textId="77777777"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In South Africa, Strydom (2018) used the TPB to investigate the relationships between the various TPB elements based on a cross-sectional survey involving 2004 large urban area respondents. They found that the TPB could account for 46.4% variance in intention to recycle household waste and 26.4% variance in household waste recycling behavior.</w:t>
      </w:r>
    </w:p>
    <w:p w14:paraId="6A963487" w14:textId="77777777" w:rsidR="001A7901" w:rsidRPr="00597FFB" w:rsidRDefault="001A7901" w:rsidP="00A558FE">
      <w:pPr>
        <w:spacing w:before="26" w:after="26" w:line="480" w:lineRule="auto"/>
        <w:ind w:right="360" w:firstLine="720"/>
        <w:jc w:val="both"/>
        <w:rPr>
          <w:rFonts w:ascii="Times New Roman" w:hAnsi="Times New Roman" w:cs="Times New Roman"/>
          <w:b/>
          <w:bCs/>
          <w:color w:val="000000" w:themeColor="text1"/>
          <w:kern w:val="24"/>
          <w:sz w:val="24"/>
          <w:szCs w:val="24"/>
          <w:u w:val="single"/>
          <w:lang w:eastAsia="ja-JP"/>
        </w:rPr>
      </w:pPr>
      <w:r w:rsidRPr="00597FFB">
        <w:rPr>
          <w:rFonts w:ascii="Times New Roman" w:hAnsi="Times New Roman" w:cs="Times New Roman"/>
          <w:color w:val="000000" w:themeColor="text1"/>
          <w:kern w:val="24"/>
          <w:sz w:val="24"/>
          <w:szCs w:val="24"/>
          <w:lang w:eastAsia="ja-JP"/>
        </w:rPr>
        <w:t>Ajzen (1985) theorized and proved that intention is influenced by perceived behavior, subjective norms, and perceived control in the TPB. Intention was then shown to influence behavior directly. Various researchers (Kim &amp; Hwang, 2020; Shen et al., 2020; Wang et al., 2019) have employed the TPB in their studies of pro-environmental behavioral intention. Wang et al. (2019) employed the TPB to investigate the determinants that shaped willingness toward on-line recycling behavior of e-waste in China based on the TPB. Their findings showed that attitudes, subjective norms, and PBC had direct, positive influence on willingness to undertake on-line recycling behavior.</w:t>
      </w:r>
    </w:p>
    <w:p w14:paraId="1F6A0FF6" w14:textId="77777777"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Shen et al. (2020) found that farmers’ attitudes and PBC impacted sorting intentions directly and subjective norms affected sorting intentions indirectly through PBC and behavioral attitudes. In their extended TPB model, Kim and Hwang (2020) found that attitude, subjective norms, and PBC influenced behavior intentions directly. For the purposes of this research and in light of the TPB as proposed by Ajzen (1975, 1991) and the findings presented by many TPB-based studies (e.g., Kim &amp; Hwang, 2020; Wang et al., 2021), attitude, subjective norms, and PBC are expected to influence the intention of UAE millennials to engage in EWR positively and directly thereby influencing their EWR behavior.</w:t>
      </w:r>
    </w:p>
    <w:p w14:paraId="42F31FF1" w14:textId="77777777"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The TPB has also been used in multi-country meta-analytic studies on waste management. Applying the TPB to study the determinants of recycling behavior among academicians, Muniandy and Anuar (2020) classified “knowledge on how, what, and where to recycle” (p. 1600) as PBC variables that influence recycling behavior.</w:t>
      </w:r>
      <w:r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From the studies of TPB and waste management in generally, the TPB is portrayed as being robust in explaining and predicting pro-environmental behavior and intention thereby demonstrating its suitability in modeling behavior and predicting intention in the context of this research too.</w:t>
      </w:r>
    </w:p>
    <w:p w14:paraId="4766A1CE" w14:textId="02C15F03" w:rsidR="008C4DCF" w:rsidRPr="00597FFB" w:rsidRDefault="008C4DCF" w:rsidP="00A558FE">
      <w:pPr>
        <w:pStyle w:val="Heading3"/>
        <w:spacing w:line="480" w:lineRule="auto"/>
        <w:ind w:firstLine="720"/>
        <w:rPr>
          <w:rFonts w:ascii="Times New Roman" w:hAnsi="Times New Roman" w:cs="Times New Roman"/>
          <w:color w:val="000000" w:themeColor="text1"/>
          <w:kern w:val="24"/>
          <w:sz w:val="24"/>
          <w:szCs w:val="24"/>
          <w:lang w:eastAsia="ja-JP"/>
        </w:rPr>
      </w:pPr>
      <w:bookmarkStart w:id="163" w:name="_Toc127170311"/>
      <w:r w:rsidRPr="00597FFB">
        <w:rPr>
          <w:rFonts w:asciiTheme="majorBidi" w:hAnsiTheme="majorBidi"/>
          <w:i/>
          <w:iCs/>
          <w:color w:val="000000" w:themeColor="text1"/>
          <w:sz w:val="24"/>
          <w:szCs w:val="24"/>
        </w:rPr>
        <w:t xml:space="preserve">3.1.1.2. TPB </w:t>
      </w:r>
      <w:r w:rsidR="00DF1E15" w:rsidRPr="00597FFB">
        <w:rPr>
          <w:rFonts w:asciiTheme="majorBidi" w:hAnsiTheme="majorBidi"/>
          <w:i/>
          <w:iCs/>
          <w:color w:val="000000" w:themeColor="text1"/>
          <w:sz w:val="24"/>
          <w:szCs w:val="24"/>
        </w:rPr>
        <w:t>a</w:t>
      </w:r>
      <w:r w:rsidRPr="00597FFB">
        <w:rPr>
          <w:rFonts w:asciiTheme="majorBidi" w:hAnsiTheme="majorBidi"/>
          <w:i/>
          <w:iCs/>
          <w:color w:val="000000" w:themeColor="text1"/>
          <w:sz w:val="24"/>
          <w:szCs w:val="24"/>
        </w:rPr>
        <w:t>nd Consumer</w:t>
      </w:r>
      <w:r w:rsidR="00943127">
        <w:rPr>
          <w:rFonts w:asciiTheme="majorBidi" w:hAnsiTheme="majorBidi"/>
          <w:i/>
          <w:iCs/>
          <w:color w:val="000000" w:themeColor="text1"/>
          <w:sz w:val="24"/>
          <w:szCs w:val="24"/>
        </w:rPr>
        <w:t>’s</w:t>
      </w:r>
      <w:r w:rsidRPr="00597FFB">
        <w:rPr>
          <w:rFonts w:asciiTheme="majorBidi" w:hAnsiTheme="majorBidi"/>
          <w:i/>
          <w:iCs/>
          <w:color w:val="000000" w:themeColor="text1"/>
          <w:sz w:val="24"/>
          <w:szCs w:val="24"/>
        </w:rPr>
        <w:t xml:space="preserve"> </w:t>
      </w:r>
      <w:r w:rsidR="008E7EFD" w:rsidRPr="00597FFB">
        <w:rPr>
          <w:rFonts w:asciiTheme="majorBidi" w:hAnsiTheme="majorBidi"/>
          <w:i/>
          <w:iCs/>
          <w:color w:val="000000" w:themeColor="text1"/>
          <w:sz w:val="24"/>
          <w:szCs w:val="24"/>
        </w:rPr>
        <w:t>EWR</w:t>
      </w:r>
      <w:r w:rsidRPr="00597FFB">
        <w:rPr>
          <w:rFonts w:asciiTheme="majorBidi" w:hAnsiTheme="majorBidi"/>
          <w:i/>
          <w:iCs/>
          <w:color w:val="000000" w:themeColor="text1"/>
          <w:sz w:val="24"/>
          <w:szCs w:val="24"/>
        </w:rPr>
        <w:t xml:space="preserve"> Behavioral Intention</w:t>
      </w:r>
      <w:r w:rsidR="00814987" w:rsidRPr="00597FFB">
        <w:rPr>
          <w:rFonts w:asciiTheme="majorBidi" w:hAnsiTheme="majorBidi"/>
          <w:i/>
          <w:iCs/>
          <w:color w:val="000000" w:themeColor="text1"/>
          <w:sz w:val="24"/>
          <w:szCs w:val="24"/>
        </w:rPr>
        <w:t>.</w:t>
      </w:r>
      <w:bookmarkEnd w:id="163"/>
    </w:p>
    <w:p w14:paraId="6FC62677" w14:textId="5B659949"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E-waste recycling is considered a consumer behavioral topic related to pro-environmental consumption including disposal behavior (Islam et al., 2021). Several studies (Aboelmaged, 2021;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{"citationID":"X2zQNudN","properties":{"formattedCitation":"(Garg 2021a)","plainCitation":"(Garg 2021a)","dontUpdate":true,"noteIndex":0},"citationItems":[{"id":1233,"uris":["http://zotero.org/users/local/b6CRLSJH/items/NWAPRVSV"],"itemData":{"id":1233,"type":"article-journal","abstract":"E-waste problem is putting pressure on environmental agencies, government, original equipment manufacturers of developing nations like India to adopt, develop and innovate environment friendly ewaste mitigation strategies, with the objective to manage and control the ever growing threat of e-waste to the environment, society and human health. Moreover, increasing producer responsibility, informal recycling practices and disposal issues have given attention to adopt mitigation strategies for successful implementation of e-waste management system. This study acknowledges the critical strategies to recover resources along with processing and treatment of toxic and hazardous component of e-waste mitigation and management which is immediate and existing challenge for India. A combined framework based on Grey concept and DEMATEL technique has been proposed in this work to determine the interdependence among the e-waste mitigation strategies (MS) by cause/effect analysis. This study has revealed that ‘top management initiation and commitment towards return management’ is the most imperative and driving strategy in the e-waste management and control. It also inﬂuences the other existing strategies. This work has also highlighted that e-waste mitigation can be effective if it concentrates on effective implementation of e-waste policy, directives and regulations such as extended producer responsibility (EPR), advance recycling fee (ARF) etc., technological and green innovations in recycling network and strategic alliance among supply chain partners and e-waste recyclers (in-house and outsource service provider) in Indian scenario in the management of e-waste issues. The cause eeffect relationships are helpful to the managers, Government agencies and policy makers to learn crucial causal strategies that require imperative emphasis in dealing with e-waste issues in India. Sensitivity analysis was also conducted to test the robustness of the proposed framework.","container-title":"Journal of Cleaner Production","DOI":"10.1016/j.jclepro.2020.124035","ISSN":"09596526","journalAbbreviation":"Journal of Cleaner Production","language":"en","page":"124035","source":"DOI.org (Crossref)","title":"Modeling the e-waste mitigation strategies using grey-theory and DEMATEL framework","volume":"281","author":[{"family":"Garg","given":"Chandra Prakash"}],"issued":{"date-parts":[["2021",1]]}}}],"schema":"https://github.com/citation-style-language/schema/raw/master/csl-citation.json"}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 xml:space="preserve">Echegaray &amp; Hansstein, 2017; </w:t>
      </w:r>
      <w:r w:rsidRPr="00597FFB">
        <w:rPr>
          <w:rFonts w:ascii="Times New Roman" w:hAnsi="Times New Roman" w:cs="Times New Roman"/>
          <w:color w:val="000000" w:themeColor="text1"/>
          <w:kern w:val="24"/>
          <w:sz w:val="24"/>
          <w:szCs w:val="24"/>
          <w:lang w:eastAsia="ja-JP"/>
        </w:rPr>
        <w:fldChar w:fldCharType="end"/>
      </w:r>
      <w:r w:rsidRPr="00597FFB">
        <w:rPr>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{"citationID":"nCZQyRLd","properties":{"formattedCitation":"(Geiger et al. 2019)","plainCitation":"(Geiger et al. 2019)","dontUpdate":true,"noteIndex":0},"citationItems":[{"id":4061,"uris":["http://zotero.org/users/local/b6CRLSJH/items/22YSX6NX"],"itemData":{"id":4061,"type":"article-journal","container-title":"Journal of Environmental Psychology","DOI":"10.1016/j.jenvp.2019.05.004","ISSN":"02724944","journalAbbreviation":"Journal of Environmental Psychology","language":"en","page":"78-97","source":"DOI.org (Crossref)","title":"A meta-analysis of factors related to recycling","volume":"64","author":[{"family":"Geiger","given":"Josefine L."},{"family":"Steg","given":"Linda"},{"family":"Werff","given":"Ellen","non-dropping-particle":"van der"},{"family":"Ünal","given":"A. Berfu"}],"issued":{"date-parts":[["2019",8]]}}}],"schema":"https://github.com/citation-style-language/schema/raw/master/csl-citation.json"}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 xml:space="preserve">Geiger et al., 2019; </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{"citationID":"z7OEvUWU","properties":{"formattedCitation":"(Yang et al. 2020)","plainCitation":"(Yang et al. 2020)","dontUpdate":true,"noteIndex":0},"citationItems":[{"id":4188,"uris":["http://zotero.org/users/local/b6CRLSJH/items/BPBXUJFP"],"itemData":{"id":4188,"type":"article-journal","abstract":"This study extends the theory of planned behavior by taking communication factors into account to examine the determinants of pro-environmental behavioral intention in haze mitigation. Unlike other theory of planned behavior (TPB) extension studies, we shift the focus of inquiry from examining the mediating role of TPB variables to investigating the moderating role in promoting pro-environmental behavior. Using an online survey in China, the results indicated that attitude, subjective norms, perceived behavioral control, and attention to haze-related efficacy messages were positively associated with pro-environmental behavioral intention. Notably, attention to haze-related threat messages had no significant relationship with behavioral intention. Moreover, moderation analyses revealed that the interaction effects between attention to efficacy messages and attention to threat messages on behavioral intention vary among people with different attitude, subjective norms, and perceived behavioral control. Theoretically, this study contributes to the literature of the TPB by analyzing its moderating role in promoting behavior change. Findings from this study suggest the importance of disseminating distinctive media messages to audiences with different personality traits, which is beneficial for practitioners to tailor specific messages in environmental campaigns.","container-title":"International Journal of Environmental Research and Public Health","DOI":"10.3390/ijerph17072314","ISSN":"1660-4601","issue":"7","journalAbbreviation":"IJERPH","language":"en","page":"2314","source":"DOI.org (Crossref)","title":"Personal and Media Factors Related to Citizens’ Pro-environmental Behavioral Intention against Haze in China: A Moderating Analysis of TPB","title-short":"Personal and Media Factors Related to Citizens’ Pro-environmental Behavioral Intention against Haze in China","volume":"17","author":[{"family":"Yang","given":"Xiaodong"},{"family":"Chen","given":"Liang"},{"family":"Wei","given":"Lai"},{"family":"Su","given":"Qi"}],"issued":{"date-parts":[["2020",3,30]]}}}],"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Yang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on e-waste management issues have utilized the TPB as a theoretical framework. In this regard, it is reasonable to adopt the TPB in the conceptual framework to facilitate the analysis of millennials’ intention towards performing EWR. TPB’s suitability in assessing millennials’ intentions towards undertaking EWR is further confirmed by its predictive capacity of recycling intention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{"citationID":"uK2qBtzd","properties":{"formattedCitation":"(X. Yang et al., 2020)","plainCitation":"(X. Yang et al., 2020)","dontUpdate":true,"noteIndex":0},"citationItems":[{"id":4188,"uris":["http://zotero.org/users/local/b6CRLSJH/items/BPBXUJFP"],"itemData":{"id":4188,"type":"article-journal","abstract":"This study extends the theory of planned behavior by taking communication factors into account to examine the determinants of pro-environmental behavioral intention in haze mitigation. Unlike other theory of planned behavior (TPB) extension studies, we shift the focus of inquiry from examining the mediating role of TPB variables to investigating the moderating role in promoting pro-environmental behavior. Using an online survey in China, the results indicated that attitude, subjective norms, perceived behavioral control, and attention to haze-related efficacy messages were positively associated with pro-environmental behavioral intention. Notably, attention to haze-related threat messages had no significant relationship with behavioral intention. Moreover, moderation analyses revealed that the interaction effects between attention to efficacy messages and attention to threat messages on behavioral intention vary among people with different attitude, subjective norms, and perceived behavioral control. Theoretically, this study contributes to the literature of the TPB by analyzing its moderating role in promoting behavior change. Findings from this study suggest the importance of disseminating distinctive media messages to audiences with different personality traits, which is beneficial for practitioners to tailor specific messages in environmental campaigns.","container-title":"International Journal of Environmental Research and Public Health","DOI":"10.3390/ijerph17072314","ISSN":"1660-4601","issue":"7","journalAbbreviation":"IJERPH","language":"en","page":"2314","source":"DOI.org (Crossref)","title":"Personal and Media Factors Related to Citizens’ Pro-environmental Behavioral Intention against Haze in China: A Moderating Analysis of TPB","title-short":"Personal and Media Factors Related to Citizens’ Pro-environmental Behavioral Intention against Haze in China","volume":"17","author":[{"family":"Yang","given":"Xiaodong"},{"family":"Chen","given":"Liang"},{"family":"Wei","given":"Lai"},{"family":"Su","given":"Qi"}],"issued":{"date-parts":[["2020",3,30]]}}}],"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Yang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w:t>
      </w:r>
    </w:p>
    <w:p w14:paraId="1FBE8ADC" w14:textId="4F39F90B"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Based on the TPB, the PBC, which takes place in e-waste recycling, reﬂects an individual’s perceived ease or di</w:t>
      </w:r>
      <w:r w:rsidRPr="00597FFB">
        <w:rPr>
          <w:rFonts w:ascii="Cambria Math" w:hAnsi="Cambria Math" w:cs="Cambria Math"/>
          <w:color w:val="000000" w:themeColor="text1"/>
          <w:kern w:val="24"/>
          <w:sz w:val="24"/>
          <w:szCs w:val="24"/>
          <w:lang w:eastAsia="ja-JP"/>
        </w:rPr>
        <w:t>ﬃ</w:t>
      </w:r>
      <w:r w:rsidRPr="00597FFB">
        <w:rPr>
          <w:rFonts w:ascii="Times New Roman" w:hAnsi="Times New Roman" w:cs="Times New Roman"/>
          <w:color w:val="000000" w:themeColor="text1"/>
          <w:kern w:val="24"/>
          <w:sz w:val="24"/>
          <w:szCs w:val="24"/>
          <w:lang w:eastAsia="ja-JP"/>
        </w:rPr>
        <w:t xml:space="preserve">culty in performing this behavior. This idea is depicted in the ABC-Model (ABC-Hypothesis), which reveals that if external conditions I are unfavorable, then the impact of attitudes (A) on behavior (B) will be weak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{"citationID":"gu99978W","properties":{"formattedCitation":"(Dhir, Koshta, et al. 2021)","plainCitation":"(Dhir, Koshta, et al. 2021)","dontUpdate":true,"noteIndex":0},"citationItems":[{"id":2854,"uris":["http://zotero.org/users/local/b6CRLSJH/items/MWLGW2YZ"],"itemData":{"id":2854,"type":"article-journal","abstract":"Each year, millions of tons of electronic waste (or e-waste) are generated worldwide, thus, fueling concerns among scholars, practitioners, policymakers, and governments about e-waste recycling and management. The past few years have witnessed a growing interest among scholars to examine the behavioral issues concerning e-waste recycling. However, most of the existing studies have focused on adopting e-waste recycling and related innovations. It is already known that ‘reasons for’ and ‘reasons against’ the adoption of any innovation are quantitatively different. The current study bridges this gap by utilizing a novel consumer behavior framework called behavioral reasoning theory (BRT) to study ewaste recycling attitudes and intentions. The study examined the relative inﬂuence of ‘reasons for’ and ‘reasons against’ in predicting attitude and intentions within the context of e-waste recycling by using a single framework. The developed model was tested using structural equation modeling with 774 Japanese consumers. The study also examined the moderating role of environmental assessment and environmental concerns in inﬂuencing the studied associations. The results suggest that ‘reasons for’ was positively associated with attitude and intentions. The consumer values shared negative associations only with ‘reasons against.’ The study ﬁndings offer interesting insights for service providers, policymakers, and governments.","container-title":"Journal of Cleaner Production","DOI":"10.1016/j.jclepro.2020.124269","ISSN":"09596526","journalAbbreviation":"Journal of Cleaner Production","language":"en","page":"124269","source":"DOI.org (Crossref)","title":"Behavioral reasoning theory (BRT) perspectives on E-waste recycling and management","volume":"280","author":[{"family":"Dhir","given":"Amandeep"},{"family":"Koshta","given":"Nitin"},{"family":"Goyal","given":"Raman Kumar"},{"family":"Sakashita","given":"Mototaka"},{"family":"Almotairi","given":"Mohammad"}],"issued":{"date-parts":[["2021",1]]}}}],"schema":"https://github.com/citation-style-language/schema/raw/master/csl-citation.json"}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(Dhir, Koshta,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In a similar vein, when the C-determinant (techno-organizational factors) has extreme values, the signiﬁcance of the A-determinant (socio-psychological factors) to the B-determinant (behavior) decreases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{"citationID":"M3nlndek","properties":{"formattedCitation":"(Canova et al. 2020)","plainCitation":"(Canova et al. 2020)","dontUpdate":true,"noteIndex":0},"citationItems":[{"id":4092,"uris":["http://zotero.org/users/local/b6CRLSJH/items/MNKIP24D"],"itemData":{"id":4092,"type":"article-journal","container-title":"Frontiers in Psychology","DOI":"10.3389/fpsyg.2020.575820","ISSN":"1664-1078","journalAbbreviation":"Front. Psychol.","page":"575820","source":"DOI.org (Crossref)","title":"Buying Organic Food Products: The Role of Trust in the Theory of Planned Behavior","title-short":"Buying Organic Food Products","volume":"11","author":[{"family":"Canova","given":"Luigina"},{"family":"Bobbio","given":"Andrea"},{"family":"Manganelli","given":"Anna Maria"}],"issued":{"date-parts":[["2020",10,23]]}}}],"schema":"https://github.com/citation-style-language/schema/raw/master/csl-citation.json"}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(Canova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Regarding consumer e-waste recycling behavior, if the C-determinant exhibits behavior that enables proper participation, many will participate. The attitude (A-determinant) will not be an essential factor for behavior (B-determinant). If the C-determinant makes the action very di</w:t>
      </w:r>
      <w:r w:rsidRPr="00597FFB">
        <w:rPr>
          <w:rFonts w:ascii="Cambria Math" w:hAnsi="Cambria Math" w:cs="Cambria Math"/>
          <w:color w:val="000000" w:themeColor="text1"/>
          <w:kern w:val="24"/>
          <w:sz w:val="24"/>
          <w:szCs w:val="24"/>
          <w:lang w:eastAsia="ja-JP"/>
        </w:rPr>
        <w:t>ﬃ</w:t>
      </w:r>
      <w:r w:rsidRPr="00597FFB">
        <w:rPr>
          <w:rFonts w:ascii="Times New Roman" w:hAnsi="Times New Roman" w:cs="Times New Roman"/>
          <w:color w:val="000000" w:themeColor="text1"/>
          <w:kern w:val="24"/>
          <w:sz w:val="24"/>
          <w:szCs w:val="24"/>
          <w:lang w:eastAsia="ja-JP"/>
        </w:rPr>
        <w:t xml:space="preserve">cult, few will participate, irrespective of the A-determinant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{"citationID":"KNIihdYN","properties":{"formattedCitation":"(Garg 2021a)","plainCitation":"(Garg 2021a)","dontUpdate":true,"noteIndex":0},"citationItems":[{"id":1233,"uris":["http://zotero.org/users/local/b6CRLSJH/items/NWAPRVSV"],"itemData":{"id":1233,"type":"article-journal","abstract":"E-waste problem is putting pressure on environmental agencies, government, original equipment manufacturers of developing nations like India to adopt, develop and innovate environment friendly ewaste mitigation strategies, with the objective to manage and control the ever growing threat of e-waste to the environment, society and human health. Moreover, increasing producer responsibility, informal recycling practices and disposal issues have given attention to adopt mitigation strategies for successful implementation of e-waste management system. This study acknowledges the critical strategies to recover resources along with processing and treatment of toxic and hazardous component of e-waste mitigation and management which is immediate and existing challenge for India. A combined framework based on Grey concept and DEMATEL technique has been proposed in this work to determine the interdependence among the e-waste mitigation strategies (MS) by cause/effect analysis. This study has revealed that ‘top management initiation and commitment towards return management’ is the most imperative and driving strategy in the e-waste management and control. It also inﬂuences the other existing strategies. This work has also highlighted that e-waste mitigation can be effective if it concentrates on effective implementation of e-waste policy, directives and regulations such as extended producer responsibility (EPR), advance recycling fee (ARF) etc., technological and green innovations in recycling network and strategic alliance among supply chain partners and e-waste recyclers (in-house and outsource service provider) in Indian scenario in the management of e-waste issues. The cause eeffect relationships are helpful to the managers, Government agencies and policy makers to learn crucial causal strategies that require imperative emphasis in dealing with e-waste issues in India. Sensitivity analysis was also conducted to test the robustness of the proposed framework.","container-title":"Journal of Cleaner Production","DOI":"10.1016/j.jclepro.2020.124035","ISSN":"09596526","journalAbbreviation":"Journal of Cleaner Production","language":"en","page":"124035","source":"DOI.org (Crossref)","title":"Modeling the e-waste mitigation strategies using grey-theory and DEMATEL framework","volume":"281","author":[{"family":"Garg","given":"Chandra Prakash"}],"issued":{"date-parts":[["2021",1]]}}}],"schema":"https://github.com/citation-style-language/schema/raw/master/csl-citation.json"}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(Garg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p>
    <w:p w14:paraId="6BE1D57D" w14:textId="77777777"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Expanding the TPB to examine the influence of identity and self-construal on green behavioral intentions, Chao et al. (2021) indicated that the way people define themselves influences their intention to save the environment significantly. Chen (2020) applied the TPB model to predict the impact of sustainable value on the loyalty towards public bikes in Taipei. The model explained more than 70% of the variance in the preserving attitude toward the natural environment with PBC and subjective norms influencing loyalty for both non-users and users of the bikes the strongest.</w:t>
      </w:r>
    </w:p>
    <w:p w14:paraId="51C805C2" w14:textId="16790519"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{"citationID":"wVZpg1Kv","properties":{"formattedCitation":"(Chao et al., 2021)","plainCitation":"(Chao et al., 2021)","dontUpdate":true,"noteIndex":0},"citationItems":[{"id":2397,"uris":["http://zotero.org/users/local/b6CRLSJH/items/8DS8LP8N"],"itemData":{"id":2397,"type":"article-journal","abstract":"Purpose – The purpose of this study is to develop and empirically test a model that can predict factors affecting student recycling behavior. The theoretical model was based on motivation, place attachment, environmental concern and interpersonal altruism.","container-title":"International Journal of Sustainability in Higher Education","DOI":"10.1108/IJSHE-07-2020-0232","ISSN":"1467-6370, 1467-6370","issue":"ahead-of-print","journalAbbreviation":"IJSHE","language":"en","source":"DOI.org (Crossref)","title":"Understanding the factors influencing recycling behavior in college students: the role of interpersonal altruism and environmental concern","title-short":"Understanding the factors influencing recycling behavior in college students","URL":"https://www.emerald.com/insight/content/doi/10.1108/IJSHE-07-2020-0232/full/html","volume":"ahead-of-print","author":[{"family":"Chao","given":"Cheng-Min"},{"family":"Yu","given":"Tai-Kuei"},{"family":"Yu","given":"Tai-Yi"}],"accessed":{"date-parts":[["2021",5,25]]},"issued":{"date-parts":[["2021",2,1]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Chao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adopted the TPB to understand the environmental boycott behavior of Chinese consumers. The finding revealed that consumer’s' sense of environmental safety, subjective norms, and perceived behavioral control significantly influence green purchase decisions and put boycott behavior intention into action. Wang (2020) demonstrated that the constructs of TPB strongly predict people’s willingness to buy appliances that save energy consumption. Aboelmaged (2021) revealed that subjective norms, environmental attitudes, and perceived green readiness influenced managers and senior management’s decisions to green human resource initiatives by extending the TPB to green workplace context. Examining the determinants of waste separation among Malaysian households,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{"citationID":"nExUEtDQ","properties":{"formattedCitation":"(Razali et al., 2020)","plainCitation":"(Razali et al., 2020)","dontUpdate":true,"noteIndex":0},"citationItems":[{"id":4098,"uris":["http://zotero.org/users/local/b6CRLSJH/items/SJL98FQM"],"itemData":{"id":4098,"type":"article-journal","container-title":"Journal of Cleaner Production","DOI":"10.1016/j.jclepro.2020.122025","ISSN":"09596526","journalAbbreviation":"Journal of Cleaner Production","language":"en","page":"122025","source":"DOI.org (Crossref)","title":"Waste separation at source behaviour among Malaysian households: The Theory of Planned Behaviour with moral norm","title-short":"Waste separation at source behaviour among Malaysian households","volume":"271","author":[{"family":"Razali","given":"Fitriyah"},{"family":"Daud","given":"Dzurllkanian"},{"family":"Weng-Wai","given":"Choong"},{"family":"Anthony Jiram","given":"Wilson Rangga"}],"issued":{"date-parts":[["2020",10]]}}}],"schema":"https://github.com/citation-style-language/schema/raw/master/csl-citation.json"}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Razali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asserted that subjective norms, attitudes, and PBC positively affected the households’ engagement in waste separation activities. Recently, Yarimoglu and Gunay (2020) established that most of the constructs in the TPB are substantial determinants of intention to visit green hotels among Turkish customers. This is because they found that all the TPB constructs influenced the intention of Turkish customers opting for green hotels.</w:t>
      </w:r>
    </w:p>
    <w:p w14:paraId="0191CC4E" w14:textId="77777777"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eastAsia="Calibri" w:hAnsi="Times New Roman" w:cs="Times New Roman"/>
          <w:color w:val="000000" w:themeColor="text1"/>
          <w:kern w:val="24"/>
          <w:sz w:val="24"/>
          <w:szCs w:val="24"/>
          <w:lang w:eastAsia="ja-JP"/>
        </w:rPr>
        <w:t>Applying the notion of TPB to EWR, this study proposes that, as millennials’ intention to perform e-waste recycling increases, their attitude towards e-waste recycling becomes more favorable. Also, millenials' intention towards achieving e-waste recycling is assumed to increase when consumers feel the urge to behave pro-environmentally due to their relevant social milieus like family members, friends, or mass media, and when they perceive ease to perform it (</w:t>
      </w:r>
      <w:r w:rsidRPr="00597FFB">
        <w:rPr>
          <w:rFonts w:ascii="Times New Roman" w:eastAsia="Calibri" w:hAnsi="Times New Roman" w:cs="Times New Roman"/>
          <w:noProof/>
          <w:color w:val="000000" w:themeColor="text1"/>
          <w:kern w:val="24"/>
          <w:sz w:val="24"/>
          <w:szCs w:val="24"/>
          <w:lang w:eastAsia="ja-JP"/>
        </w:rPr>
        <w:t>Ramzan et al.</w:t>
      </w:r>
      <w:r w:rsidRPr="00597FFB">
        <w:rPr>
          <w:rFonts w:ascii="Times New Roman" w:eastAsia="Calibri" w:hAnsi="Times New Roman" w:cs="Times New Roman"/>
          <w:color w:val="000000" w:themeColor="text1"/>
          <w:kern w:val="24"/>
          <w:sz w:val="24"/>
          <w:szCs w:val="24"/>
          <w:lang w:eastAsia="ja-JP"/>
        </w:rPr>
        <w:t xml:space="preserve">, 2020). These correlations among the TPB variables have been supported by the results of a review of 24 independent studies on recycling conducted by Wang et al. (2019). </w:t>
      </w:r>
      <w:r w:rsidRPr="00597FFB">
        <w:rPr>
          <w:rFonts w:ascii="Times New Roman" w:hAnsi="Times New Roman" w:cs="Times New Roman"/>
          <w:color w:val="000000" w:themeColor="text1"/>
          <w:kern w:val="24"/>
          <w:sz w:val="24"/>
          <w:szCs w:val="24"/>
          <w:lang w:eastAsia="ja-JP"/>
        </w:rPr>
        <w:t>As a result, the intention to perform is the immediate antecedent of behavior and expresses personal behavioral commitment. The stronger the intention of engaging in the behavior is, the more likely it is to occur (Ajzen, 1991).</w:t>
      </w:r>
    </w:p>
    <w:p w14:paraId="5157843B" w14:textId="77777777" w:rsidR="001A7901" w:rsidRPr="00597FFB" w:rsidRDefault="001A7901" w:rsidP="00A558FE">
      <w:pPr>
        <w:widowControl w:val="0"/>
        <w:spacing w:before="26" w:after="26" w:line="480" w:lineRule="auto"/>
        <w:ind w:right="360" w:firstLine="720"/>
        <w:jc w:val="both"/>
        <w:rPr>
          <w:rFonts w:ascii="Times New Roman" w:eastAsia="Calibri" w:hAnsi="Times New Roman" w:cs="Times New Roman"/>
          <w:color w:val="000000" w:themeColor="text1"/>
          <w:kern w:val="24"/>
          <w:sz w:val="24"/>
          <w:szCs w:val="24"/>
          <w:lang w:eastAsia="ja-JP"/>
        </w:rPr>
      </w:pPr>
      <w:r w:rsidRPr="00597FFB">
        <w:rPr>
          <w:rFonts w:ascii="Times New Roman" w:eastAsia="Calibri" w:hAnsi="Times New Roman" w:cs="Times New Roman"/>
          <w:color w:val="000000" w:themeColor="text1"/>
          <w:kern w:val="24"/>
          <w:sz w:val="24"/>
          <w:szCs w:val="24"/>
          <w:lang w:eastAsia="ja-JP"/>
        </w:rPr>
        <w:t xml:space="preserve">These correlations among the TPB variables have been supported by the results of a review of another 24 independent studies on recycling conducted by </w:t>
      </w:r>
      <w:r w:rsidRPr="00597FFB">
        <w:rPr>
          <w:rFonts w:ascii="Times New Roman" w:eastAsia="Calibri" w:hAnsi="Times New Roman" w:cs="Times New Roman"/>
          <w:noProof/>
          <w:color w:val="000000" w:themeColor="text1"/>
          <w:kern w:val="24"/>
          <w:sz w:val="24"/>
          <w:szCs w:val="24"/>
          <w:lang w:eastAsia="ja-JP"/>
        </w:rPr>
        <w:t>Razali</w:t>
      </w:r>
      <w:r w:rsidRPr="00597FFB">
        <w:rPr>
          <w:rFonts w:ascii="Times New Roman" w:eastAsia="Calibri" w:hAnsi="Times New Roman" w:cs="Times New Roman"/>
          <w:color w:val="000000" w:themeColor="text1"/>
          <w:kern w:val="24"/>
          <w:sz w:val="24"/>
          <w:szCs w:val="24"/>
          <w:lang w:eastAsia="ja-JP"/>
        </w:rPr>
        <w:t xml:space="preserve"> et al. (2020). Here, the authors proved that recycling behavior is indeed predicted by intention. Besides, attitude towards recycling and PBC were the most potent predictors of behavioral intention towards recycling, even if they varied considerably. On the contrary, the subjective norm indicated relatively low importance among these studies. This recorded a weak influence of subjective norm on behavioral intention. Normative under the attitudinal component’s inferiority is well-known and confirmed in Ajzen’s (1991) review comprising about 16 studies on predicting intention. The review of the 16 studies showed that the three TPB predictors (attitude, PBC, and subjective norms) explained a significant amount of variance on intention with the correlations ranging between 0.43 and 0.94 translating to a 0.71 average correlation coefficient. Another important observation was that including PBC into the model improved prediction of intentions considerably (Ajzen, 1991).</w:t>
      </w:r>
    </w:p>
    <w:p w14:paraId="3844A8E6" w14:textId="77777777" w:rsidR="009F1C8C"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Islam et al. (2021) explored young consumer’s recycling practices with e-waste using TPB and found a disconnect between consumer awareness attitudes and recycling habits due to severe lack of knowledge concerning existing recycling programs and collection points</w:t>
      </w:r>
      <w:r w:rsidRPr="00597FFB">
        <w:rPr>
          <w:rFonts w:ascii="Times New Roman" w:hAnsi="Times New Roman" w:cs="Times New Roman"/>
          <w:color w:val="000000" w:themeColor="text1"/>
          <w:kern w:val="24"/>
          <w:sz w:val="24"/>
          <w:szCs w:val="24"/>
          <w:lang w:eastAsia="ja-JP"/>
        </w:rPr>
        <w:t xml:space="preserve">. Nguyen et al. (2018) suggests that attitude positively influences e-waste recycling intentions whereas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{"citationID":"rXK9dPOn","properties":{"formattedCitation":"(Kumar &amp; Dixit, 2018)","plainCitation":"(Kumar &amp; Dixit, 2018)","dontUpdate":true,"noteIndex":0},"citationItems":[{"id":1956,"uris":["http://zotero.org/users/local/b6CRLSJH/items/8ND9P3IE"],"itemData":{"id":1956,"type":"article-journal","abstract":"Today, e-waste management practices are gaining momentum because of the global environmental regulations, but the presence of barriers makes the implementation of e-waste management difficult. Moreover, e-waste contains valuable metals as a well as hazardous substance that has more deceptive impacts on the ecosystem. This study aims to identify ten barriers based on the literature and the perceptions of experts involved in e-waste management issues. In this paper, we employed an interpretive structural modeling (ISM) and Decision Making Trail and Evaluation Laboratory (DEMATEL) for understanding the hierarchal and contextual relationship structure among the barriers of e-waste management. The study shows that no autonomous barriers are present in the course of study. The result suggests that the lack of public awareness about e-waste recycling and the lack of policies addressing e-waste issues are the root cause barriers as depicted by the novel ISM-DEMATEL based methodology. This present novel model helps the policy and decision maker’s to find out the mutual relationship and interlinking among the barriers.","container-title":"Sustainable Production and Consumption","DOI":"10.1016/j.spc.2018.01.002","ISSN":"23525509","journalAbbreviation":"Sustainable Production and Consumption","language":"en","page":"36-52","source":"DOI.org (Crossref)","title":"An analysis of barriers affecting the implementation of e-waste management practices in India: A novel ISM-DEMATEL approach","title-short":"An analysis of barriers affecting the implementation of e-waste management practices in India","volume":"14","author":[{"family":"Kumar","given":"Ashwani"},{"family":"Dixit","given":"Gaurav"}],"issued":{"date-parts":[["2018",4]]}}}],"schema":"https://github.com/citation-style-language/schema/raw/master/csl-citation.json"}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Kumar and Dixit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did not find any association between the two. In the case of subjective norms, Kumar and Dixit (2018) and Kumar (2019) supported a positive association with e-waste recycling intentions, but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{"citationID":"vvDZ8Krz","properties":{"formattedCitation":"(Kianpour et al., 2017)","plainCitation":"(Kianpour et al., 2017)","dontUpdate":true,"noteIndex":0},"citationItems":[{"id":4105,"uris":["http://zotero.org/users/local/b6CRLSJH/items/GE7FQ9VN"],"itemData":{"id":4105,"type":"article-journal","container-title":"Sustainability","DOI":"10.3390/su9091657","ISSN":"2071-1050","issue":"9","journalAbbreviation":"Sustainability","language":"en","page":"1657","source":"DOI.org (Crossref)","title":"Factors Influencing Consumers’ Intention to Return the End of Life Electronic Products through Reverse Supply Chain Management for Reuse, Repair and Recycling","volume":"9","author":[{"family":"Kianpour","given":"Kamyar"},{"family":"Jusoh","given":"Ahmad"},{"family":"Mardani","given":"Abbas"},{"family":"Streimikiene","given":"Dalia"},{"family":"Cavallaro","given":"Fausto"},{"family":"Nor","given":"Khalil Md."},{"family":"Zavadskas","given":"Edmundas"}],"issued":{"date-parts":[["2017",9,18]]}}}],"schema":"https://github.com/citation-style-language/schema/raw/master/csl-citation.json"}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Kianpour et al. (2017)</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did not find a significant relationship between subjective norms and e-waste recycling intentions.</w:t>
      </w:r>
      <w:r w:rsidRPr="00597FFB">
        <w:rPr>
          <w:rFonts w:ascii="Times New Roman" w:hAnsi="Times New Roman" w:cs="Times New Roman"/>
          <w:b/>
          <w:bCs/>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Similarly, for PBC,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{"citationID":"EUtyRmVQ","properties":{"formattedCitation":"(Kumar &amp; Dixit, 2018)","plainCitation":"(Kumar &amp; Dixit, 2018)","dontUpdate":true,"noteIndex":0},"citationItems":[{"id":1956,"uris":["http://zotero.org/users/local/b6CRLSJH/items/8ND9P3IE"],"itemData":{"id":1956,"type":"article-journal","abstract":"Today, e-waste management practices are gaining momentum because of the global environmental regulations, but the presence of barriers makes the implementation of e-waste management difficult. Moreover, e-waste contains valuable metals as a well as hazardous substance that has more deceptive impacts on the ecosystem. This study aims to identify ten barriers based on the literature and the perceptions of experts involved in e-waste management issues. In this paper, we employed an interpretive structural modeling (ISM) and Decision Making Trail and Evaluation Laboratory (DEMATEL) for understanding the hierarchal and contextual relationship structure among the barriers of e-waste management. The study shows that no autonomous barriers are present in the course of study. The result suggests that the lack of public awareness about e-waste recycling and the lack of policies addressing e-waste issues are the root cause barriers as depicted by the novel ISM-DEMATEL based methodology. This present novel model helps the policy and decision maker’s to find out the mutual relationship and interlinking among the barriers.","container-title":"Sustainable Production and Consumption","DOI":"10.1016/j.spc.2018.01.002","ISSN":"23525509","journalAbbreviation":"Sustainable Production and Consumption","language":"en","page":"36-52","source":"DOI.org (Crossref)","title":"An analysis of barriers affecting the implementation of e-waste management practices in India: A novel ISM-DEMATEL approach","title-short":"An analysis of barriers affecting the implementation of e-waste management practices in India","volume":"14","author":[{"family":"Kumar","given":"Ashwani"},{"family":"Dixit","given":"Gaurav"}],"issued":{"date-parts":[["2018",4]]}}}],"schema":"https://github.com/citation-style-language/schema/raw/master/csl-citation.json"}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Kumar and Dixit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found a positive association with recycling intentions in the context of e-waste.</w:t>
      </w:r>
    </w:p>
    <w:p w14:paraId="234EEA34" w14:textId="4E300951"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While the TPB emphasizes behavioral intentions, it does not acknowledge the impact of personal norms, habits, and situational circumstances (Sniehotta et al., 2014). In pro-environmental behaviors, the TPB has effectively explained recycling behaviors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{"citationID":"bATA7qRY","properties":{"formattedCitation":"(Anita Kumar, 2019)","plainCitation":"(Anita Kumar, 2019)","dontUpdate":true,"noteIndex":0},"citationItems":[{"id":2445,"uris":["http://zotero.org/users/local/b6CRLSJH/items/Q9NEGSTD"],"itemData":{"id":2445,"type":"article-journal","abstract":"The objective of this research is to explore young adults’ e-waste recycling behaviour cross-culturally using an extended Theory of planned Behaviour (TPB) model. The results of a survey involving respondents from the two culturally-distinct emerging markets showed that the key influencing factors that influenced e-waste recycling behaviour amongst young adults were: Attitude (moderated by a Sense of Duty), Perceived Control, Subjective Norm and Individual Responsibility whereas Convenience and Consequences Awareness constructs did not have significant influence. Cross-cultural differences were also evident as stronger relationships were witnessed for Perceived Control and Subjective Norm constructs for the Chinese young adults’ intention to recycle e-waste. The reverse was found to be true for Attitude (moderated by a Sense of Duty) and Individual Responsibility constructs where stronger relationships were observed in the Indian sample. This research makes a valuable theoretical contribution as it is positioned at the intersection of cross-cultural studies, sustainability and reverse supply chain management areas. This study has practical implication at two levels: the individual actor level and the supply chain level as consumers’ intentions to recycle, underpinned by responsibility towards environment, directly impact the performance of reverse supply chains.","container-title":"Resources, Conservation and Recycling","DOI":"10.1016/j.resconrec.2018.10.013","ISSN":"09213449","journalAbbreviation":"Resources, Conservation and Recycling","language":"en","page":"378-389","source":"DOI.org (Crossref)","title":"Exploring young adults’ e-waste recycling behaviour using an extended theory of planned behaviour model: A cross-cultural study","title-short":"Exploring young adults’ e-waste recycling behaviour using an extended theory of planned behaviour model","volume":"141","author":[{"family":"Kumar","given":"Anita"}],"issued":{"date-parts":[["2019",2]]}}}],"schema":"https://github.com/citation-style-language/schema/raw/master/csl-citation.json"}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(Kumar, 2019)</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public transportation (</w:t>
      </w:r>
      <w:r w:rsidRPr="00597FFB">
        <w:rPr>
          <w:rFonts w:ascii="Times New Roman" w:hAnsi="Times New Roman" w:cs="Times New Roman"/>
          <w:color w:val="000000" w:themeColor="text1"/>
          <w:kern w:val="24"/>
          <w:sz w:val="24"/>
          <w:szCs w:val="24"/>
          <w:lang w:eastAsia="ja-JP"/>
        </w:rPr>
        <w:t>Elhoushy &amp; Lanzini, 2021)</w:t>
      </w:r>
      <w:r w:rsidRPr="00597FFB">
        <w:rPr>
          <w:rFonts w:ascii="Times New Roman" w:eastAsia="Times New Roman" w:hAnsi="Times New Roman" w:cs="Times New Roman"/>
          <w:bCs/>
          <w:color w:val="000000" w:themeColor="text1"/>
          <w:kern w:val="24"/>
          <w:sz w:val="24"/>
          <w:szCs w:val="24"/>
          <w:lang w:eastAsia="ja-JP"/>
        </w:rPr>
        <w:t xml:space="preserve">, energy conservation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{"citationID":"Vwr1c9ab","properties":{"formattedCitation":"(Alao et al. 2020)","plainCitation":"(Alao et al. 2020)","dontUpdate":true,"noteIndex":0},"citationItems":[{"id":1226,"uris":["http://zotero.org/users/local/b6CRLSJH/items/SD9I38X5"],"itemData":{"id":1226,"type":"article-journal","abstract":"Selection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(Nguyen et al., 2018)</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and the purchase of green products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{"citationID":"pX11FIxq","properties":{"formattedCitation":"(Canova, Bobbio, and Manganelli 2020)","plainCitation":"(Canova, Bobbio, and Manganelli 2020)","dontUpdate":true,"noteIndex":0},"citationItems":[{"id":4092,"uris":["http://zotero.org/users/local/b6CRLSJH/items/MNKIP24D"],"itemData":{"id":4092,"type":"article-journal","container-title":"Frontiers in Psychology","DOI":"10.3389/fpsyg.2020.575820","ISSN":"1664-1078","journalAbbreviation":"Front. Psychol.","page":"575820","source":"DOI.org (Crossref)","title":"Buying Organic Food Products: The Role of Trust in the Theory of Planned Behavior","title-short":"Buying Organic Food Products","volume":"11","author":[{"family":"Canova","given":"Luigina"},{"family":"Bobbio","given":"Andrea"},{"family":"Manganelli","given":"Anna Maria"}],"issued":{"date-parts":[["2020",10,23]]}}}],"schema":"https://github.com/citation-style-language/schema/raw/master/csl-citation.json"}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(Canova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r w:rsidRPr="00597FFB">
        <w:rPr>
          <w:rFonts w:ascii="Times New Roman" w:eastAsia="Calibri" w:hAnsi="Times New Roman" w:cs="Times New Roman"/>
          <w:color w:val="000000" w:themeColor="text1"/>
          <w:kern w:val="24"/>
          <w:sz w:val="24"/>
          <w:szCs w:val="24"/>
          <w:lang w:eastAsia="ja-JP"/>
        </w:rPr>
        <w:t xml:space="preserve">Zhang et al. (2020) recorded stronger correlation between subjective norm and recycling intention. Still, there is conflicting evidence on the influence of subjective norms on recycling intentions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{"citationID":"Y3gAJOWa","properties":{"formattedCitation":"(Mahmud et al. 2020)","plainCitation":"(Mahmud et al. 2020)","dontUpdate":true,"noteIndex":0},"citationItems":[{"id":4193,"uris":["http://zotero.org/users/local/b6CRLSJH/items/GLPN9U8Y"],"itemData":{"id":4193,"type":"article-journal","abstract":"Each year Bangladesh produces around 400,000 metric tonnes of e-waste. E-waste accumulation is expected to increase by 20% annually. In order to facilitate e-waste recycling, it is crucial to identify the factors. In this study, building on the stimulus-organism-response framework, we develop a research model to explore the effect of information publicity, ascription of responsibility and convenience of recycling on the recycling attitude, subjective norm, personal norm and perceived behaviour control which lead to recycling intention. Data were gathered from 127 small and medium electronics store managers. The structural equation modelling technique was used to test the paths. The result suggests a significant influence of the element of stimulus (S) on the element of organism (O). The relationship between the element of organism (O) and the element of response (R) is partial. This paper contributes to the body of work dedicated to helping us better understand the recycling behaviour from the stimulus-organism-response perspective. From the viewpoint of practice, this research sheds light on some of the challenges that the implementer might face when making strategy and policy for e-waste management in Bangladesh.","container-title":"Waste Management &amp; Research: The Journal for a Sustainable Circular Economy","DOI":"10.1177/0734242X20914753","ISSN":"0734-242X, 1096-3669","issue":"12","journalAbbreviation":"Waste Manag Res","language":"en","page":"1438-1449","source":"DOI.org (Crossref)","title":"E-waste recycling intention paradigm of small and medium electronics store managers in Bangladesh: An S–O–R perspective","title-short":"E-waste recycling intention paradigm of small and medium electronics store managers in Bangladesh","volume":"38","author":[{"family":"Mahmud","given":"Imran"},{"family":"Sultana","given":"Sadia"},{"family":"Rahman","given":"Ashikur"},{"family":"Ramayah","given":"T."},{"family":"Cheng Ling","given":"Tan"}],"issued":{"date-parts":[["2020",12]]}}}],"schema":"https://github.com/citation-style-language/schema/raw/master/csl-citation.json"}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(Mahmud et al., 2020)</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 xml:space="preserve"> with reasons varying among recycling schemes. For example, Rahman et al. (2020) relates the contradiction to public scrutiny when performing recycling.</w:t>
      </w:r>
      <w:r w:rsidR="00EE7DD9" w:rsidRPr="00597FFB">
        <w:rPr>
          <w:rFonts w:ascii="Times New Roman" w:eastAsia="Calibri" w:hAnsi="Times New Roman" w:cs="Times New Roman"/>
          <w:color w:val="000000" w:themeColor="text1"/>
          <w:kern w:val="24"/>
          <w:sz w:val="24"/>
          <w:szCs w:val="24"/>
          <w:lang w:eastAsia="ja-JP"/>
        </w:rPr>
        <w:t xml:space="preserve"> </w:t>
      </w:r>
      <w:r w:rsidRPr="00597FFB">
        <w:rPr>
          <w:rFonts w:ascii="Times New Roman" w:eastAsia="Calibri" w:hAnsi="Times New Roman" w:cs="Times New Roman"/>
          <w:color w:val="000000" w:themeColor="text1"/>
          <w:kern w:val="24"/>
          <w:sz w:val="24"/>
          <w:szCs w:val="24"/>
          <w:lang w:eastAsia="ja-JP"/>
        </w:rPr>
        <w:t xml:space="preserve">When people carry out recycling in privacy, the subjective norm is less relevant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{"citationID":"nuBqggOV","properties":{"formattedCitation":"(Rahman, Teoh, and Mahmud 2020)","plainCitation":"(Rahman, Teoh, and Mahmud 2020)","dontUpdate":true,"noteIndex":0},"citationItems":[{"id":4195,"uris":["http://zotero.org/users/local/b6CRLSJH/items/DG3FSIJQ"],"itemData":{"id":4195,"type":"article-journal","abstract":"Bangladesh observes the production of approximately 400,000 metric tonnes of e-waste every year. It is expected that it will witness a 20% increase annually. In order to implement e-waste recycling, it is essential to uncover the influencing factors. In this study, electronic shop owners act as one of the major players responsible for the aggregation of e-waste in the country. Based on Value-Belief-Norm Theory, Self Determination Theory and synthesizing relevant literature in the body of knowledge, this paper presents an integrated conceptual model consisting Altruistic values, Egoistic values, Biosphric values, Environmental belief, Personal norm, Intrinsic motivation and Extrinsic motivation, which are predicted to influence e-waste separation intention in Bangladesh. From a practical point of view, this research sheds light on key determinants that affect separation intention, in which practitioners need to consider when developing strategies concerning e-waste management and policies in Bangladesh.","container-title":"International Journal of Industrial Management","DOI":"10.15282/ijim.5.0.2020.5620","ISSN":"0127-564X, 2289-9286","journalAbbreviation":"IJIM","page":"29-37","source":"DOI.org (Crossref)","title":"FACTORS INFLUENCING ELECTRONIC WASTE (E-WASTE) SEPARATION INTENTION OF ELECTRONIC SHOP OWNERS IN BANGLADESH: A CONCEPTUAL MODEL","title-short":"FACTORS INFLUENCING ELECTRONIC WASTE (E-WASTE) SEPARATION INTENTION OF ELECTRONIC SHOP OWNERS IN BANGLADESH","volume":"5","author":[{"family":"Rahman","given":"Ashikur"},{"family":"Teoh","given":"Ai Ping"},{"family":"Mahmud","given":"Imran"}],"issued":{"date-parts":[["2020",1,14]]}}}],"schema":"https://github.com/citation-style-language/schema/raw/master/csl-citation.json"}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(Rahman et al., 2020)</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 xml:space="preserve">. Zhang and Wang (2020) also found social pressure to be a motivator when participating in the novel than mature recycling schemes. E-waste recycling is one such scheme. Yet, in its maturing phase that is further installed in public places, the subjective norm is considered to align to the current study’s purpose comprehensively. Moreover, the subjective norm, a construct addressed in the NAT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{"citationID":"aj91XdL7","properties":{"formattedCitation":"(Schwartz, 1977)","plainCitation":"(Schwartz, 1977)","noteIndex":0},"citationItems":[{"id":1321,"uris":["http://zotero.org/users/local/b6CRLSJH/items/KSMNJBQS"],"itemData":{"id":1321,"type":"chapter","container-title":"Advances in Experimental Social Psychology","ISBN":"978-0-12-015210-0","language":"en","note":"DOI: 10.1016/S0065-2601(08)60358-5","page":"221-279","publisher":"Elsevier","source":"DOI.org (Crossref)","title":"Normative Influences on Altruism","URL":"https://linkinghub.elsevier.com/retrieve/pii/S0065260108603585","volume":"10","author":[{"family":"Schwartz","given":"Shalom H."}],"accessed":{"date-parts":[["2021",4,16]]},"issued":{"date-parts":[["1977"]]}}}],"schema":"https://github.com/citation-style-language/schema/raw/master/csl-citation.json"}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003F0AE2" w:rsidRPr="00597FFB">
        <w:rPr>
          <w:rFonts w:ascii="Times New Roman" w:hAnsi="Times New Roman" w:cs="Times New Roman"/>
          <w:sz w:val="24"/>
          <w:lang w:eastAsia="ja-JP"/>
        </w:rPr>
        <w:t>(Schwartz, 1977)</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 xml:space="preserve"> and subsequently used in the current study to supplement the TPB, was influential on the personal norm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{"citationID":"3LrFYn23","properties":{"formattedCitation":"(Arli et al. 2020)","plainCitation":"(Arli et al. 2020)","dontUpdate":true,"noteIndex":0},"citationItems":[{"id":4194,"uris":["http://zotero.org/users/local/b6CRLSJH/items/K3CUFWD5"],"itemData":{"id":4194,"type":"article-journal","container-title":"International Journal of Nonprofit and Voluntary Sector Marketing","DOI":"10.1002/nvsm.1653","ISSN":"1465-4520, 1479-103X","issue":"2","journalAbbreviation":"Int J Nonprofit Volunt Sect Mark","language":"en","source":"DOI.org (Crossref)","title":"Predicting intention to recycle on the basis of the theory of planned behaviour","URL":"https://onlinelibrary.wiley.com/doi/abs/10.1002/nvsm.1653","volume":"25","author":[{"family":"Arli","given":"Denni"},{"family":"Badejo","given":"Abi"},{"family":"Carlini","given":"Joan"},{"family":"France","given":"Cassandra"},{"family":"Jebarajakirthy","given":"Charles"},{"family":"Knox","given":"Kathy"},{"family":"Pentecost","given":"Robin"},{"family":"Perkins","given":"Helen"},{"family":"Thaichon","given":"Park"},{"family":"Sarker","given":"Tapan"},{"family":"Wright","given":"Owen"}],"accessed":{"date-parts":[["2021",6,23]]},"issued":{"date-parts":[["2020",5]]}}}],"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(Arli et al., 2020)</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w:t>
      </w:r>
    </w:p>
    <w:p w14:paraId="783D232A" w14:textId="77777777" w:rsidR="009F1C8C" w:rsidRPr="00597FFB" w:rsidRDefault="001A7901" w:rsidP="00A558FE">
      <w:pPr>
        <w:widowControl w:val="0"/>
        <w:spacing w:after="0" w:line="480" w:lineRule="auto"/>
        <w:ind w:firstLine="720"/>
        <w:jc w:val="both"/>
        <w:rPr>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Comparatively several articles (Dhir et al., 2021; Kianpour et al., 2017; Kumar, 2019; Wang et al., 2019) have examined the influence of perceived benefits and risks on consumers’ recycling intention. For instance, Dhir et al. (2021) found that the personal and environmental benefits of e-waste recycling positively influenced consumer intentions. Similarly, Wang et al. (2019) had reported that the economic benefit associated with e-waste recycling positively influenced consumer’s' intentions. Conversely, Kianpour et al. (2017) found no significant association between financial incentives and recycling intention. Kumar (2019) also showed that perceived risk, measured as consequence awareness, did not correlate with recycling intention. </w:t>
      </w:r>
    </w:p>
    <w:p w14:paraId="0E57438E" w14:textId="375FFB6C" w:rsidR="001A7901" w:rsidRPr="00597FFB" w:rsidRDefault="001A7901" w:rsidP="00A558FE">
      <w:pPr>
        <w:widowControl w:val="0"/>
        <w:spacing w:after="0" w:line="480" w:lineRule="auto"/>
        <w:ind w:firstLine="720"/>
        <w:jc w:val="both"/>
        <w:rPr>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their study on smartphone recycling intentions,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{"citationID":"oMHfJCua","properties":{"formattedCitation":"(Y. Zhang et al., 2020)","plainCitation":"(Y. Zhang et al., 2020)","dontUpdate":true,"noteIndex":0},"citationItems":[{"id":2565,"uris":["http://zotero.org/users/local/b6CRLSJH/items/FK68YPWZ"],"itemData":{"id":2565,"type":"article-journal","abstract":"Based on the theory of planned behavior (TPB), this article analyses how conscientiousness and risk perception inﬂuence consumers’ behavior intentions in regard to smartphone recycling. We carried out ﬁeld research in Anhui Province, China and collected 802 valid questionnaires as basic data for this study. The empirical results of structural equation model (SEM) indicate that conscientiousness is positively related to attitude, subjective norm, and perceived behavioral control towards smartphone recycling, while attitude, subjective norm, and past behavior are positively related to smartphone recycling intention. Attitude and subjective norm mediate the relationship between conscientiousness and smartphone recycling intention. In addition, we found that risk perception moderates the relationships between conscientiousness and attitude, subjective norm, perceived behavioral control, and past behavior. Theoretical and practical implications, limitations of the study, and future directions are discussed.","container-title":"Waste Management","DOI":"10.1016/j.wasman.2019.09.040","ISSN":"0956053X","journalAbbreviation":"Waste Management","language":"en","page":"116-125","source":"DOI.org (Crossref)","title":"Conscientiousness and smartphone recycling intention: The moderating effect of risk perception","title-short":"Conscientiousness and smartphone recycling intention","volume":"101","author":[{"family":"Zhang","given":"Yue"},{"family":"Wu","given":"Song"},{"family":"Rasheed","given":"Muhammad Imran"}],"issued":{"date-parts":[["2020",1]]}}}],"schema":"https://github.com/citation-style-language/schema/raw/master/csl-citation.json"}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Zhang et al. (2020)</w:t>
      </w:r>
      <w:r w:rsidRPr="00597FFB">
        <w:rPr>
          <w:rFonts w:ascii="Times New Roman" w:hAnsi="Times New Roman" w:cs="Times New Roman"/>
          <w:color w:val="000000" w:themeColor="text1"/>
          <w:kern w:val="24"/>
          <w:sz w:val="24"/>
          <w:szCs w:val="24"/>
          <w:lang w:eastAsia="ja-JP"/>
        </w:rPr>
        <w:fldChar w:fldCharType="end"/>
      </w:r>
      <w:r w:rsidR="00F96C8D"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reported that consumers were less likely to recycle their obsolete smartphones if they perceived high risk of their personal information being stolen from them.</w:t>
      </w:r>
      <w:r w:rsidRPr="00597FFB">
        <w:rPr>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Consequently, it has been observed that the majority of the researches utilizing the TPB as a theoretical framework, especially in the context of recycling behavior, have attempted to integrate additional predictors (Zhang et al., 2020)</w:t>
      </w:r>
      <w:r w:rsidR="00945F50" w:rsidRPr="00597FFB">
        <w:rPr>
          <w:rFonts w:ascii="Times New Roman" w:hAnsi="Times New Roman" w:cs="Times New Roman"/>
          <w:color w:val="000000" w:themeColor="text1"/>
          <w:kern w:val="24"/>
          <w:sz w:val="24"/>
          <w:szCs w:val="24"/>
          <w:lang w:eastAsia="ja-JP"/>
        </w:rPr>
        <w:t>.</w:t>
      </w:r>
    </w:p>
    <w:p w14:paraId="2A36AF05" w14:textId="26317343" w:rsidR="00864FCF" w:rsidRPr="00597FFB" w:rsidRDefault="00945F50" w:rsidP="00804602">
      <w:pPr>
        <w:pStyle w:val="Heading3"/>
        <w:spacing w:line="480" w:lineRule="auto"/>
        <w:ind w:firstLine="720"/>
        <w:rPr>
          <w:rFonts w:ascii="Times New Roman" w:hAnsi="Times New Roman" w:cs="Times New Roman"/>
          <w:color w:val="000000" w:themeColor="text1"/>
          <w:kern w:val="24"/>
          <w:sz w:val="24"/>
          <w:szCs w:val="24"/>
          <w:lang w:eastAsia="ja-JP"/>
        </w:rPr>
      </w:pPr>
      <w:bookmarkStart w:id="164" w:name="_Toc127170312"/>
      <w:r w:rsidRPr="00597FFB">
        <w:rPr>
          <w:rFonts w:asciiTheme="majorBidi" w:hAnsiTheme="majorBidi"/>
          <w:i/>
          <w:iCs/>
          <w:color w:val="000000" w:themeColor="text1"/>
          <w:sz w:val="24"/>
          <w:szCs w:val="24"/>
        </w:rPr>
        <w:t xml:space="preserve">3.1.1.3. Attitude </w:t>
      </w:r>
      <w:r w:rsidR="00FE400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owards EWR</w:t>
      </w:r>
      <w:r w:rsidR="009B71FE" w:rsidRPr="00597FFB">
        <w:rPr>
          <w:rFonts w:asciiTheme="majorBidi" w:hAnsiTheme="majorBidi"/>
          <w:i/>
          <w:iCs/>
          <w:color w:val="000000" w:themeColor="text1"/>
          <w:sz w:val="24"/>
          <w:szCs w:val="24"/>
        </w:rPr>
        <w:t>.</w:t>
      </w:r>
      <w:bookmarkEnd w:id="164"/>
    </w:p>
    <w:p w14:paraId="30308421" w14:textId="0EE960E3" w:rsidR="001A7901" w:rsidRPr="00597FFB" w:rsidRDefault="001A7901" w:rsidP="00A558FE">
      <w:pPr>
        <w:widowControl w:val="0"/>
        <w:spacing w:after="0"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According to TPB, the attitude towards particular behavior positively stimulates the intention to do that behavior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{"citationID":"hFgF2uWk","properties":{"formattedCitation":"(Davis, 1989)","plainCitation":"(Davis, 1989)","dontUpdate":true,"noteIndex":0},"citationItems":[{"id":4212,"uris":["http://zotero.org/users/local/b6CRLSJH/items/25BRL6I3"],"itemData":{"id":4212,"type":"article-journal","container-title":"MIS Quarterly","DOI":"10.2307/249008","ISSN":"02767783","issue":"3","journalAbbreviation":"MIS Quarterly","page":"319","source":"DOI.org (Crossref)","title":"Perceived Usefulness, Perceived Ease of Use, and User Acceptance of Information Technology","volume":"13","author":[{"family":"Davis","given":"Fred D."}],"issued":{"date-parts":[["1989",9]]}}}],"schema":"https://github.com/citation-style-language/schema/raw/master/csl-citation.json"}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Ajzen, 1991, 2011; Davis, 1989). Attitude reflects an evaluative response to a specific matter, as either preferred or non-preferred. It is usually a predisposed emotional state concerning a particular object, issue, or entity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{"citationID":"FqAwiHzZ","properties":{"formattedCitation":"(MacLennan, 2020)","plainCitation":"(MacLennan, 2020)","dontUpdate":true,"noteIndex":0},"citationItems":[{"id":4211,"uris":["http://zotero.org/users/local/b6CRLSJH/items/BTCDRL23"],"itemData":{"id":4211,"type":"article-journal","abstract":"Since the renowned terrorist attacks of September 11th, 2001, exclusionary narratives or “othering” have proliferated in the securitized West. Prominently associated with media campaigns, popular culture, or political debates, exclusionary discourses operating within the Canadian judiciary have been largely overlooked. Inspired by the work of Giorgio Agamben and Richard Ericson, this study is a critical discourse analysis of sentencing decisions within five terrorism cases. Findings suggest that “othering” operates in these decisions through seven discursive mechanisms. Those mechanisms construct the offenders as Muslim non-conforming foreign “others” threatening the Canadian nation, and worthy of exclusion. As such, the offenders are seen as deserving of punitive incarceration by the severest extent of the law. The courts also justify this punishment by invoking political imperatives namely the need for the State to preserve its alliance with other nations engaged in the “War on Terrorism” and the necessity to counter the “discontent with the West”. Although limited by legal safeguards, the exceptional state power at play in the post 9/11 era is not without effect on the wider population of Muslim in Canada and abroad.","DOI":"10.20381/RUOR-24736","language":"en","note":"publisher: Université d'Ottawa / University of Ottawa","source":"DOI.org (Datacite)","title":"Constructing the \"Other\": Discursive Mechanisms at Play in the Sentencing of Post 9/11 Canadian Terrorism Cases","title-short":"Constructing the \"Other\"","URL":"http://ruor.uottawa.ca/handle/10393/40503","author":[{"family":"MacLennan","given":"Kirsten"}],"contributor":[{"family":"University","given":"My"},{"family":"University","given":"My"}],"accessed":{"date-parts":[["2021",6,24]]},"issued":{"date-parts":[["2020",5,14]]}}}],"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(MacLennan,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Attitude has also been validated as a predictor of pro-environmental behavior due to its ability to bear uncertainties and risks that stem from adopting a decision (Liu et al., 2018).</w:t>
      </w:r>
    </w:p>
    <w:p w14:paraId="49DE8FA7" w14:textId="57C2869B" w:rsidR="00945F50" w:rsidRPr="00597FFB" w:rsidRDefault="001A7901" w:rsidP="00A558FE">
      <w:pPr>
        <w:spacing w:after="0"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Prior studies (Rajaie et al., 2019; Strydom, 2018; Zhang et al., 2021) have reported some empirical support for the considerable effect of attitudes on pro-environmental intentions. Rajaie et al. (2019) indicated that people’s attitude towards green buildings in Iran significantly influences their tenancy’s intention. Strydom (2018) found that attitude influenced intention to recycle positively and directly although not as much as subjective norm did. Zhang et al. (2021) found that recycling attitude was determinant of Chinese consumers’ intention to recycle mobile phones via formal channels. As such, attitude is expected to influence UAE millennials’ intention to recycle positively.</w:t>
      </w:r>
    </w:p>
    <w:p w14:paraId="3E2E4189" w14:textId="21515719" w:rsidR="00945F50" w:rsidRPr="00597FFB" w:rsidRDefault="00945F50" w:rsidP="00A558FE">
      <w:pPr>
        <w:pStyle w:val="Heading3"/>
        <w:spacing w:line="480" w:lineRule="auto"/>
        <w:ind w:firstLine="720"/>
        <w:rPr>
          <w:rFonts w:ascii="Times New Roman" w:hAnsi="Times New Roman" w:cs="Times New Roman"/>
          <w:color w:val="000000" w:themeColor="text1"/>
          <w:kern w:val="24"/>
          <w:sz w:val="24"/>
          <w:szCs w:val="24"/>
          <w:lang w:eastAsia="ja-JP"/>
        </w:rPr>
      </w:pPr>
      <w:bookmarkStart w:id="165" w:name="_Toc127170313"/>
      <w:r w:rsidRPr="00597FFB">
        <w:rPr>
          <w:rFonts w:asciiTheme="majorBidi" w:hAnsiTheme="majorBidi"/>
          <w:i/>
          <w:iCs/>
          <w:color w:val="000000" w:themeColor="text1"/>
          <w:sz w:val="24"/>
          <w:szCs w:val="24"/>
        </w:rPr>
        <w:t xml:space="preserve">3.1.1.4. Subjective Norm </w:t>
      </w:r>
      <w:r w:rsidR="00FE400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owards EWR</w:t>
      </w:r>
      <w:r w:rsidR="009B71FE" w:rsidRPr="00597FFB">
        <w:rPr>
          <w:rFonts w:asciiTheme="majorBidi" w:hAnsiTheme="majorBidi"/>
          <w:i/>
          <w:iCs/>
          <w:color w:val="000000" w:themeColor="text1"/>
          <w:sz w:val="24"/>
          <w:szCs w:val="24"/>
        </w:rPr>
        <w:t>.</w:t>
      </w:r>
      <w:bookmarkEnd w:id="165"/>
    </w:p>
    <w:p w14:paraId="23B1B686" w14:textId="77777777"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The subjective norm’s concept reflects a person’s feelings of social pressure regarding whether or not to conduct a particular behavior (Ajzen, 1991). It is the process by which an individual’s views, opinions, emotions, and judgments are affected by the prospects of a reference group or system, such as relatives, peers, friends, and community in general. Subjective norm implies beliefs, ideas, pressures, and influences arising from one’s social circle (either positive or negative (Ajzen, 1991).</w:t>
      </w:r>
    </w:p>
    <w:p w14:paraId="73B40194" w14:textId="39551602"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Extant literature on recycling behavior (e.g., Pisitsankkhakarn &amp; Vassanadumrongdee, 2020; Singh &amp; Gaur, 2018) emphasizes that social pressure is a crucial influencer on intention to recycle waste.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{"citationID":"fvqpsCPp","properties":{"formattedCitation":"(Singh &amp; Gaur, 2018)","plainCitation":"(Singh &amp; Gaur, 2018)","dontUpdate":true,"noteIndex":0},"citationItems":[{"id":1545,"uris":["http://zotero.org/users/local/b6CRLSJH/items/PSJ42IJE"],"itemData":{"id":1545,"type":"article-journal","container-title":"Management Decision","DOI":"10.1108/MD-11-2017-1131","ISSN":"0025-1747","issue":"1","journalAbbreviation":"MD","language":"en","page":"2-5","source":"DOI.org (Crossref)","title":"Entrepreneurship and innovation management in emerging economies","volume":"56","author":[{"family":"Singh","given":"Sanjay Kumar"},{"family":"Gaur","given":"Sanjaya S."}],"issued":{"date-parts":[["2018",1,8]]}}}],"schema":"https://github.com/citation-style-language/schema/raw/master/csl-citation.json"}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Singh and Gaur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describe social pressure as a combination of injunctive and descriptive norms that follow the perception of acceptable/unacceptable behavior by interpersonal networks and immediate surrounding communities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{"citationID":"2JQvKZlI","properties":{"formattedCitation":"(Adanu, Gbedemah, and Attah 2020)","plainCitation":"(Adanu, Gbedemah, and Attah 2020)","dontUpdate":true,"noteIndex":0},"citationItems":[{"id":2504,"uris":["http://zotero.org/users/local/b6CRLSJH/items/2BFV7EQU"],"itemData":{"id":2504,"type":"article-journal","abstract":"The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management.","container-title":"Heliyon","DOI":"10.1016/j.heliyon.2020.e04548","ISSN":"24058440","issue":"8","journalAbbreviation":"Heliyon","language":"en","page":"e04548","source":"DOI.org (Crossref)","title":"Challenges of adopting sustainable technologies in e-waste management at Agbogbloshie, Ghana","volume":"6","author":[{"family":"Adanu","given":"Selase Kofi"},{"family":"Gbedemah","given":"Shine Francis"},{"family":"Attah","given":"Mawutor Komla"}],"issued":{"date-parts":[["2020",8]]}}}],"schema":"https://github.com/citation-style-language/schema/raw/master/csl-citation.json"}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(Adanu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Besides, previous research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{"citationID":"2xrq2hJQ","properties":{"formattedCitation":"(Aidonis et al. 2019)","plainCitation":"(Aidonis et al. 2019)","dontUpdate":true,"noteIndex":0},"citationItems":[{"id":2624,"uris":["http://zotero.org/users/local/b6CRLSJH/items/JL4KQPN7"],"itemData":{"id":2624,"type":"article-journal","abstract":"Waste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3F0AE2" w:rsidRPr="00597FFB">
        <w:rPr>
          <w:rFonts w:ascii="Cambria Math" w:hAnsi="Cambria Math" w:cs="Cambria Math"/>
          <w:color w:val="000000" w:themeColor="text1"/>
          <w:kern w:val="24"/>
          <w:sz w:val="24"/>
          <w:szCs w:val="24"/>
          <w:lang w:eastAsia="ja-JP"/>
        </w:rPr>
        <w:instrText>↵</w:instrText>
      </w:r>
      <w:r w:rsidR="003F0AE2" w:rsidRPr="00597FFB">
        <w:rPr>
          <w:rFonts w:ascii="Times New Roman" w:hAnsi="Times New Roman" w:cs="Times New Roman"/>
          <w:color w:val="000000" w:themeColor="text1"/>
          <w:kern w:val="24"/>
          <w:sz w:val="24"/>
          <w:szCs w:val="24"/>
          <w:lang w:eastAsia="ja-JP"/>
        </w:rPr>
        <w:instrText xml:space="preserve">ectiveness, is required for the integrated WEEE management at a national level.","container-title":"Sustainability","DOI":"10.3390/su11123364","ISSN":"2071-1050","issue":"12","journalAbbreviation":"Sustainability","language":"en","page":"3364","source":"DOI.org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(Aidonis et al., 2019)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stresses that subjective norm guides individual beliefs about the own perceived appropriateness of green behavior including recycling intentions (Pisitsankkhakarn &amp; Vassanadumrongdee, 2020). </w:t>
      </w:r>
    </w:p>
    <w:p w14:paraId="5BAD6EDE" w14:textId="5A0BC11E"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{"citationID":"CZsegu58","properties":{"formattedCitation":"(Jiang et al., 2018)","plainCitation":"(Jiang et al., 2018)","dontUpdate":true,"noteIndex":0},"citationItems":[{"id":4219,"uris":["http://zotero.org/users/local/b6CRLSJH/items/AGFVLDFU"],"itemData":{"id":4219,"type":"article-journal","container-title":"Journal of Cleaner Production","DOI":"10.1016/j.jclepro.2018.04.040","ISSN":"09596526","journalAbbreviation":"Journal of Cleaner Production","language":"en","page":"797-804","source":"DOI.org (Crossref)","title":"The impact of psychological factors on farmers’ intentions to reuse agricultural biomass waste for carbon emission abatement","volume":"189","author":[{"family":"Jiang","given":"Linli"},{"family":"Zhang","given":"Junbiao"},{"family":"Wang","given":"H. Holly"},{"family":"Zhang","given":"Lu"},{"family":"He","given":"Ke"}],"issued":{"date-parts":[["2018",7]]}}}],"schema":"https://github.com/citation-style-language/schema/raw/master/csl-citation.json"}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Jiang et al.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examined the psychological determinants of recycling agricultural waste by Chinese farmers. They asserted that subjective norms could strongly stimulate the intention to recycle biomass waste. Similarly, Khan et al. (2019) scrutinized behavioral intentions to recycle plastic waste in a developing context using the TPB lens. The results showed subjective norms are significant predictors of consumers’ return intention. Strydom (2018) demonstrated that subjective norm had the greatest influence on intention to recycle than both PBC and attitude. As such, subjective norm is expected to influence UAE millennials’ intention to recycle e-waste positively and directly.</w:t>
      </w:r>
    </w:p>
    <w:p w14:paraId="0F8141EF" w14:textId="28897826" w:rsidR="00945F50" w:rsidRPr="00597FFB" w:rsidRDefault="00945F50" w:rsidP="00804602">
      <w:pPr>
        <w:pStyle w:val="Heading3"/>
        <w:spacing w:line="480" w:lineRule="auto"/>
        <w:ind w:firstLine="720"/>
        <w:rPr>
          <w:rFonts w:ascii="Times New Roman" w:hAnsi="Times New Roman" w:cs="Times New Roman"/>
          <w:color w:val="000000" w:themeColor="text1"/>
          <w:kern w:val="24"/>
          <w:sz w:val="24"/>
          <w:szCs w:val="24"/>
          <w:lang w:eastAsia="ja-JP"/>
        </w:rPr>
      </w:pPr>
      <w:bookmarkStart w:id="166" w:name="_Toc127170314"/>
      <w:r w:rsidRPr="00597FFB">
        <w:rPr>
          <w:rFonts w:asciiTheme="majorBidi" w:hAnsiTheme="majorBidi"/>
          <w:i/>
          <w:iCs/>
          <w:color w:val="000000" w:themeColor="text1"/>
          <w:sz w:val="24"/>
          <w:szCs w:val="24"/>
        </w:rPr>
        <w:t>3.1.1.5. Perceived Behavioral Control (PBC) About EWR</w:t>
      </w:r>
      <w:r w:rsidR="009B71FE" w:rsidRPr="00597FFB">
        <w:rPr>
          <w:rFonts w:asciiTheme="majorBidi" w:hAnsiTheme="majorBidi"/>
          <w:i/>
          <w:iCs/>
          <w:color w:val="000000" w:themeColor="text1"/>
          <w:sz w:val="24"/>
          <w:szCs w:val="24"/>
        </w:rPr>
        <w:t>.</w:t>
      </w:r>
      <w:bookmarkEnd w:id="166"/>
    </w:p>
    <w:p w14:paraId="6E92A497" w14:textId="7C4AAAF1"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PBC is concerned with a person’s confidence in their capacity to undertake a particular behavior (Ajzen, 1991). It reflects people’s confidence and control over a specific behavior, forcing their engagement to adopt that behavior. Ajzen (1985) refers to PBC as the degree to which an individual recognizes the difficulty of engaging in a specific behavior. The findings from prior research have indicated that perceived behavioral control significantly affects people’s intention to develop pro-environmental behavior such as food waste recycling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{"citationID":"SmKpP0ak","properties":{"formattedCitation":"(Abdelbasir et al. 2018)","plainCitation":"(Abdelbasir et al. 2018)","dontUpdate":true,"noteIndex":0},"citationItems":[{"id":2587,"uris":["http://zotero.org/users/local/b6CRLSJH/items/4G9ZGFCJ"],"itemData":{"id":2587,"type":"article-journal","abstract":"The increasing use of electrical and electronic equipment leads to a huge generation of electronic waste (e-waste). It is the fastest growing waste stream in the world. Almost all electrical and electronic equipment contain printed circuit boards as an essential part. Improper handling of these electronic wastes could bring serious risk to human health and the environment. On the other hand, proper handling of this waste requires a sound management strategy for awareness, collection, recycling, and reuse. Nowadays, the effective recycling of this type of waste has been considered as a main challenge for any society. Printed circuit boards (PCBs), which are the base of many electronic industries, are rich in valuable heavy metals and toxic halogenated organic substances. In this review, the composition of different PCBs and their harmful effects are discussed. Various techniques in common use for recycling the most important metals from the metallic fractions of e-waste are illustrated. The recovery of metals from e-waste material after physical separation through pyrometallurgical, hydrometallurgical, or biohydrometallurgical routes is also discussed, along with alternative uses of non-metallic fraction. The data are explained and compared with the current e-waste management efforts done in Egypt. Future perspectives and challenges facing Egypt for proper e-waste recycling are also discussed.","container-title":"Environmental Science and Pollution Research","DOI":"10.1007/s11356-018-2136-6","ISSN":"0944-1344, 1614-7499","issue":"17","journalAbbreviation":"Environ Sci Pollut Res","language":"en","page":"16533-16547","source":"DOI.org (Crossref)","title":"Status of electronic waste recycling techniques: a review","title-short":"Status of electronic waste recycling techniques","volume":"25","author":[{"family":"Abdelbasir","given":"Sabah M."},{"family":"Hassan","given":"Saad S. M."},{"family":"Kamel","given":"Ayman H."},{"family":"El-Nasr","given":"Rania Seif"}],"issued":{"date-parts":[["2018",6]]}}}],"schema":"https://github.com/citation-style-language/schema/raw/master/csl-citation.json"}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(Abdelbasir et al.,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Researchers (Alves &amp; Coutinho, 2019; Ameen &amp; Anand, 2020; Zhang et al., 2021) asserted that behavioral control is a good predictor of weekly household recycling intention consumers’ intention to reuse or repair obsolete electronic devices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{"citationID":"OYuQeqBR","properties":{"formattedCitation":"(Alves and Coutinho 2019)","plainCitation":"(Alves and Coutinho 2019)","dontUpdate":true,"noteIndex":0},"citationItems":[{"id":4078,"uris":["http://zotero.org/users/local/b6CRLSJH/items/UP5RRKCZ"],"itemData":{"id":4078,"type":"article-journal","container-title":"Minerals Engineering","DOI":"10.1016/j.mineng.2018.11.041","ISSN":"08926875","journalAbbreviation":"Minerals Engineering","language":"en","page":"275-283","source":"DOI.org (Crossref)","title":"Life cycle assessment of niobium: A mining and production case study in Brazil","title-short":"Life cycle assessment of niobium","volume":"132","author":[{"family":"Alves","given":"Adilson Rangel"},{"family":"Coutinho","given":"Aparecido dos Reis"}],"issued":{"date-parts":[["2019",3]]}}}],"schema":"https://github.com/citation-style-language/schema/raw/master/csl-citation.json"}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(Alves &amp; Coutinho, 2019)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w:t>
      </w:r>
    </w:p>
    <w:p w14:paraId="0AC13669" w14:textId="46E7650F" w:rsidR="001A7901" w:rsidRPr="00597FFB" w:rsidRDefault="001A7901" w:rsidP="00A558FE">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Ameen and Anand (2020) asserted that PBC is a powerful predictor of young consumers’ intention to conserve the natural environment among young adults. Zhang et al. (2021) also found that PBC influenced consumers’ behavior intention to recycle mobile phones positively. Ghenai et al. (2020) stated that PBC decreases if consumers lack knowledge about pro-environmental behavior, which causes a reduction in confidence and a decrease in intention. Transferring this to e-waste recycling, consumers may lack knowledge about existing recycling schemes and the actual environmental consequences of improper disposal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{"citationID":"ZQG0LUXo","properties":{"formattedCitation":"(Dhir et al. 2021)","plainCitation":"(Dhir et al. 2021)","dontUpdate":true,"noteIndex":0},"citationItems":[{"id":4030,"uris":["http://zotero.org/users/local/b6CRLSJH/items/6WAMZUJ4"],"itemData":{"id":4030,"type":"article-journal","container-title":"Journal of Cleaner Production","DOI":"10.1016/j.jclepro.2021.127443","ISSN":"09596526","journalAbbreviation":"Journal of Cleaner Production","language":"en","page":"127443","source":"DOI.org (Crossref)","title":"Extended Valence Theory Perspective on Consumers' E-waste Recycling Intentions in Japan","author":[{"family":"Dhir","given":"Amandeep"},{"family":"Malodia","given":"Suresh"},{"family":"Awan","given":"Usama"},{"family":"Sakashita","given":"Mototaka"},{"family":"Kaur","given":"Puneet"}],"issued":{"date-parts":[["2021",5]]}}}],"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(Dhir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Consistent with these studies and the TPB (Ajzen, 1975, 1991), PBC is expected to influence intention to recycle e-waste among UAE millennials.</w:t>
      </w:r>
    </w:p>
    <w:p w14:paraId="3F1B5400" w14:textId="2F28EF65" w:rsidR="00945F50" w:rsidRPr="00597FFB" w:rsidRDefault="00945F50" w:rsidP="00A558FE">
      <w:pPr>
        <w:pStyle w:val="Heading3"/>
        <w:spacing w:line="480" w:lineRule="auto"/>
        <w:ind w:firstLine="720"/>
        <w:rPr>
          <w:rFonts w:ascii="Times New Roman" w:hAnsi="Times New Roman" w:cs="Times New Roman"/>
          <w:color w:val="000000" w:themeColor="text1"/>
          <w:kern w:val="24"/>
          <w:sz w:val="24"/>
          <w:szCs w:val="24"/>
          <w:lang w:eastAsia="ja-JP"/>
        </w:rPr>
      </w:pPr>
      <w:bookmarkStart w:id="167" w:name="_Toc127170315"/>
      <w:r w:rsidRPr="00597FFB">
        <w:rPr>
          <w:rFonts w:asciiTheme="majorBidi" w:hAnsiTheme="majorBidi"/>
          <w:i/>
          <w:iCs/>
          <w:color w:val="000000" w:themeColor="text1"/>
          <w:sz w:val="24"/>
          <w:szCs w:val="24"/>
        </w:rPr>
        <w:t xml:space="preserve">3.1.1.6. Extending </w:t>
      </w:r>
      <w:r w:rsidR="00DF1E15" w:rsidRPr="00597FF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 xml:space="preserve">he TPB </w:t>
      </w:r>
      <w:r w:rsidR="00AF2831">
        <w:rPr>
          <w:rFonts w:asciiTheme="majorBidi" w:hAnsiTheme="majorBidi"/>
          <w:i/>
          <w:iCs/>
          <w:color w:val="000000" w:themeColor="text1"/>
          <w:sz w:val="24"/>
          <w:szCs w:val="24"/>
        </w:rPr>
        <w:t>w</w:t>
      </w:r>
      <w:r w:rsidRPr="00597FFB">
        <w:rPr>
          <w:rFonts w:asciiTheme="majorBidi" w:hAnsiTheme="majorBidi"/>
          <w:i/>
          <w:iCs/>
          <w:color w:val="000000" w:themeColor="text1"/>
          <w:sz w:val="24"/>
          <w:szCs w:val="24"/>
        </w:rPr>
        <w:t>ith Additional Factors</w:t>
      </w:r>
      <w:r w:rsidR="009B71FE" w:rsidRPr="00597FFB">
        <w:rPr>
          <w:rFonts w:asciiTheme="majorBidi" w:hAnsiTheme="majorBidi"/>
          <w:i/>
          <w:iCs/>
          <w:color w:val="000000" w:themeColor="text1"/>
          <w:sz w:val="24"/>
          <w:szCs w:val="24"/>
        </w:rPr>
        <w:t>.</w:t>
      </w:r>
      <w:bookmarkEnd w:id="167"/>
    </w:p>
    <w:p w14:paraId="0862DE9A" w14:textId="77777777" w:rsidR="00EE7DD9"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In several studies (Kim &amp; Hwang, 2020; Li et al., 2018; Li et al., 2021; Meng et al., 2020), have added factors/variables from other theories to enhance the capacity of the TPB to predict behavioral intention. In the past decades, scholars (Chao et al., 2021; Kumar, 2019; Liu et al., 2019; Zhang et al., 2019) have paid increasing attention to the behavioral issues about e-waste recycling. As a result, the extant literature has investigated various challenges associated with e-waste recycling intentions and behavior, with a particular focus on identifying the psychological determinants behind them. The two most studied factors affecting users' formal e-waste recycling intentions positively have been the convenience of recycling (Liu et al., 2019) and the economic benefits (Zhang et al., 2019). If consumers believe that engaging in e-waste recycling is economically beneficial, their intentions to perform this behavior will likely increase (Liu et al., 2019). Similarly, if the convenience of e-waste recycling increases, the likelihood of consumers engaging in informal recycling does as well (Liu et al., 2019). However, Kumar (2019) found no significant association between convenience and e-waste recycling intentions among young adults in India and China, although this may be because proper recycling channels are non-existent in both countries (Chao et al., 2021). It would thus be difficult for these respondents to judge whether e-waste recycling is convenient or not.</w:t>
      </w:r>
    </w:p>
    <w:p w14:paraId="16680A70" w14:textId="50FCAC17"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Researchers (Cai et al., 2020; Choi &amp; Johnson, 2019; Hakimi, 2020; Islam et al., 2021) also identified economic incentives and rewards as essential triggers for consumer recycling behavior mainly due to change in their attitude towards recycling. Incentives are recognized to significantly motivate people to act environmentally friendly regardless of their environmental concerns. Environmental concern comprises the personal evaluation of factors and behaviors impacting the environment and is vital for explaining green behavior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{"citationID":"WGYNHceN","properties":{"formattedCitation":"(Sharma, Joshi, and Kumar 2020)","plainCitation":"(Sharma, Joshi, and Kumar 2020)","dontUpdate":true,"noteIndex":0},"citationItems":[{"id":1920,"uris":["http://zotero.org/users/local/b6CRLSJH/items/SIFFXZVV"],"itemData":{"id":1920,"type":"article-journal","abstract":"With increasing population, excessive use of electrical and electronic products and extreme demand of resources have compelled the linear economy to transform into Circular Economy (CE). In the current scenario, e-waste management has become the top priority of all the developed and developing nations especially those in the transition phase. The generation of e-waste has increased proportionally across the world and created an intense pressure on the firms to implement sustainable practices to redesign and recycle the products. The current status of the developing countries like India confronts number of challenges to manage e-waste produced, and the only possible solution is to minimize the waste generation and practicing recycling processes. For transforming into CEs, there is a need to identify the most influencing key enablers through which an effective and robust ewaste management (e-WM) system can be developed. An extensive literature review and expert judgments are expended to identify the most influencing key enablers of e-WM in circular economies, and, being the highest producer of e-waste, Mumbai (Maharashtra) has been chosen as the case location. To explore the strength of causal and effect enablers, the DEMATEL method is applied. This study has shown that ‘Environmental management system’ (EMS) is the most significant and important driving enabler to influence all the other existing enablers. This study has also highlighted that e-WM can be efficient if it focuses on producing eco-friendly products, developing strict legislations, building green image and supporting the producers to implement CE practices. This study helps stakeholders and policy makers to reduce the burden from the environment and focus on developing an efficient e-WM system on the basis of identified key enablers like EMS and collaboration with environmental partners to contribute towards CE transition.","container-title":"Environmental Science and Pollution Research","DOI":"10.1007/s11356-020-07765-w","ISSN":"0944-1344, 1614-7499","issue":"12","journalAbbreviation":"Environ Sci Pollut Res","language":"en","page":"13325-13338","source":"DOI.org (Crossref)","title":"Assessing enablers of e-waste management in circular economy using DEMATEL method: An Indian perspective","title-short":"Assessing enablers of e-waste management in circular economy using DEMATEL method","volume":"27","author":[{"family":"Sharma","given":"Manu"},{"family":"Joshi","given":"Sudhanshu"},{"family":"Kumar","given":"Ashwani"}],"issued":{"date-parts":[["2020",4]]}}}],"schema":"https://github.com/citation-style-language/schema/raw/master/csl-citation.json"}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(Sharma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The construct is often referred to as a general attitude towards the environment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{"citationID":"IywUZzNW","properties":{"formattedCitation":"(Borusiak et al. 2020)","plainCitation":"(Borusiak et al. 2020)","dontUpdate":true,"noteIndex":0},"citationItems":[{"id":4204,"uris":["http://zotero.org/users/local/b6CRLSJH/items/LMB93Q35"],"itemData":{"id":4204,"type":"article-journal","abstract":"As the natural resources of the Earth are rapidly depleting, there is an urgent need to encourage people to adopt self-restrictive behaviors, one of which is giving products a second life. The aim of this study is to examine the consumers’ intention to buy used products and to visit a second-hand shop using the extended Theory of Planned Behavior (TPB). Additional variables were adopted to give a better insight into the nature of the personal norm. Two variables derived from the Norm Activation Model (NAM) were included in the research model: the awareness of consequences and the ascription of responsibility. In order to collect the data, an online survey was conducted in Poland on 333 participants. SEM was applied for data analysis. The research revealed that the following constructs are positively related to second-hand buying (SHB) intention: the attitude towards the positive impact of SHB on sustainable consumption, and the perceived behavioral control over SHB and the personal norm regarding SHB. Subjective norms regarding SHB are negatively related to SHB intention. An awareness of the consequences of SHB and the ascription of responsibility for the environmental issues are positively related to the personal norm regarding SHB. The intention to buy second-hand products (SHP) is positively related to the intention to visit a second-hand shop.","container-title":"Sustainability","DOI":"10.3390/su12030875","ISSN":"2071-1050","issue":"3","journalAbbreviation":"Sustainability","language":"en","page":"875","source":"DOI.org (Crossref)","title":"Towards Building Sustainable Consumption: A Study of Second-Hand Buying Intentions","title-short":"Towards Building Sustainable Consumption","volume":"12","author":[{"family":"Borusiak","given":"Barbara"},{"family":"Szymkowiak","given":"Andrzej"},{"family":"Horska","given":"Elena"},{"family":"Raszka","given":"Natalia"},{"family":"Żelichowska","given":"Elżbieta"}],"issued":{"date-parts":[["2020",1,24]]}}}],"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(Borusiak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It has been included as an antecedent of a more specific attitude towards the individual environmental behavior (Esfandiar et al., 2020). Researchers (Chao et al., 2021; Chillakuri, 2020; Elhoushy &amp; Lanzini, 2021) argue that people who are more concerned about the environment tend to be more active in PEB than those less concerned about the environment. For instance, Chillakuri (2020) found that that people that are highly concerned about the environment perceive public transit use as more accessible. Elhoushy and Lanzini (2021) also found that environmental concern inﬂuences the mode of transportation choices and behavior.</w:t>
      </w:r>
    </w:p>
    <w:p w14:paraId="30651DCA" w14:textId="77777777" w:rsidR="001A7901" w:rsidRPr="00597FFB" w:rsidRDefault="001A7901" w:rsidP="00A558FE">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Given that e-waste concerns are environmental concerns, the definition by Park and Lin (2018) of environmental concerns as the magnitude of bother that consumers experience due to environmental degradation. Dhir et al. (2021) stated that there is a positive relationship between environmental concerns and intentions, attitude, and willingness to undertake pro-environmental behavior. Kushwah et al. (2019) found that individuals with greater environmental concerns exhibited higher likelihood of having pro-environmental intentions. In the e-waste recycling context, Dwivedy and Mittal (2013) found that environmental concerns positively influenced the willingness of consumers to engage in e-waste recycling.</w:t>
      </w:r>
    </w:p>
    <w:p w14:paraId="3234A394" w14:textId="741131E2"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Several studies (Afroz et al., 2017; Asadi et al., 2021; Borusiak et al., 2020; Khan et al., 2019; Sharma et al., 2020) revealed a positive relationship between environmental concern and recycling behavior. In addition, some researchers (Chen et al., 2020; Lange &amp; Dewitte, 2019) argue that concern for the environment is linked to pro-environmental attitudes, which impact PEB, such as recycling.  More precisely, consumers who care about the environment are more likely to participate in recycling programs (Khan et al., 2019), including e-waste disposal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{"citationID":"nd3oWppF","properties":{"formattedCitation":"(Afroz et al. 2017)","plainCitation":"(Afroz et al. 2017)","dontUpdate":true,"noteIndex":0},"citationItems":[{"id":4228,"uris":["http://zotero.org/users/local/b6CRLSJH/items/7YZ3N33N"],"itemData":{"id":4228,"type":"article-journal","container-title":"Environmental Science and Pollution Research","DOI":"10.1007/s11356-016-7942-0","ISSN":"0944-1344, 1614-7499","issue":"3","journalAbbreviation":"Environ Sci Pollut Res","language":"en","page":"2304-2315","source":"DOI.org (Crossref)","title":"The knowledge, awareness, attitude and motivational analysis of plastic waste and household perspective in Malaysia","volume":"24","author":[{"family":"Afroz","given":"Rafia"},{"family":"Rahman","given":"Ataur"},{"family":"Masud","given":"Muhammad Mehedi"},{"family":"Akhtar","given":"Rulia"}],"issued":{"date-parts":[["2017",1]]}}}],"schema":"https://github.com/citation-style-language/schema/raw/master/csl-citation.json"}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(Afroz et al., 2017)</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Findings by Chen et al. (2020) demonstrated a positive relationship between environmental concern and attitude. Since this research focuses on millennials who tend to have marked levels of environmental consciousness in general, it is important to this construct in the study as an antecedent of attitude toward EWR and moderate the </w:t>
      </w:r>
      <w:r w:rsidR="00E43D74" w:rsidRPr="00597FFB">
        <w:rPr>
          <w:rFonts w:ascii="Times New Roman" w:hAnsi="Times New Roman" w:cs="Times New Roman"/>
          <w:color w:val="000000" w:themeColor="text1"/>
          <w:kern w:val="24"/>
          <w:sz w:val="24"/>
          <w:szCs w:val="24"/>
          <w:lang w:eastAsia="ja-JP"/>
        </w:rPr>
        <w:t>correlation</w:t>
      </w:r>
      <w:r w:rsidRPr="00597FFB">
        <w:rPr>
          <w:rFonts w:ascii="Times New Roman" w:hAnsi="Times New Roman" w:cs="Times New Roman"/>
          <w:color w:val="000000" w:themeColor="text1"/>
          <w:kern w:val="24"/>
          <w:sz w:val="24"/>
          <w:szCs w:val="24"/>
          <w:lang w:eastAsia="ja-JP"/>
        </w:rPr>
        <w:t xml:space="preserve"> between </w:t>
      </w:r>
      <w:r w:rsidR="00E43D74" w:rsidRPr="00597FFB">
        <w:rPr>
          <w:rFonts w:ascii="Times New Roman" w:hAnsi="Times New Roman" w:cs="Times New Roman"/>
          <w:color w:val="000000" w:themeColor="text1"/>
          <w:kern w:val="24"/>
          <w:sz w:val="24"/>
          <w:szCs w:val="24"/>
          <w:lang w:eastAsia="ja-JP"/>
        </w:rPr>
        <w:t xml:space="preserve">EWR behavior </w:t>
      </w:r>
      <w:r w:rsidRPr="00597FFB">
        <w:rPr>
          <w:rFonts w:ascii="Times New Roman" w:hAnsi="Times New Roman" w:cs="Times New Roman"/>
          <w:color w:val="000000" w:themeColor="text1"/>
          <w:kern w:val="24"/>
          <w:sz w:val="24"/>
          <w:szCs w:val="24"/>
          <w:lang w:eastAsia="ja-JP"/>
        </w:rPr>
        <w:t>and</w:t>
      </w:r>
      <w:r w:rsidR="00E43D74" w:rsidRPr="00597FFB">
        <w:rPr>
          <w:rFonts w:ascii="Times New Roman" w:hAnsi="Times New Roman" w:cs="Times New Roman"/>
          <w:color w:val="000000" w:themeColor="text1"/>
          <w:kern w:val="24"/>
          <w:sz w:val="24"/>
          <w:szCs w:val="24"/>
          <w:lang w:eastAsia="ja-JP"/>
        </w:rPr>
        <w:t xml:space="preserve"> awareness of consequences</w:t>
      </w:r>
      <w:r w:rsidRPr="00597FFB">
        <w:rPr>
          <w:rFonts w:ascii="Times New Roman" w:hAnsi="Times New Roman" w:cs="Times New Roman"/>
          <w:color w:val="000000" w:themeColor="text1"/>
          <w:kern w:val="24"/>
          <w:sz w:val="24"/>
          <w:szCs w:val="24"/>
          <w:lang w:eastAsia="ja-JP"/>
        </w:rPr>
        <w:t>. It was expected that millennials would have a more favorable attitude towards EWR if they were more concerned about the environment.</w:t>
      </w:r>
    </w:p>
    <w:p w14:paraId="28742C66" w14:textId="6A6657B8" w:rsidR="001A7901" w:rsidRPr="00597FFB" w:rsidRDefault="001A7901" w:rsidP="00A558FE">
      <w:pPr>
        <w:widowControl w:val="0"/>
        <w:spacing w:before="26" w:after="26" w:line="480" w:lineRule="auto"/>
        <w:ind w:right="360" w:firstLine="720"/>
        <w:jc w:val="both"/>
        <w:rPr>
          <w:rFonts w:ascii="Times New Roman" w:eastAsia="Calibri"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Therefore, companies increasingly include rewards to enhance consumer participation in green marketing practices (Cai et al., 2020). However, incentives were somewhat helpful to initiate recycling behavior than trigger long-term participation, requiring intrinsic motivation (Choi &amp; Johnson, 2019). Also, as noted by researchers, readers' attractiveness is perceived differently among individuals as it often depends on factors like accessibility or redemption periods (Hakimi, 2020). Accordingly, it is expected that incentives impact e-waste recycling intentions my moderating the effect of attitude on e-waste recycling intention. </w:t>
      </w:r>
      <w:r w:rsidRPr="00597FFB">
        <w:rPr>
          <w:rFonts w:ascii="Times New Roman" w:eastAsia="Calibri" w:hAnsi="Times New Roman" w:cs="Times New Roman"/>
          <w:color w:val="000000" w:themeColor="text1"/>
          <w:kern w:val="24"/>
          <w:sz w:val="24"/>
          <w:szCs w:val="24"/>
          <w:lang w:eastAsia="ja-JP"/>
        </w:rPr>
        <w:t>A focused review of the NAT follows in the next subsection.</w:t>
      </w:r>
    </w:p>
    <w:p w14:paraId="284BF58F" w14:textId="361762BE" w:rsidR="00EB611B" w:rsidRPr="00597FFB" w:rsidRDefault="00EB611B" w:rsidP="00A558FE">
      <w:pPr>
        <w:keepNext/>
        <w:keepLines/>
        <w:spacing w:after="0" w:line="480" w:lineRule="auto"/>
        <w:outlineLvl w:val="2"/>
        <w:rPr>
          <w:rFonts w:ascii="Times New Roman" w:eastAsiaTheme="majorEastAsia" w:hAnsi="Times New Roman" w:cstheme="majorBidi"/>
          <w:i/>
          <w:iCs/>
          <w:color w:val="000000" w:themeColor="text1"/>
          <w:kern w:val="24"/>
          <w:sz w:val="24"/>
          <w:szCs w:val="24"/>
          <w:lang w:eastAsia="ja-JP"/>
        </w:rPr>
      </w:pPr>
      <w:bookmarkStart w:id="168" w:name="_Toc127170316"/>
      <w:r w:rsidRPr="00597FFB">
        <w:rPr>
          <w:rFonts w:ascii="Times New Roman" w:eastAsiaTheme="majorEastAsia" w:hAnsi="Times New Roman" w:cstheme="majorBidi"/>
          <w:i/>
          <w:iCs/>
          <w:color w:val="000000" w:themeColor="text1"/>
          <w:kern w:val="24"/>
          <w:sz w:val="24"/>
          <w:szCs w:val="24"/>
          <w:lang w:eastAsia="ja-JP"/>
        </w:rPr>
        <w:t>3.1.2. The Norm Activation Theory (N</w:t>
      </w:r>
      <w:r w:rsidR="00AB384D">
        <w:rPr>
          <w:rFonts w:ascii="Times New Roman" w:eastAsiaTheme="majorEastAsia" w:hAnsi="Times New Roman" w:cstheme="majorBidi"/>
          <w:i/>
          <w:iCs/>
          <w:color w:val="000000" w:themeColor="text1"/>
          <w:kern w:val="24"/>
          <w:sz w:val="24"/>
          <w:szCs w:val="24"/>
          <w:lang w:eastAsia="ja-JP"/>
        </w:rPr>
        <w:t>AT</w:t>
      </w:r>
      <w:r w:rsidRPr="00597FFB">
        <w:rPr>
          <w:rFonts w:ascii="Times New Roman" w:eastAsiaTheme="majorEastAsia" w:hAnsi="Times New Roman" w:cstheme="majorBidi"/>
          <w:i/>
          <w:iCs/>
          <w:color w:val="000000" w:themeColor="text1"/>
          <w:kern w:val="24"/>
          <w:sz w:val="24"/>
          <w:szCs w:val="24"/>
          <w:lang w:eastAsia="ja-JP"/>
        </w:rPr>
        <w:t>)</w:t>
      </w:r>
      <w:r w:rsidR="0034773C" w:rsidRPr="00597FFB">
        <w:rPr>
          <w:rFonts w:ascii="Times New Roman" w:eastAsiaTheme="majorEastAsia" w:hAnsi="Times New Roman" w:cstheme="majorBidi"/>
          <w:i/>
          <w:iCs/>
          <w:color w:val="000000" w:themeColor="text1"/>
          <w:kern w:val="24"/>
          <w:sz w:val="24"/>
          <w:szCs w:val="24"/>
          <w:lang w:eastAsia="ja-JP"/>
        </w:rPr>
        <w:t>.</w:t>
      </w:r>
      <w:bookmarkEnd w:id="168"/>
    </w:p>
    <w:p w14:paraId="2DAC6B5B" w14:textId="4D5D859C"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bookmarkStart w:id="169" w:name="_Hlk103975933"/>
      <w:r w:rsidRPr="00597FFB">
        <w:rPr>
          <w:rFonts w:ascii="Times New Roman" w:eastAsia="Times New Roman" w:hAnsi="Times New Roman" w:cs="Times New Roman"/>
          <w:bCs/>
          <w:color w:val="000000" w:themeColor="text1"/>
          <w:kern w:val="24"/>
          <w:sz w:val="24"/>
          <w:szCs w:val="24"/>
          <w:lang w:eastAsia="ja-JP"/>
        </w:rPr>
        <w:t xml:space="preserve">The NAT is another theory that is often used to predict pro-environmental behaviors. Schwartz developed the NAT through series of works in 1970, 1975, and 1977 with the aim of describing the correlation between behavior, activators, and personal norms. </w:t>
      </w:r>
      <w:bookmarkEnd w:id="169"/>
      <w:r w:rsidRPr="00597FFB">
        <w:rPr>
          <w:rFonts w:ascii="Times New Roman" w:eastAsia="Times New Roman" w:hAnsi="Times New Roman" w:cs="Times New Roman"/>
          <w:bCs/>
          <w:color w:val="000000" w:themeColor="text1"/>
          <w:kern w:val="24"/>
          <w:sz w:val="24"/>
          <w:szCs w:val="24"/>
          <w:lang w:eastAsia="ja-JP"/>
        </w:rPr>
        <w:t xml:space="preserve">There are three critical factors in the NAT. The first one is awareness of need and it indicates an individual being aware of and perceiving that someone or something is in need. The second factor is ascription of responsibility. Ascription of responsibility reflects an individual’s personal feeling towards being responsible for the consequences of their behavior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{"citationID":"IuDXYbcb","properties":{"formattedCitation":"(M. Chen et al., 2018)","plainCitation":"(M. Chen et al., 2018)","dontUpdate":true,"noteIndex":0},"citationItems":[{"id":3940,"uris":["http://zotero.org/users/local/b6CRLSJH/items/PNDIBLSU"],"itemData":{"id":3940,"type":"article-journal","container-title":"Resources, Conservation and Recycling","DOI":"10.1016/j.resconrec.2018.08.006","ISSN":"09213449","journalAbbreviation":"Resources, Conservation and Recycling","language":"en","page":"48-49","source":"DOI.org (Crossref)","title":"China E-waste management: Struggling for future success","title-short":"China E-waste management","volume":"139","author":[{"family":"Chen","given":"Mengjun"},{"family":"Ogunseitan","given":"Oladele A."},{"family":"Duan","given":"Huabo"},{"family":"Zeng","given":"Xianlai"},{"family":"Li","given":"Jinhui"}],"issued":{"date-parts":[["2018",12]]}}}],"schema":"https://github.com/citation-style-language/schema/raw/master/csl-citation.json"}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bCs/>
          <w:color w:val="000000" w:themeColor="text1"/>
          <w:kern w:val="24"/>
          <w:sz w:val="24"/>
          <w:szCs w:val="24"/>
          <w:lang w:eastAsia="ja-JP"/>
        </w:rPr>
        <w:t>(Chen et al., 2018)</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Thirdly, awareness of consequences refers to an individual’s perception of their behav’or's impact on others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{"citationID":"6I5qsK3c","properties":{"formattedCitation":"(Maitre-Ekern and Dalhammar 2019)","plainCitation":"(Maitre-Ekern and Dalhammar 2019)","dontUpdate":true,"noteIndex":0},"citationItems":[{"id":4046,"uris":["http://zotero.org/users/local/b6CRLSJH/items/FUZ8X3N2"],"itemData":{"id":4046,"type":"article-journal","abstract":"In their roles as purchasers, users and dischargers of used products, consumers play an important role in the circular economy. In this article, we put forward a ‘hierarchy of consumption behaviour’ to support European Union policymaking. Among the priorities are avoiding the purchase of single-use and unnecessary products, prolonging the lifetime of products through maintenance and engaging in repair activities. Moreover, the hierarchy intends to privilege sharing and leasing to buying and second-hand products to new ones. Finally, consumption in the circular economy also requires allowing products to re-circulate. Changing consumption patterns is difficult insofar as they are largely determined by the paradigm upon which our economy is built and are enabled by the existing legal framework, most notably European Union consumer law. The article contains concrete recommendations to develop European Union law and promote the proposed hierarchy.","container-title":"Maastricht Journal of European and Comparative Law","DOI":"10.1177/1023263X19840943","ISSN":"1023-263X, 2399-5548","issue":"3","journalAbbreviation":"Maastricht Journal of European and Comparative Law","language":"en","page":"394-420","source":"DOI.org (Crossref)","title":"Towards a hierarchy of consumption behaviour in the circular economy","volume":"26","author":[{"family":"Maitre-Ekern","given":"Eléonore"},{"family":"Dalhammar","given":"Carl"}],"issued":{"date-parts":[["2019",6]]}}}],"schema":"https://github.com/citation-style-language/schema/raw/master/csl-citation.json"}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bCs/>
          <w:color w:val="000000" w:themeColor="text1"/>
          <w:kern w:val="24"/>
          <w:sz w:val="24"/>
          <w:szCs w:val="24"/>
          <w:lang w:eastAsia="ja-JP"/>
        </w:rPr>
        <w:t>(Maitre-Ekern &amp; Dalhammar, 2019)</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w:t>
      </w:r>
      <w:r w:rsidRPr="00597FFB">
        <w:rPr>
          <w:rFonts w:ascii="Times New Roman" w:hAnsi="Times New Roman" w:cs="Times New Roman"/>
          <w:b/>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Figure </w:t>
      </w:r>
      <w:r w:rsidR="00376380" w:rsidRPr="00597FFB">
        <w:rPr>
          <w:rFonts w:ascii="Times New Roman" w:hAnsi="Times New Roman" w:cs="Times New Roman"/>
          <w:color w:val="000000" w:themeColor="text1"/>
          <w:kern w:val="24"/>
          <w:sz w:val="24"/>
          <w:szCs w:val="24"/>
          <w:lang w:eastAsia="ja-JP"/>
        </w:rPr>
        <w:t>8</w:t>
      </w:r>
      <w:r w:rsidRPr="00597FFB">
        <w:rPr>
          <w:rFonts w:ascii="Times New Roman" w:hAnsi="Times New Roman" w:cs="Times New Roman"/>
          <w:color w:val="000000" w:themeColor="text1"/>
          <w:kern w:val="24"/>
          <w:sz w:val="24"/>
          <w:szCs w:val="24"/>
          <w:lang w:eastAsia="ja-JP"/>
        </w:rPr>
        <w:t xml:space="preserve"> below shows that two main antecedents of awareness of consequences (AC) and ascription of responsibility (AR) activate personal norm. The NAT considers personal norms to be the most influential predictor of norm-oriented behavior but has neglected other non-moral variables such as social norms, habits, behavioral intentions, PBC, and situational circumstances. According to NAT, individuals' pro-social behavior is positively influenced by one’s personal norms. Personal norm is an internalized norm as it results from normative self-expectations regarding morally appropriate behavior and is motivated intrinsically (Schwartz, 1977).</w:t>
      </w:r>
      <w:bookmarkStart w:id="170" w:name="_Hlk104366899"/>
    </w:p>
    <w:p w14:paraId="3B2B2440" w14:textId="4A359BA2" w:rsidR="00804602" w:rsidRPr="00597FFB" w:rsidRDefault="00804602" w:rsidP="00804602">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The NAT focuses on actions that stem from personal moral beliefs regarding what is considered right or wrong </w:t>
      </w:r>
      <w:r w:rsidRPr="00597FFB">
        <w:rPr>
          <w:rFonts w:ascii="Times New Roman" w:hAnsi="Times New Roman" w:cs="Times New Roman"/>
          <w:color w:val="000000" w:themeColor="text1"/>
          <w:kern w:val="24"/>
          <w:sz w:val="24"/>
          <w:szCs w:val="24"/>
          <w:lang w:eastAsia="ja-JP"/>
        </w:rPr>
        <w:fldChar w:fldCharType="begin"/>
      </w:r>
      <w:r w:rsidRPr="00597FFB">
        <w:rPr>
          <w:rFonts w:ascii="Times New Roman" w:hAnsi="Times New Roman" w:cs="Times New Roman"/>
          <w:color w:val="000000" w:themeColor="text1"/>
          <w:kern w:val="24"/>
          <w:sz w:val="24"/>
          <w:szCs w:val="24"/>
          <w:lang w:eastAsia="ja-JP"/>
        </w:rPr>
        <w:instrText xml:space="preserve"> ADDIN ZOTERO_ITEM CSL_CITATION {"citationID":"0vwnxJw3","properties":{"formattedCitation":"(Saleem 2019)","plainCitation":"(Saleem 2019)","dontUpdate":true,"noteIndex":0},"citationItems":[{"id":4197,"uris":["http://zotero.org/users/local/b6CRLSJH/items/GLP8NHVK"],"itemData":{"id":4197,"type":"article-journal","DOI":"10.25903/5D9C136C79BB6","note":"publisher: James Cook University","source":"DOI.org (Datacite)","title":"Model of eco-socially conscious consumer behaviour related to choice and use of personal cars: evidence from an emerging economy","title-short":"Model of eco-socially conscious consumer behaviour related to choice and use of personal cars","URL":"https://researchonline.jcu.edu.au/60539/","author":[{"family":"Saleem","given":"Muhammad Abid"}],"accessed":{"date-parts":[["2021",6,24]]},"issued":{"date-parts":[["2019"]]}}}],"schema":"https://github.com/citation-style-language/schema/raw/master/csl-citation.json"}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(Saleem, 2019)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In the NAT, the benefits that others accrue are superior to personal interests </w:t>
      </w:r>
      <w:r w:rsidRPr="00597FFB">
        <w:rPr>
          <w:rFonts w:ascii="Times New Roman" w:hAnsi="Times New Roman" w:cs="Times New Roman"/>
          <w:color w:val="000000" w:themeColor="text1"/>
          <w:kern w:val="24"/>
          <w:sz w:val="24"/>
          <w:szCs w:val="24"/>
          <w:lang w:eastAsia="ja-JP"/>
        </w:rPr>
        <w:fldChar w:fldCharType="begin"/>
      </w:r>
      <w:r w:rsidRPr="00597FFB">
        <w:rPr>
          <w:rFonts w:ascii="Times New Roman" w:hAnsi="Times New Roman" w:cs="Times New Roman"/>
          <w:color w:val="000000" w:themeColor="text1"/>
          <w:kern w:val="24"/>
          <w:sz w:val="24"/>
          <w:szCs w:val="24"/>
          <w:lang w:eastAsia="ja-JP"/>
        </w:rPr>
        <w:instrText xml:space="preserve"> ADDIN ZOTERO_ITEM CSL_CITATION {"citationID":"8WMVd5Qv","properties":{"formattedCitation":"(Dong et al. 2020)","plainCitation":"(Dong et al. 2020)","dontUpdate":true,"noteIndex":0},"citationItems":[{"id":4198,"uris":["http://zotero.org/users/local/b6CRLSJH/items/6CETRPPU"],"itemData":{"id":4198,"type":"article-journal","container-title":"Transportation Research Part A: Policy and Practice","DOI":"10.1016/j.tra.2020.03.012","ISSN":"09658564","journalAbbreviation":"Transportation Research Part A: Policy and Practice","language":"en","page":"183-197","source":"DOI.org (Crossref)","title":"Urban households’ purchase intentions for pure electric vehicles under subsidy contexts in China: Do cost factors matter?","title-short":"Urban households’ purchase intentions for pure electric vehicles under subsidy contexts in China","volume":"135","author":[{"family":"Dong","given":"Xiaoyang"},{"family":"Zhang","given":"Bin"},{"family":"Wang","given":"Bo"},{"family":"Wang","given":"Zhaohua"}],"issued":{"date-parts":[["2020",5]]}}}],"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(Dong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NAT is a socio-psychological attitude-behavior model that has been widely applied for predicting multiple forms of pro-social behavior. Pro-social behavior describes a person’s actions that benefit others and imply environmentally-friendly behavior </w:t>
      </w:r>
      <w:r w:rsidRPr="00597FFB">
        <w:rPr>
          <w:rFonts w:ascii="Times New Roman" w:hAnsi="Times New Roman" w:cs="Times New Roman"/>
          <w:color w:val="000000" w:themeColor="text1"/>
          <w:kern w:val="24"/>
          <w:sz w:val="24"/>
          <w:szCs w:val="24"/>
          <w:lang w:eastAsia="ja-JP"/>
        </w:rPr>
        <w:fldChar w:fldCharType="begin"/>
      </w:r>
      <w:r w:rsidRPr="00597FFB">
        <w:rPr>
          <w:rFonts w:ascii="Times New Roman" w:hAnsi="Times New Roman" w:cs="Times New Roman"/>
          <w:color w:val="000000" w:themeColor="text1"/>
          <w:kern w:val="24"/>
          <w:sz w:val="24"/>
          <w:szCs w:val="24"/>
          <w:lang w:eastAsia="ja-JP"/>
        </w:rPr>
        <w:instrText xml:space="preserve"> ADDIN ZOTERO_ITEM CSL_CITATION {"citationID":"2Mjnl3Kt","properties":{"formattedCitation":"(Concari, Kok, and Martens 2020)","plainCitation":"(Concari, Kok, and Martens 2020)","dontUpdate":true,"noteIndex":0},"citationItems":[{"id":4199,"uris":["http://zotero.org/users/local/b6CRLSJH/items/YJXL5XNZ"],"itemData":{"id":4199,"type":"article-journal","abstract":"Although there has been a steady increase in the number of studies on consumer behaviour in relation to sustainable development, there is limited focus on the product disposal phase. This systematic literature review intends to: (1) clarify how concepts related to pro-environmental consumer behaviour are understood and analysed in the academic literature on waste management; (2) discover any interplay between pro-environmental consumer behaviour and generic consumer behaviour, and the conditions and factors that favour it. A typical systematic literature review methodology was applied to the papers available on Web of Science, Science Direct and EBSCO (Elton Bryson Stephens Company) host between 1975 and 2019, leading to the selection of 699 final papers. The findings reveal that: (1) Although scholars tend to create a variety of pro-environmental consumer behaviour models depending on their specific field of inquiry, all approaches can be traced back to a limited number of reference theories; (2) The overall level of interplay between pro-environmental consumer behaviour and generic consumer behaviour is limited, nevertheless a favourable context or a supportive institutional-legal framework can significantly influence it; (3) A plethora of conditions and factors favour this type of interplay, involving social psychology, laws, economics, institutions and more; (4) Several critical issues appear in the analysed papers, especially some scholars’ assumptions to be able to identify all key factors. It follows the need for a more interdisciplinary approach, a deeper analysis of the effectiveness of the intervention measures at the governmental and institutional level, and a clear classification of factors and conditions (as proposed by this review).","container-title":"Sustainability","DOI":"10.3390/su12114452","ISSN":"2071-1050","issue":"11","journalAbbreviation":"Sustainability","language":"en","page":"4452","source":"DOI.org (Crossref)","title":"A Systematic Literature Review of Concepts and Factors Related to Pro-Environmental Consumer Behaviour in Relation to Waste Management Through an Interdisciplinary Approach","volume":"12","author":[{"family":"Concari","given":"Alessandro"},{"family":"Kok","given":"Gerjo"},{"family":"Martens","given":"Pim"}],"issued":{"date-parts":[["2020",5,30]]}}}],"schema":"https://github.com/citation-style-language/schema/raw/master/csl-citation.json"}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(Concari et al., 2020)</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w:t>
      </w:r>
    </w:p>
    <w:p w14:paraId="362619BE" w14:textId="7EC04235" w:rsidR="001A7901" w:rsidRPr="00597FFB" w:rsidRDefault="001A7901" w:rsidP="004D5ECF">
      <w:pPr>
        <w:widowControl w:val="0"/>
        <w:spacing w:before="26" w:after="26" w:line="480" w:lineRule="auto"/>
        <w:ind w:right="360"/>
        <w:rPr>
          <w:rFonts w:ascii="Times New Roman" w:hAnsi="Times New Roman" w:cs="Times New Roman"/>
          <w:color w:val="000000" w:themeColor="text1"/>
          <w:kern w:val="24"/>
          <w:lang w:eastAsia="ja-JP"/>
        </w:rPr>
      </w:pPr>
      <w:r w:rsidRPr="00597FFB">
        <w:rPr>
          <w:rFonts w:ascii="Times New Roman" w:hAnsi="Times New Roman" w:cs="Times New Roman"/>
          <w:b/>
          <w:bCs/>
          <w:color w:val="000000" w:themeColor="text1"/>
          <w:kern w:val="24"/>
          <w:lang w:eastAsia="ja-JP"/>
        </w:rPr>
        <w:t xml:space="preserve">Figure 8: </w:t>
      </w:r>
      <w:r w:rsidRPr="00597FFB">
        <w:rPr>
          <w:rFonts w:ascii="Times New Roman" w:hAnsi="Times New Roman" w:cs="Times New Roman"/>
          <w:i/>
          <w:iCs/>
          <w:color w:val="000000" w:themeColor="text1"/>
          <w:kern w:val="24"/>
          <w:lang w:eastAsia="ja-JP"/>
        </w:rPr>
        <w:t>NAT model</w:t>
      </w:r>
      <w:r w:rsidR="00E02A25" w:rsidRPr="00597FFB">
        <w:rPr>
          <w:rFonts w:ascii="Times New Roman" w:hAnsi="Times New Roman" w:cs="Times New Roman"/>
          <w:i/>
          <w:iCs/>
          <w:color w:val="000000" w:themeColor="text1"/>
          <w:kern w:val="24"/>
          <w:lang w:eastAsia="ja-JP"/>
        </w:rPr>
        <w:t>.</w:t>
      </w:r>
      <w:r w:rsidRPr="00597FFB">
        <w:rPr>
          <w:rFonts w:ascii="Times New Roman" w:hAnsi="Times New Roman" w:cs="Times New Roman"/>
          <w:i/>
          <w:iCs/>
          <w:color w:val="000000" w:themeColor="text1"/>
          <w:kern w:val="24"/>
          <w:lang w:eastAsia="ja-JP"/>
        </w:rPr>
        <w:t xml:space="preserve"> </w:t>
      </w:r>
      <w:r w:rsidR="000943E9" w:rsidRPr="00597FFB">
        <w:rPr>
          <w:noProof/>
          <w:kern w:val="24"/>
          <w:sz w:val="24"/>
          <w:szCs w:val="24"/>
          <w:lang w:eastAsia="ja-JP"/>
        </w:rPr>
        <mc:AlternateContent>
          <mc:Choice Requires="wpg">
            <w:drawing>
              <wp:inline distT="0" distB="0" distL="0" distR="0" wp14:anchorId="03F1521B" wp14:editId="2396D035">
                <wp:extent cx="4240530" cy="2657475"/>
                <wp:effectExtent l="0" t="0" r="26670" b="28575"/>
                <wp:docPr id="290" name="Group 29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40530" cy="2657475"/>
                          <a:chOff x="-53865" y="-1"/>
                          <a:chExt cx="5694570" cy="3003102"/>
                        </a:xfrm>
                      </wpg:grpSpPr>
                      <wps:wsp>
                        <wps:cNvPr id="291" name="Straight Arrow Connector 3"/>
                        <wps:cNvCnPr/>
                        <wps:spPr>
                          <a:xfrm>
                            <a:off x="1619250" y="457200"/>
                            <a:ext cx="857250" cy="619125"/>
                          </a:xfrm>
                          <a:prstGeom prst="straightConnector1">
                            <a:avLst/>
                          </a:prstGeom>
                          <a:noFill/>
                          <a:ln w="19050">
                            <a:solidFill>
                              <a:srgbClr val="E7E6E6">
                                <a:lumMod val="10000"/>
                              </a:srgbClr>
                            </a:solidFill>
                            <a:prstDash val="solid"/>
                            <a:miter lim="800000"/>
                            <a:headEnd/>
                            <a:tailEnd type="arrow"/>
                          </a:ln>
                          <a:effectLst/>
                        </wps:spPr>
                        <wps:bodyPr/>
                      </wps:wsp>
                      <wps:wsp>
                        <wps:cNvPr id="292" name="Oval 4"/>
                        <wps:cNvSpPr/>
                        <wps:spPr>
                          <a:xfrm>
                            <a:off x="0" y="-1"/>
                            <a:ext cx="1621154" cy="1278740"/>
                          </a:xfrm>
                          <a:prstGeom prst="ellipse">
                            <a:avLst/>
                          </a:prstGeom>
                          <a:noFill/>
                          <a:ln w="12700">
                            <a:solidFill>
                              <a:sysClr val="windowText" lastClr="000000"/>
                            </a:solidFill>
                            <a:prstDash val="solid"/>
                            <a:miter lim="800000"/>
                          </a:ln>
                          <a:effectLst/>
                        </wps:spPr>
                        <wps:txbx>
                          <w:txbxContent>
                            <w:p w14:paraId="6ABFB222"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Awareness of Consequences (AC)</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93" name="Straight Arrow Connector 3"/>
                        <wps:cNvCnPr/>
                        <wps:spPr>
                          <a:xfrm flipV="1">
                            <a:off x="1552575" y="1819275"/>
                            <a:ext cx="923925" cy="638175"/>
                          </a:xfrm>
                          <a:prstGeom prst="straightConnector1">
                            <a:avLst/>
                          </a:prstGeom>
                          <a:noFill/>
                          <a:ln w="19050">
                            <a:solidFill>
                              <a:srgbClr val="E7E6E6">
                                <a:lumMod val="10000"/>
                              </a:srgbClr>
                            </a:solidFill>
                            <a:prstDash val="solid"/>
                            <a:miter lim="800000"/>
                            <a:headEnd/>
                            <a:tailEnd type="arrow"/>
                          </a:ln>
                          <a:effectLst/>
                        </wps:spPr>
                        <wps:bodyPr/>
                      </wps:wsp>
                      <wps:wsp>
                        <wps:cNvPr id="294" name="Oval 12"/>
                        <wps:cNvSpPr/>
                        <wps:spPr>
                          <a:xfrm>
                            <a:off x="4086225" y="1000125"/>
                            <a:ext cx="1554480" cy="877570"/>
                          </a:xfrm>
                          <a:prstGeom prst="ellipse">
                            <a:avLst/>
                          </a:prstGeom>
                          <a:noFill/>
                          <a:ln w="12700">
                            <a:solidFill>
                              <a:sysClr val="windowText" lastClr="000000"/>
                            </a:solidFill>
                            <a:prstDash val="solid"/>
                            <a:miter lim="800000"/>
                          </a:ln>
                          <a:effectLst/>
                        </wps:spPr>
                        <wps:txbx>
                          <w:txbxContent>
                            <w:p w14:paraId="5721B4D7"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Behavior</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95" name="Oval 13"/>
                        <wps:cNvSpPr/>
                        <wps:spPr>
                          <a:xfrm>
                            <a:off x="2076450" y="1000125"/>
                            <a:ext cx="1554480" cy="877570"/>
                          </a:xfrm>
                          <a:prstGeom prst="ellipse">
                            <a:avLst/>
                          </a:prstGeom>
                          <a:noFill/>
                          <a:ln w="12700">
                            <a:solidFill>
                              <a:sysClr val="windowText" lastClr="000000"/>
                            </a:solidFill>
                            <a:prstDash val="solid"/>
                            <a:miter lim="800000"/>
                          </a:ln>
                          <a:effectLst/>
                        </wps:spPr>
                        <wps:txbx>
                          <w:txbxContent>
                            <w:p w14:paraId="43238AED"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Personal Norm</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s:wsp>
                        <wps:cNvPr id="296" name="Straight Arrow Connector 14"/>
                        <wps:cNvCnPr/>
                        <wps:spPr>
                          <a:xfrm>
                            <a:off x="3629025" y="1428750"/>
                            <a:ext cx="457200" cy="0"/>
                          </a:xfrm>
                          <a:prstGeom prst="straightConnector1">
                            <a:avLst/>
                          </a:prstGeom>
                          <a:noFill/>
                          <a:ln w="19050" cap="flat" cmpd="sng" algn="ctr">
                            <a:solidFill>
                              <a:sysClr val="windowText" lastClr="000000"/>
                            </a:solidFill>
                            <a:prstDash val="solid"/>
                            <a:miter lim="800000"/>
                            <a:headEnd type="none" w="med" len="med"/>
                            <a:tailEnd type="arrow" w="med" len="med"/>
                          </a:ln>
                          <a:effectLst/>
                        </wps:spPr>
                        <wps:bodyPr/>
                      </wps:wsp>
                      <wps:wsp>
                        <wps:cNvPr id="297" name="Oval 15"/>
                        <wps:cNvSpPr/>
                        <wps:spPr>
                          <a:xfrm>
                            <a:off x="-53865" y="1769569"/>
                            <a:ext cx="1606440" cy="1233532"/>
                          </a:xfrm>
                          <a:prstGeom prst="ellipse">
                            <a:avLst/>
                          </a:prstGeom>
                          <a:noFill/>
                          <a:ln w="12700">
                            <a:solidFill>
                              <a:sysClr val="windowText" lastClr="000000"/>
                            </a:solidFill>
                            <a:prstDash val="solid"/>
                            <a:miter lim="800000"/>
                          </a:ln>
                          <a:effectLst/>
                        </wps:spPr>
                        <wps:txbx>
                          <w:txbxContent>
                            <w:p w14:paraId="45957260" w14:textId="77777777" w:rsidR="000943E9" w:rsidRPr="006E4C44" w:rsidRDefault="000943E9" w:rsidP="000943E9">
                              <w:pPr>
                                <w:jc w:val="center"/>
                              </w:pPr>
                              <w:r w:rsidRPr="006E4C44">
                                <w:rPr>
                                  <w:rFonts w:ascii="Times New Roman" w:hAnsi="Times New Roman" w:cs="Times New Roman"/>
                                </w:rPr>
                                <w:t>Ascription of Responsibility (AR)</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wpg:wgp>
                  </a:graphicData>
                </a:graphic>
              </wp:inline>
            </w:drawing>
          </mc:Choice>
          <mc:Fallback>
            <w:pict>
              <v:group w14:anchorId="03F1521B" id="Group 290" o:spid="_x0000_s1091" style="width:333.9pt;height:209.25pt;mso-position-horizontal-relative:char;mso-position-vertical-relative:line" coordorigin="-538" coordsize="56945,30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">
                <o:lock v:ext="edit" aspectratio="t"/>
                <v:shape id="Straight Arrow Connector 3" o:spid="_x0000_s1092" type="#_x0000_t32" style="position:absolute;left:16192;top:4572;width:8573;height:6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" strokecolor="#181717" strokeweight="1.5pt">
                  <v:stroke endarrow="open" joinstyle="miter"/>
                </v:shape>
                <v:oval id="Oval 4" o:spid="_x0000_s1093" style="position:absolute;width:16211;height:12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" filled="f" strokecolor="windowText" strokeweight="1pt">
                  <v:stroke joinstyle="miter"/>
                  <v:textbox>
                    <w:txbxContent>
                      <w:p w14:paraId="6ABFB222"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Awareness of Consequences (AC)</w:t>
                        </w:r>
                      </w:p>
                    </w:txbxContent>
                  </v:textbox>
                </v:oval>
                <v:shape id="Straight Arrow Connector 3" o:spid="_x0000_s1094" type="#_x0000_t32" style="position:absolute;left:15525;top:18192;width:9240;height:6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" strokecolor="#181717" strokeweight="1.5pt">
                  <v:stroke endarrow="open" joinstyle="miter"/>
                </v:shape>
                <v:oval id="Oval 12" o:spid="_x0000_s1095" style="position:absolute;left:40862;top:10001;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" filled="f" strokecolor="windowText" strokeweight="1pt">
                  <v:stroke joinstyle="miter"/>
                  <v:textbox>
                    <w:txbxContent>
                      <w:p w14:paraId="5721B4D7"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Behavior</w:t>
                        </w:r>
                      </w:p>
                    </w:txbxContent>
                  </v:textbox>
                </v:oval>
                <v:oval id="Oval 13" o:spid="_x0000_s1096" style="position:absolute;left:20764;top:10001;width:15545;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" filled="f" strokecolor="windowText" strokeweight="1pt">
                  <v:stroke joinstyle="miter"/>
                  <v:textbox>
                    <w:txbxContent>
                      <w:p w14:paraId="43238AED" w14:textId="77777777" w:rsidR="000943E9" w:rsidRPr="006E4C44" w:rsidRDefault="000943E9" w:rsidP="000943E9">
                        <w:pPr>
                          <w:jc w:val="center"/>
                          <w:rPr>
                            <w:rFonts w:ascii="Times New Roman" w:hAnsi="Times New Roman" w:cs="Times New Roman"/>
                          </w:rPr>
                        </w:pPr>
                        <w:r w:rsidRPr="006E4C44">
                          <w:rPr>
                            <w:rFonts w:ascii="Times New Roman" w:hAnsi="Times New Roman" w:cs="Times New Roman"/>
                          </w:rPr>
                          <w:t>Personal Norm</w:t>
                        </w:r>
                      </w:p>
                    </w:txbxContent>
                  </v:textbox>
                </v:oval>
                <v:shape id="Straight Arrow Connector 14" o:spid="_x0000_s1097" type="#_x0000_t32" style="position:absolute;left:36290;top:14287;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" strokecolor="windowText" strokeweight="1.5pt">
                  <v:stroke endarrow="open" joinstyle="miter"/>
                </v:shape>
                <v:oval id="Oval 15" o:spid="_x0000_s1098" style="position:absolute;left:-538;top:17695;width:16063;height:1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" filled="f" strokecolor="windowText" strokeweight="1pt">
                  <v:stroke joinstyle="miter"/>
                  <v:textbox>
                    <w:txbxContent>
                      <w:p w14:paraId="45957260" w14:textId="77777777" w:rsidR="000943E9" w:rsidRPr="006E4C44" w:rsidRDefault="000943E9" w:rsidP="000943E9">
                        <w:pPr>
                          <w:jc w:val="center"/>
                        </w:pPr>
                        <w:r w:rsidRPr="006E4C44">
                          <w:rPr>
                            <w:rFonts w:ascii="Times New Roman" w:hAnsi="Times New Roman" w:cs="Times New Roman"/>
                          </w:rPr>
                          <w:t>Ascription of Responsibility (AR)</w:t>
                        </w:r>
                      </w:p>
                    </w:txbxContent>
                  </v:textbox>
                </v:oval>
                <w10:anchorlock/>
              </v:group>
            </w:pict>
          </mc:Fallback>
        </mc:AlternateContent>
      </w:r>
      <w:bookmarkEnd w:id="170"/>
    </w:p>
    <w:p w14:paraId="5AB919D1" w14:textId="41E26E4C" w:rsidR="001A7901" w:rsidRPr="00597FFB" w:rsidRDefault="001A7901" w:rsidP="004D5ECF">
      <w:pPr>
        <w:widowControl w:val="0"/>
        <w:spacing w:after="0" w:line="240" w:lineRule="auto"/>
        <w:ind w:left="360" w:right="360"/>
        <w:rPr>
          <w:rFonts w:ascii="Times New Roman" w:hAnsi="Times New Roman" w:cs="Times New Roman"/>
          <w:i/>
          <w:iCs/>
          <w:color w:val="000000" w:themeColor="text1"/>
          <w:kern w:val="24"/>
          <w:sz w:val="20"/>
          <w:szCs w:val="20"/>
          <w:lang w:eastAsia="ja-JP"/>
        </w:rPr>
      </w:pPr>
      <w:r w:rsidRPr="00597FFB">
        <w:rPr>
          <w:rFonts w:ascii="Times New Roman" w:hAnsi="Times New Roman" w:cs="Times New Roman"/>
          <w:i/>
          <w:iCs/>
          <w:color w:val="000000" w:themeColor="text1"/>
          <w:kern w:val="24"/>
          <w:sz w:val="20"/>
          <w:szCs w:val="20"/>
          <w:lang w:eastAsia="ja-JP"/>
        </w:rPr>
        <w:t>Source: Schwartz (1977)</w:t>
      </w:r>
      <w:r w:rsidR="00E02A25" w:rsidRPr="00597FFB">
        <w:rPr>
          <w:rFonts w:ascii="Times New Roman" w:hAnsi="Times New Roman" w:cs="Times New Roman"/>
          <w:i/>
          <w:iCs/>
          <w:color w:val="000000" w:themeColor="text1"/>
          <w:kern w:val="24"/>
          <w:sz w:val="20"/>
          <w:szCs w:val="20"/>
          <w:lang w:eastAsia="ja-JP"/>
        </w:rPr>
        <w:t>.</w:t>
      </w:r>
    </w:p>
    <w:p w14:paraId="0FFA34F4" w14:textId="77777777" w:rsidR="004D5ECF" w:rsidRPr="00597FFB" w:rsidRDefault="004D5ECF"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p>
    <w:p w14:paraId="11CED779" w14:textId="46824E14" w:rsidR="001A7901" w:rsidRPr="00597FFB" w:rsidRDefault="001A7901" w:rsidP="00A558FE">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Besides inclusion of subjective norms in the TPB, various researchers (Onel &amp; Mukherjee, 2017; Shen et al., 2020) have validated the integration of personal norms in studies about recycling intention or behavior and pro-environmental behavior in general. In their US-based study about why consumers engage in recycling behavior, Onel and Mukherjee (2017) integrated personal norms in the TPB and found it to have higher prediction power on both recycling behavior or intention more than the TPB variables (attitude, subjective norm, and PBC).</w:t>
      </w:r>
    </w:p>
    <w:p w14:paraId="472D0257" w14:textId="1073AFD7" w:rsidR="001A7901" w:rsidRPr="00597FFB" w:rsidRDefault="001A7901" w:rsidP="00A558FE">
      <w:pPr>
        <w:widowControl w:val="0"/>
        <w:spacing w:before="26" w:after="26" w:line="480" w:lineRule="auto"/>
        <w:ind w:right="360"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the Chinese context, Shen et al. (2020) found that personal norms had the greatest direct and positive effect on farmers’ intention to sort domestic waste. Using a sample of 401 Koreans in a study merging the NAT and TPB in an attempt to explain the formation of eco-friendly behavioral intention with respect to food delivery services using drones, Kim and Hwang (2020) found that personal norm had a direct, positive effect on intention. However, Kim and Hwang (2020) explained and validated that subjective norm affects personal norm. This is because subjective norm is the validator of whether a particular behavior is socially acceptable or not thereby guiding a person to determine their beliefs concerning whether a given behavior is right for them or not (Byun &amp; Jang, 2019). Esfandiar et al. (2020) provided empirical evidence that subjective norms influence recycling behavior indirectly through personal norms rather than directly. Similarly,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{"citationID":"5uVt1dEq","properties":{"formattedCitation":"(AlJaberi, Hussain, and Drake 2020)","plainCitation":"(AlJaberi, Hussain, and Drake 2020)","dontUpdate":true,"noteIndex":0},"citationItems":[{"id":2535,"uris":["http://zotero.org/users/local/b6CRLSJH/items/637X77ZG"],"itemData":{"id":2535,"type":"article-journal","abstract":"The purpose of this paper is to identify sustainability factors in the healthcare sector, introduce a hierarchical framework for the sustainability factors, and prioritize the importance of the sustainability factors and sub-factors. Measuring sustainability in healthcare systems is a complex and unstructured issue that involves many criteria and sub-criteria, requiring the issue to be deconstructed into a set of components organized into a multi-level hierarchical form. Analytical hierarchical process (AHP) methodology is used to manage the complexity of multi-criteria decision-making processes. Data were collected from five large hospitals in Abu Dhabi, which is the largest Emirate of the United Arab Emirates (UAE). The AHP framework used in this study resulted in a ranking of 31 sustainability sub-factors based on evaluations by experienced healthcare professionals. This work contributes to continuing research on sustainability, giving practitioners and designers a practical means to measure and implement sustainability factors in health organizations. Through successive stages of data collection, measurement analysis, and refinement, the contribution of this research is a reliable and valid framework that can be used to conceptualize and prioritize sustainability strategies in healthcare management.","container-title":"International Journal of Healthcare Management","DOI":"10.1080/20479700.2017.1404710","ISSN":"2047-9700, 2047-9719","issue":"4","journalAbbreviation":"International Journal of Healthcare Management","language":"en","page":"276-285","source":"DOI.org (Crossref)","title":"A framework for measuring sustainability in healthcare systems","volume":"13","author":[{"family":"AlJaberi","given":"Omar Awad"},{"family":"Hussain","given":"Matloub"},{"family":"Drake","given":"Paul R."}],"issued":{"date-parts":[["2020",10,1]]}}}],"schema":"https://github.com/citation-style-language/schema/raw/master/csl-citation.json"}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AlJaberi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further explained that when people accept social norms, personal norms will be activated.</w:t>
      </w:r>
    </w:p>
    <w:p w14:paraId="24BFA517" w14:textId="77777777" w:rsidR="001A7901" w:rsidRPr="00597FFB" w:rsidRDefault="001A7901" w:rsidP="00373886">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Therefore, it was assumed that if UAE millennials perceive e-waste recycling as being socially desirable, they would likely feel obliged to participate in EWR</w:t>
      </w:r>
      <w:r w:rsidRPr="00597FFB">
        <w:rPr>
          <w:rFonts w:ascii="Times New Roman" w:eastAsia="Times New Roman" w:hAnsi="Times New Roman" w:cs="Times New Roman"/>
          <w:bCs/>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In this regard, it was expected that UAE millennials’ subjective norm would affect their personal norm, which would in turn influence their intention to recycle e-waste. In other words, personal norm is expected to mediate the relationship between subjective norm and EWR behavioral intention. Besides the TPB, the NAT is used in explaining pro-environmental behavior especially because it goes beyond the subjective norm and integrates personal norms as an influencer of behavior (Chen et al., 2018).</w:t>
      </w:r>
    </w:p>
    <w:p w14:paraId="672D22E5" w14:textId="085F18EE" w:rsidR="001A7901" w:rsidRPr="00597FFB" w:rsidRDefault="001A7901" w:rsidP="00373886">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this regard, the NAT is considered suitable for examining e-waste recycling due to its inclination toward pro-environmental behavior. For the purposes of this dissertation, all the NAT components comprising </w:t>
      </w:r>
      <w:r w:rsidR="00310F4F" w:rsidRPr="00597FFB">
        <w:rPr>
          <w:rFonts w:ascii="Times New Roman" w:hAnsi="Times New Roman" w:cs="Times New Roman"/>
          <w:color w:val="000000" w:themeColor="text1"/>
          <w:kern w:val="24"/>
          <w:sz w:val="24"/>
          <w:szCs w:val="24"/>
          <w:lang w:eastAsia="ja-JP"/>
        </w:rPr>
        <w:t xml:space="preserve">personal norm, ascription of responsibility, </w:t>
      </w:r>
      <w:r w:rsidRPr="00597FFB">
        <w:rPr>
          <w:rFonts w:ascii="Times New Roman" w:hAnsi="Times New Roman" w:cs="Times New Roman"/>
          <w:color w:val="000000" w:themeColor="text1"/>
          <w:kern w:val="24"/>
          <w:sz w:val="24"/>
          <w:szCs w:val="24"/>
          <w:lang w:eastAsia="ja-JP"/>
        </w:rPr>
        <w:t>awareness of consequences, and EWR behavior were adopted. However, awareness of (e-waste) consequences was postulated to influence ascription of responsibility and EWR behavior directly as opposed to through personal norms, as explained in detail in section (iv) of section 3.3. In subsection (i) of this section, the use of NAT in general waste and environment studies is reviewed while its focused application in previous EWR research appears in subsection (ii).</w:t>
      </w:r>
    </w:p>
    <w:p w14:paraId="282863C2" w14:textId="04EE9CD9" w:rsidR="00ED6B8A" w:rsidRPr="00597FFB" w:rsidRDefault="00ED6B8A"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71" w:name="_Hlk123719569"/>
      <w:bookmarkStart w:id="172" w:name="_Toc127170317"/>
      <w:r w:rsidRPr="00597FFB">
        <w:rPr>
          <w:rFonts w:asciiTheme="majorBidi" w:hAnsiTheme="majorBidi"/>
          <w:i/>
          <w:iCs/>
          <w:color w:val="000000" w:themeColor="text1"/>
          <w:sz w:val="24"/>
          <w:szCs w:val="24"/>
        </w:rPr>
        <w:t xml:space="preserve">3.1.2.1. Extending NAT, Waste, </w:t>
      </w:r>
      <w:r w:rsidR="00DF1E15" w:rsidRPr="00597FFB">
        <w:rPr>
          <w:rFonts w:asciiTheme="majorBidi" w:hAnsiTheme="majorBidi"/>
          <w:i/>
          <w:iCs/>
          <w:color w:val="000000" w:themeColor="text1"/>
          <w:sz w:val="24"/>
          <w:szCs w:val="24"/>
        </w:rPr>
        <w:t>a</w:t>
      </w:r>
      <w:r w:rsidRPr="00597FFB">
        <w:rPr>
          <w:rFonts w:asciiTheme="majorBidi" w:hAnsiTheme="majorBidi"/>
          <w:i/>
          <w:iCs/>
          <w:color w:val="000000" w:themeColor="text1"/>
          <w:sz w:val="24"/>
          <w:szCs w:val="24"/>
        </w:rPr>
        <w:t>nd Environment</w:t>
      </w:r>
      <w:r w:rsidR="00E02A25" w:rsidRPr="00597FFB">
        <w:rPr>
          <w:rFonts w:asciiTheme="majorBidi" w:hAnsiTheme="majorBidi"/>
          <w:i/>
          <w:iCs/>
          <w:color w:val="000000" w:themeColor="text1"/>
          <w:sz w:val="24"/>
          <w:szCs w:val="24"/>
        </w:rPr>
        <w:t>.</w:t>
      </w:r>
      <w:bookmarkEnd w:id="171"/>
      <w:bookmarkEnd w:id="172"/>
    </w:p>
    <w:p w14:paraId="2E4A5383" w14:textId="0D2BC4A6" w:rsidR="001A7901" w:rsidRPr="00597FFB" w:rsidRDefault="001A7901" w:rsidP="00373886">
      <w:pPr>
        <w:widowControl w:val="0"/>
        <w:spacing w:after="0" w:line="480" w:lineRule="auto"/>
        <w:ind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Previous authors have adopted the NAT to investigate different domains of environmentalism, such as environmentally responsible behavior in tourism (Confente &amp; Scarpi, 2020), and energy conservation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{"citationID":"SSCyO5Iw","properties":{"formattedCitation":"(Alao et al. 2020)","plainCitation":"(Alao et al. 2020)","dontUpdate":true,"noteIndex":0},"citationItems":[{"id":1226,"uris":["http://zotero.org/users/local/b6CRLSJH/items/SD9I38X5"],"itemData":{"id":1226,"type":"article-journal","abstract":"Selection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(Nguyen et al., 2018)</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For instance, Confente and Scarpi (2020) applied the NAT in tourism to investigate the achievement of pro-environmental behavior among 450 Venice residents and tourists. The findings showed that ascription of responsibility was a significant mediator of the relationship between environmentally responsible behavior and awareness of negative repercussions.</w:t>
      </w:r>
    </w:p>
    <w:p w14:paraId="74728667" w14:textId="77777777" w:rsidR="001A7901" w:rsidRPr="00597FFB" w:rsidRDefault="001A7901" w:rsidP="00373886">
      <w:pPr>
        <w:spacing w:after="0" w:line="480" w:lineRule="auto"/>
        <w:ind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Nguyen et al. (2018) administered a paper-based survey to 289 young Vietnamese respondents to investigate various moral, self-identity, rational, and emotional factors that could hinder or promote their green purchase behavior. Their findings showed that personal norms, perceived barriers, attitudes, knowledge, and self-identity influenced the purchase intention of energy efficient appliances significantly. The studies reviewed in this section show that the NAT has gained popularity in explaining pro-environmental behavior and waste management across multiple populations and in different contexts, which renders its inclusion in this study viable.</w:t>
      </w:r>
    </w:p>
    <w:p w14:paraId="07CAEC96" w14:textId="54DCD8AB" w:rsidR="00E54E97" w:rsidRPr="00597FFB" w:rsidRDefault="00E54E97"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73" w:name="_Toc127170318"/>
      <w:r w:rsidRPr="00597FFB">
        <w:rPr>
          <w:rFonts w:asciiTheme="majorBidi" w:hAnsiTheme="majorBidi"/>
          <w:i/>
          <w:iCs/>
          <w:color w:val="000000" w:themeColor="text1"/>
          <w:sz w:val="24"/>
          <w:szCs w:val="24"/>
        </w:rPr>
        <w:t>3.1.2.2. NAT and consumer</w:t>
      </w:r>
      <w:r w:rsidR="00ED5E2C">
        <w:rPr>
          <w:rFonts w:asciiTheme="majorBidi" w:hAnsiTheme="majorBidi"/>
          <w:i/>
          <w:iCs/>
          <w:color w:val="000000" w:themeColor="text1"/>
          <w:sz w:val="24"/>
          <w:szCs w:val="24"/>
        </w:rPr>
        <w:t>’s</w:t>
      </w:r>
      <w:r w:rsidRPr="00597FFB">
        <w:rPr>
          <w:rFonts w:asciiTheme="majorBidi" w:hAnsiTheme="majorBidi"/>
          <w:i/>
          <w:iCs/>
          <w:color w:val="000000" w:themeColor="text1"/>
          <w:sz w:val="24"/>
          <w:szCs w:val="24"/>
        </w:rPr>
        <w:t xml:space="preserve"> </w:t>
      </w:r>
      <w:r w:rsidR="00AE7D35" w:rsidRPr="00597FFB">
        <w:rPr>
          <w:rFonts w:asciiTheme="majorBidi" w:hAnsiTheme="majorBidi"/>
          <w:i/>
          <w:iCs/>
          <w:color w:val="000000" w:themeColor="text1"/>
          <w:sz w:val="24"/>
          <w:szCs w:val="24"/>
        </w:rPr>
        <w:t>EWR</w:t>
      </w:r>
      <w:r w:rsidRPr="00597FFB">
        <w:rPr>
          <w:rFonts w:asciiTheme="majorBidi" w:hAnsiTheme="majorBidi"/>
          <w:i/>
          <w:iCs/>
          <w:color w:val="000000" w:themeColor="text1"/>
          <w:sz w:val="24"/>
          <w:szCs w:val="24"/>
        </w:rPr>
        <w:t xml:space="preserve"> </w:t>
      </w:r>
      <w:r w:rsidR="00ED5E2C">
        <w:rPr>
          <w:rFonts w:asciiTheme="majorBidi" w:hAnsiTheme="majorBidi"/>
          <w:i/>
          <w:iCs/>
          <w:color w:val="000000" w:themeColor="text1"/>
          <w:sz w:val="24"/>
          <w:szCs w:val="24"/>
        </w:rPr>
        <w:t>B</w:t>
      </w:r>
      <w:r w:rsidRPr="00597FFB">
        <w:rPr>
          <w:rFonts w:asciiTheme="majorBidi" w:hAnsiTheme="majorBidi"/>
          <w:i/>
          <w:iCs/>
          <w:color w:val="000000" w:themeColor="text1"/>
          <w:sz w:val="24"/>
          <w:szCs w:val="24"/>
        </w:rPr>
        <w:t xml:space="preserve">ehavioral </w:t>
      </w:r>
      <w:r w:rsidR="00ED5E2C">
        <w:rPr>
          <w:rFonts w:asciiTheme="majorBidi" w:hAnsiTheme="majorBidi"/>
          <w:i/>
          <w:iCs/>
          <w:color w:val="000000" w:themeColor="text1"/>
          <w:sz w:val="24"/>
          <w:szCs w:val="24"/>
        </w:rPr>
        <w:t>I</w:t>
      </w:r>
      <w:r w:rsidRPr="00597FFB">
        <w:rPr>
          <w:rFonts w:asciiTheme="majorBidi" w:hAnsiTheme="majorBidi"/>
          <w:i/>
          <w:iCs/>
          <w:color w:val="000000" w:themeColor="text1"/>
          <w:sz w:val="24"/>
          <w:szCs w:val="24"/>
        </w:rPr>
        <w:t>ntention</w:t>
      </w:r>
      <w:r w:rsidR="00F12298" w:rsidRPr="00597FFB">
        <w:rPr>
          <w:rFonts w:asciiTheme="majorBidi" w:hAnsiTheme="majorBidi"/>
          <w:i/>
          <w:iCs/>
          <w:color w:val="000000" w:themeColor="text1"/>
          <w:sz w:val="24"/>
          <w:szCs w:val="24"/>
        </w:rPr>
        <w:t>.</w:t>
      </w:r>
      <w:bookmarkEnd w:id="149"/>
      <w:bookmarkEnd w:id="173"/>
    </w:p>
    <w:p w14:paraId="20F49823" w14:textId="2C134C08" w:rsidR="001A7901" w:rsidRPr="00597FFB" w:rsidRDefault="001A7901" w:rsidP="00373886">
      <w:pPr>
        <w:widowControl w:val="0"/>
        <w:spacing w:before="26" w:after="26" w:line="480" w:lineRule="auto"/>
        <w:ind w:right="360" w:firstLine="720"/>
        <w:jc w:val="both"/>
        <w:rPr>
          <w:rFonts w:ascii="Times New Roman" w:hAnsi="Times New Roman" w:cs="Times New Roman"/>
          <w:b/>
          <w:bCs/>
          <w:color w:val="000000" w:themeColor="text1"/>
          <w:kern w:val="24"/>
          <w:sz w:val="24"/>
          <w:szCs w:val="24"/>
          <w:u w:val="single"/>
          <w:lang w:eastAsia="ja-JP"/>
        </w:rPr>
      </w:pPr>
      <w:r w:rsidRPr="00597FFB">
        <w:rPr>
          <w:rFonts w:ascii="Times New Roman" w:hAnsi="Times New Roman" w:cs="Times New Roman"/>
          <w:color w:val="000000" w:themeColor="text1"/>
          <w:kern w:val="24"/>
          <w:sz w:val="24"/>
          <w:szCs w:val="24"/>
          <w:lang w:eastAsia="ja-JP"/>
        </w:rPr>
        <w:t xml:space="preserve">Although the NAT is prevalent in studies on pro-environmental behavior and recycling intention, as demonstrated in the previous subsection, limited studies were found to employ the NAT on its own in the study of EWR. For example, one study (Wang et al., 2018) in which the authors integrate NAT with the TPB was found. Wang et al. (2018). Wang et al. (2018) integrated the TPB and NAM to investigate the influence of information publicity on EWR behavior intentions in China based on 462 questionnaire responses. Their findings showed that information publicity did not influence the EWR behavior intentions of residents directly. However, information publicity influenced EWR behavior intentions of residents indirectly through recycling attitude and personal norm. In the context of this research, the integration of the NAT with other theories is groundbreaking since this is among pioneers’ studies to employ the NAT to understand millennials’ EWR intentions in the Arab world to the best </w:t>
      </w:r>
      <w:r w:rsidR="00ED5FAA" w:rsidRPr="00597FFB">
        <w:rPr>
          <w:rFonts w:ascii="Times New Roman" w:hAnsi="Times New Roman" w:cs="Times New Roman"/>
          <w:color w:val="000000" w:themeColor="text1"/>
          <w:kern w:val="24"/>
          <w:sz w:val="24"/>
          <w:szCs w:val="24"/>
          <w:lang w:eastAsia="ja-JP"/>
        </w:rPr>
        <w:t xml:space="preserve">knowledge </w:t>
      </w:r>
      <w:r w:rsidRPr="00597FFB">
        <w:rPr>
          <w:rFonts w:ascii="Times New Roman" w:hAnsi="Times New Roman" w:cs="Times New Roman"/>
          <w:color w:val="000000" w:themeColor="text1"/>
          <w:kern w:val="24"/>
          <w:sz w:val="24"/>
          <w:szCs w:val="24"/>
          <w:lang w:eastAsia="ja-JP"/>
        </w:rPr>
        <w:t>of the researcher</w:t>
      </w:r>
      <w:r w:rsidR="004B51F5" w:rsidRPr="00597FFB">
        <w:rPr>
          <w:rFonts w:ascii="Times New Roman" w:hAnsi="Times New Roman" w:cs="Times New Roman"/>
          <w:color w:val="000000" w:themeColor="text1"/>
          <w:kern w:val="24"/>
          <w:sz w:val="24"/>
          <w:szCs w:val="24"/>
          <w:lang w:eastAsia="ja-JP"/>
        </w:rPr>
        <w:t>.</w:t>
      </w:r>
    </w:p>
    <w:p w14:paraId="08F716F5" w14:textId="75CF633B" w:rsidR="004B51F5" w:rsidRPr="00597FFB" w:rsidRDefault="004B51F5"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74" w:name="_Toc127170319"/>
      <w:r w:rsidRPr="00597FFB">
        <w:rPr>
          <w:rFonts w:asciiTheme="majorBidi" w:hAnsiTheme="majorBidi"/>
          <w:i/>
          <w:iCs/>
          <w:color w:val="000000" w:themeColor="text1"/>
          <w:sz w:val="24"/>
          <w:szCs w:val="24"/>
        </w:rPr>
        <w:t xml:space="preserve">3.1.2.3. Awareness </w:t>
      </w:r>
      <w:r w:rsidR="00DF1E15" w:rsidRPr="00597FFB">
        <w:rPr>
          <w:rFonts w:asciiTheme="majorBidi" w:hAnsiTheme="majorBidi"/>
          <w:i/>
          <w:iCs/>
          <w:color w:val="000000" w:themeColor="text1"/>
          <w:sz w:val="24"/>
          <w:szCs w:val="24"/>
        </w:rPr>
        <w:t>o</w:t>
      </w:r>
      <w:r w:rsidRPr="00597FFB">
        <w:rPr>
          <w:rFonts w:asciiTheme="majorBidi" w:hAnsiTheme="majorBidi"/>
          <w:i/>
          <w:iCs/>
          <w:color w:val="000000" w:themeColor="text1"/>
          <w:sz w:val="24"/>
          <w:szCs w:val="24"/>
        </w:rPr>
        <w:t>f E-</w:t>
      </w:r>
      <w:r w:rsidR="00095050">
        <w:rPr>
          <w:rFonts w:asciiTheme="majorBidi" w:hAnsiTheme="majorBidi"/>
          <w:i/>
          <w:iCs/>
          <w:color w:val="000000" w:themeColor="text1"/>
          <w:sz w:val="24"/>
          <w:szCs w:val="24"/>
        </w:rPr>
        <w:t>w</w:t>
      </w:r>
      <w:r w:rsidRPr="00597FFB">
        <w:rPr>
          <w:rFonts w:asciiTheme="majorBidi" w:hAnsiTheme="majorBidi"/>
          <w:i/>
          <w:iCs/>
          <w:color w:val="000000" w:themeColor="text1"/>
          <w:sz w:val="24"/>
          <w:szCs w:val="24"/>
        </w:rPr>
        <w:t>aste Consequences</w:t>
      </w:r>
      <w:r w:rsidR="00F12298" w:rsidRPr="00597FFB">
        <w:rPr>
          <w:rFonts w:asciiTheme="majorBidi" w:hAnsiTheme="majorBidi"/>
          <w:i/>
          <w:iCs/>
          <w:color w:val="000000" w:themeColor="text1"/>
          <w:sz w:val="24"/>
          <w:szCs w:val="24"/>
        </w:rPr>
        <w:t>.</w:t>
      </w:r>
      <w:bookmarkEnd w:id="174"/>
    </w:p>
    <w:p w14:paraId="770A887F" w14:textId="085E3397" w:rsidR="001A7901" w:rsidRPr="00597FFB" w:rsidRDefault="00E77919" w:rsidP="00373886">
      <w:pPr>
        <w:widowControl w:val="0"/>
        <w:spacing w:before="26" w:after="26" w:line="480" w:lineRule="auto"/>
        <w:ind w:right="36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ab/>
      </w:r>
      <w:r w:rsidR="001A7901"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{"citationID":"QJrfy4rV","properties":{"formattedCitation":"(Allison, 2019)","plainCitation":"(Allison, 2019)","dontUpdate":true,"noteIndex":0},"citationItems":[{"id":4072,"uris":["http://zotero.org/users/local/b6CRLSJH/items/PNU3S7AH"],"itemData":{"id":4072,"type":"article-journal","abstract":"As rural and subsistence households in the Global South take on the consumption habits of industrialized countries, shifting consumption patterns have contributed to cascades of nonbiodegradable solid waste overwhelming the ability of households, municipal authorities, and governments to manage. As global capitalism expands around the world, spiritual ecology approaches to waste and pollution can provide deeper insight into the attitudes and practices that create a “throw away” society. In rural southern Bhutan, the revered Buddhist teacher, Dzongsar Jamyang Khyentse Rinpoche, initiated a waste reduction project based on Bhutan’s guiding development philosophy of Gross National Happiness. Through engaging cultural and spiritual values, and drawing on the inspirational qualities of social and spiritual leaders, the Samdrup Jongkhar Initiative’s Zero Waste project is an example of spiritual ecology activism for household waste management and waste reduction.","container-title":"Religions","DOI":"10.3390/rel10090514","ISSN":"2077-1444","issue":"9","journalAbbreviation":"Religions","language":"en","page":"514","source":"DOI.org (Crossref)","title":"The Reincarnation of Waste: A Case Study of Spiritual Ecology Activism for Household Solid Waste Management: The Samdrup Jongkhar Initiative of Rural Bhutan","title-short":"The Reincarnation of Waste","volume":"10","author":[{"family":"Allison","given":"Elizabeth"}],"issued":{"date-parts":[["2019",9,4]]}}}],"schema":"https://github.com/citation-style-language/schema/raw/master/csl-citation.json"} </w:instrText>
      </w:r>
      <w:r w:rsidR="001A7901" w:rsidRPr="00597FFB">
        <w:rPr>
          <w:rFonts w:ascii="Times New Roman" w:eastAsia="Times New Roman" w:hAnsi="Times New Roman" w:cs="Times New Roman"/>
          <w:bCs/>
          <w:color w:val="000000" w:themeColor="text1"/>
          <w:kern w:val="24"/>
          <w:sz w:val="24"/>
          <w:szCs w:val="24"/>
          <w:lang w:eastAsia="ja-JP"/>
        </w:rPr>
        <w:fldChar w:fldCharType="separate"/>
      </w:r>
      <w:r w:rsidR="001A7901" w:rsidRPr="00597FFB">
        <w:rPr>
          <w:rFonts w:ascii="Times New Roman" w:hAnsi="Times New Roman" w:cs="Times New Roman"/>
          <w:color w:val="000000" w:themeColor="text1"/>
          <w:kern w:val="24"/>
          <w:sz w:val="24"/>
          <w:szCs w:val="24"/>
          <w:lang w:eastAsia="ja-JP"/>
        </w:rPr>
        <w:t>Allison (2019)</w:t>
      </w:r>
      <w:r w:rsidR="001A7901" w:rsidRPr="00597FFB">
        <w:rPr>
          <w:rFonts w:ascii="Times New Roman" w:eastAsia="Times New Roman" w:hAnsi="Times New Roman" w:cs="Times New Roman"/>
          <w:bCs/>
          <w:color w:val="000000" w:themeColor="text1"/>
          <w:kern w:val="24"/>
          <w:sz w:val="24"/>
          <w:szCs w:val="24"/>
          <w:lang w:eastAsia="ja-JP"/>
        </w:rPr>
        <w:fldChar w:fldCharType="end"/>
      </w:r>
      <w:r w:rsidR="001A7901" w:rsidRPr="00597FFB">
        <w:rPr>
          <w:rFonts w:ascii="Times New Roman" w:eastAsia="Times New Roman" w:hAnsi="Times New Roman" w:cs="Times New Roman"/>
          <w:bCs/>
          <w:color w:val="000000" w:themeColor="text1"/>
          <w:kern w:val="24"/>
          <w:sz w:val="24"/>
          <w:szCs w:val="24"/>
          <w:lang w:eastAsia="ja-JP"/>
        </w:rPr>
        <w:t xml:space="preserve"> suggests that awareness of a problem and its consequences positively impact the willingness to reduce environmental pollution. Similarly, </w:t>
      </w:r>
      <w:r w:rsidR="001A7901"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{"citationID":"wVEZ4o0H","properties":{"formattedCitation":"(Bonera et al., 2020)","plainCitation":"(Bonera et al., 2020)","dontUpdate":true,"noteIndex":0},"citationItems":[{"id":4160,"uris":["http://zotero.org/users/local/b6CRLSJH/items/24NHEN8P"],"itemData":{"id":4160,"type":"article-journal","abstract":"Abstract\n            The paper purpose is to investigate the green consumption behaviour of the Millennials generation. The paper aims to understand if all Italian Millennials are similar in terms of green consumption and if there are differences in adopting and consuming green products. As Millennials are considered the driving generation of the sustainable movement, thanks to their lifestyle and behaviours, our study tries to comprehend whether these consumers can be considered the leading “Green Generation”. We performed a cluster analysis, using the non-hierarchical method by applying the k-medium algorithm, segmenting Millennials. The segmentation was performed according to the reasons underlying and against green consumption. Then, green values and green consumer behaviour of the segments were analyzed. The results of our research reveal the existence of different clusters of Millennial consumers in terms of green attitude. Some confusion about green issues in the Millennials generation emerges, contrasting with the literature. Our results do not necessarily imply a negative attitude towards green values by Millennials, but different green attitudes among the clusters.","container-title":"Italian Journal of Marketing","DOI":"10.1007/s43039-020-00015-4","ISSN":"2662-3323, 2662-3331","issue":"4","journalAbbreviation":"Ital. J. Mark.","language":"en","page":"289-308","source":"DOI.org (Crossref)","title":"The great Millennials’ trouble: leading or confused green generation? An Italian insight","title-short":"The great Millennials’ trouble","volume":"2020","author":[{"family":"Bonera","given":"Michelle"},{"family":"Codini","given":"Anna Paola"},{"family":"Miniero","given":"Giulia"}],"issued":{"date-parts":[["2020",12]]}}}],"schema":"https://github.com/citation-style-language/schema/raw/master/csl-citation.json"} </w:instrText>
      </w:r>
      <w:r w:rsidR="001A7901" w:rsidRPr="00597FFB">
        <w:rPr>
          <w:rFonts w:ascii="Times New Roman" w:eastAsia="Times New Roman" w:hAnsi="Times New Roman" w:cs="Times New Roman"/>
          <w:bCs/>
          <w:color w:val="000000" w:themeColor="text1"/>
          <w:kern w:val="24"/>
          <w:sz w:val="24"/>
          <w:szCs w:val="24"/>
          <w:lang w:eastAsia="ja-JP"/>
        </w:rPr>
        <w:fldChar w:fldCharType="separate"/>
      </w:r>
      <w:r w:rsidR="001A7901" w:rsidRPr="00597FFB">
        <w:rPr>
          <w:rFonts w:ascii="Times New Roman" w:hAnsi="Times New Roman" w:cs="Times New Roman"/>
          <w:color w:val="000000" w:themeColor="text1"/>
          <w:kern w:val="24"/>
          <w:sz w:val="24"/>
          <w:szCs w:val="24"/>
          <w:lang w:eastAsia="ja-JP"/>
        </w:rPr>
        <w:t>Bonera et al. (2020)</w:t>
      </w:r>
      <w:r w:rsidR="001A7901" w:rsidRPr="00597FFB">
        <w:rPr>
          <w:rFonts w:ascii="Times New Roman" w:eastAsia="Times New Roman" w:hAnsi="Times New Roman" w:cs="Times New Roman"/>
          <w:bCs/>
          <w:color w:val="000000" w:themeColor="text1"/>
          <w:kern w:val="24"/>
          <w:sz w:val="24"/>
          <w:szCs w:val="24"/>
          <w:lang w:eastAsia="ja-JP"/>
        </w:rPr>
        <w:fldChar w:fldCharType="end"/>
      </w:r>
      <w:r w:rsidR="001A7901" w:rsidRPr="00597FFB">
        <w:rPr>
          <w:rFonts w:ascii="Times New Roman" w:eastAsia="Times New Roman" w:hAnsi="Times New Roman" w:cs="Times New Roman"/>
          <w:bCs/>
          <w:color w:val="000000" w:themeColor="text1"/>
          <w:kern w:val="24"/>
          <w:sz w:val="24"/>
          <w:szCs w:val="24"/>
          <w:lang w:eastAsia="ja-JP"/>
        </w:rPr>
        <w:t xml:space="preserve"> reveal that individuals with higher awareness of consequences are more morally responsible and more willing to participate in green consumption activities. Individu’ls' knowledge of the environmental consequences of not recycling has been proven crucial in influencing intention to recycle </w:t>
      </w:r>
      <w:r w:rsidR="001A7901"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{"citationID":"jbE7oUqj","properties":{"formattedCitation":"(Lange and Dewitte 2019)","plainCitation":"(Lange and Dewitte 2019)","dontUpdate":true,"noteIndex":0},"citationItems":[{"id":4136,"uris":["http://zotero.org/users/local/b6CRLSJH/items/JUJA98Q9"],"itemData":{"id":4136,"type":"article-journal","abstract":"While cognitive flexibility has been hypothesized to relate to adaptive, long–term–oriented behaviour, empirical support for such a relationship is scarce. In the present article, we examine the role of cognitive flexibility as a correlate of long–term–oriented behaviour in the domain of environmental conservation. In a first study ( N = 143), we explored potential associations between multiple self–report scales and performance–based measures of cognitive flexibility and pro–environmental behaviour. Based on its results, we conducted a pre–registered confirmatory study ( N = 264) focusing on the most promising correlations found in our exploratory study. This study generated conclusive support for a positive medium–sized correlation between cognitive flexibility and pro–environmental behaviour. Exploratory hierarchical regression analyses further revealed that cognitive flexibility accounted for a small portion of variance in pro–environmental behaviour above and beyond the Big Five. While appearing robust on the level of self–reports, the relationship between cognitive flexibility and pro–environmental behaviour did not reliably extend to the level of performance tasks, possibly because of their relatively specific scope. These results illustrate the contribution of cognitive flexibility to understanding individual differences in long–term–oriented, pro–environmental behaviour. © 2019 European Association of Personality Psychology","container-title":"European Journal of Personality","DOI":"10.1002/per.2204","ISSN":"0890-2070, 1099-0984","issue":"4","journalAbbreviation":"Eur J Pers","language":"en","page":"488-505","source":"DOI.org (Crossref)","title":"Cognitive Flexibility and Pro–Environmental Behaviour: A Multimethod Approach","title-short":"Cognitive Flexibility and Pro–Environmental Behaviour","volume":"33","author":[{"family":"Lange","given":"Florian"},{"family":"Dewitte","given":"Siegfried"}],"issued":{"date-parts":[["2019",7]]}}}],"schema":"https://github.com/citation-style-language/schema/raw/master/csl-citation.json"} </w:instrText>
      </w:r>
      <w:r w:rsidR="001A7901" w:rsidRPr="00597FFB">
        <w:rPr>
          <w:rFonts w:ascii="Times New Roman" w:eastAsia="Times New Roman" w:hAnsi="Times New Roman" w:cs="Times New Roman"/>
          <w:bCs/>
          <w:color w:val="000000" w:themeColor="text1"/>
          <w:kern w:val="24"/>
          <w:sz w:val="24"/>
          <w:szCs w:val="24"/>
          <w:lang w:eastAsia="ja-JP"/>
        </w:rPr>
        <w:fldChar w:fldCharType="separate"/>
      </w:r>
      <w:r w:rsidR="001A7901" w:rsidRPr="00597FFB">
        <w:rPr>
          <w:rFonts w:ascii="Times New Roman" w:hAnsi="Times New Roman" w:cs="Times New Roman"/>
          <w:color w:val="000000" w:themeColor="text1"/>
          <w:kern w:val="24"/>
          <w:sz w:val="24"/>
          <w:szCs w:val="24"/>
          <w:lang w:eastAsia="ja-JP"/>
        </w:rPr>
        <w:t>(Lange &amp; Dewitte, 2019)</w:t>
      </w:r>
      <w:r w:rsidR="001A7901" w:rsidRPr="00597FFB">
        <w:rPr>
          <w:rFonts w:ascii="Times New Roman" w:eastAsia="Times New Roman" w:hAnsi="Times New Roman" w:cs="Times New Roman"/>
          <w:bCs/>
          <w:color w:val="000000" w:themeColor="text1"/>
          <w:kern w:val="24"/>
          <w:sz w:val="24"/>
          <w:szCs w:val="24"/>
          <w:lang w:eastAsia="ja-JP"/>
        </w:rPr>
        <w:fldChar w:fldCharType="end"/>
      </w:r>
      <w:r w:rsidR="001A7901" w:rsidRPr="00597FFB">
        <w:rPr>
          <w:rFonts w:ascii="Times New Roman" w:eastAsia="Times New Roman" w:hAnsi="Times New Roman" w:cs="Times New Roman"/>
          <w:bCs/>
          <w:color w:val="000000" w:themeColor="text1"/>
          <w:kern w:val="24"/>
          <w:sz w:val="24"/>
          <w:szCs w:val="24"/>
          <w:lang w:eastAsia="ja-JP"/>
        </w:rPr>
        <w:t>.</w:t>
      </w:r>
    </w:p>
    <w:p w14:paraId="6A235DD4" w14:textId="4A0BECE2" w:rsidR="001A7901" w:rsidRPr="00597FFB" w:rsidRDefault="001A7901" w:rsidP="00373886">
      <w:pPr>
        <w:spacing w:before="26" w:after="26" w:line="480" w:lineRule="auto"/>
        <w:ind w:right="360"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When investigating recycling intention,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{"citationID":"UmhVZ4pj","properties":{"formattedCitation":"(Sujata et al., 2019)","plainCitation":"(Sujata et al., 2019)","dontUpdate":true,"noteIndex":0},"citationItems":[{"id":4135,"uris":["http://zotero.org/users/local/b6CRLSJH/items/IDXMA2HV"],"itemData":{"id":4135,"type":"article-journal","container-title":"Sustainable Production and Consumption","DOI":"10.1016/j.spc.2019.08.005","ISSN":"23525509","journalAbbreviation":"Sustainable Production and Consumption","language":"en","page":"365-374","source":"DOI.org (Crossref)","title":"The role of social media on recycling behaviour","volume":"20","author":[{"family":"Sujata","given":"Muniandy"},{"family":"Khor","given":"Kuan-Siew"},{"family":"Ramayah","given":"Thurasamy"},{"family":"Teoh","given":"Ai Ping"}],"issued":{"date-parts":[["2019",10]]}}}],"schema":"https://github.com/citation-style-language/schema/raw/master/csl-citation.json"}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Sujata et al. (2019)</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only considered awareness of consequences</w:t>
      </w:r>
      <w:r w:rsidRPr="00597FFB">
        <w:rPr>
          <w:rFonts w:ascii="Times New Roman" w:eastAsia="Times New Roman" w:hAnsi="Times New Roman" w:cs="Times New Roman"/>
          <w:b/>
          <w:color w:val="000000" w:themeColor="text1"/>
          <w:kern w:val="24"/>
          <w:sz w:val="24"/>
          <w:szCs w:val="24"/>
          <w:lang w:eastAsia="ja-JP"/>
        </w:rPr>
        <w:t xml:space="preserve"> (</w:t>
      </w:r>
      <w:r w:rsidRPr="00597FFB">
        <w:rPr>
          <w:rFonts w:ascii="Times New Roman" w:eastAsia="Times New Roman" w:hAnsi="Times New Roman" w:cs="Times New Roman"/>
          <w:bCs/>
          <w:color w:val="000000" w:themeColor="text1"/>
          <w:kern w:val="24"/>
          <w:sz w:val="24"/>
          <w:szCs w:val="24"/>
          <w:lang w:eastAsia="ja-JP"/>
        </w:rPr>
        <w:t xml:space="preserve">AC). Similarly,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{"citationID":"joe480cU","properties":{"formattedCitation":"(Kumar, 2019)","plainCitation":"(Kumar, 2019)","dontUpdate":true,"noteIndex":0},"citationItems":[{"id":2445,"uris":["http://zotero.org/users/local/b6CRLSJH/items/Q9NEGSTD"],"itemData":{"id":2445,"type":"article-journal","abstract":"The objective of this research is to explore young adults’ e-waste recycling behaviour cross-culturally using an extended Theory of planned Behaviour (TPB) model. The results of a survey involving respondents from the two culturally-distinct emerging markets showed that the key influencing factors that influenced e-waste recycling behaviour amongst young adults were: Attitude (moderated by a Sense of Duty), Perceived Control, Subjective Norm and Individual Responsibility whereas Convenience and Consequences Awareness constructs did not have significant influence. Cross-cultural differences were also evident as stronger relationships were witnessed for Perceived Control and Subjective Norm constructs for the Chinese young adults’ intention to recycle e-waste. The reverse was found to be true for Attitude (moderated by a Sense of Duty) and Individual Responsibility constructs where stronger relationships were observed in the Indian sample. This research makes a valuable theoretical contribution as it is positioned at the intersection of cross-cultural studies, sustainability and reverse supply chain management areas. This study has practical implication at two levels: the individual actor level and the supply chain level as consumers’ intentions to recycle, underpinned by responsibility towards environment, directly impact the performance of reverse supply chains.","container-title":"Resources, Conservation and Recycling","DOI":"10.1016/j.resconrec.2018.10.013","ISSN":"09213449","journalAbbreviation":"Resources, Conservation and Recycling","language":"en","page":"378-389","source":"DOI.org (Crossref)","title":"Exploring young adults’ e-waste recycling behaviour using an extended theory of planned behaviour model: A cross-cultural study","title-short":"Exploring young adults’ e-waste recycling behaviour using an extended theory of planned behaviour model","volume":"141","author":[{"family":"Kumar","given":"Anita"}],"issued":{"date-parts":[["2019",2]]}}}],"schema":"https://github.com/citation-style-language/schema/raw/master/csl-citation.json"}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Kumar (2019)</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Times New Roman" w:hAnsi="Times New Roman" w:cs="Times New Roman"/>
          <w:bCs/>
          <w:color w:val="000000" w:themeColor="text1"/>
          <w:kern w:val="24"/>
          <w:sz w:val="24"/>
          <w:szCs w:val="24"/>
          <w:lang w:eastAsia="ja-JP"/>
        </w:rPr>
        <w:t xml:space="preserve"> and </w:t>
      </w:r>
      <w:r w:rsidRPr="00597FFB">
        <w:rPr>
          <w:rFonts w:ascii="Times New Roman" w:eastAsia="Times New Roman" w:hAnsi="Times New Roman" w:cs="Times New Roman"/>
          <w:bCs/>
          <w:color w:val="000000" w:themeColor="text1"/>
          <w:kern w:val="24"/>
          <w:sz w:val="24"/>
          <w:szCs w:val="24"/>
          <w:lang w:eastAsia="ja-JP"/>
        </w:rPr>
        <w:fldChar w:fldCharType="begin"/>
      </w:r>
      <w:r w:rsidR="003F0AE2" w:rsidRPr="00597FFB">
        <w:rPr>
          <w:rFonts w:ascii="Times New Roman" w:eastAsia="Times New Roman" w:hAnsi="Times New Roman" w:cs="Times New Roman"/>
          <w:bCs/>
          <w:color w:val="000000" w:themeColor="text1"/>
          <w:kern w:val="24"/>
          <w:sz w:val="24"/>
          <w:szCs w:val="24"/>
          <w:lang w:eastAsia="ja-JP"/>
        </w:rPr>
        <w:instrText xml:space="preserve"> ADDIN ZOTERO_ITEM CSL_CITATION {"citationID":"zgPl1sOG","properties":{"formattedCitation":"(Hou et al., 2020)","plainCitation":"(Hou et al., 2020)","dontUpdate":true,"noteIndex":0},"citationItems":[{"id":4221,"uris":["http://zotero.org/users/local/b6CRLSJH/items/ZYGMUD5D"],"itemData":{"id":4221,"type":"article-journal","container-title":"Sustainable Cities and Society","DOI":"10.1016/j.scs.2020.102351","ISSN":"22106707","journalAbbreviation":"Sustainable Cities and Society","language":"en","page":"102351","source":"DOI.org (Crossref)","title":"The effect of recycled water information disclosure on public acceptance of recycled water—Evidence from residents of Xi'an, China","volume":"61","author":[{"family":"Hou","given":"Caixia"},{"family":"Fu","given":"Hanliang"},{"family":"Liu","given":"Xiaojun"},{"family":"Wen","given":"Yan"}],"issued":{"date-parts":[["2020",10]]}}}],"schema":"https://github.com/citation-style-language/schema/raw/master/csl-citation.json"} </w:instrText>
      </w:r>
      <w:r w:rsidRPr="00597FFB">
        <w:rPr>
          <w:rFonts w:ascii="Times New Roman" w:eastAsia="Times New Roman" w:hAnsi="Times New Roman" w:cs="Times New Roman"/>
          <w:bCs/>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Hou et al. (2020)</w:t>
      </w:r>
      <w:r w:rsidRPr="00597FFB">
        <w:rPr>
          <w:rFonts w:ascii="Times New Roman" w:eastAsia="Times New Roman" w:hAnsi="Times New Roman" w:cs="Times New Roman"/>
          <w:bCs/>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 xml:space="preserve"> included AC in their research variables </w:t>
      </w:r>
      <w:r w:rsidRPr="00597FFB">
        <w:rPr>
          <w:rFonts w:ascii="Times New Roman" w:eastAsia="Times New Roman" w:hAnsi="Times New Roman" w:cs="Times New Roman"/>
          <w:bCs/>
          <w:color w:val="000000" w:themeColor="text1"/>
          <w:kern w:val="24"/>
          <w:sz w:val="24"/>
          <w:szCs w:val="24"/>
          <w:lang w:eastAsia="ja-JP"/>
        </w:rPr>
        <w:t>when examining behavioral determinants of recycling and found it to be a significant influencer of recycling behavior. In a different study, Wang et al. (2018) found that AC influenced ascription of responsibility directly and positively. So, applying these findings to this study implied that consumers that are aware of the environmental consequences of ineffective e-waste recycling behavior and feel responsible for the consequences are more likely to experience a high personal obligation. In other words, UAE millennials’ AC toward e-waste was expected to influence their ascription of responsibility and intention to recycle e-waste directly.</w:t>
      </w:r>
    </w:p>
    <w:p w14:paraId="79E571C6" w14:textId="36422816" w:rsidR="00C21ADA" w:rsidRPr="00597FFB" w:rsidRDefault="00C21ADA"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75" w:name="_Toc127170320"/>
      <w:r w:rsidRPr="00597FFB">
        <w:rPr>
          <w:rFonts w:asciiTheme="majorBidi" w:hAnsiTheme="majorBidi"/>
          <w:i/>
          <w:iCs/>
          <w:color w:val="000000" w:themeColor="text1"/>
          <w:sz w:val="24"/>
          <w:szCs w:val="24"/>
        </w:rPr>
        <w:t xml:space="preserve">3.1.2.4. Ascription </w:t>
      </w:r>
      <w:r w:rsidR="00DF1E15" w:rsidRPr="00597FFB">
        <w:rPr>
          <w:rFonts w:asciiTheme="majorBidi" w:hAnsiTheme="majorBidi"/>
          <w:i/>
          <w:iCs/>
          <w:color w:val="000000" w:themeColor="text1"/>
          <w:sz w:val="24"/>
          <w:szCs w:val="24"/>
        </w:rPr>
        <w:t>o</w:t>
      </w:r>
      <w:r w:rsidRPr="00597FFB">
        <w:rPr>
          <w:rFonts w:asciiTheme="majorBidi" w:hAnsiTheme="majorBidi"/>
          <w:i/>
          <w:iCs/>
          <w:color w:val="000000" w:themeColor="text1"/>
          <w:sz w:val="24"/>
          <w:szCs w:val="24"/>
        </w:rPr>
        <w:t>f Responsibility</w:t>
      </w:r>
      <w:r w:rsidR="00F12298" w:rsidRPr="00597FFB">
        <w:rPr>
          <w:rFonts w:asciiTheme="majorBidi" w:hAnsiTheme="majorBidi"/>
          <w:i/>
          <w:iCs/>
          <w:color w:val="000000" w:themeColor="text1"/>
          <w:sz w:val="24"/>
          <w:szCs w:val="24"/>
        </w:rPr>
        <w:t>.</w:t>
      </w:r>
      <w:bookmarkEnd w:id="175"/>
    </w:p>
    <w:p w14:paraId="10B052CE" w14:textId="5507B254" w:rsidR="00E77919" w:rsidRPr="00597FFB" w:rsidRDefault="001A7901" w:rsidP="00373886">
      <w:pPr>
        <w:spacing w:after="0" w:line="480" w:lineRule="auto"/>
        <w:ind w:firstLine="720"/>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In pro-environmental behavior studies (see Confente &amp; Scarpi, 2020; Shen et al., 2020), findings provide mixed evidence as to the role of ascription of responsibility. For example, Confente and Scarpi (2020) reported that ascription of responsibility </w:t>
      </w:r>
      <w:r w:rsidR="00BB5482" w:rsidRPr="00597FFB">
        <w:rPr>
          <w:rFonts w:ascii="Times New Roman" w:eastAsia="Times New Roman" w:hAnsi="Times New Roman" w:cs="Times New Roman"/>
          <w:bCs/>
          <w:color w:val="000000" w:themeColor="text1"/>
          <w:kern w:val="24"/>
          <w:sz w:val="24"/>
          <w:szCs w:val="24"/>
          <w:lang w:eastAsia="ja-JP"/>
        </w:rPr>
        <w:t>was a significant mediator of</w:t>
      </w:r>
      <w:r w:rsidRPr="00597FFB">
        <w:rPr>
          <w:rFonts w:ascii="Times New Roman" w:eastAsia="Times New Roman" w:hAnsi="Times New Roman" w:cs="Times New Roman"/>
          <w:bCs/>
          <w:color w:val="000000" w:themeColor="text1"/>
          <w:kern w:val="24"/>
          <w:sz w:val="24"/>
          <w:szCs w:val="24"/>
          <w:lang w:eastAsia="ja-JP"/>
        </w:rPr>
        <w:t xml:space="preserve"> the </w:t>
      </w:r>
      <w:r w:rsidR="00BB5482" w:rsidRPr="00597FFB">
        <w:rPr>
          <w:rFonts w:ascii="Times New Roman" w:eastAsia="Times New Roman" w:hAnsi="Times New Roman" w:cs="Times New Roman"/>
          <w:bCs/>
          <w:color w:val="000000" w:themeColor="text1"/>
          <w:kern w:val="24"/>
          <w:sz w:val="24"/>
          <w:szCs w:val="24"/>
          <w:lang w:eastAsia="ja-JP"/>
        </w:rPr>
        <w:t>correlation</w:t>
      </w:r>
      <w:r w:rsidRPr="00597FFB">
        <w:rPr>
          <w:rFonts w:ascii="Times New Roman" w:eastAsia="Times New Roman" w:hAnsi="Times New Roman" w:cs="Times New Roman"/>
          <w:bCs/>
          <w:color w:val="000000" w:themeColor="text1"/>
          <w:kern w:val="24"/>
          <w:sz w:val="24"/>
          <w:szCs w:val="24"/>
          <w:lang w:eastAsia="ja-JP"/>
        </w:rPr>
        <w:t xml:space="preserve"> between environmentally responsible behavior and awareness of negative repercussions among Venice tourists and residents.</w:t>
      </w:r>
    </w:p>
    <w:p w14:paraId="15B60338" w14:textId="68E412C1" w:rsidR="001A7901" w:rsidRPr="00597FFB" w:rsidRDefault="001A7901" w:rsidP="00373886">
      <w:pPr>
        <w:spacing w:after="0" w:line="480" w:lineRule="auto"/>
        <w:ind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In their study of farmers’ domestic waste sorting behaviors, Shen et al. (2020) found that ascription of responsibility influenced personal norms positively. The authors also found that awareness of consequences had a positive effect on ascription of responsibility (Shen et al., 2020). Wang et al. (2018) found that ascription of responsibility influenced personal norm positively and directly, which in turn had a positive and direct effect on recycling intention. Often, authors (</w:t>
      </w:r>
      <w:r w:rsidRPr="00597FFB">
        <w:rPr>
          <w:rFonts w:ascii="Times New Roman" w:hAnsi="Times New Roman" w:cs="Times New Roman"/>
          <w:color w:val="000000" w:themeColor="text1"/>
          <w:kern w:val="24"/>
          <w:sz w:val="24"/>
          <w:szCs w:val="24"/>
          <w:lang w:eastAsia="ja-JP"/>
        </w:rPr>
        <w:t>Chao et al., 2021; Chillakuri, 2020; Elhoushy &amp; Lanzini, 2021; Esfandiar et al., 2020) employing the NAT include additional stimulus factors to explain behavior such as those covered in the next subsection.</w:t>
      </w:r>
    </w:p>
    <w:p w14:paraId="0F3258DB" w14:textId="52573A40" w:rsidR="00C21ADA" w:rsidRPr="00597FFB" w:rsidRDefault="00C21ADA"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76" w:name="_Toc127170321"/>
      <w:r w:rsidRPr="00597FFB">
        <w:rPr>
          <w:rFonts w:asciiTheme="majorBidi" w:hAnsiTheme="majorBidi"/>
          <w:i/>
          <w:iCs/>
          <w:color w:val="000000" w:themeColor="text1"/>
          <w:sz w:val="24"/>
          <w:szCs w:val="24"/>
        </w:rPr>
        <w:t xml:space="preserve">3.1.2.5. Extending </w:t>
      </w:r>
      <w:r w:rsidR="00DF1E15" w:rsidRPr="00597FF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he NAT With Additional Factors</w:t>
      </w:r>
      <w:r w:rsidR="00F12298" w:rsidRPr="00597FFB">
        <w:rPr>
          <w:rFonts w:asciiTheme="majorBidi" w:hAnsiTheme="majorBidi"/>
          <w:i/>
          <w:iCs/>
          <w:color w:val="000000" w:themeColor="text1"/>
          <w:sz w:val="24"/>
          <w:szCs w:val="24"/>
        </w:rPr>
        <w:t>.</w:t>
      </w:r>
      <w:bookmarkEnd w:id="176"/>
    </w:p>
    <w:p w14:paraId="3E252B87" w14:textId="593038B8" w:rsidR="001A7901" w:rsidRPr="00597FFB" w:rsidRDefault="001A7901" w:rsidP="00373886">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their study, Dhir et al. (2021) advocated for provision of explicit information concerning the potential security and privacy concerns implicated in the process of recycling, which is tantamount to risk barrier. According to these authors, such information and knowledge is particularly vital when people are considering disposal of smart devices like laptops, phones, and tablets. They considered lack of such information or knowledge a risk barrier to recycling especially because people disposing smart electronic devices are afraid of potential personal information misuse or theft (Dhir et al., 2021). Zhang et al. (2021) extended the TPB by integrating the NAT and investigated privacy concerns’ effect on mobile phone recycling in China. They found a direct positive effect on intention to engage in formal recycling. Consideration for privacy concerns is important in the investigation of millennials’ intention and behavior towards EWR given that it has been shown to affect disposal of electronic devices (Dhir et al., 2021) and mobile phone recycling (Zhang et al., 2021). Some authors (such as </w:t>
      </w:r>
      <w:r w:rsidRPr="00597FFB">
        <w:rPr>
          <w:rFonts w:asciiTheme="majorBidi" w:hAnsiTheme="majorBidi" w:cstheme="majorBidi"/>
          <w:color w:val="000000" w:themeColor="text1"/>
          <w:kern w:val="24"/>
          <w:sz w:val="24"/>
          <w:szCs w:val="24"/>
          <w:lang w:eastAsia="ja-JP"/>
        </w:rPr>
        <w:t>Tchetchik et al. 2021</w:t>
      </w:r>
      <w:r w:rsidRPr="00597FFB">
        <w:rPr>
          <w:rFonts w:ascii="Times New Roman" w:hAnsi="Times New Roman" w:cs="Times New Roman"/>
          <w:color w:val="000000" w:themeColor="text1"/>
          <w:kern w:val="24"/>
          <w:sz w:val="24"/>
          <w:szCs w:val="24"/>
          <w:lang w:eastAsia="ja-JP"/>
        </w:rPr>
        <w:t>) have also found Roger’s (1975) PMT to be a useful theory in explaining pro-environmental behavior, as discussed in the next section.</w:t>
      </w:r>
    </w:p>
    <w:p w14:paraId="3303B47C" w14:textId="3B3ABB35" w:rsidR="001A7901" w:rsidRPr="00597FFB" w:rsidRDefault="001A7901" w:rsidP="00373886">
      <w:pPr>
        <w:keepNext/>
        <w:keepLines/>
        <w:spacing w:after="0" w:line="480" w:lineRule="auto"/>
        <w:outlineLvl w:val="2"/>
        <w:rPr>
          <w:rFonts w:ascii="Times New Roman" w:eastAsiaTheme="majorEastAsia" w:hAnsi="Times New Roman" w:cstheme="majorBidi"/>
          <w:i/>
          <w:iCs/>
          <w:color w:val="000000" w:themeColor="text1"/>
          <w:kern w:val="24"/>
          <w:sz w:val="24"/>
          <w:szCs w:val="24"/>
          <w:lang w:eastAsia="ja-JP"/>
        </w:rPr>
      </w:pPr>
      <w:bookmarkStart w:id="177" w:name="_Toc127170322"/>
      <w:r w:rsidRPr="00597FFB">
        <w:rPr>
          <w:rFonts w:ascii="Times New Roman" w:eastAsiaTheme="majorEastAsia" w:hAnsi="Times New Roman" w:cstheme="majorBidi"/>
          <w:i/>
          <w:iCs/>
          <w:color w:val="000000" w:themeColor="text1"/>
          <w:kern w:val="24"/>
          <w:sz w:val="24"/>
          <w:szCs w:val="24"/>
          <w:lang w:eastAsia="ja-JP"/>
        </w:rPr>
        <w:t xml:space="preserve">3.1.3. </w:t>
      </w:r>
      <w:bookmarkStart w:id="178" w:name="_Hlk123405864"/>
      <w:r w:rsidRPr="00597FFB">
        <w:rPr>
          <w:rFonts w:ascii="Times New Roman" w:eastAsiaTheme="majorEastAsia" w:hAnsi="Times New Roman" w:cstheme="majorBidi"/>
          <w:i/>
          <w:iCs/>
          <w:color w:val="000000" w:themeColor="text1"/>
          <w:kern w:val="24"/>
          <w:sz w:val="24"/>
          <w:szCs w:val="24"/>
          <w:lang w:eastAsia="ja-JP"/>
        </w:rPr>
        <w:t>The Protection Motivation Theory (PMT)</w:t>
      </w:r>
      <w:bookmarkEnd w:id="178"/>
      <w:r w:rsidR="00E018C1" w:rsidRPr="00597FFB">
        <w:rPr>
          <w:rFonts w:ascii="Times New Roman" w:eastAsiaTheme="majorEastAsia" w:hAnsi="Times New Roman" w:cstheme="majorBidi"/>
          <w:i/>
          <w:iCs/>
          <w:color w:val="000000" w:themeColor="text1"/>
          <w:kern w:val="24"/>
          <w:sz w:val="24"/>
          <w:szCs w:val="24"/>
          <w:lang w:eastAsia="ja-JP"/>
        </w:rPr>
        <w:t>.</w:t>
      </w:r>
      <w:bookmarkEnd w:id="177"/>
    </w:p>
    <w:p w14:paraId="02F26036" w14:textId="4A226877" w:rsidR="00F97109" w:rsidRPr="00597FFB" w:rsidRDefault="001A7901" w:rsidP="00373886">
      <w:pPr>
        <w:widowControl w:val="0"/>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Rogers (1975) proposed the PMT for studying behavioral change owing to risk related to health issues. According to Rogers (1975), fear is a motivational state to avoid risk. In the PMT, fear is analyzed as cognitive assessment leading to threat and coping appraisals, which triggers departure from emotions to expectancy of utilitarian value. Threat appraisal severity, the evaluated frequency and probability of exposure, and the beliefs an individual holds concerning the efficacy of the coping response arouse protection motivation and the desire to initiate protective action (Rogers, 1975). Primarily, the PMT is designed to help understand the way that messages of fear appeals could possibly cause a change in attitude (Rogers, 1975). The position of the PMT is that people process threats cognitively when they evaluate both the likelihood of the threat occurring and the potential harm associated with its occurrence. In other words, people appraise the severity posed by the threat, how exposed they likely are to it, and the extent to which they believe that the suggested protective action could result in protection motivation (Shillair, 2020).</w:t>
      </w:r>
      <w:r w:rsidRPr="00597FFB">
        <w:rPr>
          <w:rFonts w:ascii="Times New Roman" w:hAnsi="Times New Roman" w:cs="Times New Roman"/>
          <w:b/>
          <w:bCs/>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As shown in Figure </w:t>
      </w:r>
      <w:r w:rsidR="002576AA" w:rsidRPr="00597FFB">
        <w:rPr>
          <w:rFonts w:ascii="Times New Roman" w:hAnsi="Times New Roman" w:cs="Times New Roman"/>
          <w:color w:val="000000" w:themeColor="text1"/>
          <w:kern w:val="24"/>
          <w:sz w:val="24"/>
          <w:szCs w:val="24"/>
          <w:lang w:eastAsia="ja-JP"/>
        </w:rPr>
        <w:t>9</w:t>
      </w:r>
      <w:r w:rsidRPr="00597FFB">
        <w:rPr>
          <w:rFonts w:ascii="Times New Roman" w:hAnsi="Times New Roman" w:cs="Times New Roman"/>
          <w:color w:val="000000" w:themeColor="text1"/>
          <w:kern w:val="24"/>
          <w:sz w:val="24"/>
          <w:szCs w:val="24"/>
          <w:lang w:eastAsia="ja-JP"/>
        </w:rPr>
        <w:t>, which illustrates the PMT threat appraisal comprises perceived severity, exposure expectance, and vulnerability.</w:t>
      </w:r>
    </w:p>
    <w:p w14:paraId="6166549A" w14:textId="3056857C" w:rsidR="00B60D4C" w:rsidRPr="00597FFB" w:rsidRDefault="00B60D4C" w:rsidP="00B60D4C">
      <w:pPr>
        <w:widowControl w:val="0"/>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Perceived vulnerability and the maladaptive responses’ potential were later added to the PMT’s threat appraisal and coping appraisal (Rippetoe &amp; Rogers, 1987). In addition, Rippetoe and Rogers (1987) stated that the PMT also incorporates patterns of thinking such as hopelessness, wishful thinking, and denying responsibility. Originally, coping response related to response efficacy and self-efficacy (Rogers, 1975). It was extended later to include social influence (MacCaughey et al., 2017) and collective efficacy (Pakmehr et al., 2020). Protection motivation can be influenced by information or knowledge possessed by an individual concerning the threat while the intent to engage in the recommended behavior (in this case e-waste recycling) is affected by past behavioral habits. Coping appraisal is aligned to beliefs about collective response efficacy, self-efficacy, and maladaptive beliefs (Permehr et al., 2020). Maladaptive belief borrows heavily from the works of Milfont et al. (2013) and Zhang et al. (2018) and it projects the ill belief that humans are dominant over nature</w:t>
      </w:r>
      <w:r w:rsidR="00CA15B0" w:rsidRPr="00597FFB">
        <w:rPr>
          <w:rFonts w:ascii="Times New Roman" w:hAnsi="Times New Roman" w:cs="Times New Roman"/>
          <w:color w:val="000000" w:themeColor="text1"/>
          <w:kern w:val="24"/>
          <w:sz w:val="24"/>
          <w:szCs w:val="24"/>
          <w:lang w:eastAsia="ja-JP"/>
        </w:rPr>
        <w:t>.</w:t>
      </w:r>
    </w:p>
    <w:p w14:paraId="29FA91AB" w14:textId="77777777" w:rsidR="00CA15B0" w:rsidRPr="00597FFB" w:rsidRDefault="00CA15B0" w:rsidP="00CA15B0">
      <w:pPr>
        <w:widowControl w:val="0"/>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Concerning information/knowledge interventions, they are meant to induce voluntary behavioral change by causing change in individual perceptions (Tchetchik et al., 2021). Rogers et al. (1978) investigated the role played by information in threat appraisal with respect to smoking cessation and found it to be significant even in motivational theories such as the TPB. Rosenthal (2018) argued that new, persuasive, and relevant information can alter the control, normative, and behavioral beliefs to the extent of influencing later behavior. Varotto and Spagnolli (2017) found that providing information enhanced the effectiveness of recycling.</w:t>
      </w:r>
    </w:p>
    <w:p w14:paraId="4C18652E" w14:textId="2FBD518A" w:rsidR="00CA15B0" w:rsidRPr="00597FFB" w:rsidRDefault="00CA15B0" w:rsidP="00CA15B0">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Within the pro-environmental behavior context, PMT’s consideration is accorded general environmental threats that affect the entire population. It has been used in predicting both behavioral intentions and actual behavior. In such instances, as is the case with the e-waste problem, the assessment of individual behavioral tendencies is based on anthropocentric and eco-centric beliefs or simply, human-centered and environment-centered beliefs (Tabernero &amp; Hernández, 2011). In their study, Zhang et al. (2018) found a negative relationship between pro-environmental behavior and the way human beings believe that they have to dominate nature. This explains the inclusion of </w:t>
      </w:r>
      <w:r w:rsidRPr="00597FFB">
        <w:rPr>
          <w:noProof/>
          <w:kern w:val="24"/>
          <w:sz w:val="24"/>
          <w:szCs w:val="24"/>
          <w:lang w:eastAsia="ja-JP"/>
        </w:rPr>
        <mc:AlternateContent>
          <mc:Choice Requires="wpg">
            <w:drawing>
              <wp:anchor distT="0" distB="0" distL="114300" distR="114300" simplePos="0" relativeHeight="251673600" behindDoc="0" locked="0" layoutInCell="1" allowOverlap="1" wp14:anchorId="679DE131" wp14:editId="30C60275">
                <wp:simplePos x="0" y="0"/>
                <wp:positionH relativeFrom="margin">
                  <wp:align>right</wp:align>
                </wp:positionH>
                <wp:positionV relativeFrom="paragraph">
                  <wp:posOffset>2030730</wp:posOffset>
                </wp:positionV>
                <wp:extent cx="4819015" cy="5820410"/>
                <wp:effectExtent l="0" t="0" r="19685" b="2794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9015" cy="5820410"/>
                          <a:chOff x="488732" y="0"/>
                          <a:chExt cx="6053476" cy="6669142"/>
                        </a:xfrm>
                      </wpg:grpSpPr>
                      <wps:wsp>
                        <wps:cNvPr id="299" name="Rectangle 5"/>
                        <wps:cNvSpPr/>
                        <wps:spPr>
                          <a:xfrm>
                            <a:off x="488732" y="3357931"/>
                            <a:ext cx="1923415" cy="2520874"/>
                          </a:xfrm>
                          <a:prstGeom prst="rect">
                            <a:avLst/>
                          </a:prstGeom>
                          <a:noFill/>
                          <a:ln w="12700" cap="flat" cmpd="sng" algn="ctr">
                            <a:solidFill>
                              <a:sysClr val="windowText" lastClr="000000"/>
                            </a:solidFill>
                            <a:prstDash val="sysDash"/>
                            <a:miter lim="800000"/>
                          </a:ln>
                          <a:effectLst/>
                        </wps:spPr>
                        <wps:txbx>
                          <w:txbxContent>
                            <w:p w14:paraId="1677A053" w14:textId="77777777" w:rsidR="00F97109" w:rsidRDefault="00F97109" w:rsidP="00F97109">
                              <w:pPr>
                                <w:rPr>
                                  <w:rFonts w:ascii="Times New Roman" w:hAnsi="Times New Roman" w:cs="Times New Roman"/>
                                  <w:b/>
                                  <w:bCs/>
                                  <w:color w:val="000000" w:themeColor="text1"/>
                                </w:rPr>
                              </w:pPr>
                            </w:p>
                            <w:p w14:paraId="064E43A2" w14:textId="77777777" w:rsidR="00F97109" w:rsidRDefault="00F97109" w:rsidP="00F97109">
                              <w:pPr>
                                <w:rPr>
                                  <w:rFonts w:ascii="Times New Roman" w:hAnsi="Times New Roman" w:cs="Times New Roman"/>
                                  <w:b/>
                                  <w:bCs/>
                                  <w:color w:val="000000" w:themeColor="text1"/>
                                </w:rPr>
                              </w:pPr>
                            </w:p>
                            <w:p w14:paraId="0385492A" w14:textId="77777777" w:rsidR="00F97109" w:rsidRPr="00F526CD" w:rsidRDefault="00F97109" w:rsidP="00F97109">
                              <w:pPr>
                                <w:rPr>
                                  <w:rFonts w:ascii="Times New Roman" w:hAnsi="Times New Roman" w:cs="Times New Roman"/>
                                  <w:b/>
                                  <w:bCs/>
                                  <w:color w:val="000000" w:themeColor="text1"/>
                                </w:rPr>
                              </w:pPr>
                              <w:r>
                                <w:rPr>
                                  <w:rFonts w:ascii="Times New Roman" w:hAnsi="Times New Roman" w:cs="Times New Roman"/>
                                  <w:b/>
                                  <w:bCs/>
                                  <w:color w:val="000000" w:themeColor="text1"/>
                                </w:rPr>
                                <w:t>Coping appraisal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00" name="Straight Connector 6"/>
                        <wps:cNvCnPr/>
                        <wps:spPr>
                          <a:xfrm>
                            <a:off x="2412124" y="1813035"/>
                            <a:ext cx="213995" cy="0"/>
                          </a:xfrm>
                          <a:prstGeom prst="line">
                            <a:avLst/>
                          </a:prstGeom>
                          <a:noFill/>
                          <a:ln w="6350" cap="flat" cmpd="sng" algn="ctr">
                            <a:solidFill>
                              <a:sysClr val="windowText" lastClr="000000"/>
                            </a:solidFill>
                            <a:prstDash val="solid"/>
                            <a:miter lim="800000"/>
                          </a:ln>
                          <a:effectLst/>
                        </wps:spPr>
                        <wps:bodyPr/>
                      </wps:wsp>
                      <wps:wsp>
                        <wps:cNvPr id="301" name="Straight Connector 7"/>
                        <wps:cNvCnPr/>
                        <wps:spPr>
                          <a:xfrm>
                            <a:off x="2427889" y="4745421"/>
                            <a:ext cx="213995" cy="0"/>
                          </a:xfrm>
                          <a:prstGeom prst="line">
                            <a:avLst/>
                          </a:prstGeom>
                          <a:noFill/>
                          <a:ln w="6350" cap="flat" cmpd="sng" algn="ctr">
                            <a:solidFill>
                              <a:sysClr val="windowText" lastClr="000000"/>
                            </a:solidFill>
                            <a:prstDash val="solid"/>
                            <a:miter lim="800000"/>
                          </a:ln>
                          <a:effectLst/>
                        </wps:spPr>
                        <wps:bodyPr/>
                      </wps:wsp>
                      <wps:wsp>
                        <wps:cNvPr id="303" name="Rectangle 9"/>
                        <wps:cNvSpPr/>
                        <wps:spPr>
                          <a:xfrm>
                            <a:off x="488732" y="756745"/>
                            <a:ext cx="1923415" cy="2601186"/>
                          </a:xfrm>
                          <a:prstGeom prst="rect">
                            <a:avLst/>
                          </a:prstGeom>
                          <a:noFill/>
                          <a:ln w="12700" cap="flat" cmpd="sng" algn="ctr">
                            <a:solidFill>
                              <a:sysClr val="windowText" lastClr="000000"/>
                            </a:solidFill>
                            <a:prstDash val="sysDash"/>
                            <a:miter lim="800000"/>
                          </a:ln>
                          <a:effectLst/>
                        </wps:spPr>
                        <wps:txbx>
                          <w:txbxContent>
                            <w:p w14:paraId="2B548349" w14:textId="77777777" w:rsidR="00F97109" w:rsidRDefault="00F97109" w:rsidP="00F97109">
                              <w:pPr>
                                <w:jc w:val="center"/>
                              </w:pPr>
                            </w:p>
                            <w:p w14:paraId="643D55BE" w14:textId="77777777" w:rsidR="00F97109" w:rsidRDefault="00F97109" w:rsidP="00F97109">
                              <w:pPr>
                                <w:jc w:val="center"/>
                              </w:pPr>
                            </w:p>
                            <w:p w14:paraId="200F4C24" w14:textId="77777777" w:rsidR="00F97109" w:rsidRDefault="00F97109" w:rsidP="00F97109">
                              <w:pPr>
                                <w:jc w:val="center"/>
                              </w:pPr>
                            </w:p>
                            <w:p w14:paraId="05E8CD0F" w14:textId="77777777" w:rsidR="00F97109" w:rsidRDefault="00F97109" w:rsidP="00F97109">
                              <w:pPr>
                                <w:rPr>
                                  <w:rFonts w:ascii="Times New Roman" w:hAnsi="Times New Roman" w:cs="Times New Roman"/>
                                  <w:b/>
                                  <w:bCs/>
                                  <w:color w:val="000000" w:themeColor="text1"/>
                                </w:rPr>
                              </w:pPr>
                            </w:p>
                            <w:p w14:paraId="4F0F72F8" w14:textId="77777777" w:rsidR="00F97109" w:rsidRDefault="00F97109" w:rsidP="00F97109">
                              <w:pPr>
                                <w:rPr>
                                  <w:rFonts w:ascii="Times New Roman" w:hAnsi="Times New Roman" w:cs="Times New Roman"/>
                                  <w:b/>
                                  <w:bCs/>
                                  <w:color w:val="000000" w:themeColor="text1"/>
                                </w:rPr>
                              </w:pPr>
                            </w:p>
                            <w:p w14:paraId="1EBA689D" w14:textId="77777777" w:rsidR="00F97109" w:rsidRDefault="00F97109" w:rsidP="00F97109">
                              <w:pPr>
                                <w:rPr>
                                  <w:rFonts w:ascii="Times New Roman" w:hAnsi="Times New Roman" w:cs="Times New Roman"/>
                                  <w:b/>
                                  <w:bCs/>
                                  <w:color w:val="000000" w:themeColor="text1"/>
                                </w:rPr>
                              </w:pPr>
                            </w:p>
                            <w:p w14:paraId="704C24AD" w14:textId="77777777" w:rsidR="00F97109" w:rsidRDefault="00F97109" w:rsidP="00F97109">
                              <w:pPr>
                                <w:rPr>
                                  <w:rFonts w:ascii="Times New Roman" w:hAnsi="Times New Roman" w:cs="Times New Roman"/>
                                  <w:b/>
                                  <w:bCs/>
                                  <w:color w:val="000000" w:themeColor="text1"/>
                                </w:rPr>
                              </w:pPr>
                            </w:p>
                            <w:p w14:paraId="3427F24A" w14:textId="77777777" w:rsidR="00F97109" w:rsidRPr="00F526CD" w:rsidRDefault="00F97109" w:rsidP="00F97109">
                              <w:pPr>
                                <w:rPr>
                                  <w:rFonts w:ascii="Times New Roman" w:hAnsi="Times New Roman" w:cs="Times New Roman"/>
                                  <w:b/>
                                  <w:bCs/>
                                  <w:color w:val="000000" w:themeColor="text1"/>
                                </w:rPr>
                              </w:pPr>
                              <w:r w:rsidRPr="00F526CD">
                                <w:rPr>
                                  <w:rFonts w:ascii="Times New Roman" w:hAnsi="Times New Roman" w:cs="Times New Roman"/>
                                  <w:b/>
                                  <w:bCs/>
                                  <w:color w:val="000000" w:themeColor="text1"/>
                                </w:rPr>
                                <w:t>Threat appraisal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04" name="Oval 11"/>
                        <wps:cNvSpPr/>
                        <wps:spPr>
                          <a:xfrm>
                            <a:off x="536027" y="851338"/>
                            <a:ext cx="1828800" cy="688340"/>
                          </a:xfrm>
                          <a:prstGeom prst="ellipse">
                            <a:avLst/>
                          </a:prstGeom>
                          <a:noFill/>
                          <a:ln w="12700" cap="flat" cmpd="sng" algn="ctr">
                            <a:solidFill>
                              <a:sysClr val="windowText" lastClr="000000"/>
                            </a:solidFill>
                            <a:prstDash val="solid"/>
                            <a:miter lim="800000"/>
                          </a:ln>
                          <a:effectLst/>
                        </wps:spPr>
                        <wps:txbx>
                          <w:txbxContent>
                            <w:p w14:paraId="7B86DB05" w14:textId="77777777" w:rsidR="00F97109" w:rsidRPr="00C84E6D" w:rsidRDefault="00F97109" w:rsidP="00F97109">
                              <w:pPr>
                                <w:jc w:val="center"/>
                                <w:rPr>
                                  <w:rFonts w:ascii="Times New Roman" w:hAnsi="Times New Roman" w:cs="Times New Roman"/>
                                  <w:color w:val="000000" w:themeColor="text1"/>
                                </w:rPr>
                              </w:pPr>
                              <w:r w:rsidRPr="00C84E6D">
                                <w:rPr>
                                  <w:rFonts w:ascii="Times New Roman" w:hAnsi="Times New Roman" w:cs="Times New Roman"/>
                                  <w:color w:val="000000" w:themeColor="text1"/>
                                </w:rPr>
                                <w:t>Severity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17"/>
                        <wps:cNvSpPr/>
                        <wps:spPr>
                          <a:xfrm>
                            <a:off x="536027" y="1639614"/>
                            <a:ext cx="1828800" cy="688340"/>
                          </a:xfrm>
                          <a:prstGeom prst="ellipse">
                            <a:avLst/>
                          </a:prstGeom>
                          <a:noFill/>
                          <a:ln w="12700" cap="flat" cmpd="sng" algn="ctr">
                            <a:solidFill>
                              <a:sysClr val="windowText" lastClr="000000"/>
                            </a:solidFill>
                            <a:prstDash val="solid"/>
                            <a:miter lim="800000"/>
                          </a:ln>
                          <a:effectLst/>
                        </wps:spPr>
                        <wps:txbx>
                          <w:txbxContent>
                            <w:p w14:paraId="7F8D3C5C"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Exposure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18"/>
                        <wps:cNvSpPr/>
                        <wps:spPr>
                          <a:xfrm>
                            <a:off x="536026" y="2396359"/>
                            <a:ext cx="1828799" cy="656722"/>
                          </a:xfrm>
                          <a:prstGeom prst="ellipse">
                            <a:avLst/>
                          </a:prstGeom>
                          <a:noFill/>
                          <a:ln w="12700" cap="flat" cmpd="sng" algn="ctr">
                            <a:solidFill>
                              <a:sysClr val="windowText" lastClr="000000"/>
                            </a:solidFill>
                            <a:prstDash val="solid"/>
                            <a:miter lim="800000"/>
                          </a:ln>
                          <a:effectLst/>
                        </wps:spPr>
                        <wps:txbx>
                          <w:txbxContent>
                            <w:p w14:paraId="685184D7" w14:textId="77777777" w:rsidR="00F97109"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Vulnerability</w:t>
                              </w:r>
                            </w:p>
                            <w:p w14:paraId="1A6209D8" w14:textId="77777777" w:rsidR="00F97109" w:rsidRDefault="00F97109" w:rsidP="00F97109">
                              <w:pPr>
                                <w:jc w:val="center"/>
                                <w:rPr>
                                  <w:rFonts w:ascii="Times New Roman" w:hAnsi="Times New Roman" w:cs="Times New Roman"/>
                                  <w:color w:val="000000" w:themeColor="text1"/>
                                </w:rPr>
                              </w:pPr>
                            </w:p>
                            <w:p w14:paraId="3E205FDD" w14:textId="77777777" w:rsidR="00F97109" w:rsidRPr="00C84E6D" w:rsidRDefault="00F97109" w:rsidP="00F97109">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l 39"/>
                        <wps:cNvSpPr/>
                        <wps:spPr>
                          <a:xfrm>
                            <a:off x="536027" y="3389586"/>
                            <a:ext cx="1828800" cy="688340"/>
                          </a:xfrm>
                          <a:prstGeom prst="ellipse">
                            <a:avLst/>
                          </a:prstGeom>
                          <a:noFill/>
                          <a:ln w="12700" cap="flat" cmpd="sng" algn="ctr">
                            <a:solidFill>
                              <a:sysClr val="windowText" lastClr="000000"/>
                            </a:solidFill>
                            <a:prstDash val="solid"/>
                            <a:miter lim="800000"/>
                          </a:ln>
                          <a:effectLst/>
                        </wps:spPr>
                        <wps:txbx>
                          <w:txbxContent>
                            <w:p w14:paraId="7B0A6431"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Self-efficacy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Oval 40"/>
                        <wps:cNvSpPr/>
                        <wps:spPr>
                          <a:xfrm>
                            <a:off x="536026" y="4114676"/>
                            <a:ext cx="1828799" cy="741103"/>
                          </a:xfrm>
                          <a:prstGeom prst="ellipse">
                            <a:avLst/>
                          </a:prstGeom>
                          <a:noFill/>
                          <a:ln w="12700" cap="flat" cmpd="sng" algn="ctr">
                            <a:solidFill>
                              <a:sysClr val="windowText" lastClr="000000"/>
                            </a:solidFill>
                            <a:prstDash val="solid"/>
                            <a:miter lim="800000"/>
                          </a:ln>
                          <a:effectLst/>
                        </wps:spPr>
                        <wps:txbx>
                          <w:txbxContent>
                            <w:p w14:paraId="58B2B3DF"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Collective response efficacy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Oval 41"/>
                        <wps:cNvSpPr/>
                        <wps:spPr>
                          <a:xfrm>
                            <a:off x="583325" y="4916204"/>
                            <a:ext cx="1828799" cy="688340"/>
                          </a:xfrm>
                          <a:prstGeom prst="ellipse">
                            <a:avLst/>
                          </a:prstGeom>
                          <a:noFill/>
                          <a:ln w="12700" cap="flat" cmpd="sng" algn="ctr">
                            <a:solidFill>
                              <a:sysClr val="windowText" lastClr="000000"/>
                            </a:solidFill>
                            <a:prstDash val="solid"/>
                            <a:miter lim="800000"/>
                          </a:ln>
                          <a:effectLst/>
                        </wps:spPr>
                        <wps:txbx>
                          <w:txbxContent>
                            <w:p w14:paraId="5AAB4674" w14:textId="77777777" w:rsidR="00F97109"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Maladaptive belief</w:t>
                              </w:r>
                            </w:p>
                            <w:p w14:paraId="77BAC52D" w14:textId="77777777" w:rsidR="00F97109" w:rsidRPr="00C84E6D" w:rsidRDefault="00F97109" w:rsidP="00F97109">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Oval 42"/>
                        <wps:cNvSpPr/>
                        <wps:spPr>
                          <a:xfrm>
                            <a:off x="2822027" y="2475186"/>
                            <a:ext cx="1435100" cy="1234440"/>
                          </a:xfrm>
                          <a:prstGeom prst="ellipse">
                            <a:avLst/>
                          </a:prstGeom>
                          <a:noFill/>
                          <a:ln w="12700" cap="flat" cmpd="sng" algn="ctr">
                            <a:solidFill>
                              <a:sysClr val="windowText" lastClr="000000"/>
                            </a:solidFill>
                            <a:prstDash val="solid"/>
                            <a:miter lim="800000"/>
                          </a:ln>
                          <a:effectLst/>
                        </wps:spPr>
                        <wps:txbx>
                          <w:txbxContent>
                            <w:p w14:paraId="532B44E9"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Protection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Oval 43"/>
                        <wps:cNvSpPr/>
                        <wps:spPr>
                          <a:xfrm>
                            <a:off x="4635062" y="2475186"/>
                            <a:ext cx="1757045" cy="1234440"/>
                          </a:xfrm>
                          <a:prstGeom prst="ellipse">
                            <a:avLst/>
                          </a:prstGeom>
                          <a:noFill/>
                          <a:ln w="12700" cap="flat" cmpd="sng" algn="ctr">
                            <a:solidFill>
                              <a:sysClr val="windowText" lastClr="000000"/>
                            </a:solidFill>
                            <a:prstDash val="solid"/>
                            <a:miter lim="800000"/>
                          </a:ln>
                          <a:effectLst/>
                        </wps:spPr>
                        <wps:txbx>
                          <w:txbxContent>
                            <w:p w14:paraId="3DFF7856"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Intent to adopt recommended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Straight Arrow Connector 44"/>
                        <wps:cNvCnPr/>
                        <wps:spPr>
                          <a:xfrm>
                            <a:off x="4256689" y="3087414"/>
                            <a:ext cx="369570" cy="0"/>
                          </a:xfrm>
                          <a:prstGeom prst="straightConnector1">
                            <a:avLst/>
                          </a:prstGeom>
                          <a:noFill/>
                          <a:ln w="6350" cap="flat" cmpd="sng" algn="ctr">
                            <a:solidFill>
                              <a:sysClr val="windowText" lastClr="000000"/>
                            </a:solidFill>
                            <a:prstDash val="solid"/>
                            <a:miter lim="800000"/>
                            <a:tailEnd type="triangle"/>
                          </a:ln>
                          <a:effectLst/>
                        </wps:spPr>
                        <wps:bodyPr/>
                      </wps:wsp>
                      <wps:wsp>
                        <wps:cNvPr id="313" name="Straight Connector 45"/>
                        <wps:cNvCnPr/>
                        <wps:spPr>
                          <a:xfrm>
                            <a:off x="2632841" y="1813035"/>
                            <a:ext cx="0" cy="2921000"/>
                          </a:xfrm>
                          <a:prstGeom prst="line">
                            <a:avLst/>
                          </a:prstGeom>
                          <a:noFill/>
                          <a:ln w="6350" cap="flat" cmpd="sng" algn="ctr">
                            <a:solidFill>
                              <a:sysClr val="windowText" lastClr="000000"/>
                            </a:solidFill>
                            <a:prstDash val="solid"/>
                            <a:miter lim="800000"/>
                          </a:ln>
                          <a:effectLst/>
                        </wps:spPr>
                        <wps:bodyPr/>
                      </wps:wsp>
                      <wps:wsp>
                        <wps:cNvPr id="314" name="Straight Arrow Connector 46"/>
                        <wps:cNvCnPr/>
                        <wps:spPr>
                          <a:xfrm>
                            <a:off x="2632841" y="3087414"/>
                            <a:ext cx="189230" cy="0"/>
                          </a:xfrm>
                          <a:prstGeom prst="straightConnector1">
                            <a:avLst/>
                          </a:prstGeom>
                          <a:noFill/>
                          <a:ln w="6350" cap="flat" cmpd="sng" algn="ctr">
                            <a:solidFill>
                              <a:sysClr val="windowText" lastClr="000000"/>
                            </a:solidFill>
                            <a:prstDash val="solid"/>
                            <a:miter lim="800000"/>
                            <a:tailEnd type="triangle"/>
                          </a:ln>
                          <a:effectLst/>
                        </wps:spPr>
                        <wps:bodyPr/>
                      </wps:wsp>
                      <wps:wsp>
                        <wps:cNvPr id="315" name="Straight Arrow Connector 47"/>
                        <wps:cNvCnPr/>
                        <wps:spPr>
                          <a:xfrm flipV="1">
                            <a:off x="5499538" y="3711466"/>
                            <a:ext cx="0" cy="2449830"/>
                          </a:xfrm>
                          <a:prstGeom prst="straightConnector1">
                            <a:avLst/>
                          </a:prstGeom>
                          <a:noFill/>
                          <a:ln w="6350" cap="flat" cmpd="sng" algn="ctr">
                            <a:solidFill>
                              <a:sysClr val="windowText" lastClr="000000"/>
                            </a:solidFill>
                            <a:prstDash val="solid"/>
                            <a:miter lim="800000"/>
                            <a:tailEnd type="triangle"/>
                          </a:ln>
                          <a:effectLst/>
                        </wps:spPr>
                        <wps:bodyPr/>
                      </wps:wsp>
                      <wps:wsp>
                        <wps:cNvPr id="316" name="Rectangle 48"/>
                        <wps:cNvSpPr/>
                        <wps:spPr>
                          <a:xfrm>
                            <a:off x="4508938" y="6164317"/>
                            <a:ext cx="2033270" cy="504825"/>
                          </a:xfrm>
                          <a:prstGeom prst="rect">
                            <a:avLst/>
                          </a:prstGeom>
                          <a:noFill/>
                          <a:ln w="12700" cap="flat" cmpd="sng" algn="ctr">
                            <a:solidFill>
                              <a:sysClr val="windowText" lastClr="000000"/>
                            </a:solidFill>
                            <a:prstDash val="solid"/>
                            <a:miter lim="800000"/>
                          </a:ln>
                          <a:effectLst/>
                        </wps:spPr>
                        <wps:txbx>
                          <w:txbxContent>
                            <w:p w14:paraId="0CB83EFB" w14:textId="77777777" w:rsidR="00F97109" w:rsidRPr="00BC6A4F" w:rsidRDefault="00F97109" w:rsidP="00F97109">
                              <w:pPr>
                                <w:jc w:val="center"/>
                                <w:rPr>
                                  <w:rFonts w:ascii="Times New Roman" w:hAnsi="Times New Roman" w:cs="Times New Roman"/>
                                  <w:color w:val="000000" w:themeColor="text1"/>
                                </w:rPr>
                              </w:pPr>
                              <w:r w:rsidRPr="00BC6A4F">
                                <w:rPr>
                                  <w:rFonts w:ascii="Times New Roman" w:hAnsi="Times New Roman" w:cs="Times New Roman"/>
                                  <w:color w:val="000000" w:themeColor="text1"/>
                                </w:rPr>
                                <w:t xml:space="preserve">Past </w:t>
                              </w:r>
                              <w:r>
                                <w:rPr>
                                  <w:rFonts w:ascii="Times New Roman" w:hAnsi="Times New Roman" w:cs="Times New Roman"/>
                                  <w:color w:val="000000" w:themeColor="text1"/>
                                </w:rPr>
                                <w:t>b</w:t>
                              </w:r>
                              <w:r w:rsidRPr="00BC6A4F">
                                <w:rPr>
                                  <w:rFonts w:ascii="Times New Roman" w:hAnsi="Times New Roman" w:cs="Times New Roman"/>
                                  <w:color w:val="000000" w:themeColor="text1"/>
                                </w:rPr>
                                <w:t xml:space="preserve">ehavioral </w:t>
                              </w:r>
                              <w:r>
                                <w:rPr>
                                  <w:rFonts w:ascii="Times New Roman" w:hAnsi="Times New Roman" w:cs="Times New Roman"/>
                                  <w:color w:val="000000" w:themeColor="text1"/>
                                </w:rPr>
                                <w:t>h</w:t>
                              </w:r>
                              <w:r w:rsidRPr="00BC6A4F">
                                <w:rPr>
                                  <w:rFonts w:ascii="Times New Roman" w:hAnsi="Times New Roman" w:cs="Times New Roman"/>
                                  <w:color w:val="000000" w:themeColor="text1"/>
                                </w:rPr>
                                <w:t>abits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Straight Arrow Connector 49"/>
                        <wps:cNvCnPr/>
                        <wps:spPr>
                          <a:xfrm>
                            <a:off x="3507587" y="504825"/>
                            <a:ext cx="6500" cy="1970269"/>
                          </a:xfrm>
                          <a:prstGeom prst="straightConnector1">
                            <a:avLst/>
                          </a:prstGeom>
                          <a:noFill/>
                          <a:ln w="6350" cap="flat" cmpd="sng" algn="ctr">
                            <a:solidFill>
                              <a:sysClr val="windowText" lastClr="000000"/>
                            </a:solidFill>
                            <a:prstDash val="solid"/>
                            <a:miter lim="800000"/>
                            <a:tailEnd type="triangle"/>
                          </a:ln>
                          <a:effectLst/>
                        </wps:spPr>
                        <wps:bodyPr/>
                      </wps:wsp>
                      <wps:wsp>
                        <wps:cNvPr id="318" name="Rectangle 50"/>
                        <wps:cNvSpPr/>
                        <wps:spPr>
                          <a:xfrm>
                            <a:off x="2490951" y="0"/>
                            <a:ext cx="2033270" cy="504825"/>
                          </a:xfrm>
                          <a:prstGeom prst="rect">
                            <a:avLst/>
                          </a:prstGeom>
                          <a:noFill/>
                          <a:ln w="12700" cap="flat" cmpd="sng" algn="ctr">
                            <a:solidFill>
                              <a:sysClr val="windowText" lastClr="000000"/>
                            </a:solidFill>
                            <a:prstDash val="solid"/>
                            <a:miter lim="800000"/>
                          </a:ln>
                          <a:effectLst/>
                        </wps:spPr>
                        <wps:txbx>
                          <w:txbxContent>
                            <w:p w14:paraId="1354DE74" w14:textId="77777777" w:rsidR="00F97109" w:rsidRPr="00BC6A4F"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Information/knowledge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9DE131" id="Group 298" o:spid="_x0000_s1099" style="position:absolute;left:0;text-align:left;margin-left:328.25pt;margin-top:159.9pt;width:379.45pt;height:458.3pt;z-index:251673600;mso-position-horizontal:right;mso-position-horizontal-relative:margin;mso-position-vertical-relative:text" coordorigin="4887" coordsize="60534,6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">
                <v:rect id="Rectangle 5" o:spid="_x0000_s1100" style="position:absolute;left:4887;top:33579;width:19234;height:2520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" filled="f" strokecolor="windowText" strokeweight="1pt">
                  <v:stroke dashstyle="3 1"/>
                  <v:textbox>
                    <w:txbxContent>
                      <w:p w14:paraId="1677A053" w14:textId="77777777" w:rsidR="00F97109" w:rsidRDefault="00F97109" w:rsidP="00F97109">
                        <w:pPr>
                          <w:rPr>
                            <w:rFonts w:ascii="Times New Roman" w:hAnsi="Times New Roman" w:cs="Times New Roman"/>
                            <w:b/>
                            <w:bCs/>
                            <w:color w:val="000000" w:themeColor="text1"/>
                          </w:rPr>
                        </w:pPr>
                      </w:p>
                      <w:p w14:paraId="064E43A2" w14:textId="77777777" w:rsidR="00F97109" w:rsidRDefault="00F97109" w:rsidP="00F97109">
                        <w:pPr>
                          <w:rPr>
                            <w:rFonts w:ascii="Times New Roman" w:hAnsi="Times New Roman" w:cs="Times New Roman"/>
                            <w:b/>
                            <w:bCs/>
                            <w:color w:val="000000" w:themeColor="text1"/>
                          </w:rPr>
                        </w:pPr>
                      </w:p>
                      <w:p w14:paraId="0385492A" w14:textId="77777777" w:rsidR="00F97109" w:rsidRPr="00F526CD" w:rsidRDefault="00F97109" w:rsidP="00F97109">
                        <w:pPr>
                          <w:rPr>
                            <w:rFonts w:ascii="Times New Roman" w:hAnsi="Times New Roman" w:cs="Times New Roman"/>
                            <w:b/>
                            <w:bCs/>
                            <w:color w:val="000000" w:themeColor="text1"/>
                          </w:rPr>
                        </w:pPr>
                        <w:r>
                          <w:rPr>
                            <w:rFonts w:ascii="Times New Roman" w:hAnsi="Times New Roman" w:cs="Times New Roman"/>
                            <w:b/>
                            <w:bCs/>
                            <w:color w:val="000000" w:themeColor="text1"/>
                          </w:rPr>
                          <w:t>Coping appraisal</w:t>
                        </w:r>
                      </w:p>
                    </w:txbxContent>
                  </v:textbox>
                </v:rect>
                <v:line id="Straight Connector 6" o:spid="_x0000_s1101" style="position:absolute;visibility:visible;mso-wrap-style:square" from="24121,18130" to="26261,1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" strokecolor="windowText" strokeweight=".5pt">
                  <v:stroke joinstyle="miter"/>
                </v:line>
                <v:line id="Straight Connector 7" o:spid="_x0000_s1102" style="position:absolute;visibility:visible;mso-wrap-style:square" from="24278,47454" to="26418,47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" strokecolor="windowText" strokeweight=".5pt">
                  <v:stroke joinstyle="miter"/>
                </v:line>
                <v:rect id="Rectangle 9" o:spid="_x0000_s1103" style="position:absolute;left:4887;top:7567;width:19234;height:260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" filled="f" strokecolor="windowText" strokeweight="1pt">
                  <v:stroke dashstyle="3 1"/>
                  <v:textbox>
                    <w:txbxContent>
                      <w:p w14:paraId="2B548349" w14:textId="77777777" w:rsidR="00F97109" w:rsidRDefault="00F97109" w:rsidP="00F97109">
                        <w:pPr>
                          <w:jc w:val="center"/>
                        </w:pPr>
                      </w:p>
                      <w:p w14:paraId="643D55BE" w14:textId="77777777" w:rsidR="00F97109" w:rsidRDefault="00F97109" w:rsidP="00F97109">
                        <w:pPr>
                          <w:jc w:val="center"/>
                        </w:pPr>
                      </w:p>
                      <w:p w14:paraId="200F4C24" w14:textId="77777777" w:rsidR="00F97109" w:rsidRDefault="00F97109" w:rsidP="00F97109">
                        <w:pPr>
                          <w:jc w:val="center"/>
                        </w:pPr>
                      </w:p>
                      <w:p w14:paraId="05E8CD0F" w14:textId="77777777" w:rsidR="00F97109" w:rsidRDefault="00F97109" w:rsidP="00F97109">
                        <w:pPr>
                          <w:rPr>
                            <w:rFonts w:ascii="Times New Roman" w:hAnsi="Times New Roman" w:cs="Times New Roman"/>
                            <w:b/>
                            <w:bCs/>
                            <w:color w:val="000000" w:themeColor="text1"/>
                          </w:rPr>
                        </w:pPr>
                      </w:p>
                      <w:p w14:paraId="4F0F72F8" w14:textId="77777777" w:rsidR="00F97109" w:rsidRDefault="00F97109" w:rsidP="00F97109">
                        <w:pPr>
                          <w:rPr>
                            <w:rFonts w:ascii="Times New Roman" w:hAnsi="Times New Roman" w:cs="Times New Roman"/>
                            <w:b/>
                            <w:bCs/>
                            <w:color w:val="000000" w:themeColor="text1"/>
                          </w:rPr>
                        </w:pPr>
                      </w:p>
                      <w:p w14:paraId="1EBA689D" w14:textId="77777777" w:rsidR="00F97109" w:rsidRDefault="00F97109" w:rsidP="00F97109">
                        <w:pPr>
                          <w:rPr>
                            <w:rFonts w:ascii="Times New Roman" w:hAnsi="Times New Roman" w:cs="Times New Roman"/>
                            <w:b/>
                            <w:bCs/>
                            <w:color w:val="000000" w:themeColor="text1"/>
                          </w:rPr>
                        </w:pPr>
                      </w:p>
                      <w:p w14:paraId="704C24AD" w14:textId="77777777" w:rsidR="00F97109" w:rsidRDefault="00F97109" w:rsidP="00F97109">
                        <w:pPr>
                          <w:rPr>
                            <w:rFonts w:ascii="Times New Roman" w:hAnsi="Times New Roman" w:cs="Times New Roman"/>
                            <w:b/>
                            <w:bCs/>
                            <w:color w:val="000000" w:themeColor="text1"/>
                          </w:rPr>
                        </w:pPr>
                      </w:p>
                      <w:p w14:paraId="3427F24A" w14:textId="77777777" w:rsidR="00F97109" w:rsidRPr="00F526CD" w:rsidRDefault="00F97109" w:rsidP="00F97109">
                        <w:pPr>
                          <w:rPr>
                            <w:rFonts w:ascii="Times New Roman" w:hAnsi="Times New Roman" w:cs="Times New Roman"/>
                            <w:b/>
                            <w:bCs/>
                            <w:color w:val="000000" w:themeColor="text1"/>
                          </w:rPr>
                        </w:pPr>
                        <w:r w:rsidRPr="00F526CD">
                          <w:rPr>
                            <w:rFonts w:ascii="Times New Roman" w:hAnsi="Times New Roman" w:cs="Times New Roman"/>
                            <w:b/>
                            <w:bCs/>
                            <w:color w:val="000000" w:themeColor="text1"/>
                          </w:rPr>
                          <w:t>Threat appraisal</w:t>
                        </w:r>
                      </w:p>
                    </w:txbxContent>
                  </v:textbox>
                </v:rect>
                <v:oval id="Oval 11" o:spid="_x0000_s1104" style="position:absolute;left:5360;top:8513;width:18288;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" filled="f" strokecolor="windowText" strokeweight="1pt">
                  <v:stroke joinstyle="miter"/>
                  <v:textbox>
                    <w:txbxContent>
                      <w:p w14:paraId="7B86DB05" w14:textId="77777777" w:rsidR="00F97109" w:rsidRPr="00C84E6D" w:rsidRDefault="00F97109" w:rsidP="00F97109">
                        <w:pPr>
                          <w:jc w:val="center"/>
                          <w:rPr>
                            <w:rFonts w:ascii="Times New Roman" w:hAnsi="Times New Roman" w:cs="Times New Roman"/>
                            <w:color w:val="000000" w:themeColor="text1"/>
                          </w:rPr>
                        </w:pPr>
                        <w:r w:rsidRPr="00C84E6D">
                          <w:rPr>
                            <w:rFonts w:ascii="Times New Roman" w:hAnsi="Times New Roman" w:cs="Times New Roman"/>
                            <w:color w:val="000000" w:themeColor="text1"/>
                          </w:rPr>
                          <w:t>Severity</w:t>
                        </w:r>
                      </w:p>
                    </w:txbxContent>
                  </v:textbox>
                </v:oval>
                <v:oval id="Oval 17" o:spid="_x0000_s1105" style="position:absolute;left:5360;top:16396;width:18288;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" filled="f" strokecolor="windowText" strokeweight="1pt">
                  <v:stroke joinstyle="miter"/>
                  <v:textbox>
                    <w:txbxContent>
                      <w:p w14:paraId="7F8D3C5C"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Exposure</w:t>
                        </w:r>
                      </w:p>
                    </w:txbxContent>
                  </v:textbox>
                </v:oval>
                <v:oval id="Oval 18" o:spid="_x0000_s1106" style="position:absolute;left:5360;top:23963;width:18288;height:6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" filled="f" strokecolor="windowText" strokeweight="1pt">
                  <v:stroke joinstyle="miter"/>
                  <v:textbox>
                    <w:txbxContent>
                      <w:p w14:paraId="685184D7" w14:textId="77777777" w:rsidR="00F97109"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Vulnerability</w:t>
                        </w:r>
                      </w:p>
                      <w:p w14:paraId="1A6209D8" w14:textId="77777777" w:rsidR="00F97109" w:rsidRDefault="00F97109" w:rsidP="00F97109">
                        <w:pPr>
                          <w:jc w:val="center"/>
                          <w:rPr>
                            <w:rFonts w:ascii="Times New Roman" w:hAnsi="Times New Roman" w:cs="Times New Roman"/>
                            <w:color w:val="000000" w:themeColor="text1"/>
                          </w:rPr>
                        </w:pPr>
                      </w:p>
                      <w:p w14:paraId="3E205FDD" w14:textId="77777777" w:rsidR="00F97109" w:rsidRPr="00C84E6D" w:rsidRDefault="00F97109" w:rsidP="00F97109">
                        <w:pPr>
                          <w:jc w:val="center"/>
                          <w:rPr>
                            <w:rFonts w:ascii="Times New Roman" w:hAnsi="Times New Roman" w:cs="Times New Roman"/>
                            <w:color w:val="000000" w:themeColor="text1"/>
                          </w:rPr>
                        </w:pPr>
                      </w:p>
                    </w:txbxContent>
                  </v:textbox>
                </v:oval>
                <v:oval id="Oval 39" o:spid="_x0000_s1107" style="position:absolute;left:5360;top:33895;width:18288;height:6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" filled="f" strokecolor="windowText" strokeweight="1pt">
                  <v:stroke joinstyle="miter"/>
                  <v:textbox>
                    <w:txbxContent>
                      <w:p w14:paraId="7B0A6431"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Self-efficacy</w:t>
                        </w:r>
                      </w:p>
                    </w:txbxContent>
                  </v:textbox>
                </v:oval>
                <v:oval id="Oval 40" o:spid="_x0000_s1108" style="position:absolute;left:5360;top:41146;width:18288;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" filled="f" strokecolor="windowText" strokeweight="1pt">
                  <v:stroke joinstyle="miter"/>
                  <v:textbox>
                    <w:txbxContent>
                      <w:p w14:paraId="58B2B3DF"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Collective response efficacy</w:t>
                        </w:r>
                      </w:p>
                    </w:txbxContent>
                  </v:textbox>
                </v:oval>
                <v:oval id="Oval 41" o:spid="_x0000_s1109" style="position:absolute;left:5833;top:49162;width:18288;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" filled="f" strokecolor="windowText" strokeweight="1pt">
                  <v:stroke joinstyle="miter"/>
                  <v:textbox>
                    <w:txbxContent>
                      <w:p w14:paraId="5AAB4674" w14:textId="77777777" w:rsidR="00F97109"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Maladaptive belief</w:t>
                        </w:r>
                      </w:p>
                      <w:p w14:paraId="77BAC52D" w14:textId="77777777" w:rsidR="00F97109" w:rsidRPr="00C84E6D" w:rsidRDefault="00F97109" w:rsidP="00F97109">
                        <w:pPr>
                          <w:jc w:val="center"/>
                          <w:rPr>
                            <w:rFonts w:ascii="Times New Roman" w:hAnsi="Times New Roman" w:cs="Times New Roman"/>
                            <w:color w:val="000000" w:themeColor="text1"/>
                          </w:rPr>
                        </w:pPr>
                      </w:p>
                    </w:txbxContent>
                  </v:textbox>
                </v:oval>
                <v:oval id="Oval 42" o:spid="_x0000_s1110" style="position:absolute;left:28220;top:24751;width:14351;height:1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" filled="f" strokecolor="windowText" strokeweight="1pt">
                  <v:stroke joinstyle="miter"/>
                  <v:textbox>
                    <w:txbxContent>
                      <w:p w14:paraId="532B44E9"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Protection Motivation</w:t>
                        </w:r>
                      </w:p>
                    </w:txbxContent>
                  </v:textbox>
                </v:oval>
                <v:oval id="Oval 43" o:spid="_x0000_s1111" style="position:absolute;left:46350;top:24751;width:17571;height:12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" filled="f" strokecolor="windowText" strokeweight="1pt">
                  <v:stroke joinstyle="miter"/>
                  <v:textbox>
                    <w:txbxContent>
                      <w:p w14:paraId="3DFF7856" w14:textId="77777777" w:rsidR="00F97109" w:rsidRPr="00C84E6D"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Intent to adopt recommended response</w:t>
                        </w:r>
                      </w:p>
                    </w:txbxContent>
                  </v:textbox>
                </v:oval>
                <v:shape id="Straight Arrow Connector 44" o:spid="_x0000_s1112" type="#_x0000_t32" style="position:absolute;left:42566;top:30874;width:36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" strokecolor="windowText" strokeweight=".5pt">
                  <v:stroke endarrow="block" joinstyle="miter"/>
                </v:shape>
                <v:line id="Straight Connector 45" o:spid="_x0000_s1113" style="position:absolute;visibility:visible;mso-wrap-style:square" from="26328,18130" to="26328,4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" strokecolor="windowText" strokeweight=".5pt">
                  <v:stroke joinstyle="miter"/>
                </v:line>
                <v:shape id="Straight Arrow Connector 46" o:spid="_x0000_s1114" type="#_x0000_t32" style="position:absolute;left:26328;top:30874;width:18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" strokecolor="windowText" strokeweight=".5pt">
                  <v:stroke endarrow="block" joinstyle="miter"/>
                </v:shape>
                <v:shape id="Straight Arrow Connector 47" o:spid="_x0000_s1115" type="#_x0000_t32" style="position:absolute;left:54995;top:37114;width:0;height:244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" strokecolor="windowText" strokeweight=".5pt">
                  <v:stroke endarrow="block" joinstyle="miter"/>
                </v:shape>
                <v:rect id="Rectangle 48" o:spid="_x0000_s1116" style="position:absolute;left:45089;top:61643;width:2033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" filled="f" strokecolor="windowText" strokeweight="1pt">
                  <v:textbox>
                    <w:txbxContent>
                      <w:p w14:paraId="0CB83EFB" w14:textId="77777777" w:rsidR="00F97109" w:rsidRPr="00BC6A4F" w:rsidRDefault="00F97109" w:rsidP="00F97109">
                        <w:pPr>
                          <w:jc w:val="center"/>
                          <w:rPr>
                            <w:rFonts w:ascii="Times New Roman" w:hAnsi="Times New Roman" w:cs="Times New Roman"/>
                            <w:color w:val="000000" w:themeColor="text1"/>
                          </w:rPr>
                        </w:pPr>
                        <w:r w:rsidRPr="00BC6A4F">
                          <w:rPr>
                            <w:rFonts w:ascii="Times New Roman" w:hAnsi="Times New Roman" w:cs="Times New Roman"/>
                            <w:color w:val="000000" w:themeColor="text1"/>
                          </w:rPr>
                          <w:t xml:space="preserve">Past </w:t>
                        </w:r>
                        <w:r>
                          <w:rPr>
                            <w:rFonts w:ascii="Times New Roman" w:hAnsi="Times New Roman" w:cs="Times New Roman"/>
                            <w:color w:val="000000" w:themeColor="text1"/>
                          </w:rPr>
                          <w:t>b</w:t>
                        </w:r>
                        <w:r w:rsidRPr="00BC6A4F">
                          <w:rPr>
                            <w:rFonts w:ascii="Times New Roman" w:hAnsi="Times New Roman" w:cs="Times New Roman"/>
                            <w:color w:val="000000" w:themeColor="text1"/>
                          </w:rPr>
                          <w:t xml:space="preserve">ehavioral </w:t>
                        </w:r>
                        <w:r>
                          <w:rPr>
                            <w:rFonts w:ascii="Times New Roman" w:hAnsi="Times New Roman" w:cs="Times New Roman"/>
                            <w:color w:val="000000" w:themeColor="text1"/>
                          </w:rPr>
                          <w:t>h</w:t>
                        </w:r>
                        <w:r w:rsidRPr="00BC6A4F">
                          <w:rPr>
                            <w:rFonts w:ascii="Times New Roman" w:hAnsi="Times New Roman" w:cs="Times New Roman"/>
                            <w:color w:val="000000" w:themeColor="text1"/>
                          </w:rPr>
                          <w:t>abits</w:t>
                        </w:r>
                      </w:p>
                    </w:txbxContent>
                  </v:textbox>
                </v:rect>
                <v:shape id="Straight Arrow Connector 49" o:spid="_x0000_s1117" type="#_x0000_t32" style="position:absolute;left:35075;top:5048;width:65;height:19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" strokecolor="windowText" strokeweight=".5pt">
                  <v:stroke endarrow="block" joinstyle="miter"/>
                </v:shape>
                <v:rect id="Rectangle 50" o:spid="_x0000_s1118" style="position:absolute;left:24909;width:2033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" filled="f" strokecolor="windowText" strokeweight="1pt">
                  <v:textbox>
                    <w:txbxContent>
                      <w:p w14:paraId="1354DE74" w14:textId="77777777" w:rsidR="00F97109" w:rsidRPr="00BC6A4F" w:rsidRDefault="00F97109" w:rsidP="00F97109">
                        <w:pPr>
                          <w:jc w:val="center"/>
                          <w:rPr>
                            <w:rFonts w:ascii="Times New Roman" w:hAnsi="Times New Roman" w:cs="Times New Roman"/>
                            <w:color w:val="000000" w:themeColor="text1"/>
                          </w:rPr>
                        </w:pPr>
                        <w:r>
                          <w:rPr>
                            <w:rFonts w:ascii="Times New Roman" w:hAnsi="Times New Roman" w:cs="Times New Roman"/>
                            <w:color w:val="000000" w:themeColor="text1"/>
                          </w:rPr>
                          <w:t>Information/knowledge</w:t>
                        </w:r>
                      </w:p>
                    </w:txbxContent>
                  </v:textbox>
                </v:rect>
                <w10:wrap anchorx="margin"/>
              </v:group>
            </w:pict>
          </mc:Fallback>
        </mc:AlternateContent>
      </w:r>
      <w:r w:rsidRPr="00597FFB">
        <w:rPr>
          <w:rFonts w:ascii="Times New Roman" w:hAnsi="Times New Roman" w:cs="Times New Roman"/>
          <w:color w:val="000000" w:themeColor="text1"/>
          <w:kern w:val="24"/>
          <w:sz w:val="24"/>
          <w:szCs w:val="24"/>
          <w:lang w:eastAsia="ja-JP"/>
        </w:rPr>
        <w:t>environmental views in the framework as motivational factors (Tchetchik et al., 2021).</w:t>
      </w:r>
    </w:p>
    <w:p w14:paraId="26BBE5B0" w14:textId="1047DB86" w:rsidR="00F97109" w:rsidRPr="00597FFB" w:rsidRDefault="00F97109" w:rsidP="00F97109">
      <w:pPr>
        <w:keepNext/>
        <w:spacing w:after="0" w:line="480" w:lineRule="auto"/>
        <w:rPr>
          <w:rFonts w:ascii="Times New Roman" w:hAnsi="Times New Roman" w:cs="Times New Roman"/>
          <w:i/>
          <w:iCs/>
          <w:color w:val="000000" w:themeColor="text1"/>
          <w:kern w:val="24"/>
          <w:lang w:eastAsia="ja-JP"/>
        </w:rPr>
      </w:pPr>
      <w:r w:rsidRPr="00597FFB">
        <w:rPr>
          <w:rFonts w:ascii="Times New Roman" w:hAnsi="Times New Roman" w:cs="Times New Roman"/>
          <w:b/>
          <w:bCs/>
          <w:color w:val="000000" w:themeColor="text1"/>
          <w:kern w:val="24"/>
          <w:lang w:eastAsia="ja-JP"/>
        </w:rPr>
        <w:t>Figure 9</w:t>
      </w:r>
      <w:r w:rsidRPr="00597FFB">
        <w:rPr>
          <w:rFonts w:ascii="Times New Roman" w:hAnsi="Times New Roman" w:cs="Times New Roman"/>
          <w:i/>
          <w:iCs/>
          <w:color w:val="000000" w:themeColor="text1"/>
          <w:kern w:val="24"/>
          <w:lang w:eastAsia="ja-JP"/>
        </w:rPr>
        <w:t>: PMT Model.</w:t>
      </w:r>
      <w:r w:rsidRPr="00597FFB">
        <w:rPr>
          <w:noProof/>
          <w:kern w:val="24"/>
          <w:sz w:val="24"/>
          <w:szCs w:val="24"/>
          <w:lang w:eastAsia="ja-JP"/>
        </w:rPr>
        <w:t xml:space="preserve"> </w:t>
      </w:r>
    </w:p>
    <w:p w14:paraId="18A43A6B" w14:textId="25566825"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513B1493"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37CAFEA7"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54A2BE96"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07E92D1F"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5E40417D"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7F4E639C"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1EA4A582"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4EA13E4E"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4FF2A8CD"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145F0CBD"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5FC48E88"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7E482FCB"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2DF6D1CF"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30DBDE34" w14:textId="77777777" w:rsidR="00F97109" w:rsidRPr="00597FFB" w:rsidRDefault="00F97109" w:rsidP="00A558FE">
      <w:pPr>
        <w:widowControl w:val="0"/>
        <w:spacing w:after="0" w:line="480" w:lineRule="auto"/>
        <w:ind w:firstLine="720"/>
        <w:jc w:val="both"/>
        <w:rPr>
          <w:rFonts w:ascii="Times New Roman" w:hAnsi="Times New Roman" w:cs="Times New Roman"/>
          <w:color w:val="000000" w:themeColor="text1"/>
          <w:kern w:val="24"/>
          <w:sz w:val="24"/>
          <w:szCs w:val="24"/>
          <w:lang w:eastAsia="ja-JP"/>
        </w:rPr>
      </w:pPr>
    </w:p>
    <w:p w14:paraId="12ABDB1A" w14:textId="77777777" w:rsidR="00F97109" w:rsidRPr="00597FFB" w:rsidRDefault="00F97109" w:rsidP="00CA15B0">
      <w:pPr>
        <w:spacing w:after="0" w:line="240" w:lineRule="auto"/>
        <w:rPr>
          <w:rFonts w:ascii="Times New Roman" w:hAnsi="Times New Roman" w:cs="Times New Roman"/>
          <w:i/>
          <w:iCs/>
          <w:color w:val="000000" w:themeColor="text1"/>
          <w:kern w:val="24"/>
          <w:sz w:val="20"/>
          <w:szCs w:val="20"/>
          <w:lang w:eastAsia="ja-JP"/>
        </w:rPr>
      </w:pPr>
      <w:r w:rsidRPr="00597FFB">
        <w:rPr>
          <w:rFonts w:ascii="Times New Roman" w:hAnsi="Times New Roman" w:cs="Times New Roman"/>
          <w:i/>
          <w:iCs/>
          <w:color w:val="000000" w:themeColor="text1"/>
          <w:kern w:val="24"/>
          <w:sz w:val="20"/>
          <w:szCs w:val="20"/>
          <w:lang w:eastAsia="ja-JP"/>
        </w:rPr>
        <w:t>Source: Tchetchik et al. (2021, p. 3) based on PMT (Rogers, 1975; Rippetoe &amp; Rogers, 1987).</w:t>
      </w:r>
    </w:p>
    <w:p w14:paraId="2A3FB635" w14:textId="29671667" w:rsidR="00437A68" w:rsidRPr="00597FFB" w:rsidRDefault="00437A68" w:rsidP="004D5ECF">
      <w:pPr>
        <w:widowControl w:val="0"/>
        <w:spacing w:after="0" w:line="480" w:lineRule="auto"/>
        <w:jc w:val="both"/>
        <w:rPr>
          <w:rFonts w:ascii="Times New Roman" w:hAnsi="Times New Roman" w:cs="Times New Roman"/>
          <w:color w:val="000000" w:themeColor="text1"/>
          <w:kern w:val="24"/>
          <w:sz w:val="24"/>
          <w:szCs w:val="24"/>
          <w:lang w:eastAsia="ja-JP"/>
        </w:rPr>
      </w:pPr>
    </w:p>
    <w:p w14:paraId="56ABE072" w14:textId="6D8744AB" w:rsidR="00DD61A0" w:rsidRPr="00597FFB" w:rsidRDefault="005223F3" w:rsidP="00373886">
      <w:pPr>
        <w:pStyle w:val="Heading3"/>
        <w:spacing w:line="480" w:lineRule="auto"/>
        <w:ind w:firstLine="720"/>
        <w:rPr>
          <w:rFonts w:asciiTheme="majorBidi" w:hAnsiTheme="majorBidi"/>
          <w:i/>
          <w:iCs/>
          <w:color w:val="000000" w:themeColor="text1"/>
          <w:sz w:val="24"/>
          <w:szCs w:val="24"/>
        </w:rPr>
      </w:pPr>
      <w:bookmarkStart w:id="179" w:name="_Toc127170323"/>
      <w:r w:rsidRPr="00597FFB">
        <w:rPr>
          <w:rFonts w:asciiTheme="majorBidi" w:hAnsiTheme="majorBidi"/>
          <w:i/>
          <w:iCs/>
          <w:color w:val="000000" w:themeColor="text1"/>
          <w:sz w:val="24"/>
          <w:szCs w:val="24"/>
        </w:rPr>
        <w:t xml:space="preserve">3.1.3.1. PMT, Waste, </w:t>
      </w:r>
      <w:r w:rsidR="008A5B2A">
        <w:rPr>
          <w:rFonts w:asciiTheme="majorBidi" w:hAnsiTheme="majorBidi"/>
          <w:i/>
          <w:iCs/>
          <w:color w:val="000000" w:themeColor="text1"/>
          <w:sz w:val="24"/>
          <w:szCs w:val="24"/>
        </w:rPr>
        <w:t>a</w:t>
      </w:r>
      <w:r w:rsidRPr="00597FFB">
        <w:rPr>
          <w:rFonts w:asciiTheme="majorBidi" w:hAnsiTheme="majorBidi"/>
          <w:i/>
          <w:iCs/>
          <w:color w:val="000000" w:themeColor="text1"/>
          <w:sz w:val="24"/>
          <w:szCs w:val="24"/>
        </w:rPr>
        <w:t>nd Environment</w:t>
      </w:r>
      <w:r w:rsidR="00E018C1" w:rsidRPr="00597FFB">
        <w:rPr>
          <w:rFonts w:asciiTheme="majorBidi" w:hAnsiTheme="majorBidi"/>
          <w:i/>
          <w:iCs/>
          <w:color w:val="000000" w:themeColor="text1"/>
          <w:sz w:val="24"/>
          <w:szCs w:val="24"/>
        </w:rPr>
        <w:t>.</w:t>
      </w:r>
      <w:bookmarkEnd w:id="179"/>
    </w:p>
    <w:p w14:paraId="68ED40BF" w14:textId="77777777" w:rsidR="001A7901" w:rsidRPr="00597FFB" w:rsidRDefault="001A7901" w:rsidP="00373886">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heme="majorBidi" w:hAnsiTheme="majorBidi" w:cstheme="majorBidi"/>
          <w:color w:val="000000" w:themeColor="text1"/>
          <w:kern w:val="24"/>
          <w:sz w:val="24"/>
          <w:szCs w:val="24"/>
          <w:lang w:eastAsia="ja-JP"/>
        </w:rPr>
        <w:t xml:space="preserve">Tchetchik et al. (2021) </w:t>
      </w:r>
      <w:r w:rsidRPr="00597FFB">
        <w:rPr>
          <w:rFonts w:ascii="Times New Roman" w:hAnsi="Times New Roman" w:cs="Times New Roman"/>
          <w:color w:val="000000" w:themeColor="text1"/>
          <w:kern w:val="24"/>
          <w:sz w:val="24"/>
          <w:szCs w:val="24"/>
          <w:lang w:eastAsia="ja-JP"/>
        </w:rPr>
        <w:t xml:space="preserve">used the PMT to investigate pro-environmental behavior. </w:t>
      </w:r>
      <w:r w:rsidRPr="00597FFB">
        <w:rPr>
          <w:rFonts w:asciiTheme="majorBidi" w:hAnsiTheme="majorBidi" w:cstheme="majorBidi"/>
          <w:color w:val="000000" w:themeColor="text1"/>
          <w:kern w:val="24"/>
          <w:sz w:val="24"/>
          <w:szCs w:val="24"/>
          <w:lang w:eastAsia="ja-JP"/>
        </w:rPr>
        <w:t xml:space="preserve">Tchetchik et al. (2021) applied the PMT in a study about coping appraisal and threat appraisal as possible motivators for Israelis to take climate change more seriously and undertake pro-environmental behavior within the lens of the COVID-19 pandemic. Using survey data that was obtained from 296 respondents, their findings showed that Tchetchik et al.’s (2021) conceptualization of threat appraisal factors of severity (perceived danger to ecosystems), exposure (perceived link between climate change and the COVID-19 pandemic), and vulnerability (perceived individual income loss) influenced behavioral change towards engaging in pro-environmental behavior positively. Similar findings were reported for coping appraisal factors of self-efficacy (constructive hope), collective response efficacy (human resourcefulness), and maladaptive belief (human dominance over nature). For example, survey respondents that were already engaging in low-intensity recycling were likely engage in high-intensity recycling (Tchetchik et al., 2021). </w:t>
      </w:r>
      <w:r w:rsidRPr="00597FFB">
        <w:rPr>
          <w:rFonts w:ascii="Times New Roman" w:hAnsi="Times New Roman" w:cs="Times New Roman"/>
          <w:color w:val="000000" w:themeColor="text1"/>
          <w:kern w:val="24"/>
          <w:sz w:val="24"/>
          <w:szCs w:val="24"/>
          <w:lang w:eastAsia="ja-JP"/>
        </w:rPr>
        <w:t>Collective response efficacy relates to such issues as the beliefs held by millennials that technical solutions, research, and human resourcefulness will be useful in resolving or improving the e-waste problem especially through proper recycling. Perceived self-resilience is regarded as a combination of confidence in problem-solving and the hope that the e-waste problem shall improve soon. Tchetchik et al. (2021) stated that this belief of human dominance over nature causes one to “do nothing” because they cause one to be unbothered or to act in a pro-environmental manner.</w:t>
      </w:r>
    </w:p>
    <w:p w14:paraId="70D9C510" w14:textId="77777777" w:rsidR="001A7901" w:rsidRPr="00597FFB" w:rsidRDefault="001A7901" w:rsidP="00373886">
      <w:pPr>
        <w:spacing w:after="0" w:line="480" w:lineRule="auto"/>
        <w:ind w:firstLine="720"/>
        <w:jc w:val="both"/>
        <w:rPr>
          <w:rFonts w:ascii="Times New Roman" w:hAnsi="Times New Roman" w:cs="Times New Roman"/>
          <w:b/>
          <w:bCs/>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In a study on generating and implementing pro-environmental behavior in small rural tourism enterprises, Zhu et al. (2022) applied the PMT and discussed the impact of community involvement. Their findings showed that the PMT variables of severity of risks, self-efficacy, and vulnerability to the perceived risks affected the pro-environmental behavioral intention of the small rural tourism enterprises. The authors also found that the pro-environmental behavioral intention of the small rural tourism enterprises had a significant effect on their pro-environmental behavior. Lastly, the findings also showed that community involvement had a positive and direct effect on the pro-environmental behavior of the small rural tourism enterprises while moderating the relationship between the pro-environmental behavioral intention of the small rural tourism enterprises and their pro-environmental behavior positively (Zhu et al., 2022).</w:t>
      </w:r>
    </w:p>
    <w:p w14:paraId="6D69E34E" w14:textId="77777777" w:rsidR="001A7901" w:rsidRPr="00597FFB" w:rsidRDefault="001A7901" w:rsidP="00373886">
      <w:pPr>
        <w:widowControl w:val="0"/>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All the studies that have been reviewed under this subsection show that the PMT threat appraisal and coping appraisal factors have the potential to influence pro-environmental behaviors positively. This supports the incorporation of the PMT in the context of understanding UAE millennials’ intention to engage in e-waste recycling, as a pro-environmental behavior. However, these studies also show the scarcity of research involving the PMT to investigate recycling behavior specifically. Furthermore, desk research conducted for this study did not produce PMT</w:t>
      </w:r>
      <w:r w:rsidRPr="00597FFB" w:rsidDel="001C18AE">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studies on EWR, as demonstrated in the next subsection. </w:t>
      </w:r>
    </w:p>
    <w:p w14:paraId="6A2E03FF" w14:textId="6A1B8939" w:rsidR="008811FD" w:rsidRPr="00597FFB" w:rsidRDefault="008811FD"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80" w:name="_Toc127170324"/>
      <w:r w:rsidRPr="00597FFB">
        <w:rPr>
          <w:rFonts w:asciiTheme="majorBidi" w:hAnsiTheme="majorBidi"/>
          <w:i/>
          <w:iCs/>
          <w:color w:val="000000" w:themeColor="text1"/>
          <w:sz w:val="24"/>
          <w:szCs w:val="24"/>
        </w:rPr>
        <w:t xml:space="preserve">3.1.3.2. PMT </w:t>
      </w:r>
      <w:r w:rsidR="00DD61A0" w:rsidRPr="00597FFB">
        <w:rPr>
          <w:rFonts w:asciiTheme="majorBidi" w:hAnsiTheme="majorBidi"/>
          <w:i/>
          <w:iCs/>
          <w:color w:val="000000" w:themeColor="text1"/>
          <w:sz w:val="24"/>
          <w:szCs w:val="24"/>
        </w:rPr>
        <w:t>a</w:t>
      </w:r>
      <w:r w:rsidRPr="00597FFB">
        <w:rPr>
          <w:rFonts w:asciiTheme="majorBidi" w:hAnsiTheme="majorBidi"/>
          <w:i/>
          <w:iCs/>
          <w:color w:val="000000" w:themeColor="text1"/>
          <w:sz w:val="24"/>
          <w:szCs w:val="24"/>
        </w:rPr>
        <w:t>nd Consumer</w:t>
      </w:r>
      <w:r w:rsidR="0005031D">
        <w:rPr>
          <w:rFonts w:asciiTheme="majorBidi" w:hAnsiTheme="majorBidi"/>
          <w:i/>
          <w:iCs/>
          <w:color w:val="000000" w:themeColor="text1"/>
          <w:sz w:val="24"/>
          <w:szCs w:val="24"/>
        </w:rPr>
        <w:t>’s</w:t>
      </w:r>
      <w:r w:rsidRPr="00597FFB">
        <w:rPr>
          <w:rFonts w:asciiTheme="majorBidi" w:hAnsiTheme="majorBidi"/>
          <w:i/>
          <w:iCs/>
          <w:color w:val="000000" w:themeColor="text1"/>
          <w:sz w:val="24"/>
          <w:szCs w:val="24"/>
        </w:rPr>
        <w:t xml:space="preserve"> </w:t>
      </w:r>
      <w:r w:rsidR="00400501" w:rsidRPr="00597FFB">
        <w:rPr>
          <w:rFonts w:asciiTheme="majorBidi" w:hAnsiTheme="majorBidi"/>
          <w:i/>
          <w:iCs/>
          <w:color w:val="000000" w:themeColor="text1"/>
          <w:sz w:val="24"/>
          <w:szCs w:val="24"/>
        </w:rPr>
        <w:t>EWR</w:t>
      </w:r>
      <w:r w:rsidRPr="00597FFB">
        <w:rPr>
          <w:rFonts w:asciiTheme="majorBidi" w:hAnsiTheme="majorBidi"/>
          <w:i/>
          <w:iCs/>
          <w:color w:val="000000" w:themeColor="text1"/>
          <w:sz w:val="24"/>
          <w:szCs w:val="24"/>
        </w:rPr>
        <w:t xml:space="preserve"> Behavioral Intention</w:t>
      </w:r>
      <w:bookmarkEnd w:id="180"/>
    </w:p>
    <w:p w14:paraId="0F0AA9D9" w14:textId="1A04800E" w:rsidR="001A7901" w:rsidRPr="00597FFB" w:rsidRDefault="001A7901" w:rsidP="00373886">
      <w:pPr>
        <w:widowControl w:val="0"/>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PMT has also been described as suitable in the context of “consumption reduction and recycling” (Tchetchik et al., 2021, p. 3), which makes it suitable for investigating the behavioral intentions and actual behavior of UAE millennials towards e-waste consumption and recycling in this study. An incorporation of past behavioral habits and environmental knowledge as antecedents based on the proposal by Cheung et al. (1999) and an endorsement by Tchetchik et al. (2021) aligns well with the view that both knowledge and past behavior influence intent to act. Aboelmaged (2021) found that recycling habits predicted strongly the EWR intention of young adult consumers in the UAE. As such, it was expected that recycling habits of UAE millennials would affect their intention to undertake EWR.</w:t>
      </w:r>
    </w:p>
    <w:p w14:paraId="2722A939" w14:textId="77777777"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However, there is a scarcity of studies that integrate the PMT in e-waste management research. Indeed, desk research conducted for this study only revealed the study by Chen et al. (2022) who used the PMT to analyze intentions to protect an individual’s discarded electronic asset using survey data obtained from e-waste handling users. The findings showed that both the perceived threat of throwing away untreated e-waste and self-efficacy with respect to treating discarded e-waste influenced protection intention. However, the study by Chen et al. (2022) was not about EWR. Therefore, the integration of the PMT in understanding intention to recycle e-waste among UAE millennials in this study extends the application of the PMT in studying pro-environmental behavior.</w:t>
      </w:r>
    </w:p>
    <w:p w14:paraId="678C6E2D" w14:textId="15E27048" w:rsidR="008811FD" w:rsidRPr="00597FFB" w:rsidRDefault="008811FD"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81" w:name="_Toc127170325"/>
      <w:r w:rsidRPr="00597FFB">
        <w:rPr>
          <w:rFonts w:asciiTheme="majorBidi" w:hAnsiTheme="majorBidi"/>
          <w:i/>
          <w:iCs/>
          <w:color w:val="000000" w:themeColor="text1"/>
          <w:sz w:val="24"/>
          <w:szCs w:val="24"/>
        </w:rPr>
        <w:t>3.1.3.3. Perceived E-</w:t>
      </w:r>
      <w:r w:rsidR="00284F14">
        <w:rPr>
          <w:rFonts w:asciiTheme="majorBidi" w:hAnsiTheme="majorBidi"/>
          <w:i/>
          <w:iCs/>
          <w:color w:val="000000" w:themeColor="text1"/>
          <w:sz w:val="24"/>
          <w:szCs w:val="24"/>
        </w:rPr>
        <w:t>w</w:t>
      </w:r>
      <w:r w:rsidRPr="00597FFB">
        <w:rPr>
          <w:rFonts w:asciiTheme="majorBidi" w:hAnsiTheme="majorBidi"/>
          <w:i/>
          <w:iCs/>
          <w:color w:val="000000" w:themeColor="text1"/>
          <w:sz w:val="24"/>
          <w:szCs w:val="24"/>
        </w:rPr>
        <w:t>aste Threat Appraisal</w:t>
      </w:r>
      <w:r w:rsidR="00E018C1" w:rsidRPr="00597FFB">
        <w:rPr>
          <w:rFonts w:asciiTheme="majorBidi" w:hAnsiTheme="majorBidi"/>
          <w:i/>
          <w:iCs/>
          <w:color w:val="000000" w:themeColor="text1"/>
          <w:sz w:val="24"/>
          <w:szCs w:val="24"/>
        </w:rPr>
        <w:t>.</w:t>
      </w:r>
      <w:bookmarkStart w:id="182" w:name="_Hlk103164349"/>
      <w:bookmarkStart w:id="183" w:name="_Hlk103164322"/>
      <w:bookmarkStart w:id="184" w:name="_Hlk73010148"/>
      <w:bookmarkEnd w:id="181"/>
    </w:p>
    <w:p w14:paraId="04D22785" w14:textId="7735D72A" w:rsidR="001A7901" w:rsidRPr="00597FFB" w:rsidRDefault="001A7901" w:rsidP="00373886">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From the PMT (Rogers, 1975), threat appraisal was shown to be a trigger or initiator for protection motivation, which eventually leads to the adoption of the recommended action/response. Perceived severity refers to the extent to which UAE millennials consider the e-waste problem to be dangerous for the planet and people. Consistent with Tchetchik et al. (2021), the assessment of the ecological threat posed by e-waste to ecological systems as an outcome of the current status quo global trends of EEE overconsumption. Typically, exposure expectancy denotes the perceived probability of exposure to the risks associated with growing threat such as that of e-waste in this study.</w:t>
      </w:r>
    </w:p>
    <w:p w14:paraId="4062DEEE" w14:textId="27062E90" w:rsidR="008811FD" w:rsidRPr="00597FFB" w:rsidRDefault="001A7901" w:rsidP="00373886">
      <w:pPr>
        <w:spacing w:after="0" w:line="480" w:lineRule="auto"/>
        <w:ind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Threat appraisal is adopted in this research within the context of the threat posed by e-waste to the planet as perceived by UAE millennials and is expected to mediate the relationship between their attitude towards EWR and EWR intention. Given the importance of information/knowledge in enhancing/influencing behavior (Rosenthal, 2018; Tchetchik et al., 2021), this PMT component is expected to affect protection motivation. Based on the PMT’s threat appraisal aspect, which comprises the dimensions of severity, exposure, and vulnerability, it was expected that UAE millennials’ perceived threat appraisal could account for their environmental concerns and mediate the relationship between attitude towards recycling and e-waste recycling behavior intention. In this study, threat appraisal refers to the threat that e-waste poses to the planet and people in terms of health hazards and pollution, for example. For the purposes of this research, all the PMT components of threat appraisal and information/knowledge were adopted for the proposed model of this dissertation and extended using additional factors.</w:t>
      </w:r>
    </w:p>
    <w:p w14:paraId="2DF657CC" w14:textId="081E1478" w:rsidR="008811FD" w:rsidRPr="00597FFB" w:rsidRDefault="008811FD" w:rsidP="00373886">
      <w:pPr>
        <w:pStyle w:val="Heading3"/>
        <w:spacing w:line="480" w:lineRule="auto"/>
        <w:ind w:firstLine="720"/>
        <w:rPr>
          <w:rFonts w:ascii="Times New Roman" w:hAnsi="Times New Roman" w:cs="Times New Roman"/>
          <w:b/>
          <w:bCs/>
          <w:color w:val="000000" w:themeColor="text1"/>
          <w:kern w:val="24"/>
          <w:sz w:val="24"/>
          <w:szCs w:val="24"/>
          <w:u w:val="single"/>
          <w:lang w:eastAsia="ja-JP"/>
        </w:rPr>
      </w:pPr>
      <w:bookmarkStart w:id="185" w:name="_Toc127170326"/>
      <w:r w:rsidRPr="00597FFB">
        <w:rPr>
          <w:rFonts w:asciiTheme="majorBidi" w:hAnsiTheme="majorBidi"/>
          <w:i/>
          <w:iCs/>
          <w:color w:val="000000" w:themeColor="text1"/>
          <w:sz w:val="24"/>
          <w:szCs w:val="24"/>
        </w:rPr>
        <w:t xml:space="preserve">3.1.3.4. Information/Knowledge </w:t>
      </w:r>
      <w:r w:rsidR="00246A0A">
        <w:rPr>
          <w:rFonts w:asciiTheme="majorBidi" w:hAnsiTheme="majorBidi"/>
          <w:i/>
          <w:iCs/>
          <w:color w:val="000000" w:themeColor="text1"/>
          <w:sz w:val="24"/>
          <w:szCs w:val="24"/>
        </w:rPr>
        <w:t>a</w:t>
      </w:r>
      <w:r w:rsidRPr="00597FFB">
        <w:rPr>
          <w:rFonts w:asciiTheme="majorBidi" w:hAnsiTheme="majorBidi"/>
          <w:i/>
          <w:iCs/>
          <w:color w:val="000000" w:themeColor="text1"/>
          <w:sz w:val="24"/>
          <w:szCs w:val="24"/>
        </w:rPr>
        <w:t>bout EWR</w:t>
      </w:r>
      <w:r w:rsidR="00E018C1" w:rsidRPr="00597FFB">
        <w:rPr>
          <w:rFonts w:asciiTheme="majorBidi" w:hAnsiTheme="majorBidi"/>
          <w:i/>
          <w:iCs/>
          <w:color w:val="000000" w:themeColor="text1"/>
          <w:sz w:val="24"/>
          <w:szCs w:val="24"/>
        </w:rPr>
        <w:t>.</w:t>
      </w:r>
      <w:bookmarkEnd w:id="185"/>
    </w:p>
    <w:bookmarkEnd w:id="182"/>
    <w:p w14:paraId="76232943" w14:textId="5DB49274"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Providing adequate information concerning recycling has been proven as a necessity for creating informed awareness and eventually make recycling easier leading them to practicing it (Oke &amp; Kruijsen, 2016). Information or knowledge is required to execute the intended behavior and accounts for the level of responsibility ascribed to the intended action and the evaluation of its effectiveness (Kumar, 2019). It is ascertained that disclosing information about a recycling practice substantially enhances consumers' willingness to participate in the recycling program. This finding is also confirmed in the field of e-waste recycling participation (Islam</w:t>
      </w:r>
      <w:r w:rsidRPr="00597FFB">
        <w:rPr>
          <w:rFonts w:ascii="Times New Roman" w:eastAsia="Calibri"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t xml:space="preserve">et al., 2021). Ramzan et al. (2020) even found the most relevant information to be the most relevant predictor for recycling behavior. </w:t>
      </w:r>
    </w:p>
    <w:p w14:paraId="3DF2ED85" w14:textId="77777777"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In the Nigerian context, Azodo et al. (2017) indicated that lack of cautionary information and awareness on suitable and effective management operations concerning e-waste could pose potential threat to both the environment and human health. Their survey findings showed a positive relationship between the average knowledge level and appropriate e-waste management practices. This led to the inference that improving e-waste management awareness levels among Nigerian collegiate students could affect the extent to which students practiced proper e-waste management approaches (Azodo et al., 2017). Extending these findings to the current study, it was expected that information/knowledge about EWR influences UAE millennials’ e-waste recycling intention and mediate the relationship between recycling intention and personal norms, PBC, and environmental concern.</w:t>
      </w:r>
    </w:p>
    <w:p w14:paraId="7C7DFE83" w14:textId="2F383550" w:rsidR="008811FD" w:rsidRPr="00597FFB" w:rsidRDefault="008811FD" w:rsidP="00373886">
      <w:pPr>
        <w:pStyle w:val="Heading3"/>
        <w:spacing w:line="480" w:lineRule="auto"/>
        <w:ind w:firstLine="720"/>
        <w:rPr>
          <w:rFonts w:ascii="Times New Roman" w:hAnsi="Times New Roman" w:cs="Times New Roman"/>
          <w:color w:val="000000" w:themeColor="text1"/>
          <w:kern w:val="24"/>
          <w:sz w:val="24"/>
          <w:szCs w:val="24"/>
          <w:lang w:eastAsia="ja-JP"/>
        </w:rPr>
      </w:pPr>
      <w:bookmarkStart w:id="186" w:name="_Toc127170327"/>
      <w:r w:rsidRPr="00597FFB">
        <w:rPr>
          <w:rFonts w:asciiTheme="majorBidi" w:hAnsiTheme="majorBidi"/>
          <w:i/>
          <w:iCs/>
          <w:color w:val="000000" w:themeColor="text1"/>
          <w:sz w:val="24"/>
          <w:szCs w:val="24"/>
        </w:rPr>
        <w:t xml:space="preserve">3.1.3.5. Extending </w:t>
      </w:r>
      <w:r w:rsidR="00DD61A0" w:rsidRPr="00597FFB">
        <w:rPr>
          <w:rFonts w:asciiTheme="majorBidi" w:hAnsiTheme="majorBidi"/>
          <w:i/>
          <w:iCs/>
          <w:color w:val="000000" w:themeColor="text1"/>
          <w:sz w:val="24"/>
          <w:szCs w:val="24"/>
        </w:rPr>
        <w:t>t</w:t>
      </w:r>
      <w:r w:rsidRPr="00597FFB">
        <w:rPr>
          <w:rFonts w:asciiTheme="majorBidi" w:hAnsiTheme="majorBidi"/>
          <w:i/>
          <w:iCs/>
          <w:color w:val="000000" w:themeColor="text1"/>
          <w:sz w:val="24"/>
          <w:szCs w:val="24"/>
        </w:rPr>
        <w:t xml:space="preserve">he PMT </w:t>
      </w:r>
      <w:r w:rsidR="008106F0">
        <w:rPr>
          <w:rFonts w:asciiTheme="majorBidi" w:hAnsiTheme="majorBidi"/>
          <w:i/>
          <w:iCs/>
          <w:color w:val="000000" w:themeColor="text1"/>
          <w:sz w:val="24"/>
          <w:szCs w:val="24"/>
        </w:rPr>
        <w:t>w</w:t>
      </w:r>
      <w:r w:rsidRPr="00597FFB">
        <w:rPr>
          <w:rFonts w:asciiTheme="majorBidi" w:hAnsiTheme="majorBidi"/>
          <w:i/>
          <w:iCs/>
          <w:color w:val="000000" w:themeColor="text1"/>
          <w:sz w:val="24"/>
          <w:szCs w:val="24"/>
        </w:rPr>
        <w:t>ith Additional Factors</w:t>
      </w:r>
      <w:r w:rsidR="00E018C1" w:rsidRPr="00597FFB">
        <w:rPr>
          <w:rFonts w:asciiTheme="majorBidi" w:hAnsiTheme="majorBidi"/>
          <w:i/>
          <w:iCs/>
          <w:color w:val="000000" w:themeColor="text1"/>
          <w:sz w:val="24"/>
          <w:szCs w:val="24"/>
        </w:rPr>
        <w:t>.</w:t>
      </w:r>
      <w:bookmarkEnd w:id="186"/>
    </w:p>
    <w:bookmarkEnd w:id="183"/>
    <w:p w14:paraId="22B414F7" w14:textId="50A29E26"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While Rogers (1975) proposed that threat appraisal triggers coping appraisal, individuals might have reasons for or against the behavior in question. Behavioral reasoning theory (BRT) was proposed by Westaby (2005) with components of reasons for and reasons against accepting a given innovation. In the </w:t>
      </w:r>
      <w:r w:rsidR="00595269" w:rsidRPr="00597FFB">
        <w:rPr>
          <w:rFonts w:ascii="Times New Roman" w:hAnsi="Times New Roman" w:cs="Times New Roman"/>
          <w:color w:val="000000" w:themeColor="text1"/>
          <w:kern w:val="24"/>
          <w:sz w:val="24"/>
          <w:szCs w:val="24"/>
          <w:lang w:eastAsia="ja-JP"/>
        </w:rPr>
        <w:t xml:space="preserve">EWR </w:t>
      </w:r>
      <w:r w:rsidRPr="00597FFB">
        <w:rPr>
          <w:rFonts w:ascii="Times New Roman" w:hAnsi="Times New Roman" w:cs="Times New Roman"/>
          <w:color w:val="000000" w:themeColor="text1"/>
          <w:kern w:val="24"/>
          <w:sz w:val="24"/>
          <w:szCs w:val="24"/>
          <w:lang w:eastAsia="ja-JP"/>
        </w:rPr>
        <w:t>context, Dhir et al. (2021) investigated the role played by reasons for and reasons against bridging the gap between attitude and intention. The authors proposed that environmental and personal benefits were antecedents of reasons for while risk, value, usage, and image barriers were the antecedents of reasons against. On the one hand, they found that reasons for had direct, positive impact on attitudes towards recycling and intention to recycle e-waste. On the other hand, reasons against had direct, negative impact on intention to recycle although its effect on attitude towards EWR was not significant. Additional findings showed that environment assessment was a positive moderator of the relationship between reasons for EWR and intentions for EWR while environmental awareness was a positive moderator of the relationship between reasons for EWR and intentions, between reasons against EWR and intentions, and between attitude and intention (Dhir et al., 2021). Adopting these findings and the BRT constructs to the current research, it was expected that reasons for UAE millennials engaging in EWR would affect their attitude towards recycling while both reasons for and reasons against would affect their intention to recycle e-waste. Further, it was expected that environment assessment would moderate the relationship between reasons for EWR and intention positively. Also, environmental awareness (which was equated to information/knowledge within the PMT) was expected to moderate the relationship between reasons for EWR and EWR intentions, between reasons against EWR and EWR intentions, and between attitude and EWR intentions.</w:t>
      </w:r>
    </w:p>
    <w:bookmarkEnd w:id="184"/>
    <w:p w14:paraId="71950BD6" w14:textId="380A2DDD"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Despite TPB's significance, Ajzen (1991) acknowledged TPB's flexibility in including additional variables if they account for a substantial but distinct explanatory contribution. In this regard, it has been proven relevant to combine variables of the TPB and NAT to thoroughly predict pro-environmental behavior intention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{"citationID":"KsMzmd3J","properties":{"formattedCitation":"(W. Li et al., 2018b)","plainCitation":"(W. Li et al., 2018b)","dontUpdate":true,"noteIndex":0},"citationItems":[{"id":2620,"uris":["http://zotero.org/users/local/b6CRLSJH/items/G7VWD9RM"],"itemData":{"id":2620,"type":"article-journal","abstract":"The revitalization of Northeastern China has been an important topic in China in recent years. Sustainable development of cities plays a strong role in the revitalization process. In this paper, we evaluated the sustainability of the 34 prefecture-level and above cities in Northeastern China. The evaluation process was viewed as a dynamic evaluation problem. A dynamic technique for order preference by similarity to ideal solution (TOPSIS) and entropy method was developed by extending the entropy weight and TOPSIS to dynamic situation. It was found that the sustainability levels of the cities in Northeastern China were comparatively low. Only four sub-provincial cities’ average performances were over 0.5 (accounting for 11.8%). Except for Jixi, nearly all the cities had dim sustainability because of the lower positive or even negative growth rates. In addition to Shenyang, Dalian, Changchun, Harbin, and Daqing, the other cities performed worst in the economic sustainability with performance values below 0.3. This implicates that the necessity and urgency of improving the economic sustainability levels of the cities in Northeastern China to realize the coordinated development of the three dimensions (economy, society and environment). In terms of the cities located in Liaoning province, they need to pay more attention to the economic sustainability, even though their economy basis (or levels) were comparatively better than that in Jilin and Heilongjiang provinces. For the cities in Jilin and Heilongjiang provinces, the decline of their environmental sustainability was serious. This case should arouse the attention of local authorities.","container-title":"Sustainability","DOI":"10.3390/su10124542","ISSN":"2071-1050","issue":"12","journalAbbreviation":"Sustainability","language":"en","page":"4542","source":"DOI.org (Crossref)","title":"Sustainability Evaluation of Cities in Northeastern China Using Dynamic TOPSIS-Entropy Methods","volume":"10","author":[{"family":"Li","given":"Weiwei"},{"family":"Yi","given":"Pingtao"},{"family":"Zhang","given":"Danning"}],"issued":{"date-parts":[["2018",12,2]]}}}],"schema":"https://github.com/citation-style-language/schema/raw/master/csl-citation.json"}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(Li et al., 2018)</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including recycling intentions (</w:t>
      </w:r>
      <w:r w:rsidRPr="00597FFB">
        <w:rPr>
          <w:rFonts w:ascii="Times New Roman" w:eastAsia="Calibri" w:hAnsi="Times New Roman" w:cs="Times New Roman"/>
          <w:color w:val="000000" w:themeColor="text1"/>
          <w:kern w:val="24"/>
          <w:sz w:val="24"/>
          <w:szCs w:val="24"/>
          <w:lang w:eastAsia="ja-JP"/>
        </w:rPr>
        <w:t>Kim &amp; Hwang</w:t>
      </w:r>
      <w:r w:rsidRPr="00597FFB">
        <w:rPr>
          <w:rFonts w:ascii="Times New Roman" w:hAnsi="Times New Roman" w:cs="Times New Roman"/>
          <w:color w:val="000000" w:themeColor="text1"/>
          <w:kern w:val="24"/>
          <w:sz w:val="24"/>
          <w:szCs w:val="24"/>
          <w:lang w:eastAsia="ja-JP"/>
        </w:rPr>
        <w:t xml:space="preserve">, 2020) and recycling behavior </w:t>
      </w:r>
      <w:r w:rsidRPr="00597FFB">
        <w:rPr>
          <w:rFonts w:ascii="Times New Roman" w:eastAsia="Calibri" w:hAnsi="Times New Roman" w:cs="Times New Roman"/>
          <w:color w:val="000000" w:themeColor="text1"/>
          <w:kern w:val="24"/>
          <w:sz w:val="24"/>
          <w:szCs w:val="24"/>
          <w:lang w:eastAsia="ja-JP"/>
        </w:rPr>
        <w:fldChar w:fldCharType="begin"/>
      </w:r>
      <w:r w:rsidR="003F0AE2" w:rsidRPr="00597FFB">
        <w:rPr>
          <w:rFonts w:ascii="Times New Roman" w:eastAsia="Calibri" w:hAnsi="Times New Roman" w:cs="Times New Roman"/>
          <w:color w:val="000000" w:themeColor="text1"/>
          <w:kern w:val="24"/>
          <w:sz w:val="24"/>
          <w:szCs w:val="24"/>
          <w:lang w:eastAsia="ja-JP"/>
        </w:rPr>
        <w:instrText xml:space="preserve"> ADDIN ZOTERO_ITEM CSL_CITATION {"citationID":"BjGlWIgg","properties":{"formattedCitation":"(Meng et al. 2020)","plainCitation":"(Meng et al. 2020)","dontUpdate":true,"noteIndex":0},"citationItems":[{"id":4201,"uris":["http://zotero.org/users/local/b6CRLSJH/items/F3PHPI6E"],"itemData":{"id":4201,"type":"article-journal","container-title":"Journal of Sustainable Tourism","DOI":"10.1080/09669582.2020.1778010","ISSN":"0966-9582, 1747-7646","issue":"12","journalAbbreviation":"Journal of Sustainable Tourism","language":"en","page":"1947-1969","source":"DOI.org (Crossref)","title":"Volunteer tourism (VT) traveler behavior: merging norm activation model and theory of planned behavior","title-short":"Volunteer tourism (VT) traveler behavior","volume":"28","author":[{"family":"Meng","given":"Bo"},{"family":"Chua","given":"Bee-Lia"},{"family":"Ryu","given":"Hyungseo Bobby"},{"family":"Han","given":"Heesup"}],"issued":{"date-parts":[["2020",12,1]]}}}],"schema":"https://github.com/citation-style-language/schema/raw/master/csl-citation.json"} </w:instrText>
      </w:r>
      <w:r w:rsidRPr="00597FFB">
        <w:rPr>
          <w:rFonts w:ascii="Times New Roman" w:eastAsia="Calibri"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(Meng et al., 2020)</w:t>
      </w:r>
      <w:r w:rsidRPr="00597FFB">
        <w:rPr>
          <w:rFonts w:ascii="Times New Roman" w:eastAsia="Calibri"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These authors advocate that the occurrence of pro-environmental behavior not only emerges from individuals' self-interest and volitional intention (TPB), but additionally from moral-based beliefs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{"citationID":"m6fHKVzg","properties":{"formattedCitation":"(Th\\uc0\\u248{}gersen, 1999)","plainCitation":"(Thøgersen, 1999)","dontUpdate":true,"noteIndex":0},"citationItems":[{"id":4202,"uris":["http://zotero.org/users/local/b6CRLSJH/items/NMS5ADYF"],"itemData":{"id":4202,"type":"article-journal","container-title":"Journal of Economic Psychology","DOI":"10.1016/S0167-4870(98)00043-9","ISSN":"01674870","issue":"1","journalAbbreviation":"Journal of Economic Psychology","language":"en","page":"53-81","source":"DOI.org (Crossref)","title":"Spillover processes in the development of a sustainable consumption pattern","volume":"20","author":[{"family":"Thøgersen","given":"John"}],"issued":{"date-parts":[["1999",2]]}}}],"schema":"https://github.com/citation-style-language/schema/raw/master/csl-citation.json"}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(Thøgersen, 1999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{"citationID":"OxEVULtY","properties":{"formattedCitation":"(Asadi et al., 2021)","plainCitation":"(Asadi et al., 2021)","dontUpdate":true,"noteIndex":0},"citationItems":[{"id":4203,"uris":["http://zotero.org/users/local/b6CRLSJH/items/ICLH2GZL"],"itemData":{"id":4203,"type":"article-journal","container-title":"Journal of Cleaner Production","DOI":"10.1016/j.jclepro.2020.124474","ISSN":"09596526","journalAbbreviation":"Journal of Cleaner Production","language":"en","page":"124474","source":"DOI.org (Crossref)","title":"Factors impacting consumers’ intention toward adoption of electric vehicles in Malaysia","volume":"282","author":[{"family":"Asadi","given":"Shahla"},{"family":"Nilashi","given":"Mehrbakhsh"},{"family":"Samad","given":"Sarminah"},{"family":"Abdullah","given":"Rusli"},{"family":"Mahmoud","given":"Marwan"},{"family":"Alkinani","given":"Monagi H."},{"family":"Yadegaridehkordi","given":"Elaheh"}],"issued":{"date-parts":[["2021",2]]}}}],"schema":"https://github.com/citation-style-language/schema/raw/master/csl-citation.json"}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Asadi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This supports the combination of psycho-social determinants from rational choice and more pro-socially driven theories </w:t>
      </w:r>
      <w:bookmarkStart w:id="187" w:name="_Hlk55215225"/>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{"citationID":"8qB2sxjD","properties":{"formattedCitation":"(Borusiak et al. 2021)","plainCitation":"(Borusiak et al. 2021)","dontUpdate":true,"noteIndex":0},"citationItems":[{"id":4186,"uris":["http://zotero.org/users/local/b6CRLSJH/items/CDRWGCNE"],"itemData":{"id":4186,"type":"article-journal","abstract":"The plastic bottles that are used for packaging water are harmful to the environment. The objective of this study was to examine the influence of consumers’ environmental concern on both their intention to reduce consumption of water sold in single-use plastic bottles and their actual behaviour. An extended version of the theory of planned behaviour is used as the main theoretical framework. Structural equation modelling is employed based on data gathered in 2020 from 1011 Polish respondents to test the study’s hypotheses. The results support the model, as all tested relations are statistically significant. More specifically, we confirm the indirect impact of environmental concern on both intention and behaviour concerning bottled water consumption (BWC): environmental concern is positively related to attitudes towards reducing BWC, subjective norms regarding reduction in BWC, perceived behavioural control over BWC, and perceived moral obligation to protect natural resources, all of which, in turn, are positively related to intention to reduce BWC. We also prove that intention to reduce BWC is positively related to consumption of non-bottled water. The results may serve to guide decision makers seeking to promote ecologically friendly behaviour.","container-title":"Energies","DOI":"10.3390/en14071985","ISSN":"1996-1073","issue":"7","journalAbbreviation":"Energies","language":"en","page":"1985","source":"DOI.org (Crossref)","title":"The Impact of Environmental Concern on Intention to Reduce Consumption of Single-Use Bottled Water","volume":"14","author":[{"family":"Borusiak","given":"Barbara"},{"family":"Szymkowiak","given":"Andrzej"},{"family":"Pierański","given":"Bartłomiej"},{"family":"Szalonka","given":"Katarzyna"}],"issued":{"date-parts":[["2021",4,2]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(Borusiak et al., 2021)</w:t>
      </w:r>
      <w:r w:rsidRPr="00597FFB">
        <w:rPr>
          <w:rFonts w:ascii="Times New Roman" w:hAnsi="Times New Roman" w:cs="Times New Roman"/>
          <w:color w:val="000000" w:themeColor="text1"/>
          <w:kern w:val="24"/>
          <w:sz w:val="24"/>
          <w:szCs w:val="24"/>
          <w:lang w:eastAsia="ja-JP"/>
        </w:rPr>
        <w:fldChar w:fldCharType="end"/>
      </w:r>
      <w:bookmarkEnd w:id="187"/>
      <w:r w:rsidRPr="00597FFB">
        <w:rPr>
          <w:rFonts w:ascii="Times New Roman" w:hAnsi="Times New Roman" w:cs="Times New Roman"/>
          <w:color w:val="000000" w:themeColor="text1"/>
          <w:kern w:val="24"/>
          <w:sz w:val="24"/>
          <w:szCs w:val="24"/>
          <w:lang w:eastAsia="ja-JP"/>
        </w:rPr>
        <w:t xml:space="preserve">. Hence, integrating various concepts specifically enhances TPB's explanatory performance of behavioral intention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{"citationID":"IxaP9Clw","properties":{"formattedCitation":"(Panwanitdumrong and Chen 2021)","plainCitation":"(Panwanitdumrong and Chen 2021)","dontUpdate":true,"noteIndex":0},"citationItems":[{"id":4206,"uris":["http://zotero.org/users/local/b6CRLSJH/items/N738K9F8"],"itemData":{"id":4206,"type":"article-journal","container-title":"Marine Pollution Bulletin","DOI":"10.1016/j.marpolbul.2021.112507","ISSN":"0025326X","journalAbbreviation":"Marine Pollution Bulletin","language":"en","page":"112507","source":"DOI.org (Crossref)","title":"Investigating factors influencing tourists' environmentally responsible behavior with extended theory of planned behavior for coastal tourism in Thailand","volume":"169","author":[{"family":"Panwanitdumrong","given":"Kansinee"},{"family":"Chen","given":"Chung-Ling"}],"issued":{"date-parts":[["2021",8]]}}}],"schema":"https://github.com/citation-style-language/schema/raw/master/csl-citation.json"}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(Panwanitdumrong &amp; Chen,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eastAsia="Calibri" w:hAnsi="Times New Roman" w:cs="Times New Roman"/>
          <w:color w:val="000000" w:themeColor="text1"/>
          <w:kern w:val="24"/>
          <w:sz w:val="24"/>
          <w:szCs w:val="24"/>
          <w:lang w:eastAsia="ja-JP"/>
        </w:rPr>
        <w:t>.</w:t>
      </w:r>
      <w:r w:rsidRPr="00597FFB">
        <w:rPr>
          <w:rFonts w:ascii="Times New Roman" w:hAnsi="Times New Roman" w:cs="Times New Roman"/>
          <w:color w:val="000000" w:themeColor="text1"/>
          <w:kern w:val="24"/>
          <w:sz w:val="24"/>
          <w:szCs w:val="24"/>
          <w:lang w:eastAsia="ja-JP"/>
        </w:rPr>
        <w:t xml:space="preserve"> </w:t>
      </w:r>
    </w:p>
    <w:p w14:paraId="7DF41536" w14:textId="6C9A3F9B"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In China, Shen et al. (2020) integrated the TPB with the NAT to investigate waste sorting intentions in rural domestic settings of Guanzhong Basin using microdata obtained from 327 rural households. Their findings showed that attitudes, PBC, and personal norms of farmers affected domestic waste sorting intentions directly. In addition, it was found that subjective norms did not affect sorting intentions directly although they had indirect impact through behavioral attitudes, personal norms, and PBC (Shen et al., 2020). A study conducted by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{"citationID":"Nu43csQc","properties":{"formattedCitation":"(Rastegari Kopaei et al., 2021)","plainCitation":"(Rastegari Kopaei et al., 2021)","dontUpdate":true,"noteIndex":0},"citationItems":[{"id":4207,"uris":["http://zotero.org/users/local/b6CRLSJH/items/3BYRGDWS"],"itemData":{"id":4207,"type":"article-journal","abstract":"Home composting is judged as an effective municipal waste management option in which household contribution is essential, but it has a low adoption. The objectives of the study were to determine the factors that influence home composting intention and identify the moderating role of composting knowledge in the model, using the combined model of the theory of planned behavior (TPB) and norm activation model (NAM). A structured questionnaire was applied to a sample of 367 residents of Isfahan city, Iran, randomly selected. Data were analyzed using cluster analysis, discriminant analysis, PLS-SEM, and PLS-MGA. Cluster analysis grouped the three clusters based on the constructs of the integrated model, and this result was confirmed by discriminant analysis. Findings show that attitude, subjective norm, and perceived behavior control can predict the intention to compost. Study results confirmed the positive effect of awareness of the consequences of composting on ascribed responsibility to compost at home, of responsibility to the personal norm, and of the personal norm on intention to compost at home. Furthermore, it was observed that composting knowledge moderates the relationship between subjective norm and behavioral intention, and the one between perceived behavioral control and behavioral intention. The integrated model had more predictive power than the TPB model. The fit statistic of the integrated model was good and 71% of the variance for intention behavior toward home composting. The insights on factors affecting residents’ intention to compost obtained from this study can be used in measures and programs that reinforce and stimulate home composting.","container-title":"Sustainability","DOI":"10.3390/su13126826","ISSN":"2071-1050","issue":"12","journalAbbreviation":"Sustainability","language":"en","page":"6826","source":"DOI.org (Crossref)","title":"Drivers of Residents’ Home Composting Intention: Integrating the Theory of Planned Behavior, the Norm Activation Model, and the Moderating Role of Composting Knowledge","title-short":"Drivers of Residents’ Home Composting Intention","volume":"13","author":[{"family":"Rastegari Kopaei","given":"Hamid"},{"family":"Nooripoor","given":"Mehdi"},{"family":"Karami","given":"Ayatollah"},{"family":"Petrescu-Mag","given":"Ruxandra Malina"},{"family":"Petrescu","given":"Dacinia Crina"}],"issued":{"date-parts":[["2021",6,16]]}}}],"schema":"https://github.com/citation-style-language/schema/raw/master/csl-citation.json"}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Kopaei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provided empirical findings by combining the TPB and NAT. The results illustrated that the main factor of recycling intention was impacted significantly by personal norms and the impact of other factors (attitude and PBC). Moreover, the results showed that recycling intention was influenced indirectly by subjective norms and other factors such as gender and sufficient knowledge about recycling. Moreover,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{"citationID":"gozBWq0F","properties":{"formattedCitation":"(Rastegari Kopaei et al., 2021)","plainCitation":"(Rastegari Kopaei et al., 2021)","dontUpdate":true,"noteIndex":0},"citationItems":[{"id":4207,"uris":["http://zotero.org/users/local/b6CRLSJH/items/3BYRGDWS"],"itemData":{"id":4207,"type":"article-journal","abstract":"Home composting is judged as an effective municipal waste management option in which household contribution is essential, but it has a low adoption. The objectives of the study were to determine the factors that influence home composting intention and identify the moderating role of composting knowledge in the model, using the combined model of the theory of planned behavior (TPB) and norm activation model (NAM). A structured questionnaire was applied to a sample of 367 residents of Isfahan city, Iran, randomly selected. Data were analyzed using cluster analysis, discriminant analysis, PLS-SEM, and PLS-MGA. Cluster analysis grouped the three clusters based on the constructs of the integrated model, and this result was confirmed by discriminant analysis. Findings show that attitude, subjective norm, and perceived behavior control can predict the intention to compost. Study results confirmed the positive effect of awareness of the consequences of composting on ascribed responsibility to compost at home, of responsibility to the personal norm, and of the personal norm on intention to compost at home. Furthermore, it was observed that composting knowledge moderates the relationship between subjective norm and behavioral intention, and the one between perceived behavioral control and behavioral intention. The integrated model had more predictive power than the TPB model. The fit statistic of the integrated model was good and 71% of the variance for intention behavior toward home composting. The insights on factors affecting residents’ intention to compost obtained from this study can be used in measures and programs that reinforce and stimulate home composting.","container-title":"Sustainability","DOI":"10.3390/su13126826","ISSN":"2071-1050","issue":"12","journalAbbreviation":"Sustainability","language":"en","page":"6826","source":"DOI.org (Crossref)","title":"Drivers of Residents’ Home Composting Intention: Integrating the Theory of Planned Behavior, the Norm Activation Model, and the Moderating Role of Composting Knowledge","title-short":"Drivers of Residents’ Home Composting Intention","volume":"13","author":[{"family":"Rastegari Kopaei","given":"Hamid"},{"family":"Nooripoor","given":"Mehdi"},{"family":"Karami","given":"Ayatollah"},{"family":"Petrescu-Mag","given":"Ruxandra Malina"},{"family":"Petrescu","given":"Dacinia Crina"}],"issued":{"date-parts":[["2021",6,16]]}}}],"schema":"https://github.com/citation-style-language/schema/raw/master/csl-citation.json"}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Kopaei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found that attitude and perceived behavioral control did not directly influence recycling intention. Finally, the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{"citationID":"RpmpcfP2","properties":{"formattedCitation":"(Rastegari Kopaei et al., 2021)","plainCitation":"(Rastegari Kopaei et al., 2021)","dontUpdate":true,"noteIndex":0},"citationItems":[{"id":4207,"uris":["http://zotero.org/users/local/b6CRLSJH/items/3BYRGDWS"],"itemData":{"id":4207,"type":"article-journal","abstract":"Home composting is judged as an effective municipal waste management option in which household contribution is essential, but it has a low adoption. The objectives of the study were to determine the factors that influence home composting intention and identify the moderating role of composting knowledge in the model, using the combined model of the theory of planned behavior (TPB) and norm activation model (NAM). A structured questionnaire was applied to a sample of 367 residents of Isfahan city, Iran, randomly selected. Data were analyzed using cluster analysis, discriminant analysis, PLS-SEM, and PLS-MGA. Cluster analysis grouped the three clusters based on the constructs of the integrated model, and this result was confirmed by discriminant analysis. Findings show that attitude, subjective norm, and perceived behavior control can predict the intention to compost. Study results confirmed the positive effect of awareness of the consequences of composting on ascribed responsibility to compost at home, of responsibility to the personal norm, and of the personal norm on intention to compost at home. Furthermore, it was observed that composting knowledge moderates the relationship between subjective norm and behavioral intention, and the one between perceived behavioral control and behavioral intention. The integrated model had more predictive power than the TPB model. The fit statistic of the integrated model was good and 71% of the variance for intention behavior toward home composting. The insights on factors affecting residents’ intention to compost obtained from this study can be used in measures and programs that reinforce and stimulate home composting.","container-title":"Sustainability","DOI":"10.3390/su13126826","ISSN":"2071-1050","issue":"12","journalAbbreviation":"Sustainability","language":"en","page":"6826","source":"DOI.org (Crossref)","title":"Drivers of Residents’ Home Composting Intention: Integrating the Theory of Planned Behavior, the Norm Activation Model, and the Moderating Role of Composting Knowledge","title-short":"Drivers of Residents’ Home Composting Intention","volume":"13","author":[{"family":"Rastegari Kopaei","given":"Hamid"},{"family":"Nooripoor","given":"Mehdi"},{"family":"Karami","given":"Ayatollah"},{"family":"Petrescu-Mag","given":"Ruxandra Malina"},{"family":"Petrescu","given":"Dacinia Crina"}],"issued":{"date-parts":[["2021",6,16]]}}}],"schema":"https://github.com/citation-style-language/schema/raw/master/csl-citation.json"}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Kopaei et al.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also reported positive correlations between awareness of consequences and TPB factors. </w:t>
      </w:r>
    </w:p>
    <w:p w14:paraId="17DEBE38" w14:textId="5DA6EF48"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Researchers like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{"citationID":"vCTRb9Hm","properties":{"formattedCitation":"(Hamzah &amp; Tanwir, 2021)","plainCitation":"(Hamzah &amp; Tanwir, 2021)","dontUpdate":true,"noteIndex":0},"citationItems":[{"id":4208,"uris":["http://zotero.org/users/local/b6CRLSJH/items/L2QRSQJ8"],"itemData":{"id":4208,"type":"article-journal","container-title":"Journal of Cleaner Production","DOI":"10.1016/j.jclepro.2020.123643","ISSN":"09596526","journalAbbreviation":"Journal of Cleaner Production","language":"en","page":"123643","source":"DOI.org (Crossref)","title":"Do pro-environmental factors lead to purchase intention of hybrid vehicles? The moderating effects of environmental knowledge","title-short":"Do pro-environmental factors lead to purchase intention of hybrid vehicles?","volume":"279","author":[{"family":"Hamzah","given":"Muhammad Iskandar"},{"family":"Tanwir","given":"Nurul Syafiqah"}],"issued":{"date-parts":[["2021",1]]}}}],"schema":"https://github.com/citation-style-language/schema/raw/master/csl-citation.json"}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Hamzah and Tanwir (2021)</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saw the benefit of combining NAT and the TPB in both theories' similarities. They argued that combining NAT with TPB eases the integration of both models and supports the prediction power for significant environmental behavior. On the contrary, Chen (2020) disagreed that combining the TPB and the NAT has significant usefulness. This corresponds to that expressed in a study by </w:t>
      </w:r>
      <w:r w:rsidRPr="00597FFB">
        <w:rPr>
          <w:rFonts w:ascii="Times New Roman" w:hAnsi="Times New Roman" w:cs="Times New Roman"/>
          <w:color w:val="000000" w:themeColor="text1"/>
          <w:kern w:val="24"/>
          <w:sz w:val="24"/>
          <w:szCs w:val="24"/>
          <w:lang w:eastAsia="ja-JP"/>
        </w:rPr>
        <w:fldChar w:fldCharType="begin"/>
      </w:r>
      <w:r w:rsidR="003F0AE2" w:rsidRPr="00597FFB">
        <w:rPr>
          <w:rFonts w:ascii="Times New Roman" w:hAnsi="Times New Roman" w:cs="Times New Roman"/>
          <w:color w:val="000000" w:themeColor="text1"/>
          <w:kern w:val="24"/>
          <w:sz w:val="24"/>
          <w:szCs w:val="24"/>
          <w:lang w:eastAsia="ja-JP"/>
        </w:rPr>
        <w:instrText xml:space="preserve"> ADDIN ZOTERO_ITEM CSL_CITATION {"citationID":"VWZ1LgAM","properties":{"formattedCitation":"(Harland et al., 1999)","plainCitation":"(Harland et al., 1999)","dontUpdate":true,"noteIndex":0},"citationItems":[{"id":4209,"uris":["http://zotero.org/users/local/b6CRLSJH/items/3DJXV78W"],"itemData":{"id":4209,"type":"article-journal","container-title":"Journal of Applied Social Psychology","DOI":"10.1111/j.1559-1816.1999.tb00123.x","ISSN":"0021-9029, 1559-1816","issue":"12","journalAbbreviation":"J Appl Social Pyschol","language":"en","page":"2505-2528","source":"DOI.org (Crossref)","title":"Explaining Proenvironmental Intention and Behavior by Personal Norms and the Theory of Planned Behavior1","volume":"29","author":[{"family":"Harland","given":"Paul"},{"family":"Staats","given":"Henk"},{"family":"Wilke","given":"Henk A. M."}],"issued":{"date-parts":[["1999",12]]}}}],"schema":"https://github.com/citation-style-language/schema/raw/master/csl-citation.json"} </w:instrText>
      </w:r>
      <w:r w:rsidRPr="00597FFB">
        <w:rPr>
          <w:rFonts w:ascii="Times New Roman" w:hAnsi="Times New Roman" w:cs="Times New Roman"/>
          <w:color w:val="000000" w:themeColor="text1"/>
          <w:kern w:val="24"/>
          <w:sz w:val="24"/>
          <w:szCs w:val="24"/>
          <w:lang w:eastAsia="ja-JP"/>
        </w:rPr>
        <w:fldChar w:fldCharType="separate"/>
      </w:r>
      <w:r w:rsidRPr="00597FFB">
        <w:rPr>
          <w:rFonts w:ascii="Times New Roman" w:hAnsi="Times New Roman" w:cs="Times New Roman"/>
          <w:color w:val="000000" w:themeColor="text1"/>
          <w:kern w:val="24"/>
          <w:sz w:val="24"/>
          <w:szCs w:val="24"/>
          <w:lang w:eastAsia="ja-JP"/>
        </w:rPr>
        <w:t>Harland et al. (1999)</w:t>
      </w:r>
      <w:r w:rsidRPr="00597FFB">
        <w:rPr>
          <w:rFonts w:ascii="Times New Roman" w:hAnsi="Times New Roman" w:cs="Times New Roman"/>
          <w:color w:val="000000" w:themeColor="text1"/>
          <w:kern w:val="24"/>
          <w:sz w:val="24"/>
          <w:szCs w:val="24"/>
          <w:lang w:eastAsia="ja-JP"/>
        </w:rPr>
        <w:fldChar w:fldCharType="end"/>
      </w:r>
      <w:r w:rsidRPr="00597FFB">
        <w:rPr>
          <w:rFonts w:ascii="Times New Roman" w:hAnsi="Times New Roman" w:cs="Times New Roman"/>
          <w:color w:val="000000" w:themeColor="text1"/>
          <w:kern w:val="24"/>
          <w:sz w:val="24"/>
          <w:szCs w:val="24"/>
          <w:lang w:eastAsia="ja-JP"/>
        </w:rPr>
        <w:t xml:space="preserve"> explaining multiple pro-environmental intentions. The authors further found that an extension of the TPB with the personal norm component, as provided by the NAT, generally leads to a significantly higher intention towards performing a pro-environmental behavior. Later, confirmed by Wang and Zhang (2020), reporting that a combination of TPB and NAT substantially proved better in predicting pro-environmental intention than using the models separately. As a result, these findings confirm and support the relevance of combining both the NAT and TPB to determine millennials' intention to perform e-waste recycling thoroughly.</w:t>
      </w:r>
    </w:p>
    <w:p w14:paraId="04A55BC2" w14:textId="321EE8C9" w:rsidR="001A790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While investigating the factors determining the environmental behavior and willingness of Chinese farmers to engage in water conservation, Wang et al. (2019) integrated the PMT and TPB to enable the incorporation of the threat and coping appraisals aspects of the PMT to explain influence on behavior, subjective norms, and PBC as exemplified in the TPB. Nguyen et al. (2022) found the integration of the TPB and the PMT in the investigation of the Vietnamese’s intention to follow COVID-19 preventive measures offered more robustness in explaining behavioral intention. Although the TPB is robust in providing adequate explanations concerning the way PBC, subjective norms, and attitudes could influence e-waste recycling behaviors among UAE millennials, the theory is inadequate in accounting for potential motivators that govern e-waste in terms of the risk it poses to millennials and the planet. Yet, individuals are motivated to take action to lower the risk if they perceive it as bearing health and environmental risks (Janmaimool, 2017). In any case, PMT and TPB have similarities in the sense that protection motivation and self-efficacy in PMT relate to intention and PBC in TPB respectively. Such similarities between PMT and TPB and the logics involved in them demonstrate that integrating PMT with TPB would enhance the investigation and understanding of UAE millennials’ e-waste recycling behavior.</w:t>
      </w:r>
    </w:p>
    <w:p w14:paraId="56BDE031" w14:textId="7B7770EC" w:rsidR="001A7901" w:rsidRPr="00597FFB" w:rsidRDefault="001A7901" w:rsidP="00373886">
      <w:pPr>
        <w:keepNext/>
        <w:keepLines/>
        <w:spacing w:after="0" w:line="480" w:lineRule="auto"/>
        <w:outlineLvl w:val="1"/>
        <w:rPr>
          <w:rFonts w:ascii="Times New Roman" w:eastAsia="Times New Roman" w:hAnsi="Times New Roman" w:cs="Times New Roman"/>
          <w:b/>
          <w:bCs/>
          <w:kern w:val="24"/>
          <w:sz w:val="24"/>
          <w:szCs w:val="24"/>
          <w:lang w:eastAsia="ja-JP"/>
        </w:rPr>
      </w:pPr>
      <w:bookmarkStart w:id="188" w:name="_Toc127170328"/>
      <w:bookmarkStart w:id="189" w:name="_Hlk73883844"/>
      <w:r w:rsidRPr="00597FFB">
        <w:rPr>
          <w:rFonts w:ascii="Times New Roman" w:eastAsia="Times New Roman" w:hAnsi="Times New Roman" w:cs="Times New Roman"/>
          <w:b/>
          <w:bCs/>
          <w:kern w:val="24"/>
          <w:sz w:val="24"/>
          <w:szCs w:val="24"/>
          <w:lang w:eastAsia="ja-JP"/>
        </w:rPr>
        <w:t xml:space="preserve">3.2. </w:t>
      </w:r>
      <w:bookmarkStart w:id="190" w:name="_Hlk123406392"/>
      <w:r w:rsidRPr="00597FFB">
        <w:rPr>
          <w:rFonts w:ascii="Times New Roman" w:eastAsia="Times New Roman" w:hAnsi="Times New Roman" w:cs="Times New Roman"/>
          <w:b/>
          <w:bCs/>
          <w:kern w:val="24"/>
          <w:sz w:val="24"/>
          <w:szCs w:val="24"/>
          <w:lang w:eastAsia="ja-JP"/>
        </w:rPr>
        <w:t xml:space="preserve">Literature Sources </w:t>
      </w:r>
      <w:r w:rsidR="00DD61A0" w:rsidRPr="00597FFB">
        <w:rPr>
          <w:rFonts w:ascii="Times New Roman" w:eastAsia="Times New Roman" w:hAnsi="Times New Roman" w:cs="Times New Roman"/>
          <w:b/>
          <w:bCs/>
          <w:kern w:val="24"/>
          <w:sz w:val="24"/>
          <w:szCs w:val="24"/>
          <w:lang w:eastAsia="ja-JP"/>
        </w:rPr>
        <w:t>o</w:t>
      </w:r>
      <w:r w:rsidRPr="00597FFB">
        <w:rPr>
          <w:rFonts w:ascii="Times New Roman" w:eastAsia="Times New Roman" w:hAnsi="Times New Roman" w:cs="Times New Roman"/>
          <w:b/>
          <w:bCs/>
          <w:kern w:val="24"/>
          <w:sz w:val="24"/>
          <w:szCs w:val="24"/>
          <w:lang w:eastAsia="ja-JP"/>
        </w:rPr>
        <w:t xml:space="preserve">f </w:t>
      </w:r>
      <w:r w:rsidR="00DD61A0" w:rsidRPr="00597FFB">
        <w:rPr>
          <w:rFonts w:ascii="Times New Roman" w:eastAsia="Times New Roman" w:hAnsi="Times New Roman" w:cs="Times New Roman"/>
          <w:b/>
          <w:bCs/>
          <w:kern w:val="24"/>
          <w:sz w:val="24"/>
          <w:szCs w:val="24"/>
          <w:lang w:eastAsia="ja-JP"/>
        </w:rPr>
        <w:t>t</w:t>
      </w:r>
      <w:r w:rsidRPr="00597FFB">
        <w:rPr>
          <w:rFonts w:ascii="Times New Roman" w:eastAsia="Times New Roman" w:hAnsi="Times New Roman" w:cs="Times New Roman"/>
          <w:b/>
          <w:bCs/>
          <w:kern w:val="24"/>
          <w:sz w:val="24"/>
          <w:szCs w:val="24"/>
          <w:lang w:eastAsia="ja-JP"/>
        </w:rPr>
        <w:t>he Proposed Research Model</w:t>
      </w:r>
      <w:bookmarkEnd w:id="190"/>
      <w:r w:rsidR="00E018C1" w:rsidRPr="00597FFB">
        <w:rPr>
          <w:rFonts w:ascii="Times New Roman" w:eastAsia="Times New Roman" w:hAnsi="Times New Roman" w:cs="Times New Roman"/>
          <w:b/>
          <w:bCs/>
          <w:kern w:val="24"/>
          <w:sz w:val="24"/>
          <w:szCs w:val="24"/>
          <w:lang w:eastAsia="ja-JP"/>
        </w:rPr>
        <w:t>.</w:t>
      </w:r>
      <w:bookmarkEnd w:id="188"/>
    </w:p>
    <w:p w14:paraId="471A0DE9" w14:textId="2F419158" w:rsidR="00F200F1" w:rsidRPr="00597FFB" w:rsidRDefault="001A7901" w:rsidP="00373886">
      <w:pPr>
        <w:spacing w:before="26" w:after="26" w:line="480" w:lineRule="auto"/>
        <w:ind w:right="360" w:firstLine="72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The development of the components of the proposed model for this research was informed by the intensive review of numerous research studies. For the purposes of ensuring relevance in the prevailing times, sources were limited to studies applying at least one of the theories considered for this research (i.e., TPB, NAT, and PMT) and published between 2018 and 2022. The studies selected included primary research journal articles and meta-analyses that were published in English within the last five years (2018 to 2022). The journals also had to have been listed in SCOPUS with an ABS ranking of 3 and above. Table 1</w:t>
      </w:r>
      <w:r w:rsidR="00CE0C97" w:rsidRPr="00597FFB">
        <w:rPr>
          <w:rFonts w:ascii="Times New Roman" w:hAnsi="Times New Roman" w:cs="Times New Roman"/>
          <w:color w:val="000000" w:themeColor="text1"/>
          <w:kern w:val="24"/>
          <w:sz w:val="24"/>
          <w:szCs w:val="24"/>
          <w:lang w:eastAsia="ja-JP"/>
        </w:rPr>
        <w:t>0</w:t>
      </w:r>
      <w:r w:rsidRPr="00597FFB">
        <w:rPr>
          <w:rFonts w:ascii="Times New Roman" w:hAnsi="Times New Roman" w:cs="Times New Roman"/>
          <w:color w:val="000000" w:themeColor="text1"/>
          <w:kern w:val="24"/>
          <w:sz w:val="24"/>
          <w:szCs w:val="24"/>
          <w:lang w:eastAsia="ja-JP"/>
        </w:rPr>
        <w:t xml:space="preserve"> provides a summary of the sources reviewed in this regard. </w:t>
      </w:r>
    </w:p>
    <w:p w14:paraId="5F858A0D" w14:textId="31295EFC" w:rsidR="00F200F1" w:rsidRPr="00597FFB" w:rsidRDefault="001A7901" w:rsidP="00F200F1">
      <w:pPr>
        <w:keepNext/>
        <w:spacing w:after="0" w:line="240" w:lineRule="auto"/>
        <w:rPr>
          <w:rFonts w:ascii="Times New Roman" w:hAnsi="Times New Roman" w:cs="Times New Roman"/>
          <w:i/>
          <w:iCs/>
          <w:color w:val="000000" w:themeColor="text1"/>
          <w:kern w:val="24"/>
          <w:lang w:eastAsia="ja-JP"/>
        </w:rPr>
      </w:pPr>
      <w:r w:rsidRPr="00597FFB">
        <w:rPr>
          <w:rFonts w:ascii="Times New Roman" w:hAnsi="Times New Roman" w:cs="Times New Roman"/>
          <w:b/>
          <w:bCs/>
          <w:color w:val="000000" w:themeColor="text1"/>
          <w:kern w:val="24"/>
          <w:lang w:eastAsia="ja-JP"/>
        </w:rPr>
        <w:t xml:space="preserve">Table </w:t>
      </w:r>
      <w:r w:rsidRPr="00597FFB">
        <w:rPr>
          <w:rFonts w:ascii="Times New Roman" w:hAnsi="Times New Roman" w:cs="Times New Roman"/>
          <w:b/>
          <w:bCs/>
          <w:color w:val="000000" w:themeColor="text1"/>
          <w:kern w:val="24"/>
          <w:lang w:eastAsia="ja-JP"/>
        </w:rPr>
        <w:fldChar w:fldCharType="begin"/>
      </w:r>
      <w:r w:rsidRPr="00597FFB">
        <w:rPr>
          <w:rFonts w:ascii="Times New Roman" w:hAnsi="Times New Roman" w:cs="Times New Roman"/>
          <w:b/>
          <w:bCs/>
          <w:color w:val="000000" w:themeColor="text1"/>
          <w:kern w:val="24"/>
          <w:lang w:eastAsia="ja-JP"/>
        </w:rPr>
        <w:instrText xml:space="preserve"> SEQ Table \* ARABIC </w:instrText>
      </w:r>
      <w:r w:rsidRPr="00597FFB">
        <w:rPr>
          <w:rFonts w:ascii="Times New Roman" w:hAnsi="Times New Roman" w:cs="Times New Roman"/>
          <w:b/>
          <w:bCs/>
          <w:color w:val="000000" w:themeColor="text1"/>
          <w:kern w:val="24"/>
          <w:lang w:eastAsia="ja-JP"/>
        </w:rPr>
        <w:fldChar w:fldCharType="separate"/>
      </w:r>
      <w:r w:rsidRPr="00597FFB">
        <w:rPr>
          <w:rFonts w:ascii="Times New Roman" w:hAnsi="Times New Roman" w:cs="Times New Roman"/>
          <w:b/>
          <w:bCs/>
          <w:noProof/>
          <w:color w:val="000000" w:themeColor="text1"/>
          <w:kern w:val="24"/>
          <w:lang w:eastAsia="ja-JP"/>
        </w:rPr>
        <w:t>1</w:t>
      </w:r>
      <w:r w:rsidRPr="00597FFB">
        <w:rPr>
          <w:rFonts w:ascii="Times New Roman" w:hAnsi="Times New Roman" w:cs="Times New Roman"/>
          <w:b/>
          <w:bCs/>
          <w:color w:val="000000" w:themeColor="text1"/>
          <w:kern w:val="24"/>
          <w:lang w:eastAsia="ja-JP"/>
        </w:rPr>
        <w:fldChar w:fldCharType="end"/>
      </w:r>
      <w:r w:rsidR="006D7990" w:rsidRPr="00597FFB">
        <w:rPr>
          <w:rFonts w:ascii="Times New Roman" w:hAnsi="Times New Roman" w:cs="Times New Roman"/>
          <w:b/>
          <w:bCs/>
          <w:color w:val="000000" w:themeColor="text1"/>
          <w:kern w:val="24"/>
          <w:lang w:eastAsia="ja-JP"/>
        </w:rPr>
        <w:t>0:</w:t>
      </w:r>
      <w:r w:rsidR="006D7990" w:rsidRPr="00597FFB">
        <w:rPr>
          <w:rFonts w:ascii="Times New Roman" w:hAnsi="Times New Roman" w:cs="Times New Roman"/>
          <w:i/>
          <w:iCs/>
          <w:color w:val="000000" w:themeColor="text1"/>
          <w:kern w:val="24"/>
          <w:lang w:eastAsia="ja-JP"/>
        </w:rPr>
        <w:t xml:space="preserve"> Characteristics</w:t>
      </w:r>
      <w:r w:rsidRPr="00597FFB">
        <w:rPr>
          <w:rFonts w:ascii="Times New Roman" w:hAnsi="Times New Roman" w:cs="Times New Roman"/>
          <w:i/>
          <w:iCs/>
          <w:color w:val="000000" w:themeColor="text1"/>
          <w:kern w:val="24"/>
          <w:lang w:eastAsia="ja-JP"/>
        </w:rPr>
        <w:t xml:space="preserve"> of Literature Sources</w:t>
      </w:r>
      <w:r w:rsidR="00E018C1" w:rsidRPr="00597FFB">
        <w:rPr>
          <w:rFonts w:ascii="Times New Roman" w:hAnsi="Times New Roman" w:cs="Times New Roman"/>
          <w:i/>
          <w:iCs/>
          <w:color w:val="000000" w:themeColor="text1"/>
          <w:kern w:val="24"/>
          <w:lang w:eastAsia="ja-JP"/>
        </w:rPr>
        <w:t>.</w:t>
      </w:r>
    </w:p>
    <w:p w14:paraId="131E2C54" w14:textId="2EDAF7F9" w:rsidR="003B321C" w:rsidRPr="00597FFB" w:rsidRDefault="003B321C" w:rsidP="00362796">
      <w:pPr>
        <w:spacing w:after="0" w:line="240" w:lineRule="auto"/>
        <w:rPr>
          <w:rFonts w:ascii="Times New Roman" w:hAnsi="Times New Roman" w:cs="Times New Roman"/>
          <w:color w:val="000000" w:themeColor="text1"/>
          <w:kern w:val="24"/>
          <w:sz w:val="24"/>
          <w:szCs w:val="24"/>
          <w:lang w:eastAsia="ja-JP"/>
        </w:rPr>
      </w:pPr>
    </w:p>
    <w:tbl>
      <w:tblPr>
        <w:tblStyle w:val="TableGrid10"/>
        <w:tblW w:w="0" w:type="auto"/>
        <w:tblInd w:w="-905" w:type="dxa"/>
        <w:tblLayout w:type="fixed"/>
        <w:tblLook w:val="04A0" w:firstRow="1" w:lastRow="0" w:firstColumn="1" w:lastColumn="0" w:noHBand="0" w:noVBand="1"/>
      </w:tblPr>
      <w:tblGrid>
        <w:gridCol w:w="361"/>
        <w:gridCol w:w="1078"/>
        <w:gridCol w:w="631"/>
        <w:gridCol w:w="901"/>
        <w:gridCol w:w="901"/>
        <w:gridCol w:w="811"/>
        <w:gridCol w:w="901"/>
        <w:gridCol w:w="627"/>
        <w:gridCol w:w="721"/>
        <w:gridCol w:w="629"/>
        <w:gridCol w:w="629"/>
      </w:tblGrid>
      <w:tr w:rsidR="003B321C" w:rsidRPr="00597FFB" w14:paraId="0EEFB4DB" w14:textId="77777777" w:rsidTr="003B321C">
        <w:trPr>
          <w:tblHeader/>
        </w:trPr>
        <w:tc>
          <w:tcPr>
            <w:tcW w:w="361" w:type="dxa"/>
            <w:vMerge w:val="restart"/>
          </w:tcPr>
          <w:p w14:paraId="2E9FB2E8" w14:textId="77777777" w:rsidR="003B321C" w:rsidRPr="00597FFB" w:rsidRDefault="003B321C" w:rsidP="000E48F1">
            <w:pPr>
              <w:widowControl w:val="0"/>
              <w:ind w:firstLine="0"/>
              <w:jc w:val="center"/>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w:t>
            </w:r>
          </w:p>
        </w:tc>
        <w:tc>
          <w:tcPr>
            <w:tcW w:w="1078" w:type="dxa"/>
            <w:vMerge w:val="restart"/>
          </w:tcPr>
          <w:p w14:paraId="3F9F4439" w14:textId="77777777" w:rsidR="003B321C" w:rsidRPr="00597FFB" w:rsidRDefault="003B321C" w:rsidP="000E48F1">
            <w:pPr>
              <w:widowControl w:val="0"/>
              <w:ind w:firstLine="0"/>
              <w:jc w:val="center"/>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Title</w:t>
            </w:r>
          </w:p>
        </w:tc>
        <w:tc>
          <w:tcPr>
            <w:tcW w:w="631" w:type="dxa"/>
            <w:vMerge w:val="restart"/>
          </w:tcPr>
          <w:p w14:paraId="5C0925A8" w14:textId="77777777" w:rsidR="003B321C" w:rsidRPr="00597FFB" w:rsidRDefault="003B321C" w:rsidP="000E48F1">
            <w:pPr>
              <w:widowControl w:val="0"/>
              <w:ind w:firstLine="0"/>
              <w:jc w:val="center"/>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Author</w:t>
            </w:r>
          </w:p>
        </w:tc>
        <w:tc>
          <w:tcPr>
            <w:tcW w:w="901" w:type="dxa"/>
            <w:vMerge w:val="restart"/>
          </w:tcPr>
          <w:p w14:paraId="65F68DE6" w14:textId="77777777" w:rsidR="003B321C" w:rsidRPr="00597FFB" w:rsidRDefault="003B321C" w:rsidP="000E48F1">
            <w:pPr>
              <w:widowControl w:val="0"/>
              <w:ind w:firstLine="0"/>
              <w:jc w:val="center"/>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Journal</w:t>
            </w:r>
          </w:p>
        </w:tc>
        <w:tc>
          <w:tcPr>
            <w:tcW w:w="1712" w:type="dxa"/>
            <w:gridSpan w:val="2"/>
            <w:tcBorders>
              <w:bottom w:val="single" w:sz="4" w:space="0" w:color="auto"/>
            </w:tcBorders>
          </w:tcPr>
          <w:p w14:paraId="3EAE91AA" w14:textId="77777777" w:rsidR="003B321C" w:rsidRPr="00597FFB" w:rsidRDefault="003B321C" w:rsidP="000E48F1">
            <w:pPr>
              <w:widowControl w:val="0"/>
              <w:ind w:firstLine="0"/>
              <w:jc w:val="center"/>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Independent Variables</w:t>
            </w:r>
          </w:p>
        </w:tc>
        <w:tc>
          <w:tcPr>
            <w:tcW w:w="901" w:type="dxa"/>
            <w:vMerge w:val="restart"/>
          </w:tcPr>
          <w:p w14:paraId="4A16E9D1" w14:textId="77777777" w:rsidR="003B321C" w:rsidRPr="00597FFB" w:rsidRDefault="003B321C" w:rsidP="000E48F1">
            <w:pPr>
              <w:widowControl w:val="0"/>
              <w:ind w:firstLine="0"/>
              <w:jc w:val="center"/>
              <w:rPr>
                <w:rFonts w:asciiTheme="majorBidi" w:hAnsiTheme="majorBidi" w:cstheme="majorBidi"/>
                <w:b/>
                <w:bCs/>
                <w:color w:val="000000" w:themeColor="text1"/>
                <w:sz w:val="18"/>
                <w:szCs w:val="18"/>
              </w:rPr>
            </w:pPr>
            <w:r w:rsidRPr="00597FFB">
              <w:rPr>
                <w:rFonts w:asciiTheme="majorBidi" w:hAnsiTheme="majorBidi" w:cstheme="majorBidi"/>
                <w:b/>
                <w:bCs/>
                <w:color w:val="000000" w:themeColor="text1"/>
                <w:sz w:val="18"/>
                <w:szCs w:val="18"/>
              </w:rPr>
              <w:t>Dependent Variables</w:t>
            </w:r>
          </w:p>
        </w:tc>
        <w:tc>
          <w:tcPr>
            <w:tcW w:w="627" w:type="dxa"/>
            <w:vMerge w:val="restart"/>
          </w:tcPr>
          <w:p w14:paraId="6C14E691" w14:textId="77777777" w:rsidR="003B321C" w:rsidRPr="00597FFB" w:rsidRDefault="003B321C" w:rsidP="000E48F1">
            <w:pPr>
              <w:widowControl w:val="0"/>
              <w:ind w:firstLine="0"/>
              <w:jc w:val="center"/>
              <w:rPr>
                <w:rFonts w:asciiTheme="majorBidi" w:hAnsiTheme="majorBidi" w:cstheme="majorBidi"/>
                <w:b/>
                <w:bCs/>
                <w:color w:val="000000" w:themeColor="text1"/>
                <w:sz w:val="18"/>
                <w:szCs w:val="18"/>
              </w:rPr>
            </w:pPr>
            <w:r w:rsidRPr="00597FFB">
              <w:rPr>
                <w:rFonts w:asciiTheme="majorBidi" w:hAnsiTheme="majorBidi" w:cstheme="majorBidi"/>
                <w:b/>
                <w:bCs/>
                <w:color w:val="000000" w:themeColor="text1"/>
                <w:sz w:val="18"/>
                <w:szCs w:val="18"/>
              </w:rPr>
              <w:t>Mediators</w:t>
            </w:r>
          </w:p>
        </w:tc>
        <w:tc>
          <w:tcPr>
            <w:tcW w:w="721" w:type="dxa"/>
            <w:vMerge w:val="restart"/>
          </w:tcPr>
          <w:p w14:paraId="78DE3B3D" w14:textId="77777777" w:rsidR="003B321C" w:rsidRPr="00597FFB" w:rsidRDefault="003B321C" w:rsidP="000E48F1">
            <w:pPr>
              <w:widowControl w:val="0"/>
              <w:ind w:firstLine="0"/>
              <w:jc w:val="center"/>
              <w:rPr>
                <w:rFonts w:asciiTheme="majorBidi" w:hAnsiTheme="majorBidi" w:cstheme="majorBidi"/>
                <w:b/>
                <w:bCs/>
                <w:color w:val="000000" w:themeColor="text1"/>
                <w:sz w:val="18"/>
                <w:szCs w:val="18"/>
              </w:rPr>
            </w:pPr>
            <w:r w:rsidRPr="00597FFB">
              <w:rPr>
                <w:rFonts w:asciiTheme="majorBidi" w:hAnsiTheme="majorBidi" w:cstheme="majorBidi"/>
                <w:b/>
                <w:bCs/>
                <w:color w:val="000000" w:themeColor="text1"/>
                <w:sz w:val="18"/>
                <w:szCs w:val="18"/>
              </w:rPr>
              <w:t>Moderators</w:t>
            </w:r>
          </w:p>
        </w:tc>
        <w:tc>
          <w:tcPr>
            <w:tcW w:w="629" w:type="dxa"/>
            <w:vMerge w:val="restart"/>
          </w:tcPr>
          <w:p w14:paraId="00938907" w14:textId="77777777" w:rsidR="003B321C" w:rsidRPr="00597FFB" w:rsidRDefault="003B321C" w:rsidP="000E48F1">
            <w:pPr>
              <w:widowControl w:val="0"/>
              <w:ind w:firstLine="0"/>
              <w:jc w:val="center"/>
              <w:rPr>
                <w:rFonts w:asciiTheme="majorBidi" w:hAnsiTheme="majorBidi" w:cstheme="majorBidi"/>
                <w:b/>
                <w:bCs/>
                <w:color w:val="000000" w:themeColor="text1"/>
                <w:sz w:val="18"/>
                <w:szCs w:val="18"/>
              </w:rPr>
            </w:pPr>
            <w:r w:rsidRPr="00597FFB">
              <w:rPr>
                <w:rFonts w:asciiTheme="majorBidi" w:hAnsiTheme="majorBidi" w:cstheme="majorBidi"/>
                <w:b/>
                <w:bCs/>
                <w:color w:val="000000" w:themeColor="text1"/>
                <w:sz w:val="18"/>
                <w:szCs w:val="18"/>
              </w:rPr>
              <w:t>Theory used</w:t>
            </w:r>
          </w:p>
        </w:tc>
        <w:tc>
          <w:tcPr>
            <w:tcW w:w="629" w:type="dxa"/>
            <w:vMerge w:val="restart"/>
          </w:tcPr>
          <w:p w14:paraId="36FC7A61" w14:textId="77777777" w:rsidR="003B321C" w:rsidRPr="00597FFB" w:rsidRDefault="003B321C" w:rsidP="000E48F1">
            <w:pPr>
              <w:widowControl w:val="0"/>
              <w:ind w:firstLine="0"/>
              <w:jc w:val="center"/>
              <w:rPr>
                <w:rFonts w:asciiTheme="majorBidi" w:hAnsiTheme="majorBidi" w:cstheme="majorBidi"/>
                <w:b/>
                <w:bCs/>
                <w:color w:val="000000" w:themeColor="text1"/>
                <w:sz w:val="18"/>
                <w:szCs w:val="18"/>
              </w:rPr>
            </w:pPr>
            <w:r w:rsidRPr="00597FFB">
              <w:rPr>
                <w:rFonts w:asciiTheme="majorBidi" w:hAnsiTheme="majorBidi" w:cstheme="majorBidi"/>
                <w:b/>
                <w:bCs/>
                <w:color w:val="000000" w:themeColor="text1"/>
                <w:sz w:val="18"/>
                <w:szCs w:val="18"/>
              </w:rPr>
              <w:t>Year</w:t>
            </w:r>
          </w:p>
        </w:tc>
      </w:tr>
      <w:tr w:rsidR="003B321C" w:rsidRPr="00597FFB" w14:paraId="02649D77" w14:textId="77777777" w:rsidTr="003B321C">
        <w:tc>
          <w:tcPr>
            <w:tcW w:w="361" w:type="dxa"/>
            <w:vMerge/>
          </w:tcPr>
          <w:p w14:paraId="1CF9FDCB"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1078" w:type="dxa"/>
            <w:vMerge/>
          </w:tcPr>
          <w:p w14:paraId="3D8A0C1E"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31" w:type="dxa"/>
            <w:vMerge/>
          </w:tcPr>
          <w:p w14:paraId="73FFBDA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vMerge/>
          </w:tcPr>
          <w:p w14:paraId="351B98F1"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Borders>
              <w:top w:val="single" w:sz="4" w:space="0" w:color="auto"/>
            </w:tcBorders>
          </w:tcPr>
          <w:p w14:paraId="7EC73754" w14:textId="77777777" w:rsidR="003B321C" w:rsidRPr="00597FFB" w:rsidRDefault="003B321C" w:rsidP="000E48F1">
            <w:pPr>
              <w:widowControl w:val="0"/>
              <w:ind w:firstLine="0"/>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Factors</w:t>
            </w:r>
          </w:p>
        </w:tc>
        <w:tc>
          <w:tcPr>
            <w:tcW w:w="811" w:type="dxa"/>
            <w:tcBorders>
              <w:top w:val="single" w:sz="4" w:space="0" w:color="auto"/>
            </w:tcBorders>
          </w:tcPr>
          <w:p w14:paraId="3BA2934B" w14:textId="77777777" w:rsidR="003B321C" w:rsidRPr="00597FFB" w:rsidRDefault="003B321C" w:rsidP="000E48F1">
            <w:pPr>
              <w:widowControl w:val="0"/>
              <w:ind w:firstLine="0"/>
              <w:rPr>
                <w:rFonts w:asciiTheme="majorBidi" w:hAnsiTheme="majorBidi" w:cstheme="majorBidi"/>
                <w:b/>
                <w:bCs/>
                <w:color w:val="000000" w:themeColor="text1"/>
                <w:sz w:val="20"/>
                <w:szCs w:val="20"/>
              </w:rPr>
            </w:pPr>
            <w:r w:rsidRPr="00597FFB">
              <w:rPr>
                <w:rFonts w:asciiTheme="majorBidi" w:hAnsiTheme="majorBidi" w:cstheme="majorBidi"/>
                <w:b/>
                <w:bCs/>
                <w:color w:val="000000" w:themeColor="text1"/>
                <w:sz w:val="20"/>
                <w:szCs w:val="20"/>
              </w:rPr>
              <w:t>Sub-factors</w:t>
            </w:r>
          </w:p>
        </w:tc>
        <w:tc>
          <w:tcPr>
            <w:tcW w:w="901" w:type="dxa"/>
            <w:vMerge/>
          </w:tcPr>
          <w:p w14:paraId="66F96ECC"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7" w:type="dxa"/>
            <w:vMerge/>
          </w:tcPr>
          <w:p w14:paraId="0A1C7E0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vMerge/>
          </w:tcPr>
          <w:p w14:paraId="021C6875"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vMerge/>
          </w:tcPr>
          <w:p w14:paraId="16DFF8AB"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vMerge/>
          </w:tcPr>
          <w:p w14:paraId="29537963"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r>
      <w:tr w:rsidR="003B321C" w:rsidRPr="00597FFB" w14:paraId="4AEA020A" w14:textId="77777777" w:rsidTr="003B321C">
        <w:tc>
          <w:tcPr>
            <w:tcW w:w="361" w:type="dxa"/>
          </w:tcPr>
          <w:p w14:paraId="68F9912E"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49437F5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Predictors of recycling intentions among the youth: A developing country perspective</w:t>
            </w:r>
          </w:p>
        </w:tc>
        <w:tc>
          <w:tcPr>
            <w:tcW w:w="631" w:type="dxa"/>
          </w:tcPr>
          <w:p w14:paraId="3D78C6C2" w14:textId="77777777" w:rsidR="003B321C" w:rsidRPr="00597FFB" w:rsidRDefault="003B321C" w:rsidP="000E48F1">
            <w:pPr>
              <w:widowControl w:val="0"/>
              <w:ind w:firstLine="0"/>
              <w:rPr>
                <w:rFonts w:asciiTheme="majorBidi" w:eastAsia="Times New Roman" w:hAnsiTheme="majorBidi" w:cstheme="majorBidi"/>
                <w:bCs/>
                <w:color w:val="000000" w:themeColor="text1"/>
                <w:sz w:val="20"/>
                <w:szCs w:val="20"/>
              </w:rPr>
            </w:pPr>
            <w:r w:rsidRPr="00597FFB">
              <w:rPr>
                <w:rFonts w:asciiTheme="majorBidi" w:hAnsiTheme="majorBidi" w:cstheme="majorBidi"/>
                <w:color w:val="000000" w:themeColor="text1"/>
                <w:sz w:val="20"/>
                <w:szCs w:val="20"/>
              </w:rPr>
              <w:t>Halder &amp; Singh</w:t>
            </w:r>
          </w:p>
        </w:tc>
        <w:tc>
          <w:tcPr>
            <w:tcW w:w="901" w:type="dxa"/>
          </w:tcPr>
          <w:p w14:paraId="5D6DC30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w:t>
            </w:r>
          </w:p>
        </w:tc>
        <w:tc>
          <w:tcPr>
            <w:tcW w:w="901" w:type="dxa"/>
          </w:tcPr>
          <w:p w14:paraId="56DF2F5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4B271F7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36EF581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17147E1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0835461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Intention of recycling</w:t>
            </w:r>
          </w:p>
        </w:tc>
        <w:tc>
          <w:tcPr>
            <w:tcW w:w="627" w:type="dxa"/>
          </w:tcPr>
          <w:p w14:paraId="7ECEBA1E"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5BC701F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7CA33E5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1D9A7E3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2018</w:t>
            </w:r>
          </w:p>
        </w:tc>
      </w:tr>
      <w:tr w:rsidR="003B321C" w:rsidRPr="00597FFB" w14:paraId="78CA0740" w14:textId="77777777" w:rsidTr="003B321C">
        <w:tc>
          <w:tcPr>
            <w:tcW w:w="361" w:type="dxa"/>
          </w:tcPr>
          <w:p w14:paraId="0E5D1A98"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24D1EE5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The impact of psychological factors on farmers’ intentions to reuse agricultural biomass waste for carbon emission abatement</w:t>
            </w:r>
          </w:p>
        </w:tc>
        <w:tc>
          <w:tcPr>
            <w:tcW w:w="631" w:type="dxa"/>
          </w:tcPr>
          <w:p w14:paraId="24B1777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Jiang et al.</w:t>
            </w:r>
          </w:p>
        </w:tc>
        <w:tc>
          <w:tcPr>
            <w:tcW w:w="901" w:type="dxa"/>
          </w:tcPr>
          <w:p w14:paraId="4741E83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Journal of Cleaner Production</w:t>
            </w:r>
          </w:p>
        </w:tc>
        <w:tc>
          <w:tcPr>
            <w:tcW w:w="901" w:type="dxa"/>
          </w:tcPr>
          <w:p w14:paraId="4676CF8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5704AC2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694C8DB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38E6490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758C625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Intention</w:t>
            </w:r>
          </w:p>
        </w:tc>
        <w:tc>
          <w:tcPr>
            <w:tcW w:w="627" w:type="dxa"/>
          </w:tcPr>
          <w:p w14:paraId="25A48FEC"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35322A20"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6086DBD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30AD05F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2018</w:t>
            </w:r>
          </w:p>
        </w:tc>
      </w:tr>
      <w:tr w:rsidR="003B321C" w:rsidRPr="00597FFB" w14:paraId="43574163" w14:textId="77777777" w:rsidTr="003B321C">
        <w:tc>
          <w:tcPr>
            <w:tcW w:w="361" w:type="dxa"/>
          </w:tcPr>
          <w:p w14:paraId="7985297E"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0495C1B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Applying the theory of planned behavior to</w:t>
            </w:r>
          </w:p>
          <w:p w14:paraId="0035FFA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behavior in South Africa</w:t>
            </w:r>
          </w:p>
        </w:tc>
        <w:tc>
          <w:tcPr>
            <w:tcW w:w="631" w:type="dxa"/>
          </w:tcPr>
          <w:p w14:paraId="329C44B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Strydom</w:t>
            </w:r>
          </w:p>
        </w:tc>
        <w:tc>
          <w:tcPr>
            <w:tcW w:w="901" w:type="dxa"/>
          </w:tcPr>
          <w:p w14:paraId="3003EA2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w:t>
            </w:r>
          </w:p>
        </w:tc>
        <w:tc>
          <w:tcPr>
            <w:tcW w:w="901" w:type="dxa"/>
          </w:tcPr>
          <w:p w14:paraId="213BD19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0EE3358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3D89B9C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67A84461"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3D54359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Intention to recycle</w:t>
            </w:r>
          </w:p>
        </w:tc>
        <w:tc>
          <w:tcPr>
            <w:tcW w:w="627" w:type="dxa"/>
          </w:tcPr>
          <w:p w14:paraId="6298174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7FC2C913"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6EA8D18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5D7A994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2018</w:t>
            </w:r>
          </w:p>
        </w:tc>
      </w:tr>
      <w:tr w:rsidR="003B321C" w:rsidRPr="00597FFB" w14:paraId="6373FCDF" w14:textId="77777777" w:rsidTr="003B321C">
        <w:tc>
          <w:tcPr>
            <w:tcW w:w="361" w:type="dxa"/>
          </w:tcPr>
          <w:p w14:paraId="057451D4"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5A73E3D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Understanding consumers’ behavior intentions towards dealing with the</w:t>
            </w:r>
          </w:p>
          <w:p w14:paraId="2AF8A74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plastic waste: Perspective of a developing country</w:t>
            </w:r>
          </w:p>
        </w:tc>
        <w:tc>
          <w:tcPr>
            <w:tcW w:w="631" w:type="dxa"/>
          </w:tcPr>
          <w:p w14:paraId="2036A93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Khan et al.</w:t>
            </w:r>
          </w:p>
        </w:tc>
        <w:tc>
          <w:tcPr>
            <w:tcW w:w="901" w:type="dxa"/>
          </w:tcPr>
          <w:p w14:paraId="6C06429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&amp; Recycling</w:t>
            </w:r>
          </w:p>
        </w:tc>
        <w:tc>
          <w:tcPr>
            <w:tcW w:w="901" w:type="dxa"/>
          </w:tcPr>
          <w:p w14:paraId="4735DA7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780A32C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3A4B2E0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7131705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Moral norms</w:t>
            </w:r>
          </w:p>
          <w:p w14:paraId="10AEF95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Consequences awareness</w:t>
            </w:r>
          </w:p>
          <w:p w14:paraId="239F784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Convenience</w:t>
            </w:r>
          </w:p>
        </w:tc>
        <w:tc>
          <w:tcPr>
            <w:tcW w:w="811" w:type="dxa"/>
          </w:tcPr>
          <w:p w14:paraId="37D56208"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101E8F8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Return/Returning intention</w:t>
            </w:r>
          </w:p>
        </w:tc>
        <w:tc>
          <w:tcPr>
            <w:tcW w:w="627" w:type="dxa"/>
          </w:tcPr>
          <w:p w14:paraId="7F74A725"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393D41BC"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7E0F968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370F5D1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2019</w:t>
            </w:r>
          </w:p>
        </w:tc>
      </w:tr>
      <w:tr w:rsidR="003B321C" w:rsidRPr="00597FFB" w14:paraId="6BAEA716" w14:textId="77777777" w:rsidTr="003B321C">
        <w:tc>
          <w:tcPr>
            <w:tcW w:w="361" w:type="dxa"/>
          </w:tcPr>
          <w:p w14:paraId="73B8E0F5"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169B1111" w14:textId="7373F630"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Determinants of the behavioral intentions of households to recycle E-waste in Sri Lanka.</w:t>
            </w:r>
          </w:p>
        </w:tc>
        <w:tc>
          <w:tcPr>
            <w:tcW w:w="631" w:type="dxa"/>
          </w:tcPr>
          <w:p w14:paraId="55EA689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Deyshappriya et al.</w:t>
            </w:r>
          </w:p>
        </w:tc>
        <w:tc>
          <w:tcPr>
            <w:tcW w:w="901" w:type="dxa"/>
          </w:tcPr>
          <w:p w14:paraId="1CBBDB5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Asian Journal of Empirical Research</w:t>
            </w:r>
          </w:p>
        </w:tc>
        <w:tc>
          <w:tcPr>
            <w:tcW w:w="901" w:type="dxa"/>
          </w:tcPr>
          <w:p w14:paraId="6DD9D0E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582FE7E9"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40E0C643"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A22D268"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74EE9FFE"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17CC6A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-SNs</w:t>
            </w:r>
          </w:p>
          <w:p w14:paraId="2ADE371C"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9F4EE5D"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346925D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40DC6B5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Awareness related to Environment  </w:t>
            </w:r>
          </w:p>
          <w:p w14:paraId="630F222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-Attitudes related to Recycling</w:t>
            </w:r>
          </w:p>
          <w:p w14:paraId="569E8BE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Pressure from the Society - Laws and Regulations</w:t>
            </w:r>
          </w:p>
          <w:p w14:paraId="1B6A3DA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Inconvenience of Recycling - Cost related to Recycling</w:t>
            </w:r>
          </w:p>
        </w:tc>
        <w:tc>
          <w:tcPr>
            <w:tcW w:w="901" w:type="dxa"/>
          </w:tcPr>
          <w:p w14:paraId="55CB87CE" w14:textId="30EB652C"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Behavioral Intention on E-waste Recycling</w:t>
            </w:r>
          </w:p>
        </w:tc>
        <w:tc>
          <w:tcPr>
            <w:tcW w:w="627" w:type="dxa"/>
          </w:tcPr>
          <w:p w14:paraId="7C25D1C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51ECFD3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Past Experiences</w:t>
            </w:r>
          </w:p>
        </w:tc>
        <w:tc>
          <w:tcPr>
            <w:tcW w:w="629" w:type="dxa"/>
          </w:tcPr>
          <w:p w14:paraId="0BBAAC4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1370DBD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2019</w:t>
            </w:r>
          </w:p>
        </w:tc>
      </w:tr>
      <w:tr w:rsidR="003B321C" w:rsidRPr="00597FFB" w14:paraId="7568EAE6" w14:textId="77777777" w:rsidTr="003B321C">
        <w:tc>
          <w:tcPr>
            <w:tcW w:w="361" w:type="dxa"/>
          </w:tcPr>
          <w:p w14:paraId="264CEAFC"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6FDF7FEA" w14:textId="7DD0575A"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Determinants shaping willingness towards on-line recycling behavior: An empirical study of household e-waste recycling in China.</w:t>
            </w:r>
          </w:p>
        </w:tc>
        <w:tc>
          <w:tcPr>
            <w:tcW w:w="631" w:type="dxa"/>
          </w:tcPr>
          <w:p w14:paraId="6C3B20F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Wang et al.</w:t>
            </w:r>
          </w:p>
        </w:tc>
        <w:tc>
          <w:tcPr>
            <w:tcW w:w="901" w:type="dxa"/>
          </w:tcPr>
          <w:p w14:paraId="336C0EA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and Recycling</w:t>
            </w:r>
          </w:p>
        </w:tc>
        <w:tc>
          <w:tcPr>
            <w:tcW w:w="901" w:type="dxa"/>
          </w:tcPr>
          <w:p w14:paraId="537BDB3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5194A03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-SNs</w:t>
            </w:r>
          </w:p>
          <w:p w14:paraId="4DD27D3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1F1BC6F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-Economic motivation</w:t>
            </w:r>
          </w:p>
        </w:tc>
        <w:tc>
          <w:tcPr>
            <w:tcW w:w="811" w:type="dxa"/>
          </w:tcPr>
          <w:p w14:paraId="07AD770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24BB49D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Residents’ willingness to participate in e-waste recycling</w:t>
            </w:r>
          </w:p>
        </w:tc>
        <w:tc>
          <w:tcPr>
            <w:tcW w:w="627" w:type="dxa"/>
          </w:tcPr>
          <w:p w14:paraId="400B9258"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16FA156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13131B2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5F059D1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2019</w:t>
            </w:r>
          </w:p>
        </w:tc>
      </w:tr>
      <w:tr w:rsidR="003B321C" w:rsidRPr="00597FFB" w14:paraId="0502A417" w14:textId="77777777" w:rsidTr="003B321C">
        <w:tc>
          <w:tcPr>
            <w:tcW w:w="361" w:type="dxa"/>
          </w:tcPr>
          <w:p w14:paraId="55086E71"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3F81CCA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Understanding consumers’ behavior intentions towards dealing with the plastic waste: Perspective of a developing country.</w:t>
            </w:r>
          </w:p>
        </w:tc>
        <w:tc>
          <w:tcPr>
            <w:tcW w:w="631" w:type="dxa"/>
          </w:tcPr>
          <w:p w14:paraId="7195EAB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Khan et al. </w:t>
            </w:r>
          </w:p>
        </w:tc>
        <w:tc>
          <w:tcPr>
            <w:tcW w:w="901" w:type="dxa"/>
          </w:tcPr>
          <w:p w14:paraId="1F59DDC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&amp; Recycling</w:t>
            </w:r>
          </w:p>
        </w:tc>
        <w:tc>
          <w:tcPr>
            <w:tcW w:w="901" w:type="dxa"/>
          </w:tcPr>
          <w:p w14:paraId="559DBB7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1F2C8E9B"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B679EC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SNs</w:t>
            </w:r>
          </w:p>
          <w:p w14:paraId="21425923"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962535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1C239F86"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1DABA1A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Moral norms </w:t>
            </w:r>
          </w:p>
          <w:p w14:paraId="5C64A86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1C9D6E7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Awareness of consequences</w:t>
            </w:r>
          </w:p>
        </w:tc>
        <w:tc>
          <w:tcPr>
            <w:tcW w:w="811" w:type="dxa"/>
          </w:tcPr>
          <w:p w14:paraId="5EA43036"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5BDA650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Consumer’s return/recycling intention</w:t>
            </w:r>
          </w:p>
        </w:tc>
        <w:tc>
          <w:tcPr>
            <w:tcW w:w="627" w:type="dxa"/>
          </w:tcPr>
          <w:p w14:paraId="646390F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5ABD4D7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2B52949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1A1C53EF"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4BCCA5D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2019</w:t>
            </w:r>
          </w:p>
        </w:tc>
      </w:tr>
      <w:tr w:rsidR="003B321C" w:rsidRPr="00597FFB" w14:paraId="7554C135" w14:textId="77777777" w:rsidTr="003B321C">
        <w:tc>
          <w:tcPr>
            <w:tcW w:w="361" w:type="dxa"/>
          </w:tcPr>
          <w:p w14:paraId="515DB350"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12B4DD4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Exploring young adults’e-waste recycling behaviour using an extended theory of planned behaviour model: Across-cultural study.</w:t>
            </w:r>
          </w:p>
        </w:tc>
        <w:tc>
          <w:tcPr>
            <w:tcW w:w="631" w:type="dxa"/>
          </w:tcPr>
          <w:p w14:paraId="3F9AB9A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Kumar</w:t>
            </w:r>
          </w:p>
        </w:tc>
        <w:tc>
          <w:tcPr>
            <w:tcW w:w="901" w:type="dxa"/>
          </w:tcPr>
          <w:p w14:paraId="2DD0031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and Recycling</w:t>
            </w:r>
          </w:p>
        </w:tc>
        <w:tc>
          <w:tcPr>
            <w:tcW w:w="901" w:type="dxa"/>
          </w:tcPr>
          <w:p w14:paraId="2014877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-Attitude </w:t>
            </w:r>
          </w:p>
          <w:p w14:paraId="4E9EAE5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-Perceived Control</w:t>
            </w:r>
          </w:p>
          <w:p w14:paraId="3892F09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-Awareness</w:t>
            </w:r>
          </w:p>
          <w:p w14:paraId="7825629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of</w:t>
            </w:r>
          </w:p>
          <w:p w14:paraId="4D4342F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Consequence</w:t>
            </w:r>
          </w:p>
          <w:p w14:paraId="286D0C5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-Individual Responsibility</w:t>
            </w:r>
          </w:p>
          <w:p w14:paraId="7A7E72A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-Subjective</w:t>
            </w:r>
          </w:p>
          <w:p w14:paraId="6001CB8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Norm</w:t>
            </w:r>
          </w:p>
          <w:p w14:paraId="3FEA104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-Sense of Duty</w:t>
            </w:r>
          </w:p>
          <w:p w14:paraId="117F2E8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-Convenience of Recycling</w:t>
            </w:r>
          </w:p>
        </w:tc>
        <w:tc>
          <w:tcPr>
            <w:tcW w:w="811" w:type="dxa"/>
          </w:tcPr>
          <w:p w14:paraId="57292731"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60D1727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Intention to recycle e-waste</w:t>
            </w:r>
          </w:p>
        </w:tc>
        <w:tc>
          <w:tcPr>
            <w:tcW w:w="627" w:type="dxa"/>
          </w:tcPr>
          <w:p w14:paraId="5E204B9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1801BBD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Country moderating effect</w:t>
            </w:r>
          </w:p>
        </w:tc>
        <w:tc>
          <w:tcPr>
            <w:tcW w:w="629" w:type="dxa"/>
          </w:tcPr>
          <w:p w14:paraId="158F55D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36DBBCF8"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26ED369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2019</w:t>
            </w:r>
          </w:p>
        </w:tc>
      </w:tr>
      <w:tr w:rsidR="003B321C" w:rsidRPr="00597FFB" w14:paraId="168AEF47" w14:textId="77777777" w:rsidTr="003B321C">
        <w:tc>
          <w:tcPr>
            <w:tcW w:w="361" w:type="dxa"/>
          </w:tcPr>
          <w:p w14:paraId="4F84F37B"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3A7D9EC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Analysis of e-waste recycling behavior based on survey at a Midwestern US University</w:t>
            </w:r>
          </w:p>
        </w:tc>
        <w:tc>
          <w:tcPr>
            <w:tcW w:w="631" w:type="dxa"/>
          </w:tcPr>
          <w:p w14:paraId="00423EF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Arain et al.</w:t>
            </w:r>
          </w:p>
        </w:tc>
        <w:tc>
          <w:tcPr>
            <w:tcW w:w="901" w:type="dxa"/>
          </w:tcPr>
          <w:p w14:paraId="08768CC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Waste Management</w:t>
            </w:r>
          </w:p>
        </w:tc>
        <w:tc>
          <w:tcPr>
            <w:tcW w:w="901" w:type="dxa"/>
          </w:tcPr>
          <w:p w14:paraId="4703A29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 Free recycling </w:t>
            </w:r>
          </w:p>
          <w:p w14:paraId="718112B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-Distance to</w:t>
            </w:r>
          </w:p>
          <w:p w14:paraId="7FB9182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facility </w:t>
            </w:r>
          </w:p>
          <w:p w14:paraId="7ADF95C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-Pickup of e-waste </w:t>
            </w:r>
          </w:p>
          <w:p w14:paraId="6E830EB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-Knowledge of where/how e-waste is recycled </w:t>
            </w:r>
          </w:p>
          <w:p w14:paraId="34D8B80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-Incentives/</w:t>
            </w:r>
          </w:p>
          <w:p w14:paraId="7918E93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rewards</w:t>
            </w:r>
          </w:p>
        </w:tc>
        <w:tc>
          <w:tcPr>
            <w:tcW w:w="811" w:type="dxa"/>
          </w:tcPr>
          <w:p w14:paraId="4BB8BD4C"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0942FB6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E-waste-recycling-behavior-</w:t>
            </w:r>
          </w:p>
        </w:tc>
        <w:tc>
          <w:tcPr>
            <w:tcW w:w="627" w:type="dxa"/>
          </w:tcPr>
          <w:p w14:paraId="69B4773C"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4B4F358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38C64C9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2A7646E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2020</w:t>
            </w:r>
          </w:p>
        </w:tc>
      </w:tr>
      <w:tr w:rsidR="003B321C" w:rsidRPr="00597FFB" w14:paraId="684363BE" w14:textId="77777777" w:rsidTr="003B321C">
        <w:tc>
          <w:tcPr>
            <w:tcW w:w="361" w:type="dxa"/>
          </w:tcPr>
          <w:p w14:paraId="6B0A24B9"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7F2FB44E" w14:textId="51ECE1E2"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Determinants of academicians recycling behavior. </w:t>
            </w:r>
          </w:p>
        </w:tc>
        <w:tc>
          <w:tcPr>
            <w:tcW w:w="631" w:type="dxa"/>
          </w:tcPr>
          <w:p w14:paraId="6425122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Muniandy &amp; Anuar</w:t>
            </w:r>
          </w:p>
        </w:tc>
        <w:tc>
          <w:tcPr>
            <w:tcW w:w="901" w:type="dxa"/>
          </w:tcPr>
          <w:p w14:paraId="7D35C80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Management Science Letters</w:t>
            </w:r>
          </w:p>
        </w:tc>
        <w:tc>
          <w:tcPr>
            <w:tcW w:w="901" w:type="dxa"/>
          </w:tcPr>
          <w:p w14:paraId="1347329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-Environmental beliefs</w:t>
            </w:r>
          </w:p>
          <w:p w14:paraId="2D6CD5D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4354BD8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24F69EE9"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243B0818" w14:textId="07A2728C"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behavior.</w:t>
            </w:r>
          </w:p>
        </w:tc>
        <w:tc>
          <w:tcPr>
            <w:tcW w:w="627" w:type="dxa"/>
          </w:tcPr>
          <w:p w14:paraId="07B2441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tc>
        <w:tc>
          <w:tcPr>
            <w:tcW w:w="721" w:type="dxa"/>
          </w:tcPr>
          <w:p w14:paraId="5CEA986B"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2EE622F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4DD7BB9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2020</w:t>
            </w:r>
          </w:p>
        </w:tc>
      </w:tr>
      <w:tr w:rsidR="003B321C" w:rsidRPr="00597FFB" w14:paraId="58D4645D" w14:textId="77777777" w:rsidTr="003B321C">
        <w:tc>
          <w:tcPr>
            <w:tcW w:w="361" w:type="dxa"/>
          </w:tcPr>
          <w:p w14:paraId="7C566775"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19CBE1E0" w14:textId="107ACF88"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E-waste recycling behavior: An integration of recycling habits into the theory of planned behavior</w:t>
            </w:r>
          </w:p>
        </w:tc>
        <w:tc>
          <w:tcPr>
            <w:tcW w:w="631" w:type="dxa"/>
          </w:tcPr>
          <w:p w14:paraId="3DA5174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Aboelmaged</w:t>
            </w:r>
          </w:p>
        </w:tc>
        <w:tc>
          <w:tcPr>
            <w:tcW w:w="901" w:type="dxa"/>
          </w:tcPr>
          <w:p w14:paraId="017AF4E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Journal of Cleaner Production</w:t>
            </w:r>
          </w:p>
        </w:tc>
        <w:tc>
          <w:tcPr>
            <w:tcW w:w="901" w:type="dxa"/>
          </w:tcPr>
          <w:p w14:paraId="65113FC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61C82ED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57BA2EA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1C9D4F4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habits</w:t>
            </w:r>
          </w:p>
          <w:p w14:paraId="59F74BFB"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811" w:type="dxa"/>
          </w:tcPr>
          <w:p w14:paraId="7F2AB951"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2514502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EWR intention</w:t>
            </w:r>
          </w:p>
        </w:tc>
        <w:tc>
          <w:tcPr>
            <w:tcW w:w="627" w:type="dxa"/>
          </w:tcPr>
          <w:p w14:paraId="175418E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104D026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75612B9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tc>
        <w:tc>
          <w:tcPr>
            <w:tcW w:w="629" w:type="dxa"/>
          </w:tcPr>
          <w:p w14:paraId="2BD300D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2021</w:t>
            </w:r>
          </w:p>
        </w:tc>
      </w:tr>
      <w:tr w:rsidR="003B321C" w:rsidRPr="00597FFB" w14:paraId="24B80E73" w14:textId="77777777" w:rsidTr="003B321C">
        <w:tc>
          <w:tcPr>
            <w:tcW w:w="361" w:type="dxa"/>
          </w:tcPr>
          <w:p w14:paraId="671B3453"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19B34D9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Achieving environmentally responsible</w:t>
            </w:r>
          </w:p>
          <w:p w14:paraId="0EB5446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behavior for tourists and residents: A</w:t>
            </w:r>
          </w:p>
          <w:p w14:paraId="5B0CBD2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norm activation theory perspective</w:t>
            </w:r>
          </w:p>
        </w:tc>
        <w:tc>
          <w:tcPr>
            <w:tcW w:w="631" w:type="dxa"/>
          </w:tcPr>
          <w:p w14:paraId="12C1C72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eastAsia="Times New Roman" w:hAnsiTheme="majorBidi" w:cstheme="majorBidi"/>
                <w:bCs/>
                <w:color w:val="000000" w:themeColor="text1"/>
                <w:sz w:val="20"/>
                <w:szCs w:val="20"/>
              </w:rPr>
              <w:t>Confente &amp; Scarpi</w:t>
            </w:r>
          </w:p>
        </w:tc>
        <w:tc>
          <w:tcPr>
            <w:tcW w:w="901" w:type="dxa"/>
          </w:tcPr>
          <w:p w14:paraId="2F0112C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Journal of Travel Research</w:t>
            </w:r>
          </w:p>
        </w:tc>
        <w:tc>
          <w:tcPr>
            <w:tcW w:w="901" w:type="dxa"/>
          </w:tcPr>
          <w:p w14:paraId="573A5BA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Awareness of the negative environmental</w:t>
            </w:r>
          </w:p>
          <w:p w14:paraId="74DBA73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Consequence</w:t>
            </w:r>
          </w:p>
          <w:p w14:paraId="29AB62CB"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EF9D00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Place attachment</w:t>
            </w:r>
          </w:p>
        </w:tc>
        <w:tc>
          <w:tcPr>
            <w:tcW w:w="811" w:type="dxa"/>
          </w:tcPr>
          <w:p w14:paraId="40AD6A10"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57CACE6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Environmentally responsible behavior</w:t>
            </w:r>
          </w:p>
        </w:tc>
        <w:tc>
          <w:tcPr>
            <w:tcW w:w="627" w:type="dxa"/>
          </w:tcPr>
          <w:p w14:paraId="1A5C9F5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Ascription of responsibility</w:t>
            </w:r>
          </w:p>
        </w:tc>
        <w:tc>
          <w:tcPr>
            <w:tcW w:w="721" w:type="dxa"/>
          </w:tcPr>
          <w:p w14:paraId="6E5A356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Environmental sensitivity</w:t>
            </w:r>
          </w:p>
        </w:tc>
        <w:tc>
          <w:tcPr>
            <w:tcW w:w="629" w:type="dxa"/>
          </w:tcPr>
          <w:p w14:paraId="15BFBE5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NAT</w:t>
            </w:r>
          </w:p>
        </w:tc>
        <w:tc>
          <w:tcPr>
            <w:tcW w:w="629" w:type="dxa"/>
          </w:tcPr>
          <w:p w14:paraId="77F59DE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2020</w:t>
            </w:r>
          </w:p>
        </w:tc>
      </w:tr>
      <w:tr w:rsidR="003B321C" w:rsidRPr="00597FFB" w14:paraId="65C46DF2" w14:textId="77777777" w:rsidTr="003B321C">
        <w:trPr>
          <w:trHeight w:val="2591"/>
        </w:trPr>
        <w:tc>
          <w:tcPr>
            <w:tcW w:w="361" w:type="dxa"/>
          </w:tcPr>
          <w:p w14:paraId="440F0FBE"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10DBCE2F" w14:textId="4694548A"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How does information publicity influence residents’ behavior intentions around e-waste recycling?</w:t>
            </w:r>
          </w:p>
        </w:tc>
        <w:tc>
          <w:tcPr>
            <w:tcW w:w="631" w:type="dxa"/>
          </w:tcPr>
          <w:p w14:paraId="5B81929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Wang et al.</w:t>
            </w:r>
          </w:p>
        </w:tc>
        <w:tc>
          <w:tcPr>
            <w:tcW w:w="901" w:type="dxa"/>
          </w:tcPr>
          <w:p w14:paraId="14E1FA4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and Recycling</w:t>
            </w:r>
          </w:p>
        </w:tc>
        <w:tc>
          <w:tcPr>
            <w:tcW w:w="901" w:type="dxa"/>
          </w:tcPr>
          <w:p w14:paraId="3C4A876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attitude</w:t>
            </w:r>
          </w:p>
          <w:p w14:paraId="123A251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5BAD713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27DD3BF9"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6D5295F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Awareness of consequences</w:t>
            </w:r>
          </w:p>
          <w:p w14:paraId="14514FF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AC</w:t>
            </w:r>
          </w:p>
          <w:p w14:paraId="0E75D28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Personal norm</w:t>
            </w:r>
          </w:p>
        </w:tc>
        <w:tc>
          <w:tcPr>
            <w:tcW w:w="811" w:type="dxa"/>
          </w:tcPr>
          <w:p w14:paraId="591990E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44D8D94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intention</w:t>
            </w:r>
          </w:p>
        </w:tc>
        <w:tc>
          <w:tcPr>
            <w:tcW w:w="627" w:type="dxa"/>
          </w:tcPr>
          <w:p w14:paraId="4E14D0E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attitude</w:t>
            </w:r>
          </w:p>
          <w:p w14:paraId="0F9E689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4B2001D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25F34E6D"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021483B8"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680DCE5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74B17E5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NAT</w:t>
            </w:r>
          </w:p>
        </w:tc>
        <w:tc>
          <w:tcPr>
            <w:tcW w:w="629" w:type="dxa"/>
          </w:tcPr>
          <w:p w14:paraId="5848392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2018</w:t>
            </w:r>
          </w:p>
        </w:tc>
      </w:tr>
      <w:tr w:rsidR="003B321C" w:rsidRPr="00597FFB" w14:paraId="044CC150" w14:textId="77777777" w:rsidTr="003B321C">
        <w:trPr>
          <w:trHeight w:val="2591"/>
        </w:trPr>
        <w:tc>
          <w:tcPr>
            <w:tcW w:w="361" w:type="dxa"/>
          </w:tcPr>
          <w:p w14:paraId="3BBAB747"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0515FAE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Merging the norm activation model and the theory of planned behavior in the context of drone food delivery services: Does the level of product knowledge really matter?</w:t>
            </w:r>
          </w:p>
        </w:tc>
        <w:tc>
          <w:tcPr>
            <w:tcW w:w="631" w:type="dxa"/>
          </w:tcPr>
          <w:p w14:paraId="37466CA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Kim and Hwang</w:t>
            </w:r>
          </w:p>
        </w:tc>
        <w:tc>
          <w:tcPr>
            <w:tcW w:w="901" w:type="dxa"/>
          </w:tcPr>
          <w:p w14:paraId="23C2C6C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Journal of Hospitality and Tourism Management</w:t>
            </w:r>
          </w:p>
        </w:tc>
        <w:tc>
          <w:tcPr>
            <w:tcW w:w="901" w:type="dxa"/>
          </w:tcPr>
          <w:p w14:paraId="02510CD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Problem awareness</w:t>
            </w:r>
          </w:p>
          <w:p w14:paraId="7A66B60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Ascribed responsibility</w:t>
            </w:r>
          </w:p>
          <w:p w14:paraId="5161F22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Personal norm</w:t>
            </w:r>
          </w:p>
          <w:p w14:paraId="35948BC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Attitudes</w:t>
            </w:r>
          </w:p>
          <w:p w14:paraId="1EC32C8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4091269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tc>
        <w:tc>
          <w:tcPr>
            <w:tcW w:w="811" w:type="dxa"/>
          </w:tcPr>
          <w:p w14:paraId="1B81607F"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4D5F971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Behavioral intentions</w:t>
            </w:r>
          </w:p>
        </w:tc>
        <w:tc>
          <w:tcPr>
            <w:tcW w:w="627" w:type="dxa"/>
          </w:tcPr>
          <w:p w14:paraId="67352F77"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7E6AD2B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Product knowledge</w:t>
            </w:r>
          </w:p>
        </w:tc>
        <w:tc>
          <w:tcPr>
            <w:tcW w:w="629" w:type="dxa"/>
          </w:tcPr>
          <w:p w14:paraId="6322218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2F6C0AB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NAT</w:t>
            </w:r>
          </w:p>
        </w:tc>
        <w:tc>
          <w:tcPr>
            <w:tcW w:w="629" w:type="dxa"/>
          </w:tcPr>
          <w:p w14:paraId="5EE4A2F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2020</w:t>
            </w:r>
          </w:p>
        </w:tc>
      </w:tr>
      <w:tr w:rsidR="003B321C" w:rsidRPr="00597FFB" w14:paraId="6797BD88" w14:textId="77777777" w:rsidTr="003B321C">
        <w:trPr>
          <w:trHeight w:val="2591"/>
        </w:trPr>
        <w:tc>
          <w:tcPr>
            <w:tcW w:w="361" w:type="dxa"/>
          </w:tcPr>
          <w:p w14:paraId="0FA0DCE7"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29473E4B" w14:textId="437C1AE2"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Personal norms and the adoption of pro-environmental binning behavior in national parks: An integrated structural model approach</w:t>
            </w:r>
          </w:p>
        </w:tc>
        <w:tc>
          <w:tcPr>
            <w:tcW w:w="631" w:type="dxa"/>
          </w:tcPr>
          <w:p w14:paraId="2D2D9BD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Esfandiar et al.</w:t>
            </w:r>
          </w:p>
        </w:tc>
        <w:tc>
          <w:tcPr>
            <w:tcW w:w="901" w:type="dxa"/>
          </w:tcPr>
          <w:p w14:paraId="49BF48D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Journal of International Consumer Marketing</w:t>
            </w:r>
          </w:p>
        </w:tc>
        <w:tc>
          <w:tcPr>
            <w:tcW w:w="901" w:type="dxa"/>
          </w:tcPr>
          <w:p w14:paraId="4A5B190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23DB299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29D71A6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Social norms</w:t>
            </w:r>
          </w:p>
          <w:p w14:paraId="3C1C18F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Awareness of consequences</w:t>
            </w:r>
          </w:p>
          <w:p w14:paraId="1CF67CC5" w14:textId="77777777" w:rsidR="003B321C" w:rsidRPr="00597FFB" w:rsidRDefault="003B321C" w:rsidP="000E48F1">
            <w:pPr>
              <w:rPr>
                <w:rFonts w:asciiTheme="majorBidi" w:hAnsiTheme="majorBidi" w:cstheme="majorBidi"/>
                <w:color w:val="000000" w:themeColor="text1"/>
                <w:sz w:val="20"/>
                <w:szCs w:val="20"/>
              </w:rPr>
            </w:pPr>
          </w:p>
        </w:tc>
        <w:tc>
          <w:tcPr>
            <w:tcW w:w="811" w:type="dxa"/>
          </w:tcPr>
          <w:p w14:paraId="371D5E85"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7CBFDCB2"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Binning behavior</w:t>
            </w:r>
          </w:p>
        </w:tc>
        <w:tc>
          <w:tcPr>
            <w:tcW w:w="627" w:type="dxa"/>
          </w:tcPr>
          <w:p w14:paraId="6782845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Personal norms</w:t>
            </w:r>
          </w:p>
        </w:tc>
        <w:tc>
          <w:tcPr>
            <w:tcW w:w="721" w:type="dxa"/>
          </w:tcPr>
          <w:p w14:paraId="151BB1D5"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6282030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30BA3A4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NAT</w:t>
            </w:r>
          </w:p>
        </w:tc>
        <w:tc>
          <w:tcPr>
            <w:tcW w:w="629" w:type="dxa"/>
          </w:tcPr>
          <w:p w14:paraId="735A3B0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2021</w:t>
            </w:r>
          </w:p>
        </w:tc>
      </w:tr>
      <w:tr w:rsidR="003B321C" w:rsidRPr="00597FFB" w14:paraId="1FEB5A3D" w14:textId="77777777" w:rsidTr="003B321C">
        <w:trPr>
          <w:trHeight w:val="1223"/>
        </w:trPr>
        <w:tc>
          <w:tcPr>
            <w:tcW w:w="361" w:type="dxa"/>
          </w:tcPr>
          <w:p w14:paraId="434EEE96"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4623C4B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and consumption reduction following the COVID-19 lockdown:</w:t>
            </w:r>
          </w:p>
          <w:p w14:paraId="653E5A4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The effect of threat and coping appraisal, past behavior and information</w:t>
            </w:r>
          </w:p>
        </w:tc>
        <w:tc>
          <w:tcPr>
            <w:tcW w:w="631" w:type="dxa"/>
          </w:tcPr>
          <w:p w14:paraId="241924D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Tchetchik et al.</w:t>
            </w:r>
          </w:p>
        </w:tc>
        <w:tc>
          <w:tcPr>
            <w:tcW w:w="901" w:type="dxa"/>
          </w:tcPr>
          <w:p w14:paraId="73A6180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Conservation &amp; Recycling</w:t>
            </w:r>
          </w:p>
        </w:tc>
        <w:tc>
          <w:tcPr>
            <w:tcW w:w="901" w:type="dxa"/>
          </w:tcPr>
          <w:p w14:paraId="45F5986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Threat appraisal</w:t>
            </w:r>
          </w:p>
          <w:p w14:paraId="79E517B6"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64CB8EF6"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7038584B"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3CA028C9"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67498474"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A6B4364"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5005005C"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6AEBA9A1"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6DD76804"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7BBE5C42"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50E6451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CF55999"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5B7B1F0B"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1D62C862"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71AE13D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3E3C20CF"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3C368DD"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1A9A9A96"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38293E1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13FCAC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75306A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Coping appraisal</w:t>
            </w:r>
          </w:p>
        </w:tc>
        <w:tc>
          <w:tcPr>
            <w:tcW w:w="811" w:type="dxa"/>
          </w:tcPr>
          <w:p w14:paraId="37328CF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Severity (perceived danger to ecosystems)</w:t>
            </w:r>
          </w:p>
          <w:p w14:paraId="2956628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Exposure (perceived link between climate change and the COVID-19 pandemic)</w:t>
            </w:r>
          </w:p>
          <w:p w14:paraId="720DBDF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Vulnerability (perceived individual income loss)</w:t>
            </w:r>
          </w:p>
          <w:p w14:paraId="143E658F"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38CADFE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Self-efficacy (constructive hope)</w:t>
            </w:r>
          </w:p>
          <w:p w14:paraId="59FCD9F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Collective response efficacy (human resourcefulness)</w:t>
            </w:r>
          </w:p>
          <w:p w14:paraId="5443B1C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Maladaptive belief (human dominance over nature)</w:t>
            </w:r>
          </w:p>
        </w:tc>
        <w:tc>
          <w:tcPr>
            <w:tcW w:w="901" w:type="dxa"/>
          </w:tcPr>
          <w:p w14:paraId="4407E43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Intent to adopt recommended response (consumption reduction and recycling)</w:t>
            </w:r>
          </w:p>
        </w:tc>
        <w:tc>
          <w:tcPr>
            <w:tcW w:w="627" w:type="dxa"/>
          </w:tcPr>
          <w:p w14:paraId="7DCB631A"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7EA5DB12"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629" w:type="dxa"/>
          </w:tcPr>
          <w:p w14:paraId="3BD240D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PMT</w:t>
            </w:r>
          </w:p>
        </w:tc>
        <w:tc>
          <w:tcPr>
            <w:tcW w:w="629" w:type="dxa"/>
          </w:tcPr>
          <w:p w14:paraId="0C0E695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2021</w:t>
            </w:r>
          </w:p>
        </w:tc>
      </w:tr>
      <w:tr w:rsidR="003B321C" w:rsidRPr="00597FFB" w14:paraId="2B2B442B" w14:textId="77777777" w:rsidTr="003B321C">
        <w:trPr>
          <w:trHeight w:val="1223"/>
        </w:trPr>
        <w:tc>
          <w:tcPr>
            <w:tcW w:w="361" w:type="dxa"/>
          </w:tcPr>
          <w:p w14:paraId="22F19BC5"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29F1A49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Can protection motivation theory predict pro-environmental behavior of small rural tourism enterprises? An extended model including community involvement</w:t>
            </w:r>
          </w:p>
        </w:tc>
        <w:tc>
          <w:tcPr>
            <w:tcW w:w="631" w:type="dxa"/>
          </w:tcPr>
          <w:p w14:paraId="36440E6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Zhu et al.</w:t>
            </w:r>
          </w:p>
        </w:tc>
        <w:tc>
          <w:tcPr>
            <w:tcW w:w="901" w:type="dxa"/>
          </w:tcPr>
          <w:p w14:paraId="6BE914D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Asia Pacific Journal of Tourism Research</w:t>
            </w:r>
          </w:p>
        </w:tc>
        <w:tc>
          <w:tcPr>
            <w:tcW w:w="901" w:type="dxa"/>
          </w:tcPr>
          <w:p w14:paraId="67D1D91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Vulnerability of risks</w:t>
            </w:r>
          </w:p>
          <w:p w14:paraId="7881545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Severity of risks</w:t>
            </w:r>
          </w:p>
          <w:p w14:paraId="148D6E6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Response efficacy</w:t>
            </w:r>
          </w:p>
          <w:p w14:paraId="10D1A61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Self-efficacy</w:t>
            </w:r>
          </w:p>
          <w:p w14:paraId="55DC6736"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Pro-environmental behavior</w:t>
            </w:r>
          </w:p>
        </w:tc>
        <w:tc>
          <w:tcPr>
            <w:tcW w:w="811" w:type="dxa"/>
          </w:tcPr>
          <w:p w14:paraId="037073B0"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0C12DE17"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 xml:space="preserve">Pro-environmental behavior intention </w:t>
            </w:r>
          </w:p>
          <w:p w14:paraId="4ADEBFD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Pro-environmental behavior</w:t>
            </w:r>
          </w:p>
        </w:tc>
        <w:tc>
          <w:tcPr>
            <w:tcW w:w="627" w:type="dxa"/>
          </w:tcPr>
          <w:p w14:paraId="5E7290BE"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6C27A99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Community involvement</w:t>
            </w:r>
          </w:p>
        </w:tc>
        <w:tc>
          <w:tcPr>
            <w:tcW w:w="629" w:type="dxa"/>
          </w:tcPr>
          <w:p w14:paraId="48A27E5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PMT</w:t>
            </w:r>
          </w:p>
        </w:tc>
        <w:tc>
          <w:tcPr>
            <w:tcW w:w="629" w:type="dxa"/>
          </w:tcPr>
          <w:p w14:paraId="1CD4CF8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2022</w:t>
            </w:r>
          </w:p>
        </w:tc>
      </w:tr>
      <w:tr w:rsidR="003B321C" w:rsidRPr="00597FFB" w14:paraId="6B33E36E" w14:textId="77777777" w:rsidTr="003B321C">
        <w:tc>
          <w:tcPr>
            <w:tcW w:w="361" w:type="dxa"/>
          </w:tcPr>
          <w:p w14:paraId="35E2E756"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5CD18D2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E-waste information security protection motivation: The role of optimism bias</w:t>
            </w:r>
          </w:p>
        </w:tc>
        <w:tc>
          <w:tcPr>
            <w:tcW w:w="631" w:type="dxa"/>
          </w:tcPr>
          <w:p w14:paraId="6E220DBA"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Chen et al.</w:t>
            </w:r>
          </w:p>
        </w:tc>
        <w:tc>
          <w:tcPr>
            <w:tcW w:w="901" w:type="dxa"/>
          </w:tcPr>
          <w:p w14:paraId="2B75879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Information Technology &amp; People</w:t>
            </w:r>
          </w:p>
        </w:tc>
        <w:tc>
          <w:tcPr>
            <w:tcW w:w="901" w:type="dxa"/>
          </w:tcPr>
          <w:p w14:paraId="56E0735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Threat appraisal</w:t>
            </w:r>
          </w:p>
          <w:p w14:paraId="7BB6B51C"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2B4EFCD1"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1045AB54"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5BCA8157"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02D0DFE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Coping appraisal</w:t>
            </w:r>
          </w:p>
        </w:tc>
        <w:tc>
          <w:tcPr>
            <w:tcW w:w="811" w:type="dxa"/>
          </w:tcPr>
          <w:p w14:paraId="222AF0C5"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Perceived threat of discarding untreated e-waste</w:t>
            </w:r>
          </w:p>
          <w:p w14:paraId="64638A76" w14:textId="77777777" w:rsidR="003B321C" w:rsidRPr="00597FFB" w:rsidRDefault="003B321C" w:rsidP="000E48F1">
            <w:pPr>
              <w:widowControl w:val="0"/>
              <w:ind w:firstLine="0"/>
              <w:rPr>
                <w:rFonts w:asciiTheme="majorBidi" w:hAnsiTheme="majorBidi" w:cstheme="majorBidi"/>
                <w:color w:val="000000" w:themeColor="text1"/>
                <w:sz w:val="20"/>
                <w:szCs w:val="20"/>
              </w:rPr>
            </w:pPr>
          </w:p>
          <w:p w14:paraId="59C3B9FE"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Self-efficacy to treat the discarded e-waste</w:t>
            </w:r>
          </w:p>
        </w:tc>
        <w:tc>
          <w:tcPr>
            <w:tcW w:w="901" w:type="dxa"/>
          </w:tcPr>
          <w:p w14:paraId="44C3190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Protection intention</w:t>
            </w:r>
          </w:p>
        </w:tc>
        <w:tc>
          <w:tcPr>
            <w:tcW w:w="627" w:type="dxa"/>
          </w:tcPr>
          <w:p w14:paraId="0BA497B0"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445BE28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Optimism bias</w:t>
            </w:r>
          </w:p>
        </w:tc>
        <w:tc>
          <w:tcPr>
            <w:tcW w:w="629" w:type="dxa"/>
          </w:tcPr>
          <w:p w14:paraId="140D1EB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PMT</w:t>
            </w:r>
          </w:p>
        </w:tc>
        <w:tc>
          <w:tcPr>
            <w:tcW w:w="629" w:type="dxa"/>
          </w:tcPr>
          <w:p w14:paraId="56613B7C"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2022</w:t>
            </w:r>
          </w:p>
        </w:tc>
      </w:tr>
      <w:tr w:rsidR="003B321C" w:rsidRPr="00597FFB" w14:paraId="2BDDF1CF" w14:textId="77777777" w:rsidTr="003B321C">
        <w:tc>
          <w:tcPr>
            <w:tcW w:w="361" w:type="dxa"/>
          </w:tcPr>
          <w:p w14:paraId="40A8D591" w14:textId="77777777" w:rsidR="003B321C" w:rsidRPr="00597FFB" w:rsidRDefault="003B321C" w:rsidP="000E48F1">
            <w:pPr>
              <w:pStyle w:val="ListParagraph"/>
              <w:widowControl w:val="0"/>
              <w:numPr>
                <w:ilvl w:val="0"/>
                <w:numId w:val="19"/>
              </w:numPr>
              <w:ind w:left="0" w:firstLine="0"/>
              <w:rPr>
                <w:rFonts w:asciiTheme="majorBidi" w:hAnsiTheme="majorBidi" w:cstheme="majorBidi"/>
                <w:color w:val="000000" w:themeColor="text1"/>
                <w:sz w:val="20"/>
                <w:szCs w:val="20"/>
              </w:rPr>
            </w:pPr>
          </w:p>
        </w:tc>
        <w:tc>
          <w:tcPr>
            <w:tcW w:w="1078" w:type="dxa"/>
          </w:tcPr>
          <w:p w14:paraId="2815F70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Understanding consumers’ behavior intention of recycling mobile phone</w:t>
            </w:r>
          </w:p>
          <w:p w14:paraId="6DB21809"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through formal channels in China: The effect of privacy concern</w:t>
            </w:r>
          </w:p>
        </w:tc>
        <w:tc>
          <w:tcPr>
            <w:tcW w:w="631" w:type="dxa"/>
          </w:tcPr>
          <w:p w14:paraId="64510B5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Zhang et al.</w:t>
            </w:r>
          </w:p>
        </w:tc>
        <w:tc>
          <w:tcPr>
            <w:tcW w:w="901" w:type="dxa"/>
          </w:tcPr>
          <w:p w14:paraId="142C6B5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Resources, Environment and Sustainability</w:t>
            </w:r>
          </w:p>
        </w:tc>
        <w:tc>
          <w:tcPr>
            <w:tcW w:w="901" w:type="dxa"/>
          </w:tcPr>
          <w:p w14:paraId="071D8EB8"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Attitude</w:t>
            </w:r>
          </w:p>
          <w:p w14:paraId="13F8D43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SN</w:t>
            </w:r>
          </w:p>
          <w:p w14:paraId="4BF2956D"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PBC</w:t>
            </w:r>
          </w:p>
          <w:p w14:paraId="345B6711"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Moral norm</w:t>
            </w:r>
          </w:p>
        </w:tc>
        <w:tc>
          <w:tcPr>
            <w:tcW w:w="811" w:type="dxa"/>
          </w:tcPr>
          <w:p w14:paraId="318DC34E"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901" w:type="dxa"/>
          </w:tcPr>
          <w:p w14:paraId="268A4FCB"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Recycling intention</w:t>
            </w:r>
          </w:p>
        </w:tc>
        <w:tc>
          <w:tcPr>
            <w:tcW w:w="627" w:type="dxa"/>
          </w:tcPr>
          <w:p w14:paraId="2323EB06" w14:textId="77777777" w:rsidR="003B321C" w:rsidRPr="00597FFB" w:rsidRDefault="003B321C" w:rsidP="000E48F1">
            <w:pPr>
              <w:widowControl w:val="0"/>
              <w:ind w:firstLine="0"/>
              <w:rPr>
                <w:rFonts w:asciiTheme="majorBidi" w:hAnsiTheme="majorBidi" w:cstheme="majorBidi"/>
                <w:color w:val="000000" w:themeColor="text1"/>
                <w:sz w:val="20"/>
                <w:szCs w:val="20"/>
              </w:rPr>
            </w:pPr>
          </w:p>
        </w:tc>
        <w:tc>
          <w:tcPr>
            <w:tcW w:w="721" w:type="dxa"/>
          </w:tcPr>
          <w:p w14:paraId="33FC1B93"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Privacy concern</w:t>
            </w:r>
          </w:p>
        </w:tc>
        <w:tc>
          <w:tcPr>
            <w:tcW w:w="629" w:type="dxa"/>
          </w:tcPr>
          <w:p w14:paraId="69BA9A6F"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TPB</w:t>
            </w:r>
          </w:p>
          <w:p w14:paraId="36C391D4"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NAT</w:t>
            </w:r>
          </w:p>
        </w:tc>
        <w:tc>
          <w:tcPr>
            <w:tcW w:w="629" w:type="dxa"/>
          </w:tcPr>
          <w:p w14:paraId="07BE5560" w14:textId="77777777" w:rsidR="003B321C" w:rsidRPr="00597FFB" w:rsidRDefault="003B321C" w:rsidP="000E48F1">
            <w:pPr>
              <w:widowControl w:val="0"/>
              <w:ind w:firstLine="0"/>
              <w:rPr>
                <w:rFonts w:asciiTheme="majorBidi" w:hAnsiTheme="majorBidi" w:cstheme="majorBidi"/>
                <w:color w:val="000000" w:themeColor="text1"/>
                <w:sz w:val="20"/>
                <w:szCs w:val="20"/>
              </w:rPr>
            </w:pPr>
            <w:r w:rsidRPr="00597FFB">
              <w:rPr>
                <w:rFonts w:asciiTheme="majorBidi" w:hAnsiTheme="majorBidi" w:cstheme="majorBidi"/>
                <w:color w:val="000000" w:themeColor="text1"/>
                <w:sz w:val="20"/>
                <w:szCs w:val="20"/>
              </w:rPr>
              <w:t>2021</w:t>
            </w:r>
          </w:p>
        </w:tc>
      </w:tr>
    </w:tbl>
    <w:p w14:paraId="59F5F9DB" w14:textId="77777777" w:rsidR="003B321C" w:rsidRPr="00597FFB" w:rsidRDefault="003B321C" w:rsidP="00362796">
      <w:pPr>
        <w:spacing w:after="0" w:line="240" w:lineRule="auto"/>
        <w:rPr>
          <w:rFonts w:ascii="Times New Roman" w:hAnsi="Times New Roman" w:cs="Times New Roman"/>
          <w:color w:val="000000" w:themeColor="text1"/>
          <w:kern w:val="24"/>
          <w:sz w:val="24"/>
          <w:szCs w:val="24"/>
          <w:lang w:eastAsia="ja-JP"/>
        </w:rPr>
      </w:pPr>
    </w:p>
    <w:p w14:paraId="1DFE8221" w14:textId="77777777" w:rsidR="001A7901" w:rsidRPr="00597FFB" w:rsidRDefault="001A7901" w:rsidP="001A7901">
      <w:pPr>
        <w:spacing w:after="0" w:line="240" w:lineRule="auto"/>
        <w:ind w:right="360"/>
        <w:jc w:val="both"/>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 </w:t>
      </w:r>
    </w:p>
    <w:p w14:paraId="47D2E35C" w14:textId="6BFBF5A2" w:rsidR="001A7901" w:rsidRPr="00597FFB" w:rsidRDefault="001A7901" w:rsidP="001A7901">
      <w:pPr>
        <w:keepNext/>
        <w:keepLines/>
        <w:spacing w:after="0" w:line="480" w:lineRule="auto"/>
        <w:outlineLvl w:val="1"/>
        <w:rPr>
          <w:rFonts w:ascii="Times New Roman" w:eastAsia="Times New Roman" w:hAnsi="Times New Roman" w:cs="Times New Roman"/>
          <w:b/>
          <w:bCs/>
          <w:kern w:val="24"/>
          <w:sz w:val="24"/>
          <w:szCs w:val="24"/>
          <w:lang w:eastAsia="ja-JP"/>
        </w:rPr>
      </w:pPr>
      <w:bookmarkStart w:id="191" w:name="_Toc127170329"/>
      <w:bookmarkEnd w:id="189"/>
      <w:r w:rsidRPr="00597FFB">
        <w:rPr>
          <w:rFonts w:ascii="Times New Roman" w:eastAsia="Times New Roman" w:hAnsi="Times New Roman" w:cs="Times New Roman"/>
          <w:b/>
          <w:bCs/>
          <w:kern w:val="24"/>
          <w:sz w:val="24"/>
          <w:szCs w:val="24"/>
          <w:lang w:eastAsia="ja-JP"/>
        </w:rPr>
        <w:t xml:space="preserve">3.3. </w:t>
      </w:r>
      <w:bookmarkStart w:id="192" w:name="_Hlk123406505"/>
      <w:r w:rsidRPr="00597FFB">
        <w:rPr>
          <w:rFonts w:ascii="Times New Roman" w:eastAsia="Times New Roman" w:hAnsi="Times New Roman" w:cs="Times New Roman"/>
          <w:b/>
          <w:bCs/>
          <w:kern w:val="24"/>
          <w:sz w:val="24"/>
          <w:szCs w:val="24"/>
          <w:lang w:eastAsia="ja-JP"/>
        </w:rPr>
        <w:t>Chapter Summary</w:t>
      </w:r>
      <w:bookmarkEnd w:id="192"/>
      <w:r w:rsidR="00102C17" w:rsidRPr="00597FFB">
        <w:rPr>
          <w:rFonts w:ascii="Times New Roman" w:eastAsia="Times New Roman" w:hAnsi="Times New Roman" w:cs="Times New Roman"/>
          <w:b/>
          <w:bCs/>
          <w:kern w:val="24"/>
          <w:sz w:val="24"/>
          <w:szCs w:val="24"/>
          <w:lang w:eastAsia="ja-JP"/>
        </w:rPr>
        <w:t>.</w:t>
      </w:r>
      <w:bookmarkEnd w:id="191"/>
    </w:p>
    <w:p w14:paraId="0069232E" w14:textId="77777777" w:rsidR="001A7901" w:rsidRPr="00597FFB" w:rsidRDefault="001A7901" w:rsidP="001A7901">
      <w:pPr>
        <w:widowControl w:val="0"/>
        <w:spacing w:before="26" w:after="26" w:line="480" w:lineRule="auto"/>
        <w:ind w:right="360" w:firstLine="720"/>
        <w:jc w:val="both"/>
        <w:rPr>
          <w:rFonts w:ascii="Times New Roman" w:eastAsia="Times New Roman" w:hAnsi="Times New Roman" w:cs="Times New Roman"/>
          <w:bCs/>
          <w:color w:val="000000" w:themeColor="text1"/>
          <w:kern w:val="24"/>
          <w:sz w:val="24"/>
          <w:szCs w:val="24"/>
          <w:lang w:eastAsia="ja-JP"/>
        </w:rPr>
      </w:pPr>
      <w:r w:rsidRPr="00597FFB">
        <w:rPr>
          <w:rFonts w:ascii="Times New Roman" w:eastAsia="Times New Roman" w:hAnsi="Times New Roman" w:cs="Times New Roman"/>
          <w:bCs/>
          <w:color w:val="000000" w:themeColor="text1"/>
          <w:kern w:val="24"/>
          <w:sz w:val="24"/>
          <w:szCs w:val="24"/>
          <w:lang w:eastAsia="ja-JP"/>
        </w:rPr>
        <w:t xml:space="preserve">The review of the antecedents of behavioral intention and adoption of behavior by people was vital in providing the theoretical grounding for the investigation of </w:t>
      </w:r>
      <w:r w:rsidRPr="00597FFB">
        <w:rPr>
          <w:rFonts w:ascii="Times New Roman" w:hAnsi="Times New Roman" w:cs="Times New Roman"/>
          <w:iCs/>
          <w:color w:val="000000" w:themeColor="text1"/>
          <w:kern w:val="24"/>
          <w:sz w:val="24"/>
          <w:szCs w:val="24"/>
          <w:lang w:eastAsia="ja-JP"/>
        </w:rPr>
        <w:t>millennials' attitudes and behavioral intention for recycling e-waste in the UAE</w:t>
      </w:r>
      <w:r w:rsidRPr="00597FFB">
        <w:rPr>
          <w:rFonts w:ascii="Times New Roman" w:eastAsia="Times New Roman" w:hAnsi="Times New Roman" w:cs="Times New Roman"/>
          <w:bCs/>
          <w:color w:val="000000" w:themeColor="text1"/>
          <w:kern w:val="24"/>
          <w:sz w:val="24"/>
          <w:szCs w:val="24"/>
          <w:lang w:eastAsia="ja-JP"/>
        </w:rPr>
        <w:t>. In section 3.2, several theories of consumer behavior were highlighted. It was found that the TPB is the most commonly applied theoretical framework when it comes to studying behavioral intentions including intention to engage in EWR. However, the TPB is often supplemented with concepts drawn from other theoretical frameworks to increase its robustness in understanding and predicting behavioral intentions. Accordingly, the TPB was adopted as the fundamental theoretical framework for this research and supplemented by the NAT and the PMT to offer more robust coverage of the behavior of UAE millennials towards recycling e-waste was presented. The rationale for inclusion of the TPB as the fundamental theory for this research was presented along with the NAT and the PMT with each of the three theories being linked to pro-environmental intentions and behavior. In section 3.2.2, it was found that awareness and ascription of responsibility were well suited for integration in the study’s model given their relevance towards contributing to comprehensive understanding of the EWR behavioral intentions of millennials in the UAE. In section, 3.2.3, the PMT was found to be useful in explaining the role of perceived threat in EWR as a motivator for adopting EWR among millennials with the PMT factors of perceived threat and information/knowledge being adopted into the context of EWR for the purpose of this research. It was also found in literature that other stimulus factors of behavioral intention including environmental concern, incentives, reasons for, reasons against, and environment assessment were relevant were useful in enhancing the ability to explain and predict behavioral intentions, which led to their inclusion in the model. In section 3.3, the characteristics of the literature sources from which the components of the proposed research model were drawn was presented. The next chapter provides an account and rationale behind the research methodology that was implemented in this study.</w:t>
      </w:r>
    </w:p>
    <w:p w14:paraId="4373C1E8" w14:textId="77777777" w:rsidR="006346CA" w:rsidRPr="00597FFB" w:rsidRDefault="006346CA" w:rsidP="006346CA">
      <w:pPr>
        <w:widowControl w:val="0"/>
        <w:spacing w:before="26" w:after="26" w:line="480" w:lineRule="auto"/>
        <w:ind w:right="360" w:firstLine="720"/>
        <w:jc w:val="both"/>
        <w:rPr>
          <w:rFonts w:ascii="Times New Roman" w:eastAsia="Times New Roman" w:hAnsi="Times New Roman" w:cs="Times New Roman"/>
          <w:bCs/>
          <w:color w:val="000000" w:themeColor="text1"/>
          <w:kern w:val="24"/>
          <w:sz w:val="24"/>
          <w:szCs w:val="24"/>
          <w:lang w:eastAsia="ja-JP"/>
        </w:rPr>
      </w:pPr>
    </w:p>
    <w:p w14:paraId="12ECA230" w14:textId="77777777" w:rsidR="00BF4C5A" w:rsidRPr="00597FFB" w:rsidRDefault="00BF4C5A" w:rsidP="00BF4C5A">
      <w:pPr>
        <w:spacing w:line="480" w:lineRule="auto"/>
        <w:jc w:val="both"/>
        <w:rPr>
          <w:rFonts w:ascii="Times New Roman" w:hAnsi="Times New Roman" w:cs="Times New Roman"/>
          <w:sz w:val="24"/>
          <w:szCs w:val="24"/>
        </w:rPr>
        <w:sectPr w:rsidR="00BF4C5A" w:rsidRPr="00597FFB" w:rsidSect="00691F22">
          <w:pgSz w:w="11909" w:h="16834" w:code="9"/>
          <w:pgMar w:top="1800" w:right="2160" w:bottom="1800" w:left="2160" w:header="720" w:footer="720" w:gutter="0"/>
          <w:lnNumType w:countBy="1" w:restart="continuous"/>
          <w:cols w:space="720"/>
          <w:docGrid w:linePitch="360"/>
        </w:sectPr>
      </w:pPr>
    </w:p>
    <w:p w14:paraId="49D538EC" w14:textId="77777777" w:rsidR="00D33204" w:rsidRPr="00597FFB" w:rsidRDefault="00D33204" w:rsidP="00BC032D">
      <w:pPr>
        <w:rPr>
          <w:rFonts w:eastAsiaTheme="minorHAnsi"/>
          <w:sz w:val="28"/>
          <w:szCs w:val="28"/>
        </w:rPr>
      </w:pPr>
      <w:bookmarkStart w:id="193" w:name="_Hlk123419284"/>
    </w:p>
    <w:p w14:paraId="35204B18" w14:textId="067080DB" w:rsidR="009A4B0E" w:rsidRPr="00597FFB" w:rsidRDefault="008C6B77" w:rsidP="00D33204">
      <w:pPr>
        <w:keepNext/>
        <w:keepLines/>
        <w:spacing w:after="0" w:line="480" w:lineRule="auto"/>
        <w:jc w:val="center"/>
        <w:outlineLvl w:val="0"/>
        <w:rPr>
          <w:rFonts w:ascii="Times New Roman" w:eastAsiaTheme="majorEastAsia" w:hAnsi="Times New Roman" w:cstheme="majorBidi"/>
          <w:b/>
          <w:bCs/>
          <w:kern w:val="24"/>
          <w:sz w:val="28"/>
          <w:szCs w:val="28"/>
          <w:lang w:eastAsia="ja-JP"/>
        </w:rPr>
      </w:pPr>
      <w:bookmarkStart w:id="194" w:name="_Toc127170330"/>
      <w:r w:rsidRPr="00597FFB">
        <w:rPr>
          <w:rFonts w:ascii="Times New Roman" w:eastAsiaTheme="majorEastAsia" w:hAnsi="Times New Roman" w:cstheme="majorBidi"/>
          <w:b/>
          <w:bCs/>
          <w:kern w:val="24"/>
          <w:sz w:val="28"/>
          <w:szCs w:val="28"/>
          <w:lang w:eastAsia="ja-JP"/>
        </w:rPr>
        <w:t>CHAPTER 4</w:t>
      </w:r>
      <w:bookmarkEnd w:id="194"/>
      <w:r w:rsidRPr="00597FFB">
        <w:rPr>
          <w:rFonts w:ascii="Times New Roman" w:eastAsiaTheme="majorEastAsia" w:hAnsi="Times New Roman" w:cstheme="majorBidi"/>
          <w:b/>
          <w:bCs/>
          <w:kern w:val="24"/>
          <w:sz w:val="28"/>
          <w:szCs w:val="28"/>
          <w:lang w:eastAsia="ja-JP"/>
        </w:rPr>
        <w:t xml:space="preserve"> </w:t>
      </w:r>
    </w:p>
    <w:p w14:paraId="1116F737" w14:textId="6C0526C8" w:rsidR="009A4B0E" w:rsidRPr="00597FFB" w:rsidRDefault="00D33204" w:rsidP="004570DB">
      <w:pPr>
        <w:keepNext/>
        <w:keepLines/>
        <w:spacing w:after="0" w:line="480" w:lineRule="auto"/>
        <w:jc w:val="center"/>
        <w:outlineLvl w:val="0"/>
        <w:rPr>
          <w:rFonts w:ascii="Times New Roman" w:eastAsiaTheme="majorEastAsia" w:hAnsi="Times New Roman" w:cstheme="majorBidi"/>
          <w:b/>
          <w:bCs/>
          <w:kern w:val="24"/>
          <w:sz w:val="26"/>
          <w:szCs w:val="26"/>
          <w:lang w:eastAsia="ja-JP"/>
        </w:rPr>
      </w:pPr>
      <w:bookmarkStart w:id="195" w:name="_Toc127170331"/>
      <w:r w:rsidRPr="00597FFB">
        <w:rPr>
          <w:rFonts w:ascii="Times New Roman" w:eastAsiaTheme="majorEastAsia" w:hAnsi="Times New Roman" w:cstheme="majorBidi"/>
          <w:b/>
          <w:bCs/>
          <w:kern w:val="24"/>
          <w:sz w:val="26"/>
          <w:szCs w:val="26"/>
          <w:lang w:eastAsia="ja-JP"/>
        </w:rPr>
        <w:t xml:space="preserve">Research </w:t>
      </w:r>
      <w:r w:rsidR="008C6B77" w:rsidRPr="00597FFB">
        <w:rPr>
          <w:rFonts w:ascii="Times New Roman" w:eastAsiaTheme="majorEastAsia" w:hAnsi="Times New Roman" w:cstheme="majorBidi"/>
          <w:b/>
          <w:bCs/>
          <w:kern w:val="24"/>
          <w:sz w:val="26"/>
          <w:szCs w:val="26"/>
          <w:lang w:eastAsia="ja-JP"/>
        </w:rPr>
        <w:t>Methods</w:t>
      </w:r>
      <w:bookmarkEnd w:id="195"/>
    </w:p>
    <w:p w14:paraId="4F77C1BA" w14:textId="77777777" w:rsidR="00D33204" w:rsidRPr="00597FFB" w:rsidRDefault="00D33204" w:rsidP="00D33204">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w:t>
      </w:r>
      <w:r w:rsidRPr="00597FFB">
        <w:rPr>
          <w:rFonts w:eastAsiaTheme="minorHAnsi"/>
          <w:i/>
          <w:iCs/>
        </w:rPr>
        <w:t xml:space="preserve"> </w:t>
      </w:r>
      <w:r w:rsidRPr="00597FFB">
        <w:rPr>
          <w:rFonts w:asciiTheme="majorBidi" w:eastAsiaTheme="minorHAnsi" w:hAnsiTheme="majorBidi" w:cstheme="majorBidi"/>
          <w:i/>
          <w:iCs/>
          <w:sz w:val="24"/>
          <w:szCs w:val="24"/>
        </w:rPr>
        <w:t>There is no such thing as “away”. When we</w:t>
      </w:r>
    </w:p>
    <w:p w14:paraId="404FE58C" w14:textId="77777777" w:rsidR="00D33204" w:rsidRPr="00597FFB" w:rsidRDefault="00D33204" w:rsidP="00D33204">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throw anything away, it must go somewhere."</w:t>
      </w:r>
    </w:p>
    <w:p w14:paraId="5425F1B1" w14:textId="77777777" w:rsidR="00D33204" w:rsidRPr="00597FFB" w:rsidRDefault="00D33204" w:rsidP="00D33204">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(Annie Leonard)</w:t>
      </w:r>
    </w:p>
    <w:p w14:paraId="090D9BAD" w14:textId="77777777" w:rsidR="00BC032D" w:rsidRPr="00597FFB" w:rsidRDefault="00BC032D" w:rsidP="00607658">
      <w:pPr>
        <w:spacing w:after="0" w:line="480" w:lineRule="auto"/>
        <w:ind w:left="360" w:hanging="360"/>
        <w:jc w:val="center"/>
        <w:rPr>
          <w:rFonts w:asciiTheme="majorBidi" w:eastAsiaTheme="minorHAnsi" w:hAnsiTheme="majorBidi" w:cstheme="majorBidi"/>
          <w:b/>
          <w:bCs/>
          <w:sz w:val="24"/>
          <w:szCs w:val="24"/>
        </w:rPr>
      </w:pPr>
    </w:p>
    <w:p w14:paraId="18DA5C6E" w14:textId="4E51770F" w:rsidR="00BC032D" w:rsidRPr="00597FFB" w:rsidRDefault="00BC032D" w:rsidP="00607658">
      <w:pPr>
        <w:keepNext/>
        <w:keepLines/>
        <w:widowControl w:val="0"/>
        <w:spacing w:before="40" w:after="0" w:line="480" w:lineRule="auto"/>
        <w:ind w:left="576" w:hanging="576"/>
        <w:outlineLvl w:val="1"/>
        <w:rPr>
          <w:rFonts w:ascii="Times New Roman" w:eastAsiaTheme="majorEastAsia" w:hAnsi="Times New Roman" w:cs="Times New Roman"/>
          <w:b/>
          <w:bCs/>
          <w:color w:val="000000" w:themeColor="text1"/>
          <w:sz w:val="24"/>
          <w:szCs w:val="24"/>
        </w:rPr>
      </w:pPr>
      <w:bookmarkStart w:id="196" w:name="_Toc127170332"/>
      <w:r w:rsidRPr="00597FFB">
        <w:rPr>
          <w:rFonts w:ascii="Times New Roman" w:eastAsiaTheme="majorEastAsia" w:hAnsi="Times New Roman" w:cs="Times New Roman"/>
          <w:b/>
          <w:bCs/>
          <w:color w:val="000000" w:themeColor="text1"/>
          <w:sz w:val="24"/>
          <w:szCs w:val="24"/>
        </w:rPr>
        <w:t>4.0. Introduction</w:t>
      </w:r>
      <w:r w:rsidR="001646C7" w:rsidRPr="00597FFB">
        <w:rPr>
          <w:rFonts w:ascii="Times New Roman" w:eastAsiaTheme="majorEastAsia" w:hAnsi="Times New Roman" w:cs="Times New Roman"/>
          <w:b/>
          <w:bCs/>
          <w:color w:val="000000" w:themeColor="text1"/>
          <w:sz w:val="24"/>
          <w:szCs w:val="24"/>
        </w:rPr>
        <w:t>.</w:t>
      </w:r>
      <w:bookmarkEnd w:id="196"/>
    </w:p>
    <w:bookmarkEnd w:id="193"/>
    <w:p w14:paraId="04C20353" w14:textId="77777777" w:rsidR="00E41CB5" w:rsidRPr="00597FFB" w:rsidRDefault="00E41CB5" w:rsidP="00607658">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previous chapter was about integrating the theory of planned behavior (TPB) with the norm activation theory (NAT), and the protection motivation theory (PMT) with respect to E-waste recycling behavior. Section 3.2 was a presentation of the theories of consumer behavior intention in general and the TPB, NAT, and PMT. Section 3.3 in the previous chapter provided the characteristics of the studies that informed the development of the conceptual framework and the variables used in those studies. Finally, the chapter summary was presented in section 3.4.</w:t>
      </w:r>
    </w:p>
    <w:p w14:paraId="14F7693E" w14:textId="2E0FE5F1" w:rsidR="001646C7" w:rsidRPr="00597FFB" w:rsidRDefault="00E41CB5" w:rsidP="00607658">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This chapter is organized in eight major sections. The next section is a presentation of the research philosophy where the choice of the approach to the worldviews and nature of reality are made. Section 4.3 is about the research purpose and the suitability of the explanatory research purpose compared to the descriptive and exploratory research purposes explained. In section 4.4, the choice of the quantitative survey research design is identified. Section 4.5 provides detailed explanations about the data collection processes, techniques, and procedures. Section 4.6 is about data processing analysis. Section 4.7 is a highlight of the ethical considerations made in this study and precedes the chapter conclusion in section 4.8.</w:t>
      </w:r>
    </w:p>
    <w:p w14:paraId="660F2C9F" w14:textId="077D03F7" w:rsidR="00E41CB5" w:rsidRPr="00597FFB" w:rsidRDefault="00E41CB5" w:rsidP="00607658">
      <w:pPr>
        <w:keepNext/>
        <w:keepLines/>
        <w:widowControl w:val="0"/>
        <w:spacing w:before="40" w:after="0" w:line="480" w:lineRule="auto"/>
        <w:ind w:left="576" w:hanging="576"/>
        <w:outlineLvl w:val="1"/>
        <w:rPr>
          <w:rFonts w:ascii="Times New Roman" w:eastAsiaTheme="majorEastAsia" w:hAnsi="Times New Roman" w:cs="Times New Roman"/>
          <w:b/>
          <w:bCs/>
          <w:color w:val="000000" w:themeColor="text1"/>
          <w:sz w:val="24"/>
          <w:szCs w:val="24"/>
        </w:rPr>
      </w:pPr>
      <w:bookmarkStart w:id="197" w:name="_Toc127170333"/>
      <w:r w:rsidRPr="00597FFB">
        <w:rPr>
          <w:rFonts w:ascii="Times New Roman" w:eastAsiaTheme="majorEastAsia" w:hAnsi="Times New Roman" w:cs="Times New Roman"/>
          <w:b/>
          <w:bCs/>
          <w:color w:val="000000" w:themeColor="text1"/>
          <w:sz w:val="24"/>
          <w:szCs w:val="24"/>
        </w:rPr>
        <w:t>4.1. Research Philosophy</w:t>
      </w:r>
      <w:r w:rsidR="001646C7" w:rsidRPr="00597FFB">
        <w:rPr>
          <w:rFonts w:ascii="Times New Roman" w:eastAsiaTheme="majorEastAsia" w:hAnsi="Times New Roman" w:cs="Times New Roman"/>
          <w:b/>
          <w:bCs/>
          <w:color w:val="000000" w:themeColor="text1"/>
          <w:sz w:val="24"/>
          <w:szCs w:val="24"/>
        </w:rPr>
        <w:t xml:space="preserve">, </w:t>
      </w:r>
      <w:r w:rsidRPr="00597FFB">
        <w:rPr>
          <w:rFonts w:ascii="Times New Roman" w:eastAsiaTheme="majorEastAsia" w:hAnsi="Times New Roman" w:cs="Times New Roman"/>
          <w:b/>
          <w:bCs/>
          <w:color w:val="000000" w:themeColor="text1"/>
          <w:sz w:val="24"/>
          <w:szCs w:val="24"/>
        </w:rPr>
        <w:t xml:space="preserve">Purpose </w:t>
      </w:r>
      <w:r w:rsidR="00A81557">
        <w:rPr>
          <w:rFonts w:ascii="Times New Roman" w:eastAsiaTheme="majorEastAsia" w:hAnsi="Times New Roman" w:cs="Times New Roman"/>
          <w:b/>
          <w:bCs/>
          <w:color w:val="000000" w:themeColor="text1"/>
          <w:sz w:val="24"/>
          <w:szCs w:val="24"/>
        </w:rPr>
        <w:t>a</w:t>
      </w:r>
      <w:r w:rsidR="001646C7" w:rsidRPr="00597FFB">
        <w:rPr>
          <w:rFonts w:ascii="Times New Roman" w:eastAsiaTheme="majorEastAsia" w:hAnsi="Times New Roman" w:cs="Times New Roman"/>
          <w:b/>
          <w:bCs/>
          <w:color w:val="000000" w:themeColor="text1"/>
          <w:sz w:val="24"/>
          <w:szCs w:val="24"/>
        </w:rPr>
        <w:t xml:space="preserve">nd </w:t>
      </w:r>
      <w:r w:rsidRPr="00597FFB">
        <w:rPr>
          <w:rFonts w:ascii="Times New Roman" w:eastAsiaTheme="majorEastAsia" w:hAnsi="Times New Roman" w:cs="Times New Roman"/>
          <w:b/>
          <w:bCs/>
          <w:color w:val="000000" w:themeColor="text1"/>
          <w:sz w:val="24"/>
          <w:szCs w:val="24"/>
        </w:rPr>
        <w:t>Approach</w:t>
      </w:r>
      <w:r w:rsidR="001646C7" w:rsidRPr="00597FFB">
        <w:rPr>
          <w:rFonts w:ascii="Times New Roman" w:eastAsiaTheme="majorEastAsia" w:hAnsi="Times New Roman" w:cs="Times New Roman"/>
          <w:b/>
          <w:bCs/>
          <w:color w:val="000000" w:themeColor="text1"/>
          <w:sz w:val="24"/>
          <w:szCs w:val="24"/>
        </w:rPr>
        <w:t>.</w:t>
      </w:r>
      <w:bookmarkEnd w:id="197"/>
      <w:r w:rsidR="001646C7" w:rsidRPr="00597FFB">
        <w:rPr>
          <w:rFonts w:ascii="Times New Roman" w:eastAsiaTheme="majorEastAsia" w:hAnsi="Times New Roman" w:cs="Times New Roman"/>
          <w:b/>
          <w:bCs/>
          <w:color w:val="000000" w:themeColor="text1"/>
          <w:sz w:val="24"/>
          <w:szCs w:val="24"/>
        </w:rPr>
        <w:t xml:space="preserve"> </w:t>
      </w:r>
    </w:p>
    <w:p w14:paraId="6F2FBA62" w14:textId="19C89A47" w:rsidR="00E41CB5" w:rsidRPr="00597FFB" w:rsidRDefault="00E41CB5" w:rsidP="00607658">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Research philosophy refers to a concept for developing knowledge based on assumptions, methods, and scientific inquiry (Saunders et al., 2019). In this research, philosophy of science was understood to imply the development of knowledge based on the hypotheses, availability of UAE millennials and their perceptions about EWR and the intention to undertake EWR. A paradigm (also called worldview) was understood in this research as comprising as a set of basic beliefs, values, assumptions, or perspectives that are shared between scientists about how investigations should be carried out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{"citationID":"wotEqqRY","properties":{"formattedCitation":"(Kaushik &amp; Walsh, 2019)","plainCitation":"(Kaushik &amp; Walsh, 2019)","noteIndex":0},"citationItems":[{"id":4408,"uris":["http://zotero.org/users/local/b6CRLSJH/items/S8P98DUB"],"itemData":{"id":4408,"type":"article-journal","abstract":"Debates around the issues of knowledge of, and for, social work and other social justice–oriented professions are not uncommon. More prevalent are the discussions around the ways by which social work knowledge is obtained. In recent years, social work scholars have drawn on the epistemology of pragmatism to present a case for its value in the creation of knowledge for social work and other social justice–oriented professions. The primary focus of this essay is on providing a critical review and synthesis of the literature regarding pragmatism as a research paradigm. In this essay, we analyze the major philosophical underpinnings and methodological challenges associated with pragmatism, synthesize the works of scholars who have contributed to the understanding of pragmatism as a research paradigm, articulate our thoughts about how pragmatism fits within social work research, and illustrate how it is linked to the pursuit of social justice. This article brings together a variety of perspectives to argue that pragmatism has the potential to closely engage and empower marginalized and oppressed communities and provide hard evidence for the macro level discourse.","container-title":"Social Sciences","DOI":"10.3390/socsci8090255","ISSN":"2076-0760","issue":"9","journalAbbreviation":"Social Sciences","language":"en","page":"255","source":"DOI.org (Crossref)","title":"Pragmatism as a Research Paradigm and Its Implications for Social Work Research","volume":"8","author":[{"family":"Kaushik","given":"Vibha"},{"family":"Walsh","given":"Christine A."}],"issued":{"date-parts":[["2019",9,6]]}}}],"schema":"https://github.com/citation-style-language/schema/raw/master/csl-citation.json"}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(Kaushik &amp; Walsh,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Understanding the right</w:t>
      </w:r>
      <w:r w:rsidRPr="00597FFB">
        <w:rPr>
          <w:rFonts w:eastAsiaTheme="minorHAnsi"/>
        </w:rPr>
        <w:t xml:space="preserve"> </w:t>
      </w:r>
      <w:r w:rsidRPr="00597FFB">
        <w:rPr>
          <w:rFonts w:ascii="Times New Roman" w:eastAsiaTheme="minorHAnsi" w:hAnsi="Times New Roman" w:cs="Times New Roman"/>
          <w:sz w:val="24"/>
          <w:szCs w:val="24"/>
        </w:rPr>
        <w:t xml:space="preserve">philosophical perspectives was important because it influenced how this research was conducted, the investigation approach </w:t>
      </w:r>
      <w:r w:rsidR="007332BD" w:rsidRPr="00597FFB">
        <w:rPr>
          <w:rFonts w:ascii="Times New Roman" w:eastAsiaTheme="minorHAnsi" w:hAnsi="Times New Roman" w:cs="Times New Roman"/>
          <w:sz w:val="24"/>
          <w:szCs w:val="24"/>
        </w:rPr>
        <w:t>used,</w:t>
      </w:r>
      <w:r w:rsidRPr="00597FFB">
        <w:rPr>
          <w:rFonts w:ascii="Times New Roman" w:eastAsiaTheme="minorHAnsi" w:hAnsi="Times New Roman" w:cs="Times New Roman"/>
          <w:sz w:val="24"/>
          <w:szCs w:val="24"/>
        </w:rPr>
        <w:t xml:space="preserve"> and the major research implications arising from the findings. After all, the philosophical assumptions chosen </w:t>
      </w:r>
      <w:r w:rsidR="007332BD" w:rsidRPr="00597FFB">
        <w:rPr>
          <w:rFonts w:ascii="Times New Roman" w:eastAsiaTheme="minorHAnsi" w:hAnsi="Times New Roman" w:cs="Times New Roman"/>
          <w:sz w:val="24"/>
          <w:szCs w:val="24"/>
        </w:rPr>
        <w:t>to inform</w:t>
      </w:r>
      <w:r w:rsidRPr="00597FFB">
        <w:rPr>
          <w:rFonts w:ascii="Times New Roman" w:eastAsiaTheme="minorHAnsi" w:hAnsi="Times New Roman" w:cs="Times New Roman"/>
          <w:sz w:val="24"/>
          <w:szCs w:val="24"/>
        </w:rPr>
        <w:t xml:space="preserve"> the decisions concerning the appropriate research approaches, whether quantitative, qualitative or mixed designs that should be implemented to achieve the research objectives (Creswell &amp; Creswell, 2017).</w:t>
      </w:r>
    </w:p>
    <w:p w14:paraId="2355C8C5" w14:textId="40C66E33" w:rsidR="00E41CB5" w:rsidRPr="00597FFB" w:rsidRDefault="00E41CB5" w:rsidP="00607658">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There are four main research philosophy approaches that were taken into consideration when conducting this scientific research. These are pragmatism, interpretivism, realism and positivism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{"citationID":"ZOzYm3Ok","properties":{"formattedCitation":"(M. N. K. Saunders et al., 2019)","plainCitation":"(M. N. K. Saunders et al., 2019)","dontUpdate":true,"noteIndex":0},"citationItems":[{"id":4405,"uris":["http://zotero.org/users/local/b6CRLSJH/items/5URS84H6"],"itemData":{"id":4405,"type":"book","call-number":"HD30.4 .S28 2019","edition":"Eighth Edition","event-place":"New York","ISBN":"978-1-292-20878-7","publisher":"Pearson","publisher-place":"New York","source":"Library of Congress ISBN","title":"Research methods for business students","author":[{"family":"Saunders","given":"M. N. K."},{"family":"Lewis","given":"Philip"},{"family":"Thornhill","given":"Adrian"}],"issued":{"date-parts":[["2019"]]}}}],"schema":"https://github.com/citation-style-language/schema/raw/master/csl-citation.json"}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(Saunders et al.,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Altogether, the researcher was cognizant that approach to knowledge enquiry largely follows two main strands of research philosophies or world views, which are positivism and interpretivism (Bonache &amp; Festing, 2020). Positivism considers reality to be objective and one truth (Saunders et al., 2019). Adopting a positivist research philosophy for the current research meant that it could be generalized and replicated following the scientific methods and techniques employed in the inquiry. Interpretivism, on the other hand, would have implied perceiving the truth about UAE millennials and EWR adoption as context-specific and socially constructed (Bryman &amp; Bell, 2019). It would have implied emphasizing context-specific experiences of the UAE millennials. However, the researcher further understood that within the extremes of positivist and interpretivist philosophical thoughts, other worldviews comprising postpositivist, constructivist, transformative and pragmatist philosophies exist (Creswell &amp; Creswell, 2017). Consistent with Creswell and Creswell (2017), the researcher appreciated that the four worldviews summarized in Table 1</w:t>
      </w:r>
      <w:r w:rsidR="00E24812" w:rsidRPr="00597FFB">
        <w:rPr>
          <w:rFonts w:ascii="Times New Roman" w:eastAsiaTheme="minorHAnsi" w:hAnsi="Times New Roman" w:cs="Times New Roman"/>
          <w:sz w:val="24"/>
          <w:szCs w:val="24"/>
        </w:rPr>
        <w:t>1</w:t>
      </w:r>
      <w:r w:rsidRPr="00597FFB">
        <w:rPr>
          <w:rFonts w:ascii="Times New Roman" w:eastAsiaTheme="minorHAnsi" w:hAnsi="Times New Roman" w:cs="Times New Roman"/>
          <w:sz w:val="24"/>
          <w:szCs w:val="24"/>
        </w:rPr>
        <w:t xml:space="preserve"> were possibly the most useful for informing the choice research methods in this study. </w:t>
      </w:r>
    </w:p>
    <w:p w14:paraId="2D0401DD" w14:textId="7BA9BF8F" w:rsidR="00E41CB5" w:rsidRPr="00597FFB" w:rsidRDefault="00E41CB5" w:rsidP="00E41CB5">
      <w:pPr>
        <w:keepNext/>
        <w:widowControl w:val="0"/>
        <w:spacing w:after="0" w:line="480" w:lineRule="auto"/>
        <w:rPr>
          <w:rFonts w:ascii="Times New Roman" w:eastAsiaTheme="minorHAnsi" w:hAnsi="Times New Roman" w:cs="Times New Roman"/>
          <w:i/>
          <w:iCs/>
          <w:color w:val="000000" w:themeColor="text1"/>
        </w:rPr>
      </w:pPr>
      <w:r w:rsidRPr="00597FFB">
        <w:rPr>
          <w:rFonts w:ascii="Times New Roman" w:eastAsiaTheme="minorHAnsi" w:hAnsi="Times New Roman" w:cs="Times New Roman"/>
          <w:b/>
          <w:bCs/>
          <w:color w:val="000000" w:themeColor="text1"/>
        </w:rPr>
        <w:t xml:space="preserve">Table </w:t>
      </w:r>
      <w:r w:rsidRPr="00597FFB">
        <w:rPr>
          <w:rFonts w:ascii="Times New Roman" w:eastAsiaTheme="minorHAnsi" w:hAnsi="Times New Roman" w:cs="Times New Roman"/>
          <w:b/>
          <w:bCs/>
          <w:color w:val="000000" w:themeColor="text1"/>
        </w:rPr>
        <w:fldChar w:fldCharType="begin"/>
      </w:r>
      <w:r w:rsidRPr="00597FFB">
        <w:rPr>
          <w:rFonts w:ascii="Times New Roman" w:eastAsiaTheme="minorHAnsi" w:hAnsi="Times New Roman" w:cs="Times New Roman"/>
          <w:b/>
          <w:bCs/>
          <w:color w:val="000000" w:themeColor="text1"/>
        </w:rPr>
        <w:instrText xml:space="preserve"> SEQ Table \* ARABIC </w:instrText>
      </w:r>
      <w:r w:rsidRPr="00597FFB">
        <w:rPr>
          <w:rFonts w:ascii="Times New Roman" w:eastAsiaTheme="minorHAnsi" w:hAnsi="Times New Roman" w:cs="Times New Roman"/>
          <w:b/>
          <w:bCs/>
          <w:color w:val="000000" w:themeColor="text1"/>
        </w:rPr>
        <w:fldChar w:fldCharType="separate"/>
      </w:r>
      <w:r w:rsidRPr="00597FFB">
        <w:rPr>
          <w:rFonts w:ascii="Times New Roman" w:eastAsiaTheme="minorHAnsi" w:hAnsi="Times New Roman" w:cs="Times New Roman"/>
          <w:b/>
          <w:bCs/>
          <w:noProof/>
          <w:color w:val="000000" w:themeColor="text1"/>
        </w:rPr>
        <w:t>1</w:t>
      </w:r>
      <w:r w:rsidRPr="00597FFB">
        <w:rPr>
          <w:rFonts w:ascii="Times New Roman" w:eastAsiaTheme="minorHAnsi" w:hAnsi="Times New Roman" w:cs="Times New Roman"/>
          <w:b/>
          <w:bCs/>
          <w:color w:val="000000" w:themeColor="text1"/>
        </w:rPr>
        <w:fldChar w:fldCharType="end"/>
      </w:r>
      <w:r w:rsidRPr="00597FFB">
        <w:rPr>
          <w:rFonts w:ascii="Times New Roman" w:eastAsiaTheme="minorHAnsi" w:hAnsi="Times New Roman" w:cs="Times New Roman"/>
          <w:b/>
          <w:bCs/>
          <w:color w:val="000000" w:themeColor="text1"/>
        </w:rPr>
        <w:t xml:space="preserve">1: </w:t>
      </w:r>
      <w:bookmarkStart w:id="198" w:name="_Hlk125841402"/>
      <w:r w:rsidRPr="00597FFB">
        <w:rPr>
          <w:rFonts w:ascii="Times New Roman" w:eastAsiaTheme="minorHAnsi" w:hAnsi="Times New Roman" w:cs="Times New Roman"/>
          <w:i/>
          <w:iCs/>
          <w:color w:val="000000" w:themeColor="text1"/>
        </w:rPr>
        <w:t xml:space="preserve">Worldviews </w:t>
      </w:r>
      <w:r w:rsidR="00DD61A0" w:rsidRPr="00597FFB">
        <w:rPr>
          <w:rFonts w:ascii="Times New Roman" w:eastAsiaTheme="minorHAnsi" w:hAnsi="Times New Roman" w:cs="Times New Roman"/>
          <w:i/>
          <w:iCs/>
          <w:color w:val="000000" w:themeColor="text1"/>
        </w:rPr>
        <w:t>i</w:t>
      </w:r>
      <w:r w:rsidRPr="00597FFB">
        <w:rPr>
          <w:rFonts w:ascii="Times New Roman" w:eastAsiaTheme="minorHAnsi" w:hAnsi="Times New Roman" w:cs="Times New Roman"/>
          <w:i/>
          <w:iCs/>
          <w:color w:val="000000" w:themeColor="text1"/>
        </w:rPr>
        <w:t>n Scientific Research</w:t>
      </w:r>
      <w:r w:rsidR="001646C7" w:rsidRPr="00597FFB">
        <w:rPr>
          <w:rFonts w:ascii="Times New Roman" w:eastAsiaTheme="minorHAnsi" w:hAnsi="Times New Roman" w:cs="Times New Roman"/>
          <w:i/>
          <w:iCs/>
          <w:color w:val="000000" w:themeColor="text1"/>
        </w:rPr>
        <w:t>.</w:t>
      </w:r>
      <w:bookmarkEnd w:id="198"/>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1895"/>
        <w:gridCol w:w="2001"/>
        <w:gridCol w:w="1842"/>
      </w:tblGrid>
      <w:tr w:rsidR="003B321C" w:rsidRPr="00597FFB" w14:paraId="02A7D937" w14:textId="77777777" w:rsidTr="003B321C">
        <w:tc>
          <w:tcPr>
            <w:tcW w:w="1851" w:type="dxa"/>
            <w:tcBorders>
              <w:top w:val="single" w:sz="4" w:space="0" w:color="auto"/>
              <w:bottom w:val="single" w:sz="4" w:space="0" w:color="auto"/>
            </w:tcBorders>
          </w:tcPr>
          <w:p w14:paraId="0DC83C07" w14:textId="5B578ED7" w:rsidR="003B321C" w:rsidRPr="00597FFB" w:rsidRDefault="003B321C" w:rsidP="003B321C">
            <w:pPr>
              <w:widowControl w:val="0"/>
              <w:jc w:val="both"/>
              <w:rPr>
                <w:rFonts w:asciiTheme="majorBidi" w:hAnsiTheme="majorBidi" w:cstheme="majorBidi"/>
                <w:b/>
                <w:bCs/>
              </w:rPr>
            </w:pPr>
            <w:r w:rsidRPr="00597FFB">
              <w:rPr>
                <w:rFonts w:asciiTheme="majorBidi" w:hAnsiTheme="majorBidi" w:cstheme="majorBidi"/>
                <w:b/>
                <w:bCs/>
              </w:rPr>
              <w:t>Postpositivist</w:t>
            </w:r>
          </w:p>
        </w:tc>
        <w:tc>
          <w:tcPr>
            <w:tcW w:w="1895" w:type="dxa"/>
            <w:tcBorders>
              <w:top w:val="single" w:sz="4" w:space="0" w:color="auto"/>
              <w:bottom w:val="single" w:sz="4" w:space="0" w:color="auto"/>
            </w:tcBorders>
          </w:tcPr>
          <w:p w14:paraId="55B3899F" w14:textId="7A822B60" w:rsidR="003B321C" w:rsidRPr="00597FFB" w:rsidRDefault="003B321C" w:rsidP="003B321C">
            <w:pPr>
              <w:widowControl w:val="0"/>
              <w:jc w:val="both"/>
              <w:rPr>
                <w:rFonts w:asciiTheme="majorBidi" w:hAnsiTheme="majorBidi" w:cstheme="majorBidi"/>
                <w:b/>
                <w:bCs/>
              </w:rPr>
            </w:pPr>
            <w:r w:rsidRPr="00597FFB">
              <w:rPr>
                <w:rFonts w:asciiTheme="majorBidi" w:hAnsiTheme="majorBidi" w:cstheme="majorBidi"/>
                <w:b/>
                <w:bCs/>
              </w:rPr>
              <w:t>Constructivist</w:t>
            </w:r>
          </w:p>
        </w:tc>
        <w:tc>
          <w:tcPr>
            <w:tcW w:w="2001" w:type="dxa"/>
            <w:tcBorders>
              <w:top w:val="single" w:sz="4" w:space="0" w:color="auto"/>
              <w:bottom w:val="single" w:sz="4" w:space="0" w:color="auto"/>
            </w:tcBorders>
          </w:tcPr>
          <w:p w14:paraId="63B371A0" w14:textId="6009F4A7" w:rsidR="003B321C" w:rsidRPr="00597FFB" w:rsidRDefault="003B321C" w:rsidP="003B321C">
            <w:pPr>
              <w:widowControl w:val="0"/>
              <w:jc w:val="both"/>
              <w:rPr>
                <w:rFonts w:asciiTheme="majorBidi" w:hAnsiTheme="majorBidi" w:cstheme="majorBidi"/>
                <w:b/>
                <w:bCs/>
              </w:rPr>
            </w:pPr>
            <w:r w:rsidRPr="00597FFB">
              <w:rPr>
                <w:rFonts w:asciiTheme="majorBidi" w:hAnsiTheme="majorBidi" w:cstheme="majorBidi"/>
                <w:b/>
                <w:bCs/>
              </w:rPr>
              <w:t>Transformative</w:t>
            </w:r>
          </w:p>
        </w:tc>
        <w:tc>
          <w:tcPr>
            <w:tcW w:w="1842" w:type="dxa"/>
            <w:tcBorders>
              <w:top w:val="single" w:sz="4" w:space="0" w:color="auto"/>
              <w:bottom w:val="single" w:sz="4" w:space="0" w:color="auto"/>
            </w:tcBorders>
          </w:tcPr>
          <w:p w14:paraId="761AF14C" w14:textId="68784E76" w:rsidR="003B321C" w:rsidRPr="00597FFB" w:rsidRDefault="003B321C" w:rsidP="003B321C">
            <w:pPr>
              <w:widowControl w:val="0"/>
              <w:jc w:val="both"/>
              <w:rPr>
                <w:rFonts w:asciiTheme="majorBidi" w:hAnsiTheme="majorBidi" w:cstheme="majorBidi"/>
                <w:b/>
                <w:bCs/>
              </w:rPr>
            </w:pPr>
            <w:r w:rsidRPr="00597FFB">
              <w:rPr>
                <w:rFonts w:asciiTheme="majorBidi" w:hAnsiTheme="majorBidi" w:cstheme="majorBidi"/>
                <w:b/>
                <w:bCs/>
              </w:rPr>
              <w:t>Pragmatist</w:t>
            </w:r>
          </w:p>
        </w:tc>
      </w:tr>
      <w:tr w:rsidR="003B321C" w:rsidRPr="00597FFB" w14:paraId="3BF4983C" w14:textId="77777777" w:rsidTr="003B321C">
        <w:tc>
          <w:tcPr>
            <w:tcW w:w="1851" w:type="dxa"/>
            <w:tcBorders>
              <w:top w:val="single" w:sz="4" w:space="0" w:color="auto"/>
            </w:tcBorders>
          </w:tcPr>
          <w:p w14:paraId="7C44B5F8" w14:textId="08049139" w:rsidR="003B321C" w:rsidRPr="00597FFB" w:rsidRDefault="003B321C" w:rsidP="003B321C">
            <w:pPr>
              <w:widowControl w:val="0"/>
              <w:rPr>
                <w:rFonts w:asciiTheme="majorBidi" w:hAnsiTheme="majorBidi" w:cstheme="majorBidi"/>
              </w:rPr>
            </w:pPr>
            <w:r w:rsidRPr="00597FFB">
              <w:rPr>
                <w:rFonts w:asciiTheme="majorBidi" w:hAnsiTheme="majorBidi" w:cstheme="majorBidi"/>
              </w:rPr>
              <w:t>Determination</w:t>
            </w:r>
          </w:p>
        </w:tc>
        <w:tc>
          <w:tcPr>
            <w:tcW w:w="1895" w:type="dxa"/>
            <w:tcBorders>
              <w:top w:val="single" w:sz="4" w:space="0" w:color="auto"/>
            </w:tcBorders>
          </w:tcPr>
          <w:p w14:paraId="7305E4A1" w14:textId="71AB06DE" w:rsidR="003B321C" w:rsidRPr="00597FFB" w:rsidRDefault="003B321C" w:rsidP="003B321C">
            <w:pPr>
              <w:widowControl w:val="0"/>
              <w:rPr>
                <w:rFonts w:asciiTheme="majorBidi" w:hAnsiTheme="majorBidi" w:cstheme="majorBidi"/>
              </w:rPr>
            </w:pPr>
            <w:r w:rsidRPr="00597FFB">
              <w:rPr>
                <w:rFonts w:asciiTheme="majorBidi" w:hAnsiTheme="majorBidi" w:cstheme="majorBidi"/>
              </w:rPr>
              <w:t>Understanding</w:t>
            </w:r>
          </w:p>
        </w:tc>
        <w:tc>
          <w:tcPr>
            <w:tcW w:w="2001" w:type="dxa"/>
            <w:tcBorders>
              <w:top w:val="single" w:sz="4" w:space="0" w:color="auto"/>
            </w:tcBorders>
          </w:tcPr>
          <w:p w14:paraId="4420D6DF" w14:textId="51579A28" w:rsidR="003B321C" w:rsidRPr="00597FFB" w:rsidRDefault="003B321C" w:rsidP="003B321C">
            <w:pPr>
              <w:widowControl w:val="0"/>
              <w:rPr>
                <w:rFonts w:asciiTheme="majorBidi" w:hAnsiTheme="majorBidi" w:cstheme="majorBidi"/>
              </w:rPr>
            </w:pPr>
            <w:r w:rsidRPr="00597FFB">
              <w:rPr>
                <w:rFonts w:asciiTheme="majorBidi" w:hAnsiTheme="majorBidi" w:cstheme="majorBidi"/>
              </w:rPr>
              <w:t>Political, activist, advocacy</w:t>
            </w:r>
          </w:p>
        </w:tc>
        <w:tc>
          <w:tcPr>
            <w:tcW w:w="1842" w:type="dxa"/>
            <w:tcBorders>
              <w:top w:val="single" w:sz="4" w:space="0" w:color="auto"/>
            </w:tcBorders>
          </w:tcPr>
          <w:p w14:paraId="3ADFEF85" w14:textId="2BD12374" w:rsidR="003B321C" w:rsidRPr="00597FFB" w:rsidRDefault="003B321C" w:rsidP="003B321C">
            <w:pPr>
              <w:widowControl w:val="0"/>
              <w:rPr>
                <w:rFonts w:asciiTheme="majorBidi" w:hAnsiTheme="majorBidi" w:cstheme="majorBidi"/>
              </w:rPr>
            </w:pPr>
            <w:r w:rsidRPr="00597FFB">
              <w:rPr>
                <w:rFonts w:asciiTheme="majorBidi" w:hAnsiTheme="majorBidi" w:cstheme="majorBidi"/>
              </w:rPr>
              <w:t>Consequences of actions</w:t>
            </w:r>
          </w:p>
        </w:tc>
      </w:tr>
      <w:tr w:rsidR="003B321C" w:rsidRPr="00597FFB" w14:paraId="165CC7B0" w14:textId="77777777" w:rsidTr="003B321C">
        <w:tc>
          <w:tcPr>
            <w:tcW w:w="1851" w:type="dxa"/>
          </w:tcPr>
          <w:p w14:paraId="3181043F" w14:textId="5CF2B93E" w:rsidR="003B321C" w:rsidRPr="00597FFB" w:rsidRDefault="003B321C" w:rsidP="003B321C">
            <w:pPr>
              <w:widowControl w:val="0"/>
              <w:rPr>
                <w:rFonts w:asciiTheme="majorBidi" w:hAnsiTheme="majorBidi" w:cstheme="majorBidi"/>
              </w:rPr>
            </w:pPr>
            <w:r w:rsidRPr="00597FFB">
              <w:rPr>
                <w:rFonts w:asciiTheme="majorBidi" w:hAnsiTheme="majorBidi" w:cstheme="majorBidi"/>
              </w:rPr>
              <w:t>Reductionism</w:t>
            </w:r>
          </w:p>
        </w:tc>
        <w:tc>
          <w:tcPr>
            <w:tcW w:w="1895" w:type="dxa"/>
          </w:tcPr>
          <w:p w14:paraId="3D8CC58B" w14:textId="716F21E4" w:rsidR="003B321C" w:rsidRPr="00597FFB" w:rsidRDefault="003B321C" w:rsidP="003B321C">
            <w:pPr>
              <w:widowControl w:val="0"/>
              <w:rPr>
                <w:rFonts w:asciiTheme="majorBidi" w:hAnsiTheme="majorBidi" w:cstheme="majorBidi"/>
              </w:rPr>
            </w:pPr>
            <w:r w:rsidRPr="00597FFB">
              <w:rPr>
                <w:rFonts w:asciiTheme="majorBidi" w:hAnsiTheme="majorBidi" w:cstheme="majorBidi"/>
              </w:rPr>
              <w:t>Multiple participant meanings</w:t>
            </w:r>
          </w:p>
        </w:tc>
        <w:tc>
          <w:tcPr>
            <w:tcW w:w="2001" w:type="dxa"/>
          </w:tcPr>
          <w:p w14:paraId="5C834B79" w14:textId="35A972A8" w:rsidR="003B321C" w:rsidRPr="00597FFB" w:rsidRDefault="003B321C" w:rsidP="003B321C">
            <w:pPr>
              <w:widowControl w:val="0"/>
              <w:rPr>
                <w:rFonts w:asciiTheme="majorBidi" w:hAnsiTheme="majorBidi" w:cstheme="majorBidi"/>
              </w:rPr>
            </w:pPr>
            <w:r w:rsidRPr="00597FFB">
              <w:rPr>
                <w:rFonts w:asciiTheme="majorBidi" w:hAnsiTheme="majorBidi" w:cstheme="majorBidi"/>
              </w:rPr>
              <w:t>Empowerment, human rights, social justice- oriented</w:t>
            </w:r>
          </w:p>
        </w:tc>
        <w:tc>
          <w:tcPr>
            <w:tcW w:w="1842" w:type="dxa"/>
          </w:tcPr>
          <w:p w14:paraId="33F342F7" w14:textId="664D8A39" w:rsidR="003B321C" w:rsidRPr="00597FFB" w:rsidRDefault="003B321C" w:rsidP="003B321C">
            <w:pPr>
              <w:widowControl w:val="0"/>
              <w:rPr>
                <w:rFonts w:asciiTheme="majorBidi" w:hAnsiTheme="majorBidi" w:cstheme="majorBidi"/>
              </w:rPr>
            </w:pPr>
            <w:r w:rsidRPr="00597FFB">
              <w:rPr>
                <w:rFonts w:asciiTheme="majorBidi" w:hAnsiTheme="majorBidi" w:cstheme="majorBidi"/>
              </w:rPr>
              <w:t>Problem centered</w:t>
            </w:r>
          </w:p>
        </w:tc>
      </w:tr>
      <w:tr w:rsidR="003B321C" w:rsidRPr="00597FFB" w14:paraId="64533E2C" w14:textId="77777777" w:rsidTr="003B321C">
        <w:tc>
          <w:tcPr>
            <w:tcW w:w="1851" w:type="dxa"/>
          </w:tcPr>
          <w:p w14:paraId="00656922" w14:textId="2BF49BCF" w:rsidR="003B321C" w:rsidRPr="00597FFB" w:rsidRDefault="003B321C" w:rsidP="003B321C">
            <w:pPr>
              <w:widowControl w:val="0"/>
              <w:rPr>
                <w:rFonts w:asciiTheme="majorBidi" w:hAnsiTheme="majorBidi" w:cstheme="majorBidi"/>
              </w:rPr>
            </w:pPr>
            <w:r w:rsidRPr="00597FFB">
              <w:rPr>
                <w:rFonts w:asciiTheme="majorBidi" w:hAnsiTheme="majorBidi" w:cstheme="majorBidi"/>
              </w:rPr>
              <w:t>Empirical observation and measurements</w:t>
            </w:r>
          </w:p>
        </w:tc>
        <w:tc>
          <w:tcPr>
            <w:tcW w:w="1895" w:type="dxa"/>
          </w:tcPr>
          <w:p w14:paraId="4D7EE7B0" w14:textId="3AF12EAD" w:rsidR="003B321C" w:rsidRPr="00597FFB" w:rsidRDefault="003B321C" w:rsidP="003B321C">
            <w:pPr>
              <w:widowControl w:val="0"/>
              <w:rPr>
                <w:rFonts w:asciiTheme="majorBidi" w:hAnsiTheme="majorBidi" w:cstheme="majorBidi"/>
              </w:rPr>
            </w:pPr>
            <w:r w:rsidRPr="00597FFB">
              <w:rPr>
                <w:rFonts w:asciiTheme="majorBidi" w:hAnsiTheme="majorBidi" w:cstheme="majorBidi"/>
              </w:rPr>
              <w:t>Social and historical construction</w:t>
            </w:r>
          </w:p>
        </w:tc>
        <w:tc>
          <w:tcPr>
            <w:tcW w:w="2001" w:type="dxa"/>
          </w:tcPr>
          <w:p w14:paraId="188B1678" w14:textId="6298163C" w:rsidR="003B321C" w:rsidRPr="00597FFB" w:rsidRDefault="003B321C" w:rsidP="003B321C">
            <w:pPr>
              <w:widowControl w:val="0"/>
              <w:rPr>
                <w:rFonts w:asciiTheme="majorBidi" w:hAnsiTheme="majorBidi" w:cstheme="majorBidi"/>
              </w:rPr>
            </w:pPr>
            <w:r w:rsidRPr="00597FFB">
              <w:rPr>
                <w:rFonts w:asciiTheme="majorBidi" w:hAnsiTheme="majorBidi" w:cstheme="majorBidi"/>
              </w:rPr>
              <w:t>collaborative</w:t>
            </w:r>
          </w:p>
        </w:tc>
        <w:tc>
          <w:tcPr>
            <w:tcW w:w="1842" w:type="dxa"/>
          </w:tcPr>
          <w:p w14:paraId="2AE9BF0E" w14:textId="509F0698" w:rsidR="003B321C" w:rsidRPr="00597FFB" w:rsidRDefault="003B321C" w:rsidP="003B321C">
            <w:pPr>
              <w:widowControl w:val="0"/>
              <w:rPr>
                <w:rFonts w:asciiTheme="majorBidi" w:hAnsiTheme="majorBidi" w:cstheme="majorBidi"/>
              </w:rPr>
            </w:pPr>
            <w:r w:rsidRPr="00597FFB">
              <w:rPr>
                <w:rFonts w:asciiTheme="majorBidi" w:hAnsiTheme="majorBidi" w:cstheme="majorBidi"/>
              </w:rPr>
              <w:t>Pluralistic</w:t>
            </w:r>
          </w:p>
        </w:tc>
      </w:tr>
      <w:tr w:rsidR="003B321C" w:rsidRPr="00597FFB" w14:paraId="5F11B412" w14:textId="77777777" w:rsidTr="003B321C">
        <w:tc>
          <w:tcPr>
            <w:tcW w:w="1851" w:type="dxa"/>
            <w:tcBorders>
              <w:bottom w:val="single" w:sz="4" w:space="0" w:color="auto"/>
            </w:tcBorders>
          </w:tcPr>
          <w:p w14:paraId="6884FFC3" w14:textId="7180697A" w:rsidR="003B321C" w:rsidRPr="00597FFB" w:rsidRDefault="003B321C" w:rsidP="003B321C">
            <w:pPr>
              <w:widowControl w:val="0"/>
              <w:rPr>
                <w:rFonts w:asciiTheme="majorBidi" w:hAnsiTheme="majorBidi" w:cstheme="majorBidi"/>
              </w:rPr>
            </w:pPr>
            <w:r w:rsidRPr="00597FFB">
              <w:rPr>
                <w:rFonts w:asciiTheme="majorBidi" w:hAnsiTheme="majorBidi" w:cstheme="majorBidi"/>
              </w:rPr>
              <w:t>Theory verification</w:t>
            </w:r>
          </w:p>
        </w:tc>
        <w:tc>
          <w:tcPr>
            <w:tcW w:w="1895" w:type="dxa"/>
            <w:tcBorders>
              <w:bottom w:val="single" w:sz="4" w:space="0" w:color="auto"/>
            </w:tcBorders>
          </w:tcPr>
          <w:p w14:paraId="5154DD9D" w14:textId="5BB688BD" w:rsidR="003B321C" w:rsidRPr="00597FFB" w:rsidRDefault="003B321C" w:rsidP="003B321C">
            <w:pPr>
              <w:widowControl w:val="0"/>
              <w:ind w:firstLine="720"/>
              <w:rPr>
                <w:rFonts w:asciiTheme="majorBidi" w:hAnsiTheme="majorBidi" w:cstheme="majorBidi"/>
              </w:rPr>
            </w:pPr>
            <w:r w:rsidRPr="00597FFB">
              <w:rPr>
                <w:rFonts w:asciiTheme="majorBidi" w:hAnsiTheme="majorBidi" w:cstheme="majorBidi"/>
              </w:rPr>
              <w:t>Theory generation</w:t>
            </w:r>
          </w:p>
        </w:tc>
        <w:tc>
          <w:tcPr>
            <w:tcW w:w="2001" w:type="dxa"/>
            <w:tcBorders>
              <w:bottom w:val="single" w:sz="4" w:space="0" w:color="auto"/>
            </w:tcBorders>
          </w:tcPr>
          <w:p w14:paraId="3FC6C0F4" w14:textId="51C8EA82" w:rsidR="003B321C" w:rsidRPr="00597FFB" w:rsidRDefault="003B321C" w:rsidP="003B321C">
            <w:pPr>
              <w:widowControl w:val="0"/>
              <w:rPr>
                <w:rFonts w:asciiTheme="majorBidi" w:hAnsiTheme="majorBidi" w:cstheme="majorBidi"/>
              </w:rPr>
            </w:pPr>
            <w:r w:rsidRPr="00597FFB">
              <w:rPr>
                <w:rFonts w:asciiTheme="majorBidi" w:hAnsiTheme="majorBidi" w:cstheme="majorBidi"/>
              </w:rPr>
              <w:t>Change, emancipatory oriented</w:t>
            </w:r>
          </w:p>
        </w:tc>
        <w:tc>
          <w:tcPr>
            <w:tcW w:w="1842" w:type="dxa"/>
            <w:tcBorders>
              <w:bottom w:val="single" w:sz="4" w:space="0" w:color="auto"/>
            </w:tcBorders>
          </w:tcPr>
          <w:p w14:paraId="46E52037" w14:textId="6560C82A" w:rsidR="003B321C" w:rsidRPr="00597FFB" w:rsidRDefault="003B321C" w:rsidP="003B321C">
            <w:pPr>
              <w:widowControl w:val="0"/>
              <w:rPr>
                <w:rFonts w:asciiTheme="majorBidi" w:hAnsiTheme="majorBidi" w:cstheme="majorBidi"/>
              </w:rPr>
            </w:pPr>
            <w:r w:rsidRPr="00597FFB">
              <w:rPr>
                <w:rFonts w:asciiTheme="majorBidi" w:hAnsiTheme="majorBidi" w:cstheme="majorBidi"/>
              </w:rPr>
              <w:t>Real-world practice-oriented</w:t>
            </w:r>
          </w:p>
        </w:tc>
      </w:tr>
    </w:tbl>
    <w:p w14:paraId="45360B6D" w14:textId="323CC758" w:rsidR="00E41CB5" w:rsidRPr="00597FFB" w:rsidRDefault="00E41CB5" w:rsidP="00E41CB5">
      <w:pPr>
        <w:widowControl w:val="0"/>
        <w:spacing w:after="0" w:line="480" w:lineRule="auto"/>
        <w:rPr>
          <w:rFonts w:ascii="Times New Roman" w:eastAsiaTheme="minorHAnsi" w:hAnsi="Times New Roman" w:cs="Times New Roman"/>
          <w:i/>
          <w:iCs/>
          <w:sz w:val="20"/>
          <w:szCs w:val="20"/>
        </w:rPr>
      </w:pPr>
      <w:r w:rsidRPr="00597FFB">
        <w:rPr>
          <w:rFonts w:ascii="Times New Roman" w:eastAsiaTheme="minorHAnsi" w:hAnsi="Times New Roman" w:cs="Times New Roman"/>
          <w:i/>
          <w:iCs/>
          <w:sz w:val="20"/>
          <w:szCs w:val="20"/>
        </w:rPr>
        <w:t xml:space="preserve">Source: Adapted from </w:t>
      </w:r>
      <w:r w:rsidRPr="00597FFB">
        <w:rPr>
          <w:rFonts w:ascii="Times New Roman" w:eastAsiaTheme="minorHAnsi" w:hAnsi="Times New Roman" w:cs="Times New Roman"/>
          <w:i/>
          <w:iCs/>
          <w:sz w:val="20"/>
          <w:szCs w:val="20"/>
        </w:rPr>
        <w:fldChar w:fldCharType="begin"/>
      </w:r>
      <w:r w:rsidR="0002538C" w:rsidRPr="00597FFB">
        <w:rPr>
          <w:rFonts w:ascii="Times New Roman" w:eastAsiaTheme="minorHAnsi" w:hAnsi="Times New Roman" w:cs="Times New Roman"/>
          <w:i/>
          <w:iCs/>
          <w:sz w:val="20"/>
          <w:szCs w:val="20"/>
        </w:rPr>
        <w:instrText xml:space="preserve"> ADDIN ZOTERO_ITEM CSL_CITATION {"citationID":"HVsadzVh","properties":{"formattedCitation":"(Harrison et al., 2020)","plainCitation":"(Harrison et al., 2020)","dontUpdate":true,"noteIndex":0},"citationItems":[{"id":4488,"uris":["http://zotero.org/users/local/b6CRLSJH/items/W8J36IQK"],"itemData":{"id":4488,"type":"article-journal","abstract":"As mixed methods continues to grow as a discipline, work to define what constitutes quality mixed methods research has become an emergent conversation. While progress has been made in this area, there has been some debate as to what quality entails and how to achieve it. This article contributes to mixed methods by highlighting the importance of rigor as an interdisciplinary baseline for quality evaluation and proposes a rigorous mixed methods framework. This framework is then applied to the management studies literature to give insight into a literature base where mixed methods research is still relatively nascent. Findings give examples of current practices in management studies as well as an example of how the rigorous mixed methods framework can be operationalized.","container-title":"Journal of Mixed Methods Research","DOI":"10.1177/1558689819900585","ISSN":"1558-6898, 1558-6901","issue":"4","journalAbbreviation":"Journal of Mixed Methods Research","language":"en","page":"473-495","source":"DOI.org (Crossref)","title":"Methodological Rigor in Mixed Methods: An Application in Management Studies","title-short":"Methodological Rigor in Mixed Methods","volume":"14","author":[{"family":"Harrison","given":"Robert L."},{"family":"Reilly","given":"Timothy M."},{"family":"Creswell","given":"John W."}],"issued":{"date-parts":[["2020",10]]}}}],"schema":"https://github.com/citation-style-language/schema/raw/master/csl-citation.json"} </w:instrText>
      </w:r>
      <w:r w:rsidRPr="00597FFB">
        <w:rPr>
          <w:rFonts w:ascii="Times New Roman" w:eastAsiaTheme="minorHAnsi" w:hAnsi="Times New Roman" w:cs="Times New Roman"/>
          <w:i/>
          <w:iCs/>
          <w:sz w:val="20"/>
          <w:szCs w:val="20"/>
        </w:rPr>
        <w:fldChar w:fldCharType="separate"/>
      </w:r>
      <w:r w:rsidRPr="00597FFB">
        <w:rPr>
          <w:rFonts w:ascii="Times New Roman" w:eastAsiaTheme="minorHAnsi" w:hAnsi="Times New Roman" w:cs="Times New Roman"/>
          <w:i/>
          <w:iCs/>
          <w:sz w:val="20"/>
          <w:szCs w:val="20"/>
        </w:rPr>
        <w:t>Harrison et al. (2020)</w:t>
      </w:r>
      <w:r w:rsidRPr="00597FFB">
        <w:rPr>
          <w:rFonts w:ascii="Times New Roman" w:eastAsiaTheme="minorHAnsi" w:hAnsi="Times New Roman" w:cs="Times New Roman"/>
          <w:i/>
          <w:iCs/>
          <w:sz w:val="20"/>
          <w:szCs w:val="20"/>
        </w:rPr>
        <w:fldChar w:fldCharType="end"/>
      </w:r>
      <w:r w:rsidR="00DD61A0" w:rsidRPr="00597FFB">
        <w:rPr>
          <w:rFonts w:ascii="Times New Roman" w:eastAsiaTheme="minorHAnsi" w:hAnsi="Times New Roman" w:cs="Times New Roman"/>
          <w:i/>
          <w:iCs/>
          <w:sz w:val="20"/>
          <w:szCs w:val="20"/>
        </w:rPr>
        <w:t xml:space="preserve"> </w:t>
      </w:r>
      <w:r w:rsidRPr="00597FFB">
        <w:rPr>
          <w:rFonts w:ascii="Times New Roman" w:eastAsiaTheme="minorHAnsi" w:hAnsi="Times New Roman" w:cs="Times New Roman"/>
          <w:i/>
          <w:iCs/>
          <w:sz w:val="20"/>
          <w:szCs w:val="20"/>
        </w:rPr>
        <w:t>based on Creswell and Creswell (2017)</w:t>
      </w:r>
      <w:r w:rsidR="001646C7" w:rsidRPr="00597FFB">
        <w:rPr>
          <w:rFonts w:ascii="Times New Roman" w:eastAsiaTheme="minorHAnsi" w:hAnsi="Times New Roman" w:cs="Times New Roman"/>
          <w:i/>
          <w:iCs/>
          <w:sz w:val="20"/>
          <w:szCs w:val="20"/>
        </w:rPr>
        <w:t>.</w:t>
      </w:r>
    </w:p>
    <w:p w14:paraId="74AE7019" w14:textId="19A64113" w:rsidR="00B245F4" w:rsidRPr="00597FFB" w:rsidRDefault="00E41CB5" w:rsidP="00DD61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identification of the research philosophy and approach informed the process of the research methods. This entailed the identification of the research philosophy was followed by identifying the research approach with reference to the research purposes, identification of the research design, definition of the data collection procedures, processing and analyzing the data, and reporting of findings. The research methods’ process is illustrated in Figure </w:t>
      </w:r>
      <w:r w:rsidR="00B245F4" w:rsidRPr="00597FFB">
        <w:rPr>
          <w:rFonts w:ascii="Times New Roman" w:eastAsiaTheme="minorHAnsi" w:hAnsi="Times New Roman" w:cs="Times New Roman"/>
          <w:sz w:val="24"/>
          <w:szCs w:val="24"/>
        </w:rPr>
        <w:t xml:space="preserve">10 </w:t>
      </w:r>
      <w:r w:rsidRPr="00597FFB">
        <w:rPr>
          <w:rFonts w:ascii="Times New Roman" w:eastAsiaTheme="minorHAnsi" w:hAnsi="Times New Roman" w:cs="Times New Roman"/>
          <w:sz w:val="24"/>
          <w:szCs w:val="24"/>
        </w:rPr>
        <w:t>below.</w:t>
      </w:r>
    </w:p>
    <w:p w14:paraId="3E503890" w14:textId="3A28CE20" w:rsidR="00E41CB5" w:rsidRPr="00597FFB" w:rsidRDefault="00E41CB5" w:rsidP="00E41CB5">
      <w:pPr>
        <w:keepNext/>
        <w:widowControl w:val="0"/>
        <w:spacing w:after="0" w:line="240" w:lineRule="auto"/>
        <w:jc w:val="both"/>
        <w:rPr>
          <w:rFonts w:ascii="Times New Roman" w:eastAsiaTheme="minorHAnsi" w:hAnsi="Times New Roman" w:cs="Times New Roman"/>
          <w:i/>
          <w:iCs/>
          <w:color w:val="000000" w:themeColor="text1"/>
        </w:rPr>
      </w:pPr>
      <w:r w:rsidRPr="00597FFB">
        <w:rPr>
          <w:rFonts w:ascii="Times New Roman" w:eastAsiaTheme="minorHAnsi" w:hAnsi="Times New Roman" w:cs="Times New Roman"/>
          <w:b/>
          <w:bCs/>
          <w:color w:val="000000" w:themeColor="text1"/>
        </w:rPr>
        <w:t xml:space="preserve">Figure </w:t>
      </w:r>
      <w:r w:rsidR="005C10A2" w:rsidRPr="00597FFB">
        <w:rPr>
          <w:rFonts w:ascii="Times New Roman" w:eastAsiaTheme="minorHAnsi" w:hAnsi="Times New Roman" w:cs="Times New Roman"/>
          <w:b/>
          <w:bCs/>
          <w:color w:val="000000" w:themeColor="text1"/>
        </w:rPr>
        <w:t>10:</w:t>
      </w:r>
      <w:r w:rsidR="005C10A2" w:rsidRPr="00597FFB">
        <w:rPr>
          <w:rFonts w:ascii="Times New Roman" w:eastAsiaTheme="minorHAnsi" w:hAnsi="Times New Roman" w:cs="Times New Roman"/>
          <w:i/>
          <w:iCs/>
          <w:color w:val="000000" w:themeColor="text1"/>
        </w:rPr>
        <w:t xml:space="preserve"> </w:t>
      </w:r>
      <w:r w:rsidRPr="00597FFB">
        <w:rPr>
          <w:rFonts w:ascii="Times New Roman" w:eastAsiaTheme="minorHAnsi" w:hAnsi="Times New Roman" w:cs="Times New Roman"/>
          <w:i/>
          <w:iCs/>
          <w:color w:val="000000" w:themeColor="text1"/>
        </w:rPr>
        <w:t xml:space="preserve">Research </w:t>
      </w:r>
      <w:r w:rsidR="005C10A2" w:rsidRPr="00597FFB">
        <w:rPr>
          <w:rFonts w:ascii="Times New Roman" w:eastAsiaTheme="minorHAnsi" w:hAnsi="Times New Roman" w:cs="Times New Roman"/>
          <w:i/>
          <w:iCs/>
          <w:color w:val="000000" w:themeColor="text1"/>
        </w:rPr>
        <w:t>Method Process</w:t>
      </w:r>
      <w:r w:rsidR="00BF0E4C" w:rsidRPr="00597FFB">
        <w:rPr>
          <w:rFonts w:ascii="Times New Roman" w:eastAsiaTheme="minorHAnsi" w:hAnsi="Times New Roman" w:cs="Times New Roman"/>
          <w:i/>
          <w:iCs/>
          <w:color w:val="000000" w:themeColor="text1"/>
        </w:rPr>
        <w:t>.</w:t>
      </w:r>
    </w:p>
    <w:p w14:paraId="2696CEB2" w14:textId="77EA2D4E" w:rsidR="00E41CB5" w:rsidRPr="00597FFB" w:rsidRDefault="00B62C0D" w:rsidP="00E41CB5">
      <w:pPr>
        <w:jc w:val="center"/>
        <w:rPr>
          <w:rFonts w:ascii="Times New Roman" w:hAnsi="Times New Roman" w:cs="Times New Roman"/>
          <w:b/>
          <w:bCs/>
          <w:color w:val="000000" w:themeColor="text1"/>
          <w:sz w:val="24"/>
          <w:szCs w:val="24"/>
        </w:rPr>
      </w:pPr>
      <w:r w:rsidRPr="00597FFB">
        <w:rPr>
          <w:rFonts w:ascii="Times New Roman" w:eastAsiaTheme="minorHAnsi" w:hAnsi="Times New Roman" w:cs="Times New Roman"/>
          <w:noProof/>
          <w:kern w:val="24"/>
          <w:sz w:val="24"/>
          <w:szCs w:val="24"/>
          <w:lang w:eastAsia="ja-JP"/>
        </w:rPr>
        <mc:AlternateContent>
          <mc:Choice Requires="wpg">
            <w:drawing>
              <wp:anchor distT="0" distB="0" distL="114300" distR="114300" simplePos="0" relativeHeight="251667456" behindDoc="1" locked="0" layoutInCell="1" allowOverlap="1" wp14:anchorId="651EDED5" wp14:editId="3284C225">
                <wp:simplePos x="0" y="0"/>
                <wp:positionH relativeFrom="margin">
                  <wp:align>left</wp:align>
                </wp:positionH>
                <wp:positionV relativeFrom="paragraph">
                  <wp:posOffset>287094</wp:posOffset>
                </wp:positionV>
                <wp:extent cx="4737735" cy="4132580"/>
                <wp:effectExtent l="0" t="0" r="24765" b="20320"/>
                <wp:wrapTight wrapText="bothSides">
                  <wp:wrapPolygon edited="0">
                    <wp:start x="0" y="0"/>
                    <wp:lineTo x="0" y="4978"/>
                    <wp:lineTo x="16154" y="6372"/>
                    <wp:lineTo x="955" y="7169"/>
                    <wp:lineTo x="0" y="7169"/>
                    <wp:lineTo x="0" y="13342"/>
                    <wp:lineTo x="2779" y="14338"/>
                    <wp:lineTo x="4256" y="14338"/>
                    <wp:lineTo x="3995" y="15931"/>
                    <wp:lineTo x="0" y="16429"/>
                    <wp:lineTo x="0" y="21607"/>
                    <wp:lineTo x="21626" y="21607"/>
                    <wp:lineTo x="21626" y="16429"/>
                    <wp:lineTo x="5559" y="15931"/>
                    <wp:lineTo x="5298" y="14338"/>
                    <wp:lineTo x="10943" y="14338"/>
                    <wp:lineTo x="21626" y="13342"/>
                    <wp:lineTo x="21626" y="7667"/>
                    <wp:lineTo x="17197" y="6372"/>
                    <wp:lineTo x="17631" y="6372"/>
                    <wp:lineTo x="21626" y="4978"/>
                    <wp:lineTo x="21626" y="0"/>
                    <wp:lineTo x="0" y="0"/>
                  </wp:wrapPolygon>
                </wp:wrapTight>
                <wp:docPr id="59" name="Group 59"/>
                <wp:cNvGraphicFramePr/>
                <a:graphic xmlns:a="http://schemas.openxmlformats.org/drawingml/2006/main">
                  <a:graphicData uri="http://schemas.microsoft.com/office/word/2010/wordprocessingGroup">
                    <wpg:wgp>
                      <wpg:cNvGrpSpPr/>
                      <wpg:grpSpPr>
                        <a:xfrm>
                          <a:off x="0" y="0"/>
                          <a:ext cx="4737735" cy="4132580"/>
                          <a:chOff x="0" y="0"/>
                          <a:chExt cx="5794664" cy="3906982"/>
                        </a:xfrm>
                      </wpg:grpSpPr>
                      <wps:wsp>
                        <wps:cNvPr id="69" name="Rectangle 69"/>
                        <wps:cNvSpPr/>
                        <wps:spPr>
                          <a:xfrm>
                            <a:off x="0" y="0"/>
                            <a:ext cx="2552700" cy="890270"/>
                          </a:xfrm>
                          <a:prstGeom prst="rect">
                            <a:avLst/>
                          </a:prstGeom>
                          <a:solidFill>
                            <a:srgbClr val="FFFF00"/>
                          </a:solidFill>
                          <a:ln w="12700" cap="flat" cmpd="sng" algn="ctr">
                            <a:solidFill>
                              <a:sysClr val="windowText" lastClr="000000"/>
                            </a:solidFill>
                            <a:prstDash val="solid"/>
                            <a:miter lim="800000"/>
                          </a:ln>
                          <a:effectLst/>
                        </wps:spPr>
                        <wps:txbx>
                          <w:txbxContent>
                            <w:p w14:paraId="6C150A2E"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Identification of Research Philosophy</w:t>
                              </w:r>
                            </w:p>
                            <w:p w14:paraId="7E347527"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(Positivist)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3218213" y="0"/>
                            <a:ext cx="2553194" cy="890649"/>
                          </a:xfrm>
                          <a:prstGeom prst="rect">
                            <a:avLst/>
                          </a:prstGeom>
                          <a:solidFill>
                            <a:srgbClr val="70AD47">
                              <a:lumMod val="20000"/>
                              <a:lumOff val="80000"/>
                            </a:srgbClr>
                          </a:solidFill>
                          <a:ln w="12700" cap="flat" cmpd="sng" algn="ctr">
                            <a:solidFill>
                              <a:sysClr val="windowText" lastClr="000000"/>
                            </a:solidFill>
                            <a:prstDash val="solid"/>
                            <a:miter lim="800000"/>
                          </a:ln>
                          <a:effectLst/>
                        </wps:spPr>
                        <wps:txbx>
                          <w:txbxContent>
                            <w:p w14:paraId="3D7F4F7B" w14:textId="77777777" w:rsidR="00B62C0D" w:rsidRPr="00233E30" w:rsidRDefault="00B62C0D" w:rsidP="00B62C0D">
                              <w:pPr>
                                <w:spacing w:after="0" w:line="240" w:lineRule="auto"/>
                                <w:jc w:val="center"/>
                                <w:rPr>
                                  <w:rFonts w:ascii="Times New Roman" w:hAnsi="Times New Roman" w:cs="Times New Roman"/>
                                  <w:b/>
                                  <w:bCs/>
                                  <w:color w:val="000000" w:themeColor="text1"/>
                                  <w:sz w:val="24"/>
                                  <w:szCs w:val="24"/>
                                </w:rPr>
                              </w:pPr>
                              <w:r w:rsidRPr="00233E30">
                                <w:rPr>
                                  <w:rFonts w:ascii="Times New Roman" w:hAnsi="Times New Roman" w:cs="Times New Roman"/>
                                  <w:b/>
                                  <w:bCs/>
                                  <w:color w:val="000000" w:themeColor="text1"/>
                                  <w:sz w:val="24"/>
                                  <w:szCs w:val="24"/>
                                </w:rPr>
                                <w:t>Identification of Research Approach with Reference to Research Purpose</w:t>
                              </w:r>
                            </w:p>
                            <w:p w14:paraId="5818F454" w14:textId="77777777" w:rsidR="00B62C0D"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F585B">
                                <w:rPr>
                                  <w:rFonts w:ascii="Times New Roman" w:hAnsi="Times New Roman" w:cs="Times New Roman"/>
                                  <w:color w:val="000000" w:themeColor="text1"/>
                                  <w:sz w:val="24"/>
                                  <w:szCs w:val="24"/>
                                </w:rPr>
                                <w:t>explanatory research</w:t>
                              </w:r>
                              <w:r>
                                <w:rPr>
                                  <w:rFonts w:ascii="Times New Roman" w:hAnsi="Times New Roman" w:cs="Times New Roman"/>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3218213" y="1401289"/>
                            <a:ext cx="2553194" cy="996561"/>
                          </a:xfrm>
                          <a:prstGeom prst="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14:paraId="506221C4"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Identification of Research Design</w:t>
                              </w:r>
                            </w:p>
                            <w:p w14:paraId="5FB64194"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F585B">
                                <w:rPr>
                                  <w:rFonts w:ascii="Times New Roman" w:hAnsi="Times New Roman" w:cs="Times New Roman"/>
                                  <w:color w:val="000000" w:themeColor="text1"/>
                                  <w:sz w:val="24"/>
                                  <w:szCs w:val="24"/>
                                </w:rPr>
                                <w:t>descriptive, non-interventional, cross-sectional survey quantitative design</w:t>
                              </w:r>
                              <w:r>
                                <w:rPr>
                                  <w:rFonts w:ascii="Times New Roman" w:hAnsi="Times New Roman" w:cs="Times New Roman"/>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1876" y="1306286"/>
                            <a:ext cx="2552700" cy="1091565"/>
                          </a:xfrm>
                          <a:prstGeom prst="rect">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6DFEC1C0"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Defining Data Collection Procedures</w:t>
                              </w:r>
                            </w:p>
                            <w:p w14:paraId="615BCDAC"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(UAE millennials, convenience sampling, survey design, pilot testing, online survey administration,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Arrow: Right 80"/>
                        <wps:cNvSpPr/>
                        <wps:spPr>
                          <a:xfrm>
                            <a:off x="2553195" y="268432"/>
                            <a:ext cx="665513" cy="338328"/>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Arrow: Down 81"/>
                        <wps:cNvSpPr/>
                        <wps:spPr>
                          <a:xfrm>
                            <a:off x="4306042" y="890650"/>
                            <a:ext cx="334909" cy="511019"/>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Arrow: Left 134"/>
                        <wps:cNvSpPr/>
                        <wps:spPr>
                          <a:xfrm>
                            <a:off x="2572245" y="1669720"/>
                            <a:ext cx="649224" cy="33782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0" y="2992582"/>
                            <a:ext cx="2552700" cy="914400"/>
                          </a:xfrm>
                          <a:prstGeom prst="rect">
                            <a:avLst/>
                          </a:prstGeom>
                          <a:solidFill>
                            <a:srgbClr val="E7E6E6">
                              <a:lumMod val="90000"/>
                            </a:srgbClr>
                          </a:solidFill>
                          <a:ln w="12700" cap="flat" cmpd="sng" algn="ctr">
                            <a:solidFill>
                              <a:sysClr val="windowText" lastClr="000000"/>
                            </a:solidFill>
                            <a:prstDash val="solid"/>
                            <a:miter lim="800000"/>
                          </a:ln>
                          <a:effectLst/>
                        </wps:spPr>
                        <wps:txbx>
                          <w:txbxContent>
                            <w:p w14:paraId="19EE211E"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Data Processing &amp; Analysis</w:t>
                              </w:r>
                            </w:p>
                            <w:p w14:paraId="5F79495F"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(Descriptive + Inferential Analysis, Reliability, Validity, PLS-SEM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Arrow: Down 136"/>
                        <wps:cNvSpPr/>
                        <wps:spPr>
                          <a:xfrm>
                            <a:off x="1111580" y="2398816"/>
                            <a:ext cx="334909" cy="59376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3241964" y="2992582"/>
                            <a:ext cx="2552700" cy="914400"/>
                          </a:xfrm>
                          <a:prstGeom prst="rect">
                            <a:avLst/>
                          </a:prstGeom>
                          <a:solidFill>
                            <a:srgbClr val="00B0F0"/>
                          </a:solidFill>
                          <a:ln w="12700" cap="flat" cmpd="sng" algn="ctr">
                            <a:solidFill>
                              <a:sysClr val="windowText" lastClr="000000"/>
                            </a:solidFill>
                            <a:prstDash val="solid"/>
                            <a:miter lim="800000"/>
                          </a:ln>
                          <a:effectLst/>
                        </wps:spPr>
                        <wps:txbx>
                          <w:txbxContent>
                            <w:p w14:paraId="4B00BAAC"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Reporting of Findings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Arrow: Right 138"/>
                        <wps:cNvSpPr/>
                        <wps:spPr>
                          <a:xfrm>
                            <a:off x="2576946" y="3284765"/>
                            <a:ext cx="665513" cy="338328"/>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1EDED5" id="Group 59" o:spid="_x0000_s1119" style="position:absolute;left:0;text-align:left;margin-left:0;margin-top:22.6pt;width:373.05pt;height:325.4pt;z-index:-251649024;mso-position-horizontal:left;mso-position-horizontal-relative:margin;mso-position-vertical-relative:text;mso-width-relative:margin;mso-height-relative:margin" coordsize="57946,39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">
                <v:rect id="Rectangle 69" o:spid="_x0000_s1120" style="position:absolute;width:25527;height: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" fillcolor="yellow" strokecolor="windowText" strokeweight="1pt">
                  <v:textbox>
                    <w:txbxContent>
                      <w:p w14:paraId="6C150A2E"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Identification of Research Philosophy</w:t>
                        </w:r>
                      </w:p>
                      <w:p w14:paraId="7E347527"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(Positivist)</w:t>
                        </w:r>
                      </w:p>
                    </w:txbxContent>
                  </v:textbox>
                </v:rect>
                <v:rect id="Rectangle 70" o:spid="_x0000_s1121" style="position:absolute;left:32182;width:25532;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" fillcolor="#e2f0d9" strokecolor="windowText" strokeweight="1pt">
                  <v:textbox>
                    <w:txbxContent>
                      <w:p w14:paraId="3D7F4F7B" w14:textId="77777777" w:rsidR="00B62C0D" w:rsidRPr="00233E30" w:rsidRDefault="00B62C0D" w:rsidP="00B62C0D">
                        <w:pPr>
                          <w:spacing w:after="0" w:line="240" w:lineRule="auto"/>
                          <w:jc w:val="center"/>
                          <w:rPr>
                            <w:rFonts w:ascii="Times New Roman" w:hAnsi="Times New Roman" w:cs="Times New Roman"/>
                            <w:b/>
                            <w:bCs/>
                            <w:color w:val="000000" w:themeColor="text1"/>
                            <w:sz w:val="24"/>
                            <w:szCs w:val="24"/>
                          </w:rPr>
                        </w:pPr>
                        <w:r w:rsidRPr="00233E30">
                          <w:rPr>
                            <w:rFonts w:ascii="Times New Roman" w:hAnsi="Times New Roman" w:cs="Times New Roman"/>
                            <w:b/>
                            <w:bCs/>
                            <w:color w:val="000000" w:themeColor="text1"/>
                            <w:sz w:val="24"/>
                            <w:szCs w:val="24"/>
                          </w:rPr>
                          <w:t>Identification of Research Approach with Reference to Research Purpose</w:t>
                        </w:r>
                      </w:p>
                      <w:p w14:paraId="5818F454" w14:textId="77777777" w:rsidR="00B62C0D"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F585B">
                          <w:rPr>
                            <w:rFonts w:ascii="Times New Roman" w:hAnsi="Times New Roman" w:cs="Times New Roman"/>
                            <w:color w:val="000000" w:themeColor="text1"/>
                            <w:sz w:val="24"/>
                            <w:szCs w:val="24"/>
                          </w:rPr>
                          <w:t>explanatory research</w:t>
                        </w:r>
                        <w:r>
                          <w:rPr>
                            <w:rFonts w:ascii="Times New Roman" w:hAnsi="Times New Roman" w:cs="Times New Roman"/>
                            <w:color w:val="000000" w:themeColor="text1"/>
                            <w:sz w:val="24"/>
                            <w:szCs w:val="24"/>
                          </w:rPr>
                          <w:t>)</w:t>
                        </w:r>
                      </w:p>
                    </w:txbxContent>
                  </v:textbox>
                </v:rect>
                <v:rect id="Rectangle 72" o:spid="_x0000_s1122" style="position:absolute;left:32182;top:14012;width:25532;height:9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" fillcolor="#f8cbad" strokecolor="windowText" strokeweight="1pt">
                  <v:textbox>
                    <w:txbxContent>
                      <w:p w14:paraId="506221C4"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Identification of Research Design</w:t>
                        </w:r>
                      </w:p>
                      <w:p w14:paraId="5FB64194"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F585B">
                          <w:rPr>
                            <w:rFonts w:ascii="Times New Roman" w:hAnsi="Times New Roman" w:cs="Times New Roman"/>
                            <w:color w:val="000000" w:themeColor="text1"/>
                            <w:sz w:val="24"/>
                            <w:szCs w:val="24"/>
                          </w:rPr>
                          <w:t>descriptive, non-interventional, cross-sectional survey quantitative design</w:t>
                        </w:r>
                        <w:r>
                          <w:rPr>
                            <w:rFonts w:ascii="Times New Roman" w:hAnsi="Times New Roman" w:cs="Times New Roman"/>
                            <w:color w:val="000000" w:themeColor="text1"/>
                            <w:sz w:val="24"/>
                            <w:szCs w:val="24"/>
                          </w:rPr>
                          <w:t>)</w:t>
                        </w:r>
                      </w:p>
                    </w:txbxContent>
                  </v:textbox>
                </v:rect>
                <v:rect id="Rectangle 73" o:spid="_x0000_s1123" style="position:absolute;left:118;top:13062;width:25527;height:10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" fillcolor="#bdd7ee" strokecolor="windowText" strokeweight="1pt">
                  <v:textbox>
                    <w:txbxContent>
                      <w:p w14:paraId="6DFEC1C0"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Defining Data Collection Procedures</w:t>
                        </w:r>
                      </w:p>
                      <w:p w14:paraId="615BCDAC"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(UAE millennials, convenience sampling, survey design, pilot testing, online survey administration, etc.)</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0" o:spid="_x0000_s1124" type="#_x0000_t13" style="position:absolute;left:25531;top:2684;width:6656;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" adj="16110" fillcolor="#4472c4" strokecolor="#2f528f"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1" o:spid="_x0000_s1125" type="#_x0000_t67" style="position:absolute;left:43060;top:8906;width:3349;height:5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" adj="14522" fillcolor="#4472c4" strokecolor="#2f528f"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4" o:spid="_x0000_s1126" type="#_x0000_t66" style="position:absolute;left:25722;top:16697;width:6492;height: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" adj="5620" fillcolor="#4472c4" strokecolor="#2f528f" strokeweight="1pt"/>
                <v:rect id="Rectangle 135" o:spid="_x0000_s1127" style="position:absolute;top:29925;width:2552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" fillcolor="#d0cece" strokecolor="windowText" strokeweight="1pt">
                  <v:textbox>
                    <w:txbxContent>
                      <w:p w14:paraId="19EE211E"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sidRPr="00311125">
                          <w:rPr>
                            <w:rFonts w:ascii="Times New Roman" w:hAnsi="Times New Roman" w:cs="Times New Roman"/>
                            <w:b/>
                            <w:bCs/>
                            <w:color w:val="000000" w:themeColor="text1"/>
                            <w:sz w:val="24"/>
                            <w:szCs w:val="24"/>
                          </w:rPr>
                          <w:t>Data Processing &amp; Analysis</w:t>
                        </w:r>
                      </w:p>
                      <w:p w14:paraId="5F79495F" w14:textId="77777777" w:rsidR="00B62C0D" w:rsidRPr="00311125" w:rsidRDefault="00B62C0D" w:rsidP="00B62C0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(Descriptive + Inferential Analysis, Reliability, Validity, PLS-SEM</w:t>
                        </w:r>
                      </w:p>
                    </w:txbxContent>
                  </v:textbox>
                </v:rect>
                <v:shape id="Arrow: Down 136" o:spid="_x0000_s1128" type="#_x0000_t67" style="position:absolute;left:11115;top:23988;width:3349;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" adj="15508" fillcolor="#4472c4" strokecolor="#2f528f" strokeweight="1pt"/>
                <v:rect id="Rectangle 137" o:spid="_x0000_s1129" style="position:absolute;left:32419;top:29925;width:2552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" fillcolor="#00b0f0" strokecolor="windowText" strokeweight="1pt">
                  <v:textbox>
                    <w:txbxContent>
                      <w:p w14:paraId="4B00BAAC" w14:textId="77777777" w:rsidR="00B62C0D" w:rsidRPr="00311125" w:rsidRDefault="00B62C0D" w:rsidP="00B62C0D">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Reporting of Findings</w:t>
                        </w:r>
                      </w:p>
                    </w:txbxContent>
                  </v:textbox>
                </v:rect>
                <v:shape id="Arrow: Right 138" o:spid="_x0000_s1130" type="#_x0000_t13" style="position:absolute;left:25769;top:32847;width:6655;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" adj="16110" fillcolor="#4472c4" strokecolor="#2f528f" strokeweight="1pt"/>
                <w10:wrap type="tight" anchorx="margin"/>
              </v:group>
            </w:pict>
          </mc:Fallback>
        </mc:AlternateContent>
      </w:r>
    </w:p>
    <w:p w14:paraId="1CCC5DC6" w14:textId="75F94C1F" w:rsidR="00B62C0D" w:rsidRPr="00597FFB" w:rsidRDefault="00B62C0D" w:rsidP="00E41CB5">
      <w:pPr>
        <w:jc w:val="center"/>
        <w:rPr>
          <w:rFonts w:ascii="Times New Roman" w:hAnsi="Times New Roman" w:cs="Times New Roman"/>
          <w:b/>
          <w:bCs/>
          <w:color w:val="000000" w:themeColor="text1"/>
          <w:sz w:val="24"/>
          <w:szCs w:val="24"/>
        </w:rPr>
      </w:pPr>
    </w:p>
    <w:p w14:paraId="28CDEC9B" w14:textId="75029520" w:rsidR="00B62C0D" w:rsidRPr="00597FFB" w:rsidRDefault="00B62C0D" w:rsidP="00E41CB5">
      <w:pPr>
        <w:jc w:val="center"/>
        <w:rPr>
          <w:rFonts w:ascii="Times New Roman" w:hAnsi="Times New Roman" w:cs="Times New Roman"/>
          <w:b/>
          <w:bCs/>
          <w:color w:val="000000" w:themeColor="text1"/>
          <w:sz w:val="24"/>
          <w:szCs w:val="24"/>
        </w:rPr>
      </w:pPr>
    </w:p>
    <w:p w14:paraId="0284491A" w14:textId="77777777" w:rsidR="00E41CB5" w:rsidRPr="00597FFB" w:rsidRDefault="00E41CB5" w:rsidP="00E41CB5">
      <w:pPr>
        <w:widowControl w:val="0"/>
        <w:spacing w:after="0" w:line="240" w:lineRule="auto"/>
        <w:jc w:val="both"/>
        <w:rPr>
          <w:rFonts w:ascii="Times New Roman" w:eastAsiaTheme="minorHAnsi" w:hAnsi="Times New Roman" w:cs="Times New Roman"/>
          <w:sz w:val="24"/>
          <w:szCs w:val="24"/>
        </w:rPr>
      </w:pPr>
    </w:p>
    <w:p w14:paraId="27F51408"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For the current research, positivism was deemed the most appropriate philosophy since it provided the most ideal opportunity to conduct objective research and to achieve findings that could be generalized to the entire population of UAE millennials and this was not achievable with the other research philosophies (cf. Bell, Harley, &amp; Bryman, 2022; Saunders et al., 2019). Moreover, positivism was well applicable in combination with deductive research and a quantitative research approach (Saunders et al., 2019). Positivism reflected a natural phenomenon in which the social reality of UAE millennials’ behavior toward EWR could be observed and measured through developing and testing hypotheses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{"citationID":"JWP0VpUJ","properties":{"formattedCitation":"(Duignan &amp; Autschbach, 2016)","plainCitation":"(Duignan &amp; Autschbach, 2016)","noteIndex":0},"citationItems":[{"id":4410,"uris":["http://zotero.org/users/local/b6CRLSJH/items/48NIAQXC"],"itemData":{"id":4410,"type":"article-journal","container-title":"Journal of Chemical Theory and Computation","DOI":"10.1021/acs.jctc.6b00238","ISSN":"1549-9618, 1549-9626","issue":"7","journalAbbreviation":"J. Chem. Theory Comput.","language":"en","page":"3109-3121","source":"DOI.org (Crossref)","title":"Impact of the Kohn–Sham Delocalization Error on the 4f Shell Localization and Population in Lanthanide Complexes","volume":"12","author":[{"family":"Duignan","given":"Thomas J."},{"family":"Autschbach","given":"Jochen"}],"issued":{"date-parts":[["2016",7,12]]}}}],"schema":"https://github.com/citation-style-language/schema/raw/master/csl-citation.json"}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(Duignan &amp; Autschbach, 2016)</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p>
    <w:p w14:paraId="000E497C" w14:textId="67E0F819"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As explained by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{"citationID":"TK6Vg2V5","properties":{"formattedCitation":"(Arocha, 2021)","plainCitation":"(Arocha, 2021)","dontUpdate":true,"noteIndex":0},"citationItems":[{"id":4492,"uris":["http://zotero.org/users/local/b6CRLSJH/items/JYMFHJQY"],"itemData":{"id":4492,"type":"article-journal","abstract":"The purpose of this article is to present a critical analysis of current research practices in the study of behavior from the point of view of scientific realism. Although the so-called “replication crisis” observed in the psychological and health sciences has led to various proposals for improving research quality, most of those proposals take the standard linear input–output approach for granted, where behavioral variability is seen as the result of uncontrolled random variables hiding the true input–output relations. Aggregate data and the computation of sample statistics are used to estimate population parameters, the true reality behind appearances. In this paper, I offer a different interpretation: variability is a fact of behavior necessary for successful performance, not the result of some unknown variables randomly affecting individual outputs. Research models that take individual behavior with all of its complexity as the real thing, can help us overcome the limitations of the standard approach to research. As an illustration, I also describe two approaches to behavioral investigations that do not rely on standard statistical analysis for producing genuine knowledge: perceptual control theory and observation-oriented modeling.","container-title":"Theory &amp; Psychology","DOI":"10.1177/0959354320935972","ISSN":"0959-3543, 1461-7447","issue":"3","journalAbbreviation":"Theory &amp; Psychology","language":"en","page":"375-398","source":"DOI.org (Crossref)","title":"Scientific realism and the issue of variability in behavior","volume":"31","author":[{"family":"Arocha","given":"J. F."}],"issued":{"date-parts":[["2021",6]]}}}],"schema":"https://github.com/citation-style-language/schema/raw/master/csl-citation.json"}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Arocha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researcher, as a positivist, further relied on the assumption that he remained objective and independent of the research process. This required that the researcher detach themselves from the study’s topic and conduct the research from an external and critical point of view. In the current study, the researcher is not a millennial and this enhanced his ability to approach this research about the EWR behavior of UAE millennials from an unbiased perspective. Moreover, objectivity was further enhanced by the fact that the current topic and the research process were not addressing the specific needs of a specific company or organization when conducting applied research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{"citationID":"a5pfJa6F","properties":{"formattedCitation":"(Matthay et al., 2020)","plainCitation":"(Matthay et al., 2020)","noteIndex":0},"citationItems":[{"id":4417,"uris":["http://zotero.org/users/local/b6CRLSJH/items/ZAP644FC"],"itemData":{"id":4417,"type":"article-journal","container-title":"SSM - Population Health","DOI":"10.1016/j.ssmph.2019.100526","ISSN":"23528273","journalAbbreviation":"SSM - Population Health","language":"en","page":"100526","source":"DOI.org (Crossref)","title":"Alternative causal inference methods in population health research: Evaluating tradeoffs and triangulating evidence","title-short":"Alternative causal inference methods in population health research","volume":"10","author":[{"family":"Matthay","given":"Ellicott C."},{"family":"Hagan","given":"Erin"},{"family":"Gottlieb","given":"Laura M."},{"family":"Tan","given":"May Lynn"},{"family":"Vlahov","given":"David"},{"family":"Adler","given":"Nancy E."},{"family":"Glymour","given":"M. Maria"}],"issued":{"date-parts":[["2020",4]]}}}],"schema":"https://github.com/citation-style-language/schema/raw/master/csl-citation.json"}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(Matthay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Since the researcher had never taken part in EWR before, this enhanced objectivity further and allowed the researcher to examine the concept critically. This unbiased standpoint towards the researched topic is in line with the lack of value-based enquiry reflected in the positivist approach. Hence, the researcher did not interfere with or manipulate the substance of the data collected and the subsequent conclusions drawn  to suit a given case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{"citationID":"NAdIHrmT","properties":{"formattedCitation":"(M. N. K. Saunders et al., 2019)","plainCitation":"(M. N. K. Saunders et al., 2019)","dontUpdate":true,"noteIndex":0},"citationItems":[{"id":4405,"uris":["http://zotero.org/users/local/b6CRLSJH/items/5URS84H6"],"itemData":{"id":4405,"type":"book","call-number":"HD30.4 .S28 2019","edition":"Eighth Edition","event-place":"New York","ISBN":"978-1-292-20878-7","publisher":"Pearson","publisher-place":"New York","source":"Library of Congress ISBN","title":"Research methods for business students","author":[{"family":"Saunders","given":"M. N. K."},{"family":"Lewis","given":"Philip"},{"family":"Thornhill","given":"Adrian"}],"issued":{"date-parts":[["2019"]]}}}],"schema":"https://github.com/citation-style-language/schema/raw/master/csl-citation.json"}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(Saunders et al.,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3F25C49B" w14:textId="7657EF4D"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Although post-positivism may have been a potentially applicable research philosophy, it was deemed inappropriate for this research because it the school of thought challenging the strict assumption of the absolute truth of knowledge by the positivists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{"citationID":"7e6cNpPx","properties":{"formattedCitation":"(Young &amp; Ryan, 2020)","plainCitation":"(Young &amp; Ryan, 2020)","noteIndex":0},"citationItems":[{"id":4489,"uris":["http://zotero.org/users/local/b6CRLSJH/items/3G75GSTN"],"itemData":{"id":4489,"type":"article-journal","container-title":"Academic Medicine","DOI":"10.1097/ACM.0000000000003089","ISSN":"1040-2446","issue":"5","journalAbbreviation":"Academic Medicine","language":"en","page":"695-699","source":"DOI.org (Crossref)","title":"Postpositivism in Health Professions Education Scholarship:","title-short":"Postpositivism in Health Professions Education Scholarship","volume":"95","author":[{"family":"Young","given":"Meredith E."},{"family":"Ryan","given":"Anna"}],"issued":{"date-parts":[["2020",5]]}}}],"schema":"https://github.com/citation-style-language/schema/raw/master/csl-citation.json"}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(Young &amp; Ryan,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Despite being an extension of positivism, post-positivism did not suffice for this research because it maintains that one cannot develop an absolute true picture of reality, but an approximation of the object of research. </w:t>
      </w:r>
      <w:r w:rsidR="00BF0E4C" w:rsidRPr="00597FFB">
        <w:rPr>
          <w:rFonts w:ascii="Times New Roman" w:eastAsiaTheme="minorHAnsi" w:hAnsi="Times New Roman" w:cs="Times New Roman"/>
          <w:sz w:val="24"/>
          <w:szCs w:val="24"/>
        </w:rPr>
        <w:t>Further, post</w:t>
      </w:r>
      <w:r w:rsidRPr="00597FFB">
        <w:rPr>
          <w:rFonts w:ascii="Times New Roman" w:eastAsiaTheme="minorHAnsi" w:hAnsi="Times New Roman" w:cs="Times New Roman"/>
          <w:sz w:val="24"/>
          <w:szCs w:val="24"/>
        </w:rPr>
        <w:t xml:space="preserve">-positivists believe that reality is out there, but there are limits to the ability to capture an absolute truth. Yet, the researcher was mainly looking for cause and effect or determinism of the factors that could help in the prediction and understanding of the intentions of UAE millennials to undertake EWR. As noted by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{"citationID":"d6gqOwHL","properties":{"formattedCitation":"(Noriey &amp; Javanmiri, 2021)","plainCitation":"(Noriey &amp; Javanmiri, 2021)","dontUpdate":true,"noteIndex":0},"citationItems":[{"id":4490,"uris":["http://zotero.org/users/local/b6CRLSJH/items/BNY6ZLY3"],"itemData":{"id":4490,"type":"article-journal","abstract":"This research paper investigates the significance of the relationship between flipped learning and pupils’ academic performance in secondary schools in the Kurdistan Region of Iraq especially with a focus on alternative philosophical underpinnings. Undoubtedly, the significance of this study in the field of educational research bubbles over with controversies. Professional researchers/teachers’ disagreements about what happens in schools emanate from the difference in philosophical lenses employed in understanding phenomena, divergent visions regarding the purpose of schooling, and what constitutes an ideal society and cultural differences.  This research attempts to understand teachers’ perception of reality in classrooms and fathoms the relationship between flipped learning and pupil’s academic performance, engagement and achievement. The research methodology employed has focused on mixed methods that allow the data analysis to adopt an interpretive approach and attempted to address the research questions by developing a structured observation and a questionnaire to facilitate the data collection procedure. The findings show that alternative philosophical underpinnings bear profound effects on pupils’ learning: teachers and the epistemologies and ontologies employed to understand reality in classrooms significantly impact flipped learning and pupils’ academic performance. The results suggest that these implications share common critical statements found in the related literature reviews that also indicate reflections on alternative philosophical underpinnings.","container-title":"Journal of University of Human Development","DOI":"10.21928/juhd.v7n3y2021.pp104-114","ISSN":"2411-7765, 2411-7757","issue":"3","journalAbbreviation":"J Univ Hum Dev","page":"104-114","source":"DOI.org (Crossref)","title":"The Relationship Between Flipped Learning And Pupils’ Performance: A Reflection On Alternative Philosophical Underpinnings","title-short":"The Relationship Between Flipped Learning And Pupils’ Performance","volume":"7","author":[{"family":"Noriey","given":"Ismail Mohammed"},{"family":"Javanmiri","given":"Mohammad Sedigh"}],"issued":{"date-parts":[["2021",8,24]]}}}],"schema":"https://github.com/citation-style-language/schema/raw/master/csl-citation.json"}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Noriey and Javanmiri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believing in this postpositivist line of thought could have resulted in reductionism, by narrowing, and reducing ideas into a small, discrete set of hypotheses, and focusing on interrelated variables to conclude. </w:t>
      </w:r>
    </w:p>
    <w:p w14:paraId="1AABC2C8" w14:textId="5F91E1F2" w:rsidR="00BF0E4C"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sz w:val="24"/>
        </w:rPr>
        <w:t xml:space="preserve">Research purpose </w:t>
      </w:r>
      <w:r w:rsidRPr="00597FFB">
        <w:rPr>
          <w:rFonts w:ascii="Times New Roman" w:eastAsiaTheme="minorHAnsi" w:hAnsi="Times New Roman" w:cs="Times New Roman"/>
          <w:sz w:val="24"/>
          <w:szCs w:val="24"/>
        </w:rPr>
        <w:t xml:space="preserve">has been understood as the reason for undertaking the current research (Poth, 2018). The three purposes comprising descriptive, explanatory and exploratory that could be used to achieve the research objectives as discussed by Saunders et al. (2019) were reviewed and considered. As it was assumed that correlations existed between the variables in the conceptual framework, an explanatory research purpose was deemed the most appropriate choice because it allows for the drawing of causal relationships among variables. Although this research was quantitative, the researcher was aware that an explanatory research approach could be applied by either using qualitative or quantitative data collection methods (Saunders et al., 2019). </w:t>
      </w:r>
    </w:p>
    <w:p w14:paraId="275A0972" w14:textId="70743116" w:rsidR="00F216F3" w:rsidRPr="00597FFB" w:rsidRDefault="00F216F3" w:rsidP="00C050A0">
      <w:pPr>
        <w:keepNext/>
        <w:keepLines/>
        <w:widowControl w:val="0"/>
        <w:spacing w:before="40" w:after="0" w:line="480" w:lineRule="auto"/>
        <w:outlineLvl w:val="1"/>
        <w:rPr>
          <w:rFonts w:ascii="Times New Roman" w:eastAsiaTheme="majorEastAsia" w:hAnsi="Times New Roman" w:cs="Times New Roman"/>
          <w:b/>
          <w:bCs/>
          <w:color w:val="000000" w:themeColor="text1"/>
          <w:sz w:val="24"/>
          <w:szCs w:val="24"/>
        </w:rPr>
      </w:pPr>
      <w:bookmarkStart w:id="199" w:name="_Toc125618652"/>
      <w:bookmarkStart w:id="200" w:name="_Toc127170334"/>
      <w:r w:rsidRPr="00597FFB">
        <w:rPr>
          <w:rFonts w:ascii="Times New Roman" w:eastAsiaTheme="majorEastAsia" w:hAnsi="Times New Roman" w:cs="Times New Roman"/>
          <w:b/>
          <w:bCs/>
          <w:color w:val="000000" w:themeColor="text1"/>
          <w:sz w:val="24"/>
          <w:szCs w:val="24"/>
        </w:rPr>
        <w:t>4.</w:t>
      </w:r>
      <w:r w:rsidR="00CF4DEF" w:rsidRPr="00597FFB">
        <w:rPr>
          <w:rFonts w:ascii="Times New Roman" w:eastAsiaTheme="majorEastAsia" w:hAnsi="Times New Roman" w:cs="Times New Roman"/>
          <w:b/>
          <w:bCs/>
          <w:color w:val="000000" w:themeColor="text1"/>
          <w:sz w:val="24"/>
          <w:szCs w:val="24"/>
        </w:rPr>
        <w:t>2</w:t>
      </w:r>
      <w:r w:rsidRPr="00597FFB">
        <w:rPr>
          <w:rFonts w:ascii="Times New Roman" w:eastAsiaTheme="majorEastAsia" w:hAnsi="Times New Roman" w:cs="Times New Roman"/>
          <w:b/>
          <w:bCs/>
          <w:color w:val="000000" w:themeColor="text1"/>
          <w:sz w:val="24"/>
          <w:szCs w:val="24"/>
        </w:rPr>
        <w:t xml:space="preserve">. </w:t>
      </w:r>
      <w:bookmarkEnd w:id="199"/>
      <w:r w:rsidR="00CF4DEF" w:rsidRPr="00597FFB">
        <w:rPr>
          <w:rFonts w:ascii="Times New Roman" w:eastAsiaTheme="majorEastAsia" w:hAnsi="Times New Roman" w:cs="Times New Roman"/>
          <w:b/>
          <w:bCs/>
          <w:color w:val="000000" w:themeColor="text1"/>
          <w:sz w:val="24"/>
          <w:szCs w:val="24"/>
        </w:rPr>
        <w:t>Research Design</w:t>
      </w:r>
      <w:r w:rsidR="00BF0E4C" w:rsidRPr="00597FFB">
        <w:rPr>
          <w:rFonts w:ascii="Times New Roman" w:eastAsiaTheme="majorEastAsia" w:hAnsi="Times New Roman" w:cs="Times New Roman"/>
          <w:b/>
          <w:bCs/>
          <w:color w:val="000000" w:themeColor="text1"/>
          <w:sz w:val="24"/>
          <w:szCs w:val="24"/>
        </w:rPr>
        <w:t>.</w:t>
      </w:r>
      <w:bookmarkEnd w:id="200"/>
    </w:p>
    <w:p w14:paraId="417ECF8D" w14:textId="00786F7F"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research design entails the inquiry types that give specific directions for the procedures involved in conducting a research study (Creswell &amp; Creswell, 2017; Poth, 2018). Building on this definition, Ngulube (2019) described study designs as being specific inquiries in qualitative, quantitative or mixed method approaches. The research design choice was important within the research process of the current research since it determined how data was to be collected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{"citationID":"tjz97H98","properties":{"formattedCitation":"(Abdullah et al., 2020)","plainCitation":"(Abdullah et al., 2020)","noteIndex":0},"citationItems":[{"id":4434,"uris":["http://zotero.org/users/local/b6CRLSJH/items/JDLWEJCJ"],"itemData":{"id":4434,"type":"article-journal","container-title":"Transportation Research Interdisciplinary Perspectives","DOI":"10.1016/j.trip.2020.100255","ISSN":"25901982","journalAbbreviation":"Transportation Research Interdisciplinary Perspectives","language":"en","page":"100255","source":"DOI.org (Crossref)","title":"Exploring the impacts of COVID-19 on travel behavior and mode preferences","volume":"8","author":[{"family":"Abdullah","given":"Muhammad"},{"family":"Dias","given":"Charitha"},{"family":"Muley","given":"Deepti"},{"family":"Shahin","given":"Md."}],"issued":{"date-parts":[["2020",11]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(Abdullah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Given that this research was based on quantitative methods, the researcher considered the various quantitative research designs that have been identified in literature including experimental designs, survey, comparative, case study, observational, cross-sectional, cohort, epidemiological, and longitudinal (Saunders et al., 2019).</w:t>
      </w:r>
    </w:p>
    <w:p w14:paraId="38ED2E4A"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researcher employed a descriptive, non-interventional, cross-sectional survey quantitative design because the objective was to collect data about the awareness level, socio-demographic characteristics, attitudes and values of millennials about sustainable electronic waste management at a given point in time. The quantitative approach is normally mono-method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{"citationID":"iMLhAkat","properties":{"formattedCitation":"(ElHaffar et al., 2020)","plainCitation":"(ElHaffar et al., 2020)","noteIndex":0},"citationItems":[{"id":4226,"uris":["http://zotero.org/users/local/b6CRLSJH/items/SWASHIAM"],"itemData":{"id":4226,"type":"article-journal","container-title":"Journal of Cleaner Production","DOI":"10.1016/j.jclepro.2020.122556","ISSN":"09596526","journalAbbreviation":"Journal of Cleaner Production","language":"en","page":"122556","source":"DOI.org (Crossref)","title":"Towards closing the attitude-intention-behavior gap in green consumption: A narrative review of the literature and an overview of future research directions","title-short":"Towards closing the attitude-intention-behavior gap in green consumption","volume":"275","author":[{"family":"ElHaffar","given":"Ghina"},{"family":"Durif","given":"Fabien"},{"family":"Dubé","given":"Laurette"}],"issued":{"date-parts":[["2020",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(ElHaffar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Previous studies (Confente &amp; Scarpi, 2020; Esfandiar et al., 2021; Kim &amp; Hwang, 2020; Wang et al., 2018; Zhang et al., 2021) on waste recycling behavior including EWR have applied quantitative designs predominantly. This, along with the scarcity of quantitative studies investigating intention towards performing EWR within the GCC, further reaffirmed the choice of quantitative methods for research and data collection in the current study. </w:t>
      </w:r>
    </w:p>
    <w:p w14:paraId="55EE316A" w14:textId="05A9EBA6" w:rsidR="00373683"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In accordance with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{"citationID":"4IrYePnR","properties":{"formattedCitation":"(Fagerholm et al., 2021)","plainCitation":"(Fagerholm et al., 2021)","dontUpdate":true,"noteIndex":0},"citationItems":[{"id":4509,"uris":["http://zotero.org/users/local/b6CRLSJH/items/N47STBQ4"],"itemData":{"id":4509,"type":"article-journal","container-title":"International Journal of Geographical Information Science","DOI":"10.1080/13658816.2020.1869747","ISSN":"1365-8816, 1362-3087","issue":"9","journalAbbreviation":"International Journal of Geographical Information Science","language":"en","page":"1848-1875","source":"DOI.org (Crossref)","title":"A methodological framework for analysis of participatory mapping data in research, planning, and management","volume":"35","author":[{"family":"Fagerholm","given":"Nora"},{"family":"Raymond","given":"Christopher M."},{"family":"Olafsson","given":"Anton Stahl"},{"family":"Brown","given":"Gregory"},{"family":"Rinne","given":"Tiina"},{"family":"Hasanzadeh","given":"Kamyar"},{"family":"Broberg","given":"Anna"},{"family":"Kyttä","given":"Marketta"}],"issued":{"date-parts":[["2021",9,2]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Fagerholm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descriptive research questions constrained the researcher to describe what existed currently with respect to the topic of research under inquiry. In describing, the researcher could examine perception, attitude or practices or describe the UAE millennial population’s EWR intention and behavior by gathering data about their sociodemographic characteristics.</w:t>
      </w:r>
    </w:p>
    <w:p w14:paraId="5D2C8E49" w14:textId="21903296" w:rsidR="00834C2F" w:rsidRPr="00597FFB" w:rsidRDefault="005521D4" w:rsidP="00C050A0">
      <w:pPr>
        <w:keepNext/>
        <w:keepLines/>
        <w:widowControl w:val="0"/>
        <w:spacing w:before="40" w:after="0" w:line="480" w:lineRule="auto"/>
        <w:outlineLvl w:val="1"/>
        <w:rPr>
          <w:rFonts w:ascii="Times New Roman" w:eastAsiaTheme="majorEastAsia" w:hAnsi="Times New Roman" w:cs="Times New Roman"/>
          <w:b/>
          <w:bCs/>
          <w:color w:val="000000" w:themeColor="text1"/>
          <w:sz w:val="24"/>
          <w:szCs w:val="24"/>
        </w:rPr>
      </w:pPr>
      <w:bookmarkStart w:id="201" w:name="_Toc127170335"/>
      <w:r w:rsidRPr="00597FFB">
        <w:rPr>
          <w:rFonts w:ascii="Times New Roman" w:eastAsiaTheme="majorEastAsia" w:hAnsi="Times New Roman" w:cs="Times New Roman"/>
          <w:b/>
          <w:bCs/>
          <w:color w:val="000000" w:themeColor="text1"/>
          <w:sz w:val="24"/>
          <w:szCs w:val="24"/>
        </w:rPr>
        <w:t xml:space="preserve">4.3. </w:t>
      </w:r>
      <w:r w:rsidR="00834C2F" w:rsidRPr="00597FFB">
        <w:rPr>
          <w:rFonts w:ascii="Times New Roman" w:eastAsiaTheme="majorEastAsia" w:hAnsi="Times New Roman" w:cs="Times New Roman"/>
          <w:b/>
          <w:bCs/>
          <w:color w:val="000000" w:themeColor="text1"/>
          <w:sz w:val="24"/>
          <w:szCs w:val="24"/>
        </w:rPr>
        <w:t>Sampling</w:t>
      </w:r>
      <w:r w:rsidRPr="00597FFB">
        <w:rPr>
          <w:rFonts w:ascii="Times New Roman" w:eastAsiaTheme="majorEastAsia" w:hAnsi="Times New Roman" w:cs="Times New Roman"/>
          <w:b/>
          <w:bCs/>
          <w:color w:val="000000" w:themeColor="text1"/>
          <w:sz w:val="24"/>
          <w:szCs w:val="24"/>
        </w:rPr>
        <w:t xml:space="preserve">, </w:t>
      </w:r>
      <w:r w:rsidR="00834C2F" w:rsidRPr="00597FFB">
        <w:rPr>
          <w:rFonts w:ascii="Times New Roman" w:eastAsiaTheme="majorEastAsia" w:hAnsi="Times New Roman" w:cs="Times New Roman"/>
          <w:b/>
          <w:bCs/>
          <w:color w:val="000000" w:themeColor="text1"/>
          <w:sz w:val="24"/>
          <w:szCs w:val="24"/>
        </w:rPr>
        <w:t>Questionnaire</w:t>
      </w:r>
      <w:r w:rsidRPr="00597FFB">
        <w:rPr>
          <w:rFonts w:ascii="Times New Roman" w:eastAsiaTheme="majorEastAsia" w:hAnsi="Times New Roman" w:cs="Times New Roman"/>
          <w:b/>
          <w:bCs/>
          <w:color w:val="000000" w:themeColor="text1"/>
          <w:sz w:val="24"/>
          <w:szCs w:val="24"/>
        </w:rPr>
        <w:t xml:space="preserve">, </w:t>
      </w:r>
      <w:r w:rsidR="00DD61A0" w:rsidRPr="00597FFB">
        <w:rPr>
          <w:rFonts w:ascii="Times New Roman" w:eastAsiaTheme="majorEastAsia" w:hAnsi="Times New Roman" w:cs="Times New Roman"/>
          <w:b/>
          <w:bCs/>
          <w:color w:val="000000" w:themeColor="text1"/>
          <w:sz w:val="24"/>
          <w:szCs w:val="24"/>
        </w:rPr>
        <w:t>a</w:t>
      </w:r>
      <w:r w:rsidRPr="00597FFB">
        <w:rPr>
          <w:rFonts w:ascii="Times New Roman" w:eastAsiaTheme="majorEastAsia" w:hAnsi="Times New Roman" w:cs="Times New Roman"/>
          <w:b/>
          <w:bCs/>
          <w:color w:val="000000" w:themeColor="text1"/>
          <w:sz w:val="24"/>
          <w:szCs w:val="24"/>
        </w:rPr>
        <w:t xml:space="preserve">nd </w:t>
      </w:r>
      <w:r w:rsidR="00834C2F" w:rsidRPr="00597FFB">
        <w:rPr>
          <w:rFonts w:ascii="Times New Roman" w:eastAsiaTheme="majorEastAsia" w:hAnsi="Times New Roman" w:cs="Times New Roman"/>
          <w:b/>
          <w:bCs/>
          <w:color w:val="000000" w:themeColor="text1"/>
          <w:sz w:val="24"/>
          <w:szCs w:val="24"/>
        </w:rPr>
        <w:t>Data Collection</w:t>
      </w:r>
      <w:r w:rsidRPr="00597FFB">
        <w:rPr>
          <w:rFonts w:ascii="Times New Roman" w:eastAsiaTheme="majorEastAsia" w:hAnsi="Times New Roman" w:cs="Times New Roman"/>
          <w:b/>
          <w:bCs/>
          <w:color w:val="000000" w:themeColor="text1"/>
          <w:sz w:val="24"/>
          <w:szCs w:val="24"/>
        </w:rPr>
        <w:t>.</w:t>
      </w:r>
      <w:bookmarkEnd w:id="201"/>
    </w:p>
    <w:p w14:paraId="7FE09284"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Quantitative data in this research required the generation of numeric data, which emphasized the analysis with a statistical software analysis tool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{"citationID":"dSoZR6UK","properties":{"formattedCitation":"(Hern\\uc0\\u225{}n et al., 2019)","plainCitation":"(Hernán et al., 2019)","noteIndex":0},"citationItems":[{"id":4436,"uris":["http://zotero.org/users/local/b6CRLSJH/items/Z6RZSFTV"],"itemData":{"id":4436,"type":"article-journal","container-title":"CHANCE","DOI":"10.1080/09332480.2019.1579578","ISSN":"0933-2480, 1867-2280","issue":"1","journalAbbreviation":"CHANCE","language":"en","page":"42-49","source":"DOI.org (Crossref)","title":"A Second Chance to Get Causal Inference Right: A Classification of Data Science Tasks","title-short":"A Second Chance to Get Causal Inference Right","volume":"32","author":[{"family":"Hernán","given":"Miguel A."},{"family":"Hsu","given":"John"},{"family":"Healy","given":"Brian"}],"issued":{"date-parts":[["2019",1,2]]}}}],"schema":"https://github.com/citation-style-language/schema/raw/master/csl-citation.json"}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szCs w:val="24"/>
        </w:rPr>
        <w:t>(Hernán et al.,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Unlike qualitative methods, this quantitative research required the collection of more accurate and quantifiable data from comparatively larger sample sizes of UAE millennials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{"citationID":"CP7Bkezn","properties":{"formattedCitation":"(Guest et al., 2020)","plainCitation":"(Guest et al., 2020)","noteIndex":0},"citationItems":[{"id":4438,"uris":["http://zotero.org/users/local/b6CRLSJH/items/QJVW78JW"],"itemData":{"id":4438,"type":"article-journal","container-title":"PLOS ONE","DOI":"10.1371/journal.pone.0232076","ISSN":"1932-6203","issue":"5","journalAbbreviation":"PLoS ONE","language":"en","page":"e0232076","source":"DOI.org (Crossref)","title":"A simple method to assess and report thematic saturation in qualitative research","volume":"15","author":[{"family":"Guest","given":"Greg"},{"family":"Namey","given":"Emily"},{"family":"Chen","given":"Mario"}],"editor":[{"family":"Soundy","given":"Andrew"}],"issued":{"date-parts":[["2020",5,5]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(Guest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Using quantitative data collection methods further yielded standardized, data which facilitated the testing of the relationships between the variables based on the gathered data (Saunders et al., 2019). In this regard, a survey-based questionnaire was deemed most appropriate as it allowed for the collection of large quantity of data, which was necessary to ensure high objectivity, reliability, and the statistical significance as intended the current research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{"citationID":"NarbOSQM","properties":{"formattedCitation":"(Holtom et al., 2022)","plainCitation":"(Holtom et al., 2022)","noteIndex":0},"citationItems":[{"id":4440,"uris":["http://zotero.org/users/local/b6CRLSJH/items/4YA73BYD"],"itemData":{"id":4440,"type":"article-journal","abstract":"Survey methodology has been and continues to be a pervasively used data-collection method in social science research. To better understand the state of the science, we first analyze response-rate information reported in 1014 surveys described in 703 articles from 17 journals from 2010 to 2020. Results showed a steady increase in average response rate from 48% in 2005 to 53% in 2010 to 56% in 2015 and 68% in 2020; a marked increase in the number of surveys per published article from 1.27 in 2015 to 1.79 in 2020; and that variables that predict response-rate fluctuations over time are related to research design (e.g. data-collection medium), participant motivation (e.g. incentives), and researcher motivation (i.e. number of surveys per article). Second, we propose complementary information on contemporary response-rate norms and benchmarks with a response-rate validity assessment framework to gather evidence on accuracy of inferences based on a particular response-rate level. Implementing this validation process involves gathering information on the researcher–participant relationship, participant qualifications and motivation, survey length and complexity, and cultural and national context. Future survey research should implement the validity assessment framework in addition to reporting the response-rate value to better indicate a sample’s quality, appropriateness, and representativeness.","container-title":"Human Relations","DOI":"10.1177/00187267211070769","ISSN":"0018-7267, 1741-282X","journalAbbreviation":"Human Relations","language":"en","page":"001872672110707","source":"DOI.org (Crossref)","title":"Survey response rates: Trends and a validity assessment framework","title-short":"Survey response rates","author":[{"family":"Holtom","given":"Brooks"},{"family":"Baruch","given":"Yehuda"},{"family":"Aguinis","given":"Herman"},{"family":"A Ballinger","given":"Gary"}],"issued":{"date-parts":[["2022",2,1]]}}}],"schema":"https://github.com/citation-style-language/schema/raw/master/csl-citation.json"}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(Holtom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In line with Saunders et al. (2019), the time horizon of this research was cross-sectional as the online survey for measuring millennials intention to perform EWR was distributed once during a period of two weeks to collect snapshot data. The alternative application of longitudinal study may have been more informative and robust, but it would have taken longer to complete and the objectives of this study did not require measuring or tracking change of EWR intention/behavior among UAE millennials over time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{"citationID":"ieSrOuUY","properties":{"formattedCitation":"(Attia et al., 2021)","plainCitation":"(Attia et al., 2021)","noteIndex":0},"citationItems":[{"id":4442,"uris":["http://zotero.org/users/local/b6CRLSJH/items/Q36DWAWW"],"itemData":{"id":4442,"type":"article-journal","abstract":"During the recent decades, the world has seen ongoing economic and technological development which resulted in the generation of huge volumes of electrical and electronic waste (e-waste). In the Middle East, the United Arab Emirates (UAE) ranks among countries with large e-waste generation due to its consumers’ high spending on electronic devices thereby resulting in a high obsolescence rate in the country. Accordingly, this study aims to analyze the e-waste management and recycling practices in the UAE. It takes Dubai as a case study and conducts a structured questionnaire to analyze households’ awareness, consumption of electronic devices in general and mobile phones in particular, and the disposal behavior of e-waste. Waste mobile phones is taken as a key representative in this study, in which potential waste mobile phones is estimated using the Approximation 1 method in the period 2021–2030. Results from the survey illustrated gaps among households’ awareness and disposal behavior of e-waste, where e-waste recycling rates were noticed to be low. Based on these gaps, strategies were proposed for an effective e-waste management system in the context of Dubai, and were supported by the proposal of an e-waste legislation framework in the UAE.","container-title":"Toxics","DOI":"10.3390/toxics9100236","ISSN":"2305-6304","issue":"10","journalAbbreviation":"Toxics","language":"en","page":"236","source":"DOI.org (Crossref)","title":"Analysis of Households’ E-Waste Awareness, Disposal Behavior, and Estimation of Potential Waste Mobile Phones towards an Effective E-Waste Management System in Dubai","volume":"9","author":[{"family":"Attia","given":"Yousra"},{"family":"Soori","given":"Prashant Kumar"},{"family":"Ghaith","given":"Fadi"}],"issued":{"date-parts":[["2021",9,25]]}}}],"schema":"https://github.com/citation-style-language/schema/raw/master/csl-citation.json"}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(Attia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6561DFDE" w14:textId="4A006312" w:rsidR="00E41CB5" w:rsidRPr="00597FFB" w:rsidRDefault="005521D4"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2" w:name="_Toc127170336"/>
      <w:r w:rsidRPr="00597FFB">
        <w:rPr>
          <w:rFonts w:ascii="Times New Roman" w:eastAsiaTheme="majorEastAsia" w:hAnsi="Times New Roman" w:cs="Times New Roman"/>
          <w:i/>
          <w:iCs/>
          <w:color w:val="000000" w:themeColor="text1"/>
          <w:sz w:val="24"/>
          <w:szCs w:val="24"/>
        </w:rPr>
        <w:t xml:space="preserve">4.3.1. </w:t>
      </w:r>
      <w:r w:rsidR="00B121C3">
        <w:rPr>
          <w:rFonts w:ascii="Times New Roman" w:eastAsiaTheme="majorEastAsia" w:hAnsi="Times New Roman" w:cs="Times New Roman"/>
          <w:i/>
          <w:iCs/>
          <w:color w:val="000000" w:themeColor="text1"/>
          <w:sz w:val="24"/>
          <w:szCs w:val="24"/>
        </w:rPr>
        <w:t>R</w:t>
      </w:r>
      <w:r w:rsidR="00287A57">
        <w:rPr>
          <w:rFonts w:ascii="Times New Roman" w:eastAsiaTheme="majorEastAsia" w:hAnsi="Times New Roman" w:cs="Times New Roman"/>
          <w:i/>
          <w:iCs/>
          <w:color w:val="000000" w:themeColor="text1"/>
          <w:sz w:val="24"/>
          <w:szCs w:val="24"/>
        </w:rPr>
        <w:t>esearch</w:t>
      </w:r>
      <w:r w:rsidR="00E41CB5" w:rsidRPr="00597FFB">
        <w:rPr>
          <w:rFonts w:ascii="Times New Roman" w:eastAsiaTheme="majorEastAsia" w:hAnsi="Times New Roman" w:cs="Times New Roman"/>
          <w:i/>
          <w:iCs/>
          <w:color w:val="000000" w:themeColor="text1"/>
          <w:sz w:val="24"/>
          <w:szCs w:val="24"/>
        </w:rPr>
        <w:t xml:space="preserve"> Area </w:t>
      </w:r>
      <w:r w:rsidR="00FD1B06">
        <w:rPr>
          <w:rFonts w:ascii="Times New Roman" w:eastAsiaTheme="majorEastAsia" w:hAnsi="Times New Roman" w:cs="Times New Roman"/>
          <w:i/>
          <w:iCs/>
          <w:color w:val="000000" w:themeColor="text1"/>
          <w:sz w:val="24"/>
          <w:szCs w:val="24"/>
        </w:rPr>
        <w:t>a</w:t>
      </w:r>
      <w:r w:rsidRPr="00597FFB">
        <w:rPr>
          <w:rFonts w:ascii="Times New Roman" w:eastAsiaTheme="majorEastAsia" w:hAnsi="Times New Roman" w:cs="Times New Roman"/>
          <w:i/>
          <w:iCs/>
          <w:color w:val="000000" w:themeColor="text1"/>
          <w:sz w:val="24"/>
          <w:szCs w:val="24"/>
        </w:rPr>
        <w:t xml:space="preserve">nd </w:t>
      </w:r>
      <w:r w:rsidR="00E41CB5" w:rsidRPr="00597FFB">
        <w:rPr>
          <w:rFonts w:ascii="Times New Roman" w:eastAsiaTheme="majorEastAsia" w:hAnsi="Times New Roman" w:cs="Times New Roman"/>
          <w:i/>
          <w:iCs/>
          <w:color w:val="000000" w:themeColor="text1"/>
          <w:sz w:val="24"/>
          <w:szCs w:val="24"/>
        </w:rPr>
        <w:t>Population</w:t>
      </w:r>
      <w:r w:rsidRPr="00597FFB">
        <w:rPr>
          <w:rFonts w:ascii="Times New Roman" w:eastAsiaTheme="majorEastAsia" w:hAnsi="Times New Roman" w:cs="Times New Roman"/>
          <w:i/>
          <w:iCs/>
          <w:color w:val="000000" w:themeColor="text1"/>
          <w:sz w:val="24"/>
          <w:szCs w:val="24"/>
        </w:rPr>
        <w:t>.</w:t>
      </w:r>
      <w:bookmarkEnd w:id="202"/>
    </w:p>
    <w:p w14:paraId="76D622AF"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chosen geographical area for the current research was the </w:t>
      </w:r>
      <w:r w:rsidRPr="00597FFB">
        <w:rPr>
          <w:rFonts w:ascii="Times New Roman" w:eastAsiaTheme="minorHAnsi" w:hAnsi="Times New Roman"/>
          <w:sz w:val="24"/>
        </w:rPr>
        <w:t>UAE</w:t>
      </w:r>
      <w:r w:rsidRPr="00597FFB">
        <w:rPr>
          <w:rFonts w:ascii="Times New Roman" w:eastAsiaTheme="minorHAnsi" w:hAnsi="Times New Roman" w:cs="Times New Roman"/>
          <w:sz w:val="24"/>
          <w:szCs w:val="24"/>
        </w:rPr>
        <w:t xml:space="preserve">. Millennials were chosen as the target population since they tend to be aware of environmental issues and are hyper-consumers - a paradox that makes the investigation of this target group’s intention towards performing EWR highly interesting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{"citationID":"Up1DDHAH","properties":{"formattedCitation":"(Pencarelli et al., 2019)","plainCitation":"(Pencarelli et al., 2019)","noteIndex":0},"citationItems":[{"id":4449,"uris":["http://zotero.org/users/local/b6CRLSJH/items/5VBMV5VI"],"itemData":{"id":4449,"type":"article-journal","abstract":"The aim of this study is to understand the actual preferences, behaviors, and purchasing decisions of young consumers in the context of sustainability, with an emphasis on luxury products. The primary objective of the research is to determine the impact of ‘sustainable tendencies’ on stimulating the purchase of luxury goods by the Italian Generation Z and Generation Y populations. In addition to examining the intergenerational differences in perception of corporate social responsibility (CSR) and sustainable marketing, the study is aimed at investigating the potential intersection of the consumption of luxury products and the consumption of slow fashion. In particular, through an empirical analysis carried out on a sample of 1314 young consumers in Italy (representing the two generational cohorts), this research provides interesting results which demonstrate the importance of adopting differentiated CSR strategies which are attentive to sustainability based on the demographic characteristics of young consumers of luxury brands. Structural equation modeling is used to analyze and understand the structural relationships between variables. This study thus helps to fill the knowledge gap about the consumption orientation of the younger generations. The results of this study contribute to a growing body of literature on luxury brands and sustainability issues in marketing.","container-title":"Sustainability","DOI":"10.3390/su12010245","ISSN":"2071-1050","issue":"1","journalAbbreviation":"Sustainability","language":"en","page":"245","source":"DOI.org (Crossref)","title":"Luxury Products and Sustainability Issues from the Perspective of Young Italian Consumers","volume":"12","author":[{"family":"Pencarelli","given":"Tonino"},{"family":"Ali Taha","given":"Viktória"},{"family":"Škerháková","given":"Veronika"},{"family":"Valentiny","given":"Tomáš"},{"family":"Fedorko","given":"Richard"}],"issued":{"date-parts":[["2019",12,27]]}}}],"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(Pencarelli et al.,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This region was chosen because of its population density and diversity in terms of income levels, education, settlements and ethnicity with about 40 percent being millennials (Sengupta, 2018). Besides, the UAE is a major hub for electronics consumption and generation of E-waste coupled with progressive interventions to enhance EWR (</w:t>
      </w:r>
      <w:r w:rsidRPr="00597FFB">
        <w:rPr>
          <w:rFonts w:ascii="Times New Roman" w:eastAsiaTheme="minorHAnsi" w:hAnsi="Times New Roman" w:cs="Times New Roman"/>
          <w:color w:val="000000" w:themeColor="text1"/>
          <w:sz w:val="24"/>
          <w:szCs w:val="24"/>
        </w:rPr>
        <w:t>Alghazo et al., 2019; Iatoni et al., 2021).</w:t>
      </w:r>
      <w:r w:rsidRPr="00597FFB">
        <w:rPr>
          <w:rFonts w:ascii="Times New Roman" w:eastAsiaTheme="minorHAnsi" w:hAnsi="Times New Roman" w:cs="Times New Roman"/>
          <w:sz w:val="24"/>
          <w:szCs w:val="24"/>
        </w:rPr>
        <w:t xml:space="preserve"> In addition, Abu Dhabi serves as the transit point for both new and used electronic products before they are finally distributed to other regions. Furthermore, the UAE is a hub for consumption of EEE (Alblooshi et al., 2022).</w:t>
      </w:r>
    </w:p>
    <w:p w14:paraId="0FFD8804"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b/>
          <w:bCs/>
          <w:i/>
          <w:iCs/>
          <w:color w:val="FF0000"/>
          <w:sz w:val="24"/>
          <w:szCs w:val="24"/>
        </w:rPr>
      </w:pPr>
      <w:r w:rsidRPr="00597FFB">
        <w:rPr>
          <w:rFonts w:ascii="Times New Roman" w:eastAsiaTheme="minorHAnsi" w:hAnsi="Times New Roman" w:cs="Times New Roman"/>
          <w:sz w:val="24"/>
          <w:szCs w:val="24"/>
        </w:rPr>
        <w:t>The target population comprised of millennials in the UAE including women and men born between 1981 and 1996 (Koczanski &amp; Rosen, 2019). In the UAE, households may be classified as citizen family households, non-citizen family households or share households (Statistics Centre, 2014). Citizen family households comprises at least one Emirati citizen who share food provisions and housing, mostly share blood relations and have at least a household head. Additional criteria for a citizen household includes having a male Emirati citizen as its head or a female non-citizen household head has children citizens residing with her within the same dwelling and remains unmarried to a non-citizen based on Census Reference Night or the children and wife are citizens regardless of the household head’s nationality. A non-citizen family household comprises at least one non-citizen resident sharing food provisions and housing, sharing blood relations, and having a household head. For non-citizen households, the male non-citizen household head has a non-citizen wife regardless of the wife having citizen children from a past marriage. Finally, share households comprise of between 2 and 29 groups of persons residing within the same housing unit and potentially share food provisions although they are usually not related. Typically, share household members are of the same sex and they will share living expenses/arrangements such as rent (Statistics Centre, 2014).</w:t>
      </w:r>
    </w:p>
    <w:p w14:paraId="0C57BF6C" w14:textId="6BE655E8"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3" w:name="_Toc127170337"/>
      <w:r w:rsidRPr="00597FFB">
        <w:rPr>
          <w:rFonts w:ascii="Times New Roman" w:eastAsiaTheme="majorEastAsia" w:hAnsi="Times New Roman" w:cs="Times New Roman"/>
          <w:i/>
          <w:iCs/>
          <w:color w:val="000000" w:themeColor="text1"/>
          <w:sz w:val="24"/>
          <w:szCs w:val="24"/>
        </w:rPr>
        <w:t>4.3.2. Sampling Procedure</w:t>
      </w:r>
      <w:r w:rsidR="005521D4" w:rsidRPr="00597FFB">
        <w:rPr>
          <w:rFonts w:ascii="Times New Roman" w:eastAsiaTheme="majorEastAsia" w:hAnsi="Times New Roman" w:cs="Times New Roman"/>
          <w:i/>
          <w:iCs/>
          <w:color w:val="000000" w:themeColor="text1"/>
          <w:sz w:val="24"/>
          <w:szCs w:val="24"/>
        </w:rPr>
        <w:t>.</w:t>
      </w:r>
      <w:bookmarkEnd w:id="203"/>
    </w:p>
    <w:p w14:paraId="1D574E08"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Sampling in the current research entailed the selection of a particular part of the UAE millennial population that could represent the entire population adequately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{"citationID":"iSim8DSL","properties":{"formattedCitation":"(Didenko et al., 2018)","plainCitation":"(Didenko et al., 2018)","noteIndex":0},"citationItems":[{"id":2614,"uris":["http://zotero.org/users/local/b6CRLSJH/items/4JI2I2B2"],"itemData":{"id":2614,"type":"article-journal","abstract":"In the present article, the main principles of the circular economy are outlined in contradistinction with the existing and traditional linear economic model. An econometric model describing the inﬂuence of the linear economy on the environment is presented. The environment is characterized by seven key processes: change in global temperature; emissions of greenhouse gases from industry to the environment; emissions of greenhouse gases from agriculture to the environment; CO2 emissions into the environment; depletion of fresh water supplies; reduction of forest cover; and economic damage from climatological disasters. The model describing the impact of the traditional linear economy on the environment consists of seven interdependent econometric equations, each comprising an autoregressive distributed lag (ADL)-model. The proposed econometric model is used to analyze the environmental effects of the present linear economy. Methodological provisions for a transformational transition of the traditional linear economic model to the closed-loop systems, which also permit the impact of the closed-loop systems on the environment to be analyzed, are set out. Seven ecological indicators are proposed as criteria for comparing the traditional linear economy and the closed-loop systems. The manuscript presents a new approach for the determination of ecological criteria for comparing linear and circular economies. The results of the study could be interesting to address circular processes, which can be used as a criterion to establish ecological management according to the status of natural resources.","container-title":"Resources","DOI":"10.3390/resources7030048","ISSN":"2079-9276","issue":"3","journalAbbreviation":"Resources","language":"en","page":"48","source":"DOI.org (Crossref)","title":"Ecological Criteria for Comparing Linear and Circular Economies","volume":"7","author":[{"family":"Didenko","given":"Nikolay"},{"family":"Klochkov","given":"Yuri"},{"family":"Skripnuk","given":"Djamilia"}],"issued":{"date-parts":[["2018",8,8]]}}}],"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(Didenko et al., 2018)</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It was understood that the selection of an appropriate sampling method allowed for the reduction in the amount of data that was needed for this research (Saunders et al., 2018). Sampling was further necessary since it was unfeasible to collect data of the entire UAE millennial population due to limited time and financial resources. In any case, it was possible to recruit a larger sample size to ensure that more precise inferences about UAE millennials EWR intention/behavior could be drawn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{"citationID":"t41DYNdb","properties":{"formattedCitation":"(Vasileiou et al., 2018)","plainCitation":"(Vasileiou et al., 2018)","noteIndex":0},"citationItems":[{"id":4446,"uris":["http://zotero.org/users/local/b6CRLSJH/items/85R7CKWH"],"itemData":{"id":4446,"type":"article-journal","container-title":"BMC Medical Research Methodology","DOI":"10.1186/s12874-018-0594-7","ISSN":"1471-2288","issue":"1","journalAbbreviation":"BMC Med Res Methodol","language":"en","page":"148","source":"DOI.org (Crossref)","title":"Characterising and justifying sample size sufficiency in interview-based studies: systematic analysis of qualitative health research over a 15-year period","title-short":"Characterising and justifying sample size sufficiency in interview-based studies","volume":"18","author":[{"family":"Vasileiou","given":"Konstantina"},{"family":"Barnett","given":"Julie"},{"family":"Thorpe","given":"Susan"},{"family":"Young","given":"Terry"}],"issued":{"date-parts":[["2018",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(Vasileiou et al., 2018)</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In this study, a sample size of </w:t>
      </w:r>
      <w:r w:rsidRPr="00597FFB">
        <w:rPr>
          <w:rFonts w:ascii="Times New Roman" w:eastAsiaTheme="minorHAnsi" w:hAnsi="Times New Roman"/>
          <w:color w:val="000000" w:themeColor="text1"/>
          <w:sz w:val="24"/>
        </w:rPr>
        <w:t xml:space="preserve">500 </w:t>
      </w:r>
      <w:r w:rsidRPr="00597FFB">
        <w:rPr>
          <w:rFonts w:ascii="Times New Roman" w:eastAsiaTheme="minorHAnsi" w:hAnsi="Times New Roman" w:cs="Times New Roman"/>
          <w:sz w:val="24"/>
          <w:szCs w:val="24"/>
        </w:rPr>
        <w:t xml:space="preserve">was achieved and it was deemed sufficient for conducting statistical analysis such as multiple regression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{"citationID":"6sdaMZ73","properties":{"formattedCitation":"(Pallant, 2020)","plainCitation":"(Pallant, 2020)","noteIndex":0},"citationItems":[{"id":4448,"uris":["http://zotero.org/users/local/b6CRLSJH/items/LWWRE8Q5"],"itemData":{"id":4448,"type":"book","edition":"7","ISBN":"978-1-00-311745-2","language":"en","note":"DOI: 10.4324/9781003117452","publisher":"Routledge","source":"DOI.org (Crossref)","title":"SPSS Survival Manual: A Step by Step Guide to Data Analysis Using IBM SPSS","title-short":"SPSS Survival Manual","URL":"https://www.taylorfrancis.com/books/9781000248777","author":[{"family":"Pallant","given":"Julie"}],"accessed":{"date-parts":[["2022",6,5]]},"issued":{"date-parts":[["2020",7,16]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(Pallant,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p>
    <w:p w14:paraId="39593A6F" w14:textId="6A8AACB9"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As the probability of the units being chosen from the whole UAE millennial population was unknown and it was impossible to draw absolute statistical conclusions about the characteristics of UAE millennials, a non- probability sampling method was deemed most reasonable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{"citationID":"xu07qy5k","properties":{"formattedCitation":"(Stehman et al., 2018)","plainCitation":"(Stehman et al., 2018)","noteIndex":0},"citationItems":[{"id":4451,"uris":["http://zotero.org/users/local/b6CRLSJH/items/S6QZYNKJ"],"itemData":{"id":4451,"type":"article-journal","container-title":"Remote Sensing of Environment","DOI":"10.1016/j.rse.2018.04.014","ISSN":"00344257","journalAbbreviation":"Remote Sensing of Environment","language":"en","page":"47-59","source":"DOI.org (Crossref)","title":"Using volunteered geographic information (VGI) in design-based statistical inference for area estimation and accuracy assessment of land cover","volume":"212","author":[{"family":"Stehman","given":"Stephen V."},{"family":"Fonte","given":"Cidália C."},{"family":"Foody","given":"Giles M."},{"family":"See","given":"Linda"}],"issued":{"date-parts":[["2018",6]]}}}],"schema":"https://github.com/citation-style-language/schema/raw/master/csl-citation.json"}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(Stehman et al., 2018)</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fact that non-probability sampling techniques are popular among researchers and especially in business researches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{"citationID":"BqGFau2s","properties":{"formattedCitation":"(Lyon, 2015)","plainCitation":"(Lyon, 2015)","noteIndex":0},"citationItems":[{"id":4453,"uris":["http://zotero.org/users/local/b6CRLSJH/items/JASS5PMR"],"itemData":{"id":4453,"type":"chapter","container-title":"Handbook of Research Methods on Trust","ISBN":"978-1-78254-741-9","language":"en","note":"DOI: 10.4337/9781782547419.00019","page":"109-117","publisher":"Edward Elgar Publishing","source":"DOI.org (Crossref)","title":"Access and non-probability sampling in qualitative research on trust","URL":"http://www.elgaronline.com/view/9781782547402.00019.xml","container-author":[{"family":"Lyon","given":"Fergus"},{"family":"Möllering","given":"Guido"},{"family":"Saunders","given":"Mark"}],"author":[{"family":"Lyon","given":"Fergus"}],"accessed":{"date-parts":[["2022",6,5]]},"issued":{"date-parts":[["2015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(Lyon, 2015)</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further affirmed the choice of a nonprobability sampling technique. For the current research, convenience sampling was employed with a view to achieve a large quantity of data in a limited amount of time, as this method aims at including arbitrary sampling units that are easiest to include in the sample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{"citationID":"0yCyPMPV","properties":{"formattedCitation":"(Ameko et al., 2020)","plainCitation":"(Ameko et al., 2020)","noteIndex":0},"citationItems":[{"id":4454,"uris":["http://zotero.org/users/local/b6CRLSJH/items/JCRERBKG"],"itemData":{"id":4454,"type":"paper-conference","container-title":"Fourteenth ACM Conference on Recommender Systems","DOI":"10.1145/3383313.3412244","event-place":"Virtual Event Brazil","event-title":"RecSys '20: Fourteenth ACM Conference on Recommender Systems","ISBN":"978-1-4503-7583-2","language":"en","page":"249-258","publisher":"ACM","publisher-place":"Virtual Event Brazil","source":"DOI.org (Crossref)","title":"Offline Contextual Multi-armed Bandits for Mobile Health Interventions: A Case Study on Emotion Regulation","title-short":"Offline Contextual Multi-armed Bandits for Mobile Health Interventions","URL":"https://dl.acm.org/doi/10.1145/3383313.3412244","author":[{"family":"Ameko","given":"Mawulolo K."},{"family":"Beltzer","given":"Miranda L."},{"family":"Cai","given":"Lihua"},{"family":"Boukhechba","given":"Mehdi"},{"family":"Teachman","given":"Bethany A."},{"family":"Barnes","given":"Laura E."}],"accessed":{"date-parts":[["2022",6,5]]},"issued":{"date-parts":[["2020",9,22]]}}}],"schema":"https://github.com/citation-style-language/schema/raw/master/csl-citation.json"}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(Ameko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2F2390A3" w14:textId="344F54F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Despite its popularity, convenience sampling tends to involve bias and this is often difficult to control due to the ease of gathering data, especially in the case of a heterogenous population. For instance, a sampling error, which refers to a discrepancy between the selected sample and the populations characteristics and decreases when the sample size increases, could occur (Kothari, 2004). However, the sampling error was counteracted by having a huge study sample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{"citationID":"4sg2hqtV","properties":{"formattedCitation":"(P. Saunders et al., 2022)","plainCitation":"(P. Saunders et al., 2022)","dontUpdate":true,"noteIndex":0},"citationItems":[{"id":4456,"uris":["http://zotero.org/users/local/b6CRLSJH/items/J9H6XQGL"],"itemData":{"id":4456,"type":"article-journal","abstract":"Abstract\n            This paper compares the monetary and living standards approaches to poverty using Australian data for the period 2006–2017. The aim is to highlight the conceptual and empirical strengths and weaknesses of the two approaches and identify the similarities and differences that emerge when both are applied to examine what happened over the period and to a limited degree, why. The acknowledged limitations of estimating poverty rates by comparing household income with a poverty line have to a degree been addressed by developments in deprivation research that have generated estimates that are more directly related to living standards, more democratic and more credible. But this approach also has limitations, so its growing popularity need not signify the end of poverty line studies. This paper compares the two approaches, with specific attention paid to ensuring that the estimates are internally consistent over time and comparable at a point in time. Both show a consistent pattern of modest improvement in social disadvantage over the period examined, but they reveal different aspects of change. The monetary approach highlights the role of housing costs in driving changes in poverty, while the more nuanced explanation generated by estimates of deprivation provides detailed insights. The results suggest that each has a positive role to play in better understanding the nature of poverty and identifying the factors driving change over time.","container-title":"Social Indicators Research","DOI":"10.1007/s11205-022-02888-8","ISSN":"0303-8300, 1573-0921","journalAbbreviation":"Soc Indic Res","language":"en","source":"DOI.org (Crossref)","title":"Comparing the Monetary and Living Standards Approaches to Poverty Using the Australian Experience","URL":"https://link.springer.com/10.1007/s11205-022-02888-8","author":[{"family":"Saunders","given":"Peter"},{"family":"Naidoo","given":"Yuvisthi"},{"family":"Wong","given":"Melissa"}],"accessed":{"date-parts":[["2022",6,5]]},"issued":{"date-parts":[["2022",2,7]]}}}],"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(Saunders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02708EAA" w14:textId="24EA7CED"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4" w:name="_Toc127170338"/>
      <w:r w:rsidRPr="00597FFB">
        <w:rPr>
          <w:rFonts w:ascii="Times New Roman" w:eastAsiaTheme="majorEastAsia" w:hAnsi="Times New Roman" w:cs="Times New Roman"/>
          <w:i/>
          <w:iCs/>
          <w:color w:val="000000" w:themeColor="text1"/>
          <w:sz w:val="24"/>
          <w:szCs w:val="24"/>
        </w:rPr>
        <w:t>4.3.3. Survey Design</w:t>
      </w:r>
      <w:r w:rsidR="00195507" w:rsidRPr="00597FFB">
        <w:rPr>
          <w:rFonts w:ascii="Times New Roman" w:eastAsiaTheme="majorEastAsia" w:hAnsi="Times New Roman" w:cs="Times New Roman"/>
          <w:i/>
          <w:iCs/>
          <w:color w:val="000000" w:themeColor="text1"/>
          <w:sz w:val="24"/>
          <w:szCs w:val="24"/>
        </w:rPr>
        <w:t>.</w:t>
      </w:r>
      <w:bookmarkEnd w:id="204"/>
      <w:r w:rsidRPr="00597FFB">
        <w:rPr>
          <w:rFonts w:ascii="Times New Roman" w:eastAsiaTheme="majorEastAsia" w:hAnsi="Times New Roman" w:cs="Times New Roman"/>
          <w:i/>
          <w:iCs/>
          <w:color w:val="000000" w:themeColor="text1"/>
          <w:sz w:val="24"/>
          <w:szCs w:val="24"/>
        </w:rPr>
        <w:t xml:space="preserve"> </w:t>
      </w:r>
    </w:p>
    <w:p w14:paraId="331DD43E"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primary data collection method chosen the current research was a survey as it enabled measuring the value of each explanatory variable and the correlations among the variables within the current study’s proposed research model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{"citationID":"sarAKyoz","properties":{"formattedCitation":"(Pandey &amp; Pandey, 2015)","plainCitation":"(Pandey &amp; Pandey, 2015)","noteIndex":0},"citationItems":[{"id":4458,"uris":["http://zotero.org/users/local/b6CRLSJH/items/QPZEHHNP"],"itemData":{"id":4458,"type":"book","abstract":"Contributed articles in Indian context.","ISBN":"978-606-93502-7-0","language":"English","note":"OCLC: 1261725553","source":"Open WorldCat","title":"Research methodology: tools &amp; techniques","title-short":"Research methodology","author":[{"family":"Pandey","given":"Prabhat"},{"family":"Pandey","given":"Meenu Mishra"}],"issued":{"date-parts":[["2015"]]}}}],"schema":"https://github.com/citation-style-language/schema/raw/master/csl-citation.json"}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(Pandey &amp; Pandey, 2015)</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Moreover, majority of the studies reviewed in Chapters 2 and 3 (for example, Aboelmaged, 2021; Confente &amp; Scarpi, 2020; Esfandiar et al., 2021; Kim &amp; Hwang, 2020; Muniandy &amp; Anuar, 2020) adopted a quantitative survey using questionnaires as the main data collection instrument.</w:t>
      </w:r>
    </w:p>
    <w:p w14:paraId="1A64291E" w14:textId="593CB2D4"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According to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{"citationID":"ZM7dKFza","properties":{"formattedCitation":"(Hamada et al., 2021)","plainCitation":"(Hamada et al., 2021)","dontUpdate":true,"noteIndex":0},"citationItems":[{"id":4511,"uris":["http://zotero.org/users/local/b6CRLSJH/items/3QASYFB7"],"itemData":{"id":4511,"type":"article-journal","abstract":"Abstract\n            Recent studies have indicated a positive association between patriotism and environmentalism; however, the correlation between them has not yet been quantitatively verified. Additionally, differences in “good” versus “blind” patriotism have been ignored in environmental behavior studies; thus, theoretical concepts related to their effects on environmentalism have not been empirically tested. The present study aims to reveal the effects of good patriotism and social consideration on pro-environmental attitudes and behaviors, and the mediating effect of social consideration on the relationship between patriotism and pro-environmental attitudes and behaviors, while removing national or political prejudice or ideology from the measurement of patriotism. Data collected using a self-report questionnaire were analyzed for Chinese university students and workers. Results of multiple hierarchical linear regression analysis of five pro-environmental attitudes/behaviors estimation models showed that patriotism was correlated with pro-environmental attitudes and behaviors, and this correlation was completely mediated by individual social consideration, which was strongly and positively correlated with both patriotism and pro-environmental attitudes and behaviors. Our findings show that patriotism encourages people to focus on societal structures and environmental problems. The effect of good patriotism on individual pro-environmental attitudes and behaviors is clearly different from that of blind nationalism, as shown in previous literature. The present study highlights implications for future policy-making and education on patriotism and environmentalism in China.","container-title":"SN Applied Sciences","DOI":"10.1007/s42452-021-04358-1","ISSN":"2523-3963, 2523-3971","issue":"3","journalAbbreviation":"SN Appl. Sci.","language":"en","page":"361","source":"DOI.org (Crossref)","title":"Good patriotism, social consideration, environmental problem cognition, and pro-environmental attitudes and behaviors: a cross-sectional study of Chinese attitudes","title-short":"Good patriotism, social consideration, environmental problem cognition, and pro-environmental attitudes and behaviors","volume":"3","author":[{"family":"Hamada","given":"Tomomi"},{"family":"Shimizu","given":"Makoto"},{"family":"Ebihara","given":"Tsuyoshi"}],"issued":{"date-parts":[["2021",3]]}}}],"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Hamada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characterization of the population based on social problems are areas where cross-sectional survey research is extensively used. This is especially because surveys help to collect information about people, describe, compare or explain constructs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{"citationID":"MCYmyhAe","properties":{"formattedCitation":"(X.-H. Li et al., 2020)","plainCitation":"(X.-H. Li et al., 2020)","noteIndex":0},"citationItems":[{"id":4513,"uris":["http://zotero.org/users/local/b6CRLSJH/items/K6AWRRPT"],"itemData":{"id":4513,"type":"article-journal","container-title":"IEEE Transactions on Knowledge and Data Engineering","DOI":"10.1109/TKDE.2020.2983930","ISSN":"1041-4347, 1558-2191, 2326-3865","journalAbbreviation":"IEEE Trans. Knowl. Data Eng.","page":"1-1","source":"DOI.org (Crossref)","title":"A Survey of Data-driven and Knowledge-aware eXplainable AI","author":[{"family":"Li","given":"Xiao-Hui"},{"family":"Cao","given":"Caleb Chen"},{"family":"Shi","given":"Yuhan"},{"family":"Bai","given":"Wei"},{"family":"Gao","given":"Han"},{"family":"Qiu","given":"Luyu"},{"family":"Wang","given":"Cong"},{"family":"Gao","given":"Yuanyuan"},{"family":"Zhang","given":"Shenjia"},{"family":"Xue","given":"Xun"},{"family":"Chen","given":"Lei"}],"issued":{"date-parts":[["2020"]]}}}],"schema":"https://github.com/citation-style-language/schema/raw/master/csl-citation.json"} </w:instrText>
      </w:r>
      <w:r w:rsidRPr="00597FFB">
        <w:rPr>
          <w:rFonts w:ascii="Times New Roman" w:eastAsiaTheme="minorHAnsi" w:hAnsi="Times New Roman" w:cs="Times New Roman"/>
          <w:sz w:val="24"/>
          <w:szCs w:val="24"/>
        </w:rPr>
        <w:fldChar w:fldCharType="separate"/>
      </w:r>
      <w:r w:rsidR="0002538C" w:rsidRPr="00597FFB">
        <w:rPr>
          <w:rFonts w:ascii="Times New Roman" w:hAnsi="Times New Roman" w:cs="Times New Roman"/>
          <w:sz w:val="24"/>
        </w:rPr>
        <w:t>( Li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In this research, the survey helped to collect verifiable information about the UAE millennials. As is the case in quantitative research, the survey in this study included questions that allowed the respondents to select responses along a scale or other responses that were translatable into numerical or quantifiable data.</w:t>
      </w:r>
    </w:p>
    <w:p w14:paraId="0F8A1F2C"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Administering a survey relatively eased and speeded the process of conducting this research is conducted. Furthermore, the quantitative survey was useful because the UAE population is very large and it made it possible to cover a wider range of situations. Moreover, gathering data and basing the statistics on a large sample of UAE millennials, rendered the results of the current study considerably relevant for policy decisions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{"citationID":"dCo0C4r8","properties":{"formattedCitation":"(Zamani, 2022)","plainCitation":"(Zamani, 2022)","noteIndex":0},"citationItems":[{"id":4514,"uris":["http://zotero.org/users/local/b6CRLSJH/items/DNU2Y6J9"],"itemData":{"id":4514,"type":"article-journal","abstract":"Purpose\n              This paper aims to map the influential concepts on technology adoption in Small and Medium Enterprises (SMEs) through conducting a systematic literature review and finding a better understanding of the current body of knowledge.\n            \n            \n              Design/methodology/approach\n              A systematic literature review approach is taken here, which includes the following steps: Determination of keywords and strings, selection of databases, setting inclusion and exclusion criteria, conducting the search in chosen databases over a specific period of time. This process has led to the final count of 349 peer-reviewed articles being studied, and the results are analyzed quantitatively and qualitatively.\n            \n            \n              Findings\n              As a result of the study, 11 categories of influential concepts on technology adoption are identified by reviewing literature from the past decade. This article indicates how fragmented the literature is and how it concentrates on studying the impact of only a limited number of categories of concepts. The scatted frameworks (theoretical and conceptual) and weak application of the used theories found in this research also highlight the need for the development of a framework that looks into technology adoption as a dynamic process due to the dynamic nature of new technologies today.\n            \n            \n              Research limitations/implications\n              Based on the above findings, future research avenues are to look into technology adoption from a process perspective, to dig into less researched influencing concepts such as infrastructure, regulations, strategy and resources and their role in adoption of technology in SMEs as well as development of a framework for technology adoption that is aligned with these elements.\n            \n            \n              Practical implications\n              Practitioners and policymakers will benefit from finding a helicopter view of the barriers and supporting factors throughout their technology adoption journey. The knowledge they gain from this study will better prepare them in building tools they need for adopting technology in their organizations and provide an in-depth insight to what elements can affect their journey.\n            \n            \n              Originality/value\n              This review provides an insight into the current body of knowledge on the topic, which researchers can benefit from constructing an in-depth understanding of the state of research as well as influencing concepts of technology adoption in SMEs. Moreover, it adds value in building up the knowledge of technology adoption in today's dynamic world of digitalization.","container-title":"European Journal of Innovation Management","DOI":"10.1108/EJIM-07-2021-0360","ISSN":"1460-1060","issue":"6","journalAbbreviation":"EJIM","language":"en","page":"735-757","source":"DOI.org (Crossref)","title":"Small and Medium Enterprises (SMEs) facing an evolving technological era: a systematic literature review on the adoption of technologies in SMEs","title-short":"Small and Medium Enterprises (SMEs) facing an evolving technological era","volume":"25","author":[{"family":"Zamani","given":"Seyedeh Zahra"}],"issued":{"date-parts":[["2022",4,15]]}}}],"schema":"https://github.com/citation-style-language/schema/raw/master/csl-citation.json"}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(Zamani,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weaknesses of using the survey were mainly in its inflexibility, artificialness, and ineffectiveness in qualifying and explaining the significance that the UAE millennials attached to EWR-related actions and beliefs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{"citationID":"pUYN0VBP","properties":{"formattedCitation":"(Iacovidou et al., 2021)","plainCitation":"(Iacovidou et al., 2021)","noteIndex":0},"citationItems":[{"id":4515,"uris":["http://zotero.org/users/local/b6CRLSJH/items/USG8GF3T"],"itemData":{"id":4515,"type":"article-journal","abstract":"Abstract\n            Circular economy (CE) is extensively discussed around the globe. Presently, discussions are mostly concerned with the importance of achieving CE and the benefits associated therewith, with the various barriers surrounding its implementation being less debated. Understanding the context in which circularity can flourish is a prerequisite in building the capabilities to deal with the multi-faceted challenges that currently hamper progress in closing the material, component and product loops. In this study, we discuss the importance of systems thinking in understanding the way resource recovery systems operate, and in promoting deep transformational change. We suggest that transformational change needs to go beyond closing materials, components and products (MCPs) loops, and promote sustainability in the way resources are exploited, used and managed throughout the system. By adopting a system of systems approach, we postulate that there are five interconnected sub-systems that need to be considered for supporting transitions to CE, namely, resource flows and provisioning service; governance, regulatory framework and political landscape; business activities and the marker; infrastructure and innovation; and user practices. This holistic approach provides a useful means to cutting through systemic complexity, and focuses on the dynamics between processes, values and actors in the value chain, and their dependence on cultural, spatial and temporal characteristics. We conclude that a systems-based approach can build up the capabilities required to identify and understand persistent linear trends and, in turn, support forward-thinking and time investment in enabling sustainable transitions. This, in turn, can help to align priorities and transform our current practices, speeding up the process of closing the MCP loops in a sustainable manner.","container-title":"Environmental Science and Pollution Research","DOI":"10.1007/s11356-020-11725-9","ISSN":"0944-1344, 1614-7499","issue":"19","journalAbbreviation":"Environ Sci Pollut Res","language":"en","page":"24785-24806","source":"DOI.org (Crossref)","title":"A systems thinking approach to understanding the challenges of achieving the circular economy","volume":"28","author":[{"family":"Iacovidou","given":"Eleni"},{"family":"Hahladakis","given":"John N."},{"family":"Purnell","given":"Phil"}],"issued":{"date-parts":[["2021",5]]}}}],"schema":"https://github.com/citation-style-language/schema/raw/master/csl-citation.json"}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(Iacovidou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40DA8219"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Generally, the amount of contact needed with the respondents impacted the selection of the survey design substantially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{"citationID":"cf8xk4zo","properties":{"formattedCitation":"(Cowling et al., 2020)","plainCitation":"(Cowling et al., 2020)","noteIndex":0},"citationItems":[{"id":4459,"uris":["http://zotero.org/users/local/b6CRLSJH/items/4MG3SQVR"],"itemData":{"id":4459,"type":"article-journal","container-title":"The Lancet Public Health","DOI":"10.1016/S2468-2667(20)30090-6","ISSN":"24682667","issue":"5","journalAbbreviation":"The Lancet Public Health","language":"en","page":"e279-e288","source":"DOI.org (Crossref)","title":"Impact assessment of non-pharmaceutical interventions against coronavirus disease 2019 and influenza in Hong Kong: an observational study","title-short":"Impact assessment of non-pharmaceutical interventions against coronavirus disease 2019 and influenza in Hong Kong","volume":"5","author":[{"family":"Cowling","given":"Benjamin J"},{"family":"Ali","given":"Sheikh Taslim"},{"family":"Ng","given":"Tiffany W Y"},{"family":"Tsang","given":"Tim K"},{"family":"Li","given":"Julian C M"},{"family":"Fong","given":"Min Whui"},{"family":"Liao","given":"Qiuyan"},{"family":"Kwan","given":"Mike YW"},{"family":"Lee","given":"So Lun"},{"family":"Chiu","given":"Susan S"},{"family":"Wu","given":"Joseph T"},{"family":"Wu","given":"Peng"},{"family":"Leung","given":"Gabriel M"}],"issued":{"date-parts":[["2020",5]]}}}],"schema":"https://github.com/citation-style-language/schema/raw/master/csl-citation.json"}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(Cowling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questionnaire </w:t>
      </w:r>
      <w:r w:rsidRPr="00597FFB">
        <w:rPr>
          <w:rFonts w:ascii="Times New Roman" w:eastAsiaTheme="minorHAnsi" w:hAnsi="Times New Roman"/>
          <w:color w:val="000000" w:themeColor="text1"/>
          <w:sz w:val="24"/>
        </w:rPr>
        <w:t xml:space="preserve">(Appendix 1) </w:t>
      </w:r>
      <w:r w:rsidRPr="00597FFB">
        <w:rPr>
          <w:rFonts w:ascii="Times New Roman" w:eastAsiaTheme="minorHAnsi" w:hAnsi="Times New Roman" w:cs="Times New Roman"/>
          <w:sz w:val="24"/>
          <w:szCs w:val="24"/>
        </w:rPr>
        <w:t>was developed based on study instruments that were used in previous literature to ensure high reliability and validity (see Appendix 2 for the questionnaire constructions, scale items, and their respective sources). As English is widely spoken in the UAE, sufficient English language skills to answer the questions properly and adequately were assumed. Therefore, the survey was designed in English using Qualtrics® and comprised of 103 closed questions spread across seven sections.</w:t>
      </w:r>
    </w:p>
    <w:p w14:paraId="19BDCBE1" w14:textId="77777777" w:rsidR="00E41CB5" w:rsidRPr="00597FFB" w:rsidRDefault="00E41CB5" w:rsidP="00C050A0">
      <w:pPr>
        <w:widowControl w:val="0"/>
        <w:spacing w:after="0" w:line="480" w:lineRule="auto"/>
        <w:ind w:firstLine="720"/>
        <w:jc w:val="both"/>
        <w:rPr>
          <w:rFonts w:ascii="Times New Roman" w:eastAsiaTheme="minorHAnsi" w:hAnsi="Times New Roman"/>
          <w:color w:val="000000" w:themeColor="text1"/>
          <w:sz w:val="24"/>
        </w:rPr>
      </w:pPr>
      <w:r w:rsidRPr="00597FFB">
        <w:rPr>
          <w:rFonts w:ascii="Times New Roman" w:eastAsiaTheme="minorHAnsi" w:hAnsi="Times New Roman" w:cs="Times New Roman"/>
          <w:sz w:val="24"/>
          <w:szCs w:val="24"/>
        </w:rPr>
        <w:t xml:space="preserve">The first section of the survey consisted of five screening questions to filter out any respondents that did not meet the inclusion criteria for participation in this study. Since it was possible that some respondents may have lacked knowledge about EWR, they may have been unable to answer questions about access to E-waste and EWR information properly, which is one of the seven blocks within the survey. This could have resulted in uninformed response bias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{"citationID":"ycwow4wh","properties":{"formattedCitation":"(Peterson &amp; Iyengar, 2021)","plainCitation":"(Peterson &amp; Iyengar, 2021)","noteIndex":0},"citationItems":[{"id":4462,"uris":["http://zotero.org/users/local/b6CRLSJH/items/4AYH43VQ"],"itemData":{"id":4462,"type":"article-journal","container-title":"American Journal of Political Science","DOI":"10.1111/ajps.12535","ISSN":"0092-5853, 1540-5907","issue":"1","journalAbbreviation":"American Journal of Political Science","language":"en","page":"133-147","source":"DOI.org (Crossref)","title":"Partisan Gaps in Political Information and Information</w:instrText>
      </w:r>
      <w:r w:rsidRPr="00597FFB">
        <w:rPr>
          <w:rFonts w:ascii="Cambria Math" w:eastAsiaTheme="minorHAnsi" w:hAnsi="Cambria Math" w:cs="Cambria Math"/>
          <w:sz w:val="24"/>
          <w:szCs w:val="24"/>
        </w:rPr>
        <w:instrText>‐</w:instrText>
      </w:r>
      <w:r w:rsidRPr="00597FFB">
        <w:rPr>
          <w:rFonts w:ascii="Times New Roman" w:eastAsiaTheme="minorHAnsi" w:hAnsi="Times New Roman" w:cs="Times New Roman"/>
          <w:sz w:val="24"/>
          <w:szCs w:val="24"/>
        </w:rPr>
        <w:instrText>Seeking Behavior: Motivated Reasoning or Cheerleading?","title-short":"Partisan Gaps in Political Information and Information</w:instrText>
      </w:r>
      <w:r w:rsidRPr="00597FFB">
        <w:rPr>
          <w:rFonts w:ascii="Cambria Math" w:eastAsiaTheme="minorHAnsi" w:hAnsi="Cambria Math" w:cs="Cambria Math"/>
          <w:sz w:val="24"/>
          <w:szCs w:val="24"/>
        </w:rPr>
        <w:instrText>‐</w:instrText>
      </w:r>
      <w:r w:rsidRPr="00597FFB">
        <w:rPr>
          <w:rFonts w:ascii="Times New Roman" w:eastAsiaTheme="minorHAnsi" w:hAnsi="Times New Roman" w:cs="Times New Roman"/>
          <w:sz w:val="24"/>
          <w:szCs w:val="24"/>
        </w:rPr>
        <w:instrText xml:space="preserve">Seeking Behavior","volume":"65","author":[{"family":"Peterson","given":"Erik"},{"family":"Iyengar","given":"Shanto"}],"issued":{"date-parts":[["2021",1]]}}}],"schema":"https://github.com/citation-style-language/schema/raw/master/csl-citation.json"}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(Peterson &amp; Iyengar,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Thus, a question that aimed at testing consumers’ awareness about the studied topic was integrated within the screening section to increase researchers’ control required for the subsequent statistical analysis. The second section comprised six demographic questions, which yielded relevant information about the sample population. The main body of the </w:t>
      </w:r>
      <w:r w:rsidRPr="00597FFB">
        <w:rPr>
          <w:rFonts w:ascii="Times New Roman" w:eastAsiaTheme="minorHAnsi" w:hAnsi="Times New Roman"/>
          <w:color w:val="000000" w:themeColor="text1"/>
          <w:sz w:val="24"/>
        </w:rPr>
        <w:t xml:space="preserve">questionnaire included </w:t>
      </w:r>
      <w:r w:rsidRPr="00597FFB">
        <w:rPr>
          <w:rFonts w:ascii="Times New Roman" w:eastAsiaTheme="minorHAnsi" w:hAnsi="Times New Roman" w:cs="Times New Roman"/>
          <w:color w:val="000000" w:themeColor="text1"/>
          <w:sz w:val="24"/>
          <w:szCs w:val="24"/>
        </w:rPr>
        <w:t>92</w:t>
      </w:r>
      <w:r w:rsidRPr="00597FFB">
        <w:rPr>
          <w:rFonts w:ascii="Times New Roman" w:eastAsiaTheme="minorHAnsi" w:hAnsi="Times New Roman"/>
          <w:color w:val="000000" w:themeColor="text1"/>
          <w:sz w:val="24"/>
        </w:rPr>
        <w:t xml:space="preserve"> questions divided into </w:t>
      </w:r>
      <w:r w:rsidRPr="00597FFB">
        <w:rPr>
          <w:rFonts w:ascii="Times New Roman" w:eastAsiaTheme="minorHAnsi" w:hAnsi="Times New Roman" w:cs="Times New Roman"/>
          <w:color w:val="000000" w:themeColor="text1"/>
          <w:sz w:val="24"/>
          <w:szCs w:val="24"/>
        </w:rPr>
        <w:t>five sections,</w:t>
      </w:r>
      <w:r w:rsidRPr="00597FFB">
        <w:rPr>
          <w:rFonts w:ascii="Times New Roman" w:eastAsiaTheme="minorHAnsi" w:hAnsi="Times New Roman"/>
          <w:color w:val="000000" w:themeColor="text1"/>
          <w:sz w:val="24"/>
        </w:rPr>
        <w:t xml:space="preserve"> which measure</w:t>
      </w:r>
      <w:r w:rsidRPr="00597FFB">
        <w:rPr>
          <w:rFonts w:ascii="Times New Roman" w:eastAsiaTheme="minorHAnsi" w:hAnsi="Times New Roman" w:cs="Times New Roman"/>
          <w:color w:val="000000" w:themeColor="text1"/>
          <w:sz w:val="24"/>
          <w:szCs w:val="24"/>
        </w:rPr>
        <w:t>d</w:t>
      </w:r>
      <w:r w:rsidRPr="00597FFB">
        <w:rPr>
          <w:rFonts w:ascii="Times New Roman" w:eastAsiaTheme="minorHAnsi" w:hAnsi="Times New Roman"/>
          <w:color w:val="000000" w:themeColor="text1"/>
          <w:sz w:val="24"/>
        </w:rPr>
        <w:t xml:space="preserve"> the explanatory variables within the model.</w:t>
      </w:r>
    </w:p>
    <w:p w14:paraId="21434591" w14:textId="12D69261"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olor w:val="000000" w:themeColor="text1"/>
          <w:sz w:val="24"/>
        </w:rPr>
        <w:t xml:space="preserve">Respondents’ answers were assessed using a 5-point-Likert scale ranging from strongly agree (1), somewhat agree (2), </w:t>
      </w:r>
      <w:r w:rsidRPr="00597FFB">
        <w:rPr>
          <w:rFonts w:ascii="Times New Roman" w:eastAsiaTheme="minorHAnsi" w:hAnsi="Times New Roman" w:cs="Times New Roman"/>
          <w:color w:val="000000" w:themeColor="text1"/>
          <w:sz w:val="24"/>
          <w:szCs w:val="24"/>
        </w:rPr>
        <w:t>neutral</w:t>
      </w:r>
      <w:r w:rsidRPr="00597FFB">
        <w:rPr>
          <w:rFonts w:ascii="Times New Roman" w:eastAsiaTheme="minorHAnsi" w:hAnsi="Times New Roman"/>
          <w:color w:val="000000" w:themeColor="text1"/>
          <w:sz w:val="24"/>
        </w:rPr>
        <w:t xml:space="preserve"> (3), somewhat disagree (4) to strongly disagree (5). </w:t>
      </w:r>
      <w:r w:rsidRPr="00597FFB">
        <w:rPr>
          <w:rFonts w:ascii="Times New Roman" w:eastAsiaTheme="minorHAnsi" w:hAnsi="Times New Roman" w:cs="Times New Roman"/>
          <w:sz w:val="24"/>
          <w:szCs w:val="24"/>
        </w:rPr>
        <w:t xml:space="preserve">This type of scale was chosen due to its accurate measurement in previous recycling studies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{"citationID":"Jkyq7mr5","properties":{"formattedCitation":"(Hutchinson, 2021)","plainCitation":"(Hutchinson, 2021)","dontUpdate":true,"noteIndex":0},"citationItems":[{"id":4464,"uris":["http://zotero.org/users/local/b6CRLSJH/items/Z9A88ISR"],"itemData":{"id":4464,"type":"thesis","abstract":"Performance improvement practitioners value evidence-based practices, which include data-driven decisions. \n          Data can be obtained through survey questionnaires designed with closed-ended questions and response scales. \n          The Likert scale (\n            Strongly Disagree\n            ,\n            Disagree\n            ,\n            Neutral\n            ,\n            Agree\n            , \n          and\n            Strongly Agree\n            ) is one of the most commonly used response scales. Whether the 5-point \n          Likert scale, as a verbal descriptor scale, should be treated as an ordinal or interval scale is an on-going \n          debate, as different types of statistical analyses are applied to ordinal and interval data. I conducted this \n          study to examine if survey participants would perceive a 5-point Likert scale close to an interval level \n          measurement when an adverb such as\n            Moderately\n            ,\n            Somewhat\n            , or\n            Slightly\n            is \n          added in front of\n            Agree\n            and\n            Disagree\n            . This information could be used by researchers \n          who wish to construct an interval type Likert scale.\n          \n          \n            I conducted this study using a convenient sample of performance improvement practitioners, including master's degree \n          and graduate certificate seeking students, recent alumni, and faculty in the Organizational Performance and Workplace \n          Learning department at Boise State University. For this study, I developed a web-based survey instrument using a horizontal \n          slider format. The first screen of the survey instrument contained eight partially-labeled Likert scale sliders, each of \n          which presented three anchors in ascending order (\n            Strongly Disagree\n            on the far-left side,\n            Neutral\n            in \n          the middle, and\n            Strongly Agree\n            on the far-right side) along with their numerical values (-2, 0, and +2, respectively). \n          The slider bar was initially placed on\n            Neutral\n            (0). Participants were instructed to move the slider bar to locate each \n          of the following eight anchors on the Likert scale \n          slider;\n            Disagree\n            ,\n            Moderately Disagree\n            ,\n            Somewhat Disagree\n            ,\n            Slightly Disagree\n            ,\n            Agree\n            ,\n            Moderately Agree\n            ,\n            Somewhat Agree\n            , and\n            Slightly Agree\n            . To \n          test the response order effect, the second screen of the instrument asked the participants to repeat the above \n          procedure using another set of eight Likert scale sliders presented in descending order. The third screen of the \n          instrument asked for participants' gender, age group, and native English speaker status.\n          \n          The data was collected in October of 2020. The web-based survey system (Qualtrics) recorded data \n          rounding to two decimal points and provided summary report data including mean, standard deviation, \n          variance, and minimums and maximum response scores for each item. A survey invitation was sent to 327 \n          practitioners, and a total of 109 of them submitted the survey. However, the initial data screening \n          detected 37 datasets with responses where any responses were incomplete or used the incorrect side of the \n          slider continuum, which were excluded. Two additional responses from non-native English speakers were also \n          excluded due to the linguistic aspect of the study. This left 70 responses available for analysis (51 females, 18 males, 1 \"do not want to report\").\n          The anchor being tested would be considered useful for constructing an interval measurement if its corresponding confidence \n          interval included the value -1 or +1. To test this, 95% confidence intervals were constructed for each of the 16 items. \n          Response order effects were investigated by performing paired sample t-tests comparing the average scores of the 8 response \n          options when presented in ascending versus descending order.\n          \n            The results showed that,\n            Moderately Disagree\n            and\n            Moderately Agree\n            were closely aligned \n          with -1 or +1 on the continuum, respectively, regardless of the response orders used.\n            Agree\n            was aligned \n          with +1 only when presented in ascending order, but not when presented in descending order. Adding other \n          adverbs\n            Somewhat\n            and\n            Slightly\n            to\n            Agree\n            and\n            Disagree\n            made \n          the 5-point Likert scales to be clearly ordinal scales in both response orders used. Therefore, the study concluded that when \n          one needs to collect interval data from a 5-point Likert scale,\n            Moderately Agree\n            and\n            Moderately Disagree\n            can \n          be used in either ascending or descending order of the scale.\n          \n          \n            Although\n            Somewhat\n            would not be a good adverb to be added to\n            Disagree\n            and\n            Agree\n            when \n          the 5-point Likert scale is expected to generate interval data, an unexpected interesting finding was \n          that\n            Strongly Agree\n            ,\n            Somewhat Agree\n            ,\n            Somewhat Disagree\n            , and\n            Strongly Disagree\n            in \n          descending order can be used as an interval-level 4-point Likert scale.\n          \n          This study was conducted with several limitations including the use of a convenience sample, and the generalization \n          of the findings may be limited.","event-place":"Boise, ID","genre":"Master of Science in Organizational Performance and Workplace Learning","language":"en","note":"DOI: 10.18122/td.1778.boisestate","publisher":"Boise State University","publisher-place":"Boise, ID","source":"DOI.org (Crossref)","title":"Exploring Optimal Response Labels for Constructing an Interval Type 5-Point Likert Scale","URL":"https://scholarworks.boisestate.edu/td/1778/","author":[{"family":"Hutchinson","given":"Douglas"}],"accessed":{"date-parts":[["2022",6,5]]},"issued":{"date-parts":[["2021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(Dhir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Moreover, it is recognized for its simplicity to collect primary data and advantageous in studies that measure people’s attitude and viewpoint. Finally, respondents’ answers could be converted numerically to facilitate data analysis since there the scale had no variation in response wording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{"citationID":"aNXKEbpK","properties":{"formattedCitation":"(Alam, 2020)","plainCitation":"(Alam, 2020)","noteIndex":0},"citationItems":[{"id":4466,"uris":["http://zotero.org/users/local/b6CRLSJH/items/P44HZHVF"],"itemData":{"id":4466,"type":"article-journal","abstract":"Purpose\n              The study aims to explore the case study method with the formation of questions, data collection procedures and analysis, followed by how and on which position the saturation is achieved in developing a centralized Shariah governance framework for Islamic banks in Bangladesh.\n            \n            \n              Design/methodology/approach\n              Using purposive and snowball sampling procedures, data have been collected from 17 respondents who are working in the central bank and Islamic banks of Bangladesh through face-to-face and semi-structured interviews.\n            \n            \n              Findings\n              The study claims that researchers can form the research questions by using “what” question mark in qualitative research. Besides, the qualitative research and case study could explore the answers of “what” questions along with the “why” and “how” more broadly, descriptively and extensively about a phenomenon. Similarly, saturation can be considered attaining the ultimate point of data collection by the researchers without adding anything in the databank. Overall, this study proposes three stages of saturation: First, information redundancy. Second, referring the respondents (already considered in the study) without knowing anything about the data collection and their responses. Third, through the NVivo open coding process due to the decrease of reference or quotes in a certain position or in the saturation position as a result of fewer outcomes or insufficient information. The saturation is thus achieved in the diversified positions, i.e. three respondents for regulatory, nine for Shariah scholars and officers and five for the experts concerning the responses and respondents.\n            \n            \n              Research limitations/implications\n              The study has potential implications on the qualitative research method, including the case study, saturation process and points, NVivo analysis and qualitative questions formation.\n            \n            \n              Originality/value\n              This research defines a case study with the inclusion of “what” and illustrates the saturation process in diverse positions. The qualitative research questions can also be formed with “what” in addition “why” and “how”.","container-title":"Qualitative Research in Organizations and Management: An International Journal","DOI":"10.1108/QROM-09-2019-1825","ISSN":"1746-5648","issue":"1","journalAbbreviation":"QROM","language":"en","page":"1-31","source":"DOI.org (Crossref)","title":"A systematic qualitative case study: questions, data collection, NVivo analysis and saturation","title-short":"A systematic qualitative case study","volume":"16","author":[{"family":"Alam","given":"Md. Kausar"}],"issued":{"date-parts":[["2020",8,20]]}}}],"schema":"https://github.com/citation-style-language/schema/raw/master/csl-citation.json"}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(Alam,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2CD08273" w14:textId="6B2A5B65"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Due to the need for a large sample size in a limited time frame with restricted financial resources, the questionnaire was distributed online. By using an internet-mediated questionnaire, the data gathering process was quick and simple than would have been the case with a paper-based questionnaire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{"citationID":"o0mtDmmd","properties":{"formattedCitation":"(McRobert et al., 2018)","plainCitation":"(McRobert et al., 2018)","noteIndex":0},"citationItems":[{"id":4467,"uris":["http://zotero.org/users/local/b6CRLSJH/items/8ZB7PUSN"],"itemData":{"id":4467,"type":"article-journal","container-title":"PLOS ONE","DOI":"10.1371/journal.pone.0200184","ISSN":"1932-6203","issue":"7","journalAbbreviation":"PLoS ONE","language":"en","page":"e0200184","source":"DOI.org (Crossref)","title":"A multi-modal recruitment strategy using social media and internet-mediated methods to recruit a multidisciplinary, international sample of clinicians to an online research study","volume":"13","author":[{"family":"McRobert","given":"Cliona J."},{"family":"Hill","given":"Jonathan C."},{"family":"Smale","given":"Tim"},{"family":"Hay","given":"Elaine M."},{"family":"Windt","given":"Danielle A.","non-dropping-particle":"van der"}],"editor":[{"family":"Lozano","given":"Sergi"}],"issued":{"date-parts":[["2018",7,6]]}}}],"schema":"https://github.com/citation-style-language/schema/raw/master/csl-citation.json"}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(McRobert et al., 2018)</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Moreover, the target population has been described as heavy internet users, which further justified the choice of an online questionnaire. On the downside, administering the questionnaire online meant that the researcher had relatively less control over who completed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{"citationID":"qcyE6NUN","properties":{"formattedCitation":"(Utz et al., 2021)","plainCitation":"(Utz et al., 2021)","noteIndex":0},"citationItems":[{"id":4469,"uris":["http://zotero.org/users/local/b6CRLSJH/items/MDW76GDF"],"itemData":{"id":4469,"type":"paper-conference","container-title":"Proceedings of the 2021 CHI Conference on Human Factors in Computing Systems","DOI":"10.1145/3411764.3445517","event-place":"Yokohama Japan","event-title":"CHI '21: CHI Conference on Human Factors in Computing Systems","ISBN":"978-1-4503-8096-6","language":"en","page":"1-22","publisher":"ACM","publisher-place":"Yokohama Japan","source":"DOI.org (Crossref)","title":"Apps Against the Spread: Privacy Implications and User Acceptance of COVID-19-Related Smartphone Apps on Three Continents","title-short":"Apps Against the Spread","URL":"https://dl.acm.org/doi/10.1145/3411764.3445517","author":[{"family":"Utz","given":"Christine"},{"family":"Becker","given":"Steffen"},{"family":"Schnitzler","given":"Theodor"},{"family":"Farke","given":"Florian M."},{"family":"Herbert","given":"Franziska"},{"family":"Schaewitz","given":"Leonie"},{"family":"Degeling","given":"Martin"},{"family":"Dürmuth","given":"Markus"}],"accessed":{"date-parts":[["2022",6,5]]},"issued":{"date-parts":[["2021",5,6]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(Utz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56294726" w14:textId="5EE6BA41"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5" w:name="_Toc127170339"/>
      <w:r w:rsidRPr="00597FFB">
        <w:rPr>
          <w:rFonts w:ascii="Times New Roman" w:eastAsiaTheme="majorEastAsia" w:hAnsi="Times New Roman" w:cs="Times New Roman"/>
          <w:i/>
          <w:iCs/>
          <w:color w:val="000000" w:themeColor="text1"/>
          <w:sz w:val="24"/>
          <w:szCs w:val="24"/>
        </w:rPr>
        <w:t>4.3.4. Pilot Test</w:t>
      </w:r>
      <w:r w:rsidR="0009431C" w:rsidRPr="00597FFB">
        <w:rPr>
          <w:rFonts w:ascii="Times New Roman" w:eastAsiaTheme="majorEastAsia" w:hAnsi="Times New Roman" w:cs="Times New Roman"/>
          <w:i/>
          <w:iCs/>
          <w:color w:val="000000" w:themeColor="text1"/>
          <w:sz w:val="24"/>
          <w:szCs w:val="24"/>
        </w:rPr>
        <w:t>.</w:t>
      </w:r>
      <w:bookmarkEnd w:id="205"/>
      <w:r w:rsidRPr="00597FFB">
        <w:rPr>
          <w:rFonts w:ascii="Times New Roman" w:eastAsiaTheme="majorEastAsia" w:hAnsi="Times New Roman" w:cs="Times New Roman"/>
          <w:i/>
          <w:iCs/>
          <w:color w:val="000000" w:themeColor="text1"/>
          <w:sz w:val="24"/>
          <w:szCs w:val="24"/>
        </w:rPr>
        <w:t xml:space="preserve"> </w:t>
      </w:r>
    </w:p>
    <w:p w14:paraId="089B60B0" w14:textId="4A95B109"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In accordance with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{"citationID":"ocN8UKYy","properties":{"formattedCitation":"(Malmqvist et al., 2019)","plainCitation":"(Malmqvist et al., 2019)","dontUpdate":true,"noteIndex":0},"citationItems":[{"id":4517,"uris":["http://zotero.org/users/local/b6CRLSJH/items/B7KS732I"],"itemData":{"id":4517,"type":"article-journal","abstract":"During the development of research to compare the processes and impact of inclusive education in Sweden with results obtained from a study undertaken in Ireland, a pilot study was conducted and documented. The pilot study had three aims: (1) to gather data to provide guidance for a substantive study adapted to Swedish conditions through modification of Irish research procedures and instruments, (2) to critically interrogate how we as researchers could most effectively conduct a pilot study utilizing observational and video-recorded data, and (3) to use the Irish theoretical model as a tool of analysis for studying inclusion in two Swedish schools. Although pilot studies are frequently conducted to assess the efficacy of research instruments for use in qualitative research projects, few publications have drawn upon empirical findings related to such studies. Additionally, while methodological texts recommend the use of pilot studies in qualitative research, there is a lack of reported research focusing on how to conduct such pilot studies. We argue that our methodological findings may contribute to greater awareness of the important role that a pilot study may have for full-scale qualitative research projects, for example, in case study research where semi-structured qualitative interviews are used. This argument is based on the assumption that researchers, and especially novice researchers, having conducted a pilot study will be better informed and prepared to face the challenges that are likely to arise in the substantive study and more confident in the instruments to be used for data collection. A proper analysis of the procedures and results from the pilot study facilitates the identification of weaknesses that may be addressed. A carefully organized and managed pilot study has the potential to increase the quality of the research as results from such studies can inform subsequent parts of the research process.","container-title":"International Journal of Qualitative Methods","DOI":"10.1177/1609406919878341","ISSN":"1609-4069, 1609-4069","journalAbbreviation":"International Journal of Qualitative Methods","language":"en","page":"160940691987834","source":"DOI.org (Crossref)","title":"Conducting the Pilot Study: A Neglected Part of the Research Process? Methodological Findings Supporting the Importance of Piloting in Qualitative Research Studies","title-short":"Conducting the Pilot Study","volume":"18","author":[{"family":"Malmqvist","given":"Johan"},{"family":"Hellberg","given":"Kristina"},{"family":"Möllås","given":"Gunvie"},{"family":"Rose","given":"Richard"},{"family":"Shevlin","given":"Michael"}],"issued":{"date-parts":[["2019",1,1]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Malmqvist et al.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a pilot study in this research was understood to mean a small-scale or mini version of the full-scale study that collects data from respondents similar to those to be used in the full study to facilitate pre-testing of research instruments. Another consideration to defining a pilot study in this research was that of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{"citationID":"PcbSo4gP","properties":{"formattedCitation":"(Westercamp et al., 2021)","plainCitation":"(Westercamp et al., 2021)","dontUpdate":true,"noteIndex":0},"citationItems":[{"id":4519,"uris":["http://zotero.org/users/local/b6CRLSJH/items/RFKN5VR8"],"itemData":{"id":4519,"type":"article-journal","abstract":"Abstract\n            \n              Background\n              Surveillance data are essential for malaria control, but quality is often poor. The aim of the study was to evaluate the effectiveness of the novel combination of training plus an innovative quality improvement method—collaborative improvement (CI)—on the quality of malaria surveillance data in Uganda.\n            \n            \n              Methods\n              The intervention (training plus CI, or TCI), including brief in-service training and CI, was delivered in 5 health facilities (HFs) in Kayunga District from November 2015 to August 2016. HF teams monitored data quality, conducted plan-do-study-act cycles to test changes, attended periodic learning sessions, and received CI coaching. An independent evaluation was conducted to assess data completeness, accuracy, and timeliness. Using an interrupted time series design without a separate control group, data were abstracted from 156,707 outpatient department (OPD) records, laboratory registers, and aggregated monthly reports (MR) for 4 time periods: baseline—12 months, TCI scale-up—5 months; CI implementation—9 months; post-intervention—4 months. Monthly OPD register completeness was measured as the proportion of patient records with a malaria diagnosis with: (1) all data fields completed, and (2) all clinically-relevant fields completed. Accuracy was the relative difference between: (1) number of monthly malaria patients reported in OPD register versus MR, and (2) proportion of positive malaria tests reported in the laboratory register versus MR. Data were analysed with segmented linear regression modelling.\n            \n            \n              Results\n              Data completeness increased substantially following TCI. Compared to baseline, all-field completeness increased by 60.1%-points (95% confidence interval [CI]: 46.9–73.2%) at mid-point, and clinically-relevant completeness increased by 61.6%-points (95% CI: 56.6–66.7%). A relative − 57.4%-point (95% confidence interval: − 105.5, − 9.3%) change, indicating an improvement in accuracy of malaria test positivity reporting, but no effect on data accuracy for monthly malaria patients, were observed. Cost per additional malaria patient, for whom complete clinically-relevant data were recorded in the OPD register, was $3.53 (95% confidence interval: $3.03, $4.15).\n            \n            \n              Conclusions\n              TCI improved malaria surveillance completeness considerably, with limited impact on accuracy. Although these results are promising, the intervention’s effectiveness should be evaluated in more HFs, with longer follow-up, ideally in a randomized trial, before recommending CI for wide-scale use.","container-title":"Malaria Journal","DOI":"10.1186/s12936-021-03822-y","ISSN":"1475-2875","issue":"1","journalAbbreviation":"Malar J","language":"en","page":"290","source":"DOI.org (Crossref)","title":"Effectiveness of in-service training plus the collaborative improvement strategy on the quality of routine malaria surveillance data: results of a pilot study in Kayunga District, Uganda","title-short":"Effectiveness of in-service training plus the collaborative improvement strategy on the quality of routine malaria surveillance data","volume":"20","author":[{"family":"Westercamp","given":"Nelli"},{"family":"Staedke","given":"Sarah G."},{"family":"Maiteki-Sebuguzi","given":"Catherine"},{"family":"Ndyabakira","given":"Alex"},{"family":"Okiring","given":"John Michael"},{"family":"Kigozi","given":"Simon P."},{"family":"Dorsey","given":"Grant"},{"family":"Broughton","given":"Edward"},{"family":"Hutchinson","given":"Eleanor"},{"family":"Massoud","given":"M. Rashad"},{"family":"Rowe","given":"Alexander K."}],"issued":{"date-parts":[["2021",12]]}}}],"schema":"https://github.com/citation-style-language/schema/raw/master/csl-citation.json"}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Westercamp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who describe it as a small-scale study to test research protocols, data collection instruments and sampling strategies in preparation for a larger or main study. Although the researcher was aware that conducting a pilot study could not guarantee success in the main study, it provided the necessary directions and guides to increase the likelihood of success in the main study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{"citationID":"b2bXTVfr","properties":{"formattedCitation":"(Williams et al., 2022)","plainCitation":"(Williams et al., 2022)","noteIndex":0},"citationItems":[{"id":4521,"uris":["http://zotero.org/users/local/b6CRLSJH/items/TJE5N7LN"],"itemData":{"id":4521,"type":"article-journal","container-title":"Geriatric Nursing","DOI":"10.1016/j.gerinurse.2022.01.001","ISSN":"01974572","journalAbbreviation":"Geriatric Nursing","language":"en","page":"48-53","source":"DOI.org (Crossref)","title":"The effect of an exergame on physical activity among older adults residing in a long-term care facility: A pilot study","title-short":"The effect of an exergame on physical activity among older adults residing in a long-term care facility","volume":"44","author":[{"family":"Williams","given":"Tomika"},{"family":"Kennedy-Malone","given":"Laurie"},{"family":"Thompson","given":"Julie"},{"family":"Monge","given":"Emily Coates"}],"issued":{"date-parts":[["2022",3]]}}}],"schema":"https://github.com/citation-style-language/schema/raw/master/csl-citation.json"}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(Williams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Prior to the pilot study, the face and content validity of the questionnaire was assessed through initial pre-testing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{"citationID":"89jqoCaN","properties":{"formattedCitation":"(Pinheiro et al., 2021)","plainCitation":"(Pinheiro et al., 2021)","noteIndex":0},"citationItems":[{"id":4522,"uris":["http://zotero.org/users/local/b6CRLSJH/items/JUY6XMQ2"],"itemData":{"id":4522,"type":"article-journal","abstract":"The analysis of penalty kick has played an important role in performance analysis. The study aims are to get formal feedback on the relevance of variables for penalty kick analysis, to design and validate an observational system; and to assess experts’ opinion on the optimum video footage in penalty kick analysis. A structured development process was adopted for content validity, reliability and agreement on video usage. All observational variables included in OSPAF showed Aiken’s\n              V\n              values above the cut-off (for 5-scale\n              V\n              &amp;gt; 0.64; for 2-scale =\n              V\n              &amp;gt; 0.75;\n              p\n              &amp;lt; 0.05). Cohen’s Kappa resulted in mean intra- and inter-rater reliability values of 0.90 and 0.86, respectively. It is recommended to combine at least three different viewing angles (\n              V\n              = 0.90;\n              p\n              = 0.006) with standardization of video quality (\n              V\n              = 0.95;\n              p\n              = 0.006). Changing the viewing angles may influence the observer perception (\n              V\n              = 0.86;\n              p\n              = 0.006). The aerial and pitch-level viewing angle behind the penalty taker and pitch-level viewing angle behind the goalkeeper were indicated as most appropriate for observational analysis (\n              V\n              = 0.97;\n              p\n              = 0.01). The OSPAF met all requirements of instrument validation. It may be recommended as basis of future observational systems on penalty kicks.","container-title":"Frontiers in Psychology","DOI":"10.3389/fpsyg.2021.661179","ISSN":"1664-1078","journalAbbreviation":"Front. Psychol.","page":"661179","source":"DOI.org (Crossref)","title":"Design and Validation of an Observational System for Penalty Kick Analysis in Football (OSPAF)","volume":"12","author":[{"family":"Pinheiro","given":"Guilherme de Sousa"},{"family":"Nascimento","given":"Vitor Bertoli"},{"family":"Dicks","given":"Matt"},{"family":"Costa","given":"Varley Teoldo"},{"family":"Lames","given":"Martin"}],"issued":{"date-parts":[["2021",5,28]]}}}],"schema":"https://github.com/citation-style-language/schema/raw/master/csl-citation.json"}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(Pinheiro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Consistent with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{"citationID":"JOPQY16D","properties":{"formattedCitation":"(Furrer et al., 2021)","plainCitation":"(Furrer et al., 2021)","dontUpdate":true,"noteIndex":0},"citationItems":[{"id":4524,"uris":["http://zotero.org/users/local/b6CRLSJH/items/QQRY75UT"],"itemData":{"id":4524,"type":"article-journal","abstract":"Purpose\n              When customers feel that they have no choice but to stay with their current provider to obtain a service that they need, they feel captive. This study aims to investigate customer captivity as a type of vulnerability and evaluate its effects on customers’ service evaluation and word-of-mouth (WOM) behavior, as well as to identify solutions that reduce customers’ feelings of captivity and improve their well-being.\n            \n            \n              Design/methodology/approach\n              This sequential, quantitative–qualitative, mixed-methods study draws from a survey of 1,017 customers and a qualitative analysis of 20 in-depth semi-structured interviews. Moderated mediation analysis is used to test the quantitative hypotheses; a thematic analysis explores the qualitative data.\n            \n            \n              Findings\n              The results of the quantitative study show that captivity emotions and price unfairness perceptions are two manifestations of customer captivity, which directly and indirectly affect service evaluations and WOM behavior. The findings of the qualitative study highlight how captive customers use emotional support-seeking negative word-of-mouth (NWOM) as a solution to reduce their captivity emotions and improve their well-being, by reinforcing their social ties and regaining a sense of control.\n            \n            \n              Research limitations/implications\n              This study advances transformative service research by demonstrating how captivity affects customers’ well-being and customer vulnerability literature by investigating captivity as a type of vulnerability. It contributes to service marketing literature by identifying customer captivity as a boundary condition for generic service evaluation models.\n            \n            \n              Practical implications\n              Captive customers seek emotional support and consequently spread NWOM. Therefore, it is critical for service providers to reduce customers’ captivity feelings and implement adequate solutions to prevent NWOM and decrease the risk of negative impacts on their profitability.\n            \n            \n              Originality/value\n              Any customer can become vulnerable, due to contextual circumstances. This study focuses on customer captivity as a type of vulnerability and proposes adapted solutions to improve customers’ well-being.","container-title":"Journal of Services Marketing","DOI":"10.1108/JSM-07-2020-0311","ISSN":"0887-6045, 0887-6045","issue":"6","journalAbbreviation":"JSM","language":"en","page":"755-773","source":"DOI.org (Crossref)","title":"Customer captivity, negative word of mouth and well-being: a mixed-methods study","title-short":"Customer captivity, negative word of mouth and well-being","volume":"35","author":[{"family":"Furrer","given":"Olivier"},{"family":"Yu Kerguignas","given":"Jie"},{"family":"Landry","given":"Mikèle"}],"issued":{"date-parts":[["2021",10,6]]}}}],"schema":"https://github.com/citation-style-language/schema/raw/master/csl-citation.json"}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Furrer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pre-testing provided the avenue to gauge the meaning that the respondents would attribute to survey questions before the collection of data that may not have provided the needed responses to meet the objectives of the study.</w:t>
      </w:r>
    </w:p>
    <w:p w14:paraId="4BD8F848" w14:textId="4D1ECFA2"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Prior to administering the final questionnaire, the survey was reviewed by an expert to ensure its representativeness, suitability and relevance of questions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{"citationID":"yKS1XgvB","properties":{"formattedCitation":"(Hafour, 2022)","plainCitation":"(Hafour, 2022)","noteIndex":0},"citationItems":[{"id":4471,"uris":["http://zotero.org/users/local/b6CRLSJH/items/VL23G6U4"],"itemData":{"id":4471,"type":"article-journal","container-title":"Computer Assisted Language Learning","DOI":"10.1080/09588221.2022.2067180","ISSN":"0958-8221, 1744-3210","journalAbbreviation":"Computer Assisted Language Learning","language":"en","page":"1-33","source":"DOI.org (Crossref)","title":"Interactive digital media assignments: effects on EFL learners’ overall and micro-level oral language skills","title-short":"Interactive digital media assignments","author":[{"family":"Hafour","given":"Marwa F."}],"issued":{"date-parts":[["2022",4,29]]}}}],"schema":"https://github.com/citation-style-language/schema/raw/master/csl-citation.json"}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(Hafour,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Thereafter, a pilot test was conducted aiming at a further refinement of questions to enhance ease of understanding among future respondents and subsequently the quality of data recorded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{"citationID":"oQjheDec","properties":{"formattedCitation":"(Monzon et al., 2020)","plainCitation":"(Monzon et al., 2020)","noteIndex":0},"citationItems":[{"id":4472,"uris":["http://zotero.org/users/local/b6CRLSJH/items/E9PHRQJV"],"itemData":{"id":4472,"type":"article-journal","container-title":"Travel Behaviour and Society","DOI":"10.1016/j.tbs.2020.03.012","ISSN":"2214367X","journalAbbreviation":"Travel Behaviour and Society","language":"en","page":"155-164","source":"DOI.org (Crossref)","title":"Hybrid methodology for improving response rates and data quality in mobility surveys","volume":"20","author":[{"family":"Monzon","given":"Andres"},{"family":"Julio","given":"Raky"},{"family":"Garcia-Martinez","given":"Andres"}],"issued":{"date-parts":[["2020",7]]}}}],"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(Monzon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instruments were given to experienced researchers and consultants knowledgeable in electronic waste management. Specifically, the team assessed the accuracy of measures as well as the extent to which items truthfully represented and measured the respective constructs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{"citationID":"n1wLuI5k","properties":{"formattedCitation":"(Christensen et al., 2020)","plainCitation":"(Christensen et al., 2020)","noteIndex":0},"citationItems":[{"id":4526,"uris":["http://zotero.org/users/local/b6CRLSJH/items/8PVJYI5P"],"itemData":{"id":4526,"type":"article-journal","container-title":"Waste Management","DOI":"10.1016/j.wasman.2020.08.034","ISSN":"0956053X","journalAbbreviation":"Waste Management","language":"en","page":"313-322","source":"DOI.org (Crossref)","title":"Application of LCA modelling in integrated waste management","volume":"118","author":[{"family":"Christensen","given":"T.H."},{"family":"Damgaard","given":"A."},{"family":"Levis","given":"J."},{"family":"Zhao","given":"Y."},{"family":"Björklund","given":"A."},{"family":"Arena","given":"U."},{"family":"Barlaz","given":"M.A."},{"family":"Starostina","given":"V."},{"family":"Boldrin","given":"A."},{"family":"Astrup","given":"T.F."},{"family":"Bisinella","given":"V."}],"issued":{"date-parts":[["2020",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(Christensen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The following pilot study procedures outlined by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{"citationID":"nKznStmZ","properties":{"formattedCitation":"(Ponnada et al., 2022)","plainCitation":"(Ponnada et al., 2022)","dontUpdate":true,"noteIndex":0},"citationItems":[{"id":4527,"uris":["http://zotero.org/users/local/b6CRLSJH/items/QJF9GA5Y"],"itemData":{"id":4527,"type":"article-journal","abstract":"Background\n              Ecological momentary assessment (EMA) uses mobile technology to enable in situ self-report data collection on behaviors and states. In a typical EMA study, participants are prompted several times a day to answer sets of multiple-choice questions. Although the repeated nature of EMA reduces recall bias, it may induce participation burden. There is a need to explore complementary approaches to collecting in situ self-report data that are less burdensome yet provide comprehensive information on an individual’s behaviors and states. A new approach, microinteraction EMA (μEMA), restricts EMA items to single, cognitively simple questions answered on a smartwatch with single-tap assessments using a quick, glanceable microinteraction. However, the viability of using μEMA to capture behaviors and states in a large-scale longitudinal study has not yet been demonstrated.\n            \n            \n              Objective\n              This paper describes the μEMA protocol currently used in the Temporal Influences on Movement &amp; Exercise (TIME) Study conducted with young adults, the interface of the μEMA app used to gather self-report responses on a smartwatch, qualitative feedback from participants after a pilot study of the μEMA app, changes made to the main TIME Study μEMA protocol and app based on the pilot feedback, and preliminary μEMA results from a subset of active participants in the TIME Study.\n            \n            \n              Methods\n              The TIME Study involves data collection on behaviors and states from 246 individuals; measurements include passive sensing from a smartwatch and smartphone and intensive smartphone-based hourly EMA, with 4-day EMA bursts every 2 weeks. Every day, participants also answer a nightly EMA survey. On non–EMA burst days, participants answer μEMA questions on the smartwatch, assessing momentary states such as physical activity, sedentary behavior, and affect. At the end of the study, participants describe their experience with EMA and μEMA in a semistructured interview. A pilot study was used to test and refine the μEMA protocol before the main study.\n            \n            \n              Results\n              Changes made to the μEMA study protocol based on pilot feedback included adjusting the single-question selection method and smartwatch vibrotactile prompting. We also added sensor-triggered questions for physical activity and sedentary behavior. As of June 2021, a total of 81 participants had completed at least 6 months of data collection in the main study. For 662,397 μEMA questions delivered, the compliance rate was 67.6% (SD 24.4%) and the completion rate was 79% (SD 22.2%).\n            \n            \n              Conclusions\n              The TIME Study provides opportunities to explore a novel approach for collecting temporally dense intensive longitudinal self-report data in a sustainable manner. Data suggest that μEMA may be valuable for understanding behaviors and states at the individual level, thus possibly supporting future longitudinal interventions that require within-day, temporally dense self-report data as people go about their lives.","container-title":"JMIR Formative Research","DOI":"10.2196/32772","ISSN":"2561-326X","issue":"2","journalAbbreviation":"JMIR Form Res","language":"en","page":"e32772","source":"DOI.org (Crossref)","title":"Intensive Longitudinal Data Collection Using Microinteraction Ecological Momentary Assessment: Pilot and Preliminary Results","title-short":"Intensive Longitudinal Data Collection Using Microinteraction Ecological Momentary Assessment","volume":"6","author":[{"family":"Ponnada","given":"Aditya"},{"family":"Wang","given":"Shirlene"},{"family":"Chu","given":"Daniel"},{"family":"Do","given":"Bridgette"},{"family":"Dunton","given":"Genevieve"},{"family":"Intille","given":"Stephen"}],"issued":{"date-parts":[["2022",2,9]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Ponnada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were followed to improve the internal validity of the instruments:</w:t>
      </w:r>
    </w:p>
    <w:p w14:paraId="5DB9D2C6" w14:textId="77777777" w:rsidR="00E41CB5" w:rsidRPr="00597FFB" w:rsidRDefault="00E41CB5" w:rsidP="00C050A0">
      <w:pPr>
        <w:widowControl w:val="0"/>
        <w:numPr>
          <w:ilvl w:val="0"/>
          <w:numId w:val="20"/>
        </w:numPr>
        <w:spacing w:after="0" w:line="480" w:lineRule="auto"/>
        <w:contextualSpacing/>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data collection instruments were administered to pilot subjects in the same way as it would be administered in the main study.</w:t>
      </w:r>
    </w:p>
    <w:p w14:paraId="3CD7CFFE" w14:textId="77777777" w:rsidR="00E41CB5" w:rsidRPr="00597FFB" w:rsidRDefault="00E41CB5" w:rsidP="00C050A0">
      <w:pPr>
        <w:widowControl w:val="0"/>
        <w:numPr>
          <w:ilvl w:val="0"/>
          <w:numId w:val="20"/>
        </w:numPr>
        <w:spacing w:after="0" w:line="480" w:lineRule="auto"/>
        <w:contextualSpacing/>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Respondents were asked for their feedback to identify ambiguities and difficult questions.</w:t>
      </w:r>
    </w:p>
    <w:p w14:paraId="3E5329DA" w14:textId="77777777" w:rsidR="00E41CB5" w:rsidRPr="00597FFB" w:rsidRDefault="00E41CB5" w:rsidP="00C050A0">
      <w:pPr>
        <w:widowControl w:val="0"/>
        <w:numPr>
          <w:ilvl w:val="0"/>
          <w:numId w:val="20"/>
        </w:numPr>
        <w:spacing w:after="0" w:line="480" w:lineRule="auto"/>
        <w:contextualSpacing/>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Through the pilot study, the actual time it took for a respondent to complete a questionnaire was estimated.</w:t>
      </w:r>
    </w:p>
    <w:p w14:paraId="17795D39" w14:textId="77777777" w:rsidR="00E41CB5" w:rsidRPr="00597FFB" w:rsidRDefault="00E41CB5" w:rsidP="00C050A0">
      <w:pPr>
        <w:widowControl w:val="0"/>
        <w:numPr>
          <w:ilvl w:val="0"/>
          <w:numId w:val="20"/>
        </w:numPr>
        <w:spacing w:after="0" w:line="480" w:lineRule="auto"/>
        <w:contextualSpacing/>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All difficult and double-barreled questions were deleted or modified. </w:t>
      </w:r>
    </w:p>
    <w:p w14:paraId="25FA230F" w14:textId="77777777" w:rsidR="00E41CB5" w:rsidRPr="00597FFB" w:rsidRDefault="00E41CB5" w:rsidP="00C050A0">
      <w:pPr>
        <w:widowControl w:val="0"/>
        <w:numPr>
          <w:ilvl w:val="0"/>
          <w:numId w:val="20"/>
        </w:numPr>
        <w:spacing w:after="0" w:line="480" w:lineRule="auto"/>
        <w:contextualSpacing/>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An assessment of whether respondents exhibited understanding of the questions.</w:t>
      </w:r>
    </w:p>
    <w:p w14:paraId="081FB7A4"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pilot study took place in the </w:t>
      </w:r>
      <w:r w:rsidRPr="00597FFB">
        <w:rPr>
          <w:rFonts w:ascii="Times New Roman" w:eastAsiaTheme="minorHAnsi" w:hAnsi="Times New Roman"/>
          <w:sz w:val="24"/>
        </w:rPr>
        <w:t>UAE</w:t>
      </w:r>
      <w:r w:rsidRPr="00597FFB">
        <w:rPr>
          <w:rFonts w:ascii="Times New Roman" w:eastAsiaTheme="minorHAnsi" w:hAnsi="Times New Roman" w:cs="Times New Roman"/>
          <w:sz w:val="24"/>
          <w:szCs w:val="24"/>
        </w:rPr>
        <w:t>.</w:t>
      </w:r>
      <w:r w:rsidRPr="00597FFB">
        <w:rPr>
          <w:rFonts w:ascii="Times New Roman" w:eastAsiaTheme="minorHAnsi" w:hAnsi="Times New Roman"/>
          <w:sz w:val="24"/>
        </w:rPr>
        <w:t xml:space="preserve"> </w:t>
      </w:r>
      <w:r w:rsidRPr="00597FFB">
        <w:rPr>
          <w:rFonts w:ascii="Times New Roman" w:eastAsiaTheme="minorHAnsi" w:hAnsi="Times New Roman" w:cs="Times New Roman"/>
          <w:sz w:val="24"/>
          <w:szCs w:val="24"/>
        </w:rPr>
        <w:t xml:space="preserve">The choice of this area was to familiarize with data collection in the target research area. In addition, research conditions during the pilot study phase of this research were not expected to deviate so much from the main data collection areas of the UAE. The recommended sample size for pilot studies has been estimated at ten per cent of the expected sample size for the main study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{"citationID":"pn1ucQUg","properties":{"formattedCitation":"(Ledermann et al., 2022)","plainCitation":"(Ledermann et al., 2022)","noteIndex":0},"citationItems":[{"id":4528,"uris":["http://zotero.org/users/local/b6CRLSJH/items/GJWNYSTX"],"itemData":{"id":4528,"type":"article-journal","container-title":"Family Relations","DOI":"10.1111/fare.12644","ISSN":"0197-6664, 1741-3729","journalAbbreviation":"Family Relations","language":"en","page":"fare.12644","source":"DOI.org (Crossref)","title":"Determine power and sample size for the simple and mediation Actor–Partner Interdependence Model","author":[{"family":"Ledermann","given":"Thomas"},{"family":"Rudaz","given":"Myriam"},{"family":"Wu","given":"Qiong"},{"family":"Cui","given":"Ming"}],"issued":{"date-parts":[["2022",1,19]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(Ledermann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Accordingly, </w:t>
      </w:r>
      <w:r w:rsidRPr="00597FFB">
        <w:rPr>
          <w:rFonts w:ascii="Times New Roman" w:eastAsiaTheme="minorHAnsi" w:hAnsi="Times New Roman"/>
          <w:color w:val="000000" w:themeColor="text1"/>
          <w:sz w:val="24"/>
        </w:rPr>
        <w:t xml:space="preserve">50 usable questionnaires were collected from </w:t>
      </w:r>
      <w:r w:rsidRPr="00597FFB">
        <w:rPr>
          <w:rFonts w:ascii="Times New Roman" w:eastAsiaTheme="minorHAnsi" w:hAnsi="Times New Roman" w:cs="Times New Roman"/>
          <w:sz w:val="24"/>
          <w:szCs w:val="24"/>
        </w:rPr>
        <w:t>people that were highly similar to the final sample population. The results from the pilot study helped to further review the research instruments and also provided an estimate of the response rate.  Minor changes were adapted after the preliminary test to avoid ambiguity including rephrasing some prompts/statements, deleting redundant ones, and adding explanations to various sections.</w:t>
      </w:r>
    </w:p>
    <w:p w14:paraId="43D4C31A" w14:textId="72C4DB71"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6" w:name="_Toc127170340"/>
      <w:r w:rsidRPr="00597FFB">
        <w:rPr>
          <w:rFonts w:ascii="Times New Roman" w:eastAsiaTheme="majorEastAsia" w:hAnsi="Times New Roman" w:cs="Times New Roman"/>
          <w:i/>
          <w:iCs/>
          <w:color w:val="000000" w:themeColor="text1"/>
          <w:sz w:val="24"/>
          <w:szCs w:val="24"/>
        </w:rPr>
        <w:t>4</w:t>
      </w:r>
      <w:r w:rsidR="00070876" w:rsidRPr="00597FFB">
        <w:rPr>
          <w:rFonts w:ascii="Times New Roman" w:eastAsiaTheme="majorEastAsia" w:hAnsi="Times New Roman" w:cs="Times New Roman"/>
          <w:i/>
          <w:iCs/>
          <w:color w:val="000000" w:themeColor="text1"/>
          <w:sz w:val="24"/>
          <w:szCs w:val="24"/>
        </w:rPr>
        <w:t xml:space="preserve">.3.5. </w:t>
      </w:r>
      <w:r w:rsidRPr="00597FFB">
        <w:rPr>
          <w:rFonts w:ascii="Times New Roman" w:eastAsiaTheme="majorEastAsia" w:hAnsi="Times New Roman" w:cs="Times New Roman"/>
          <w:i/>
          <w:iCs/>
          <w:color w:val="000000" w:themeColor="text1"/>
          <w:sz w:val="24"/>
          <w:szCs w:val="24"/>
        </w:rPr>
        <w:t>Data Collection</w:t>
      </w:r>
      <w:r w:rsidR="00070876" w:rsidRPr="00597FFB">
        <w:rPr>
          <w:rFonts w:ascii="Times New Roman" w:eastAsiaTheme="majorEastAsia" w:hAnsi="Times New Roman" w:cs="Times New Roman"/>
          <w:i/>
          <w:iCs/>
          <w:color w:val="000000" w:themeColor="text1"/>
          <w:sz w:val="24"/>
          <w:szCs w:val="24"/>
        </w:rPr>
        <w:t xml:space="preserve">, </w:t>
      </w:r>
      <w:r w:rsidRPr="00597FFB">
        <w:rPr>
          <w:rFonts w:ascii="Times New Roman" w:eastAsiaTheme="majorEastAsia" w:hAnsi="Times New Roman" w:cs="Times New Roman"/>
          <w:i/>
          <w:iCs/>
          <w:color w:val="000000" w:themeColor="text1"/>
          <w:sz w:val="24"/>
          <w:szCs w:val="24"/>
        </w:rPr>
        <w:t>Preparation</w:t>
      </w:r>
      <w:r w:rsidR="00070876" w:rsidRPr="00597FFB">
        <w:rPr>
          <w:rFonts w:ascii="Times New Roman" w:eastAsiaTheme="majorEastAsia" w:hAnsi="Times New Roman" w:cs="Times New Roman"/>
          <w:i/>
          <w:iCs/>
          <w:color w:val="000000" w:themeColor="text1"/>
          <w:sz w:val="24"/>
          <w:szCs w:val="24"/>
        </w:rPr>
        <w:t xml:space="preserve">, </w:t>
      </w:r>
      <w:r w:rsidR="00DD61A0" w:rsidRPr="00597FFB">
        <w:rPr>
          <w:rFonts w:ascii="Times New Roman" w:eastAsiaTheme="majorEastAsia" w:hAnsi="Times New Roman" w:cs="Times New Roman"/>
          <w:i/>
          <w:iCs/>
          <w:color w:val="000000" w:themeColor="text1"/>
          <w:sz w:val="24"/>
          <w:szCs w:val="24"/>
        </w:rPr>
        <w:t>a</w:t>
      </w:r>
      <w:r w:rsidR="00070876" w:rsidRPr="00597FFB">
        <w:rPr>
          <w:rFonts w:ascii="Times New Roman" w:eastAsiaTheme="majorEastAsia" w:hAnsi="Times New Roman" w:cs="Times New Roman"/>
          <w:i/>
          <w:iCs/>
          <w:color w:val="000000" w:themeColor="text1"/>
          <w:sz w:val="24"/>
          <w:szCs w:val="24"/>
        </w:rPr>
        <w:t xml:space="preserve">nd </w:t>
      </w:r>
      <w:r w:rsidRPr="00597FFB">
        <w:rPr>
          <w:rFonts w:ascii="Times New Roman" w:eastAsiaTheme="majorEastAsia" w:hAnsi="Times New Roman" w:cs="Times New Roman"/>
          <w:i/>
          <w:iCs/>
          <w:color w:val="000000" w:themeColor="text1"/>
          <w:sz w:val="24"/>
          <w:szCs w:val="24"/>
        </w:rPr>
        <w:t>Management</w:t>
      </w:r>
      <w:r w:rsidR="00070876" w:rsidRPr="00597FFB">
        <w:rPr>
          <w:rFonts w:ascii="Times New Roman" w:eastAsiaTheme="majorEastAsia" w:hAnsi="Times New Roman" w:cs="Times New Roman"/>
          <w:i/>
          <w:iCs/>
          <w:color w:val="000000" w:themeColor="text1"/>
          <w:sz w:val="24"/>
          <w:szCs w:val="24"/>
        </w:rPr>
        <w:t>.</w:t>
      </w:r>
      <w:bookmarkEnd w:id="206"/>
      <w:r w:rsidR="00070876" w:rsidRPr="00597FFB">
        <w:rPr>
          <w:rFonts w:ascii="Times New Roman" w:eastAsiaTheme="majorEastAsia" w:hAnsi="Times New Roman" w:cs="Times New Roman"/>
          <w:i/>
          <w:iCs/>
          <w:color w:val="000000" w:themeColor="text1"/>
          <w:sz w:val="24"/>
          <w:szCs w:val="24"/>
        </w:rPr>
        <w:t xml:space="preserve"> </w:t>
      </w:r>
    </w:p>
    <w:p w14:paraId="544DA2F2"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data collection exercise started in August 2022 and was concluded in September 2022. One of the main challenges that were encountered during the questionnaire administration process was the difficulty in identifying the most appropriate channels of distributing the questionnaire link. This is because the researcher needed to be cautious of distributing the link to populations that did not meet the criteria for participation in this research given that the convenience sampling allowed for anyone with the link to self-select into the study sample (Bell, Harley, &amp; Bryman, 2022).</w:t>
      </w:r>
    </w:p>
    <w:p w14:paraId="41710A56"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Data preparation and management in the current research involved ensuring data collected were devoid of basic errors due to data entry and that they met all the requirements for subsequent analysis. The data preparation step involved downloading data from Qualtrics® in Microsoft Excel format to perform data cleaning. Data cleaning involved checking the data downloaded for errors such as non-responses and skewed response patterns. IBM SPSS version 25 was used for coding, managing, and analyzing the data. </w:t>
      </w:r>
    </w:p>
    <w:p w14:paraId="28A658B7"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Concerning handling of missing values, several options were considered. Allison (2001) and Barladi and Enders (2010) provide some approaches to dealing with missing data, which include mean replacement, pairwise deletion, and listwise deletion. The mean replacement approach replaces missing values with the mean value of the remaining data points. This option would have required that missing values in the current research’s data be strictly random. With this option, the sample size would have been an important factor as alteration of the estimated path coefficients could have occurred. As such, it would have been useful only when the percentage of missing values to the total sample size would have been below 5% (Hair Jr. </w:t>
      </w:r>
      <w:r w:rsidRPr="00597FFB">
        <w:rPr>
          <w:rFonts w:ascii="Times New Roman" w:eastAsiaTheme="minorHAnsi" w:hAnsi="Times New Roman"/>
          <w:sz w:val="24"/>
        </w:rPr>
        <w:t>et al., 2017</w:t>
      </w:r>
      <w:r w:rsidRPr="00597FFB">
        <w:rPr>
          <w:rFonts w:ascii="Times New Roman" w:eastAsiaTheme="minorHAnsi" w:hAnsi="Times New Roman" w:cs="Times New Roman"/>
          <w:sz w:val="24"/>
          <w:szCs w:val="24"/>
        </w:rPr>
        <w:t xml:space="preserve">). </w:t>
      </w:r>
    </w:p>
    <w:p w14:paraId="7A0C599F" w14:textId="308A1F8C" w:rsidR="00373683"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Case deletion or listwise deletion entail deletion of an entire row or case with the missing data (Newman, 2014). Although it is the most commonly used technique for handling missing values, listwise deletion could have had the effect of reducing the sample size in the current research. Altogether, it was still suitable in this research since the sample size was sufficiently large such that deleting cases with missing data would not have affected the power of the statistical techniques being employed for data analysis significantly. With pairwise deletion, only observations with the missing value and not the entire case would have been deleted. However, pairwise deletion was not appropriate for the current research since it is designed for surveys with limited sample sizes could have led to different sample sizes being used for calculating model estimates if the missing data were random (Newman, 2014). </w:t>
      </w:r>
    </w:p>
    <w:p w14:paraId="42E8F055" w14:textId="25E22A1D" w:rsidR="003C6F27" w:rsidRPr="00597FFB" w:rsidRDefault="005D29FD" w:rsidP="00C050A0">
      <w:pPr>
        <w:keepNext/>
        <w:keepLines/>
        <w:widowControl w:val="0"/>
        <w:spacing w:before="40" w:after="0" w:line="480" w:lineRule="auto"/>
        <w:outlineLvl w:val="1"/>
        <w:rPr>
          <w:rFonts w:ascii="Times New Roman" w:eastAsiaTheme="majorEastAsia" w:hAnsi="Times New Roman" w:cs="Times New Roman"/>
          <w:b/>
          <w:bCs/>
          <w:color w:val="000000" w:themeColor="text1"/>
          <w:sz w:val="24"/>
          <w:szCs w:val="24"/>
        </w:rPr>
      </w:pPr>
      <w:bookmarkStart w:id="207" w:name="_Toc127170341"/>
      <w:r w:rsidRPr="00597FFB">
        <w:rPr>
          <w:rFonts w:ascii="Times New Roman" w:eastAsiaTheme="majorEastAsia" w:hAnsi="Times New Roman" w:cs="Times New Roman"/>
          <w:b/>
          <w:bCs/>
          <w:color w:val="000000" w:themeColor="text1"/>
          <w:sz w:val="24"/>
          <w:szCs w:val="24"/>
        </w:rPr>
        <w:t xml:space="preserve">4.4. </w:t>
      </w:r>
      <w:r w:rsidR="003C6F27" w:rsidRPr="00597FFB">
        <w:rPr>
          <w:rFonts w:ascii="Times New Roman" w:eastAsiaTheme="majorEastAsia" w:hAnsi="Times New Roman" w:cs="Times New Roman"/>
          <w:b/>
          <w:bCs/>
          <w:color w:val="000000" w:themeColor="text1"/>
          <w:sz w:val="24"/>
          <w:szCs w:val="24"/>
        </w:rPr>
        <w:t xml:space="preserve">Data Processing </w:t>
      </w:r>
      <w:r w:rsidR="00DD61A0" w:rsidRPr="00597FFB">
        <w:rPr>
          <w:rFonts w:ascii="Times New Roman" w:eastAsiaTheme="majorEastAsia" w:hAnsi="Times New Roman" w:cs="Times New Roman"/>
          <w:b/>
          <w:bCs/>
          <w:color w:val="000000" w:themeColor="text1"/>
          <w:sz w:val="24"/>
          <w:szCs w:val="24"/>
        </w:rPr>
        <w:t>a</w:t>
      </w:r>
      <w:r w:rsidRPr="00597FFB">
        <w:rPr>
          <w:rFonts w:ascii="Times New Roman" w:eastAsiaTheme="majorEastAsia" w:hAnsi="Times New Roman" w:cs="Times New Roman"/>
          <w:b/>
          <w:bCs/>
          <w:color w:val="000000" w:themeColor="text1"/>
          <w:sz w:val="24"/>
          <w:szCs w:val="24"/>
        </w:rPr>
        <w:t xml:space="preserve">nd </w:t>
      </w:r>
      <w:r w:rsidR="003C6F27" w:rsidRPr="00597FFB">
        <w:rPr>
          <w:rFonts w:ascii="Times New Roman" w:eastAsiaTheme="majorEastAsia" w:hAnsi="Times New Roman" w:cs="Times New Roman"/>
          <w:b/>
          <w:bCs/>
          <w:color w:val="000000" w:themeColor="text1"/>
          <w:sz w:val="24"/>
          <w:szCs w:val="24"/>
        </w:rPr>
        <w:t>Analysis</w:t>
      </w:r>
      <w:r w:rsidRPr="00597FFB">
        <w:rPr>
          <w:rFonts w:ascii="Times New Roman" w:eastAsiaTheme="majorEastAsia" w:hAnsi="Times New Roman" w:cs="Times New Roman"/>
          <w:b/>
          <w:bCs/>
          <w:color w:val="000000" w:themeColor="text1"/>
          <w:sz w:val="24"/>
          <w:szCs w:val="24"/>
        </w:rPr>
        <w:t>.</w:t>
      </w:r>
      <w:bookmarkEnd w:id="207"/>
    </w:p>
    <w:p w14:paraId="5DADDDC6"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b/>
          <w:bCs/>
          <w:sz w:val="24"/>
          <w:szCs w:val="24"/>
        </w:rPr>
      </w:pPr>
      <w:r w:rsidRPr="00597FFB">
        <w:rPr>
          <w:rFonts w:ascii="Times New Roman" w:eastAsiaTheme="minorHAnsi" w:hAnsi="Times New Roman" w:cs="Times New Roman"/>
          <w:sz w:val="24"/>
          <w:szCs w:val="24"/>
        </w:rPr>
        <w:t xml:space="preserve">Data processing and analysis in the current research involved reducing the large set of data collected into useful information and reports that was translated into useful input for decision-making and policy formulation. In the current research, the process of reducing this data set was achieved through descriptive and inferential statistics. Descriptive statistics helped in organizing and summarizing data based on the characteristics of the respondents and/or variables. Inferential statistics helped to make inferences about the population based on sample estimates. Descriptive statistics were generated using IBM SPSS version 25, while SmartPLS 3 by Ringle et al. (2015) was used for the inferential analysis. </w:t>
      </w:r>
    </w:p>
    <w:p w14:paraId="7221DF7A" w14:textId="7860E766" w:rsidR="00E41CB5" w:rsidRPr="00597FFB" w:rsidRDefault="005D29FD"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08" w:name="_Toc127170342"/>
      <w:r w:rsidRPr="00597FFB">
        <w:rPr>
          <w:rFonts w:ascii="Times New Roman" w:eastAsiaTheme="majorEastAsia" w:hAnsi="Times New Roman" w:cs="Times New Roman"/>
          <w:i/>
          <w:iCs/>
          <w:color w:val="000000" w:themeColor="text1"/>
          <w:sz w:val="24"/>
          <w:szCs w:val="24"/>
        </w:rPr>
        <w:t xml:space="preserve">4.4.1. </w:t>
      </w:r>
      <w:r w:rsidR="00E41CB5" w:rsidRPr="00597FFB">
        <w:rPr>
          <w:rFonts w:ascii="Times New Roman" w:eastAsiaTheme="majorEastAsia" w:hAnsi="Times New Roman" w:cs="Times New Roman"/>
          <w:i/>
          <w:iCs/>
          <w:color w:val="000000" w:themeColor="text1"/>
          <w:sz w:val="24"/>
          <w:szCs w:val="24"/>
        </w:rPr>
        <w:t xml:space="preserve">Common Method Bias </w:t>
      </w:r>
      <w:r w:rsidR="00DD61A0" w:rsidRPr="00597FFB">
        <w:rPr>
          <w:rFonts w:ascii="Times New Roman" w:eastAsiaTheme="majorEastAsia" w:hAnsi="Times New Roman" w:cs="Times New Roman"/>
          <w:i/>
          <w:iCs/>
          <w:color w:val="000000" w:themeColor="text1"/>
          <w:sz w:val="24"/>
          <w:szCs w:val="24"/>
        </w:rPr>
        <w:t>a</w:t>
      </w:r>
      <w:r w:rsidRPr="00597FFB">
        <w:rPr>
          <w:rFonts w:ascii="Times New Roman" w:eastAsiaTheme="majorEastAsia" w:hAnsi="Times New Roman" w:cs="Times New Roman"/>
          <w:i/>
          <w:iCs/>
          <w:color w:val="000000" w:themeColor="text1"/>
          <w:sz w:val="24"/>
          <w:szCs w:val="24"/>
        </w:rPr>
        <w:t xml:space="preserve">nd </w:t>
      </w:r>
      <w:r w:rsidR="00E41CB5" w:rsidRPr="00597FFB">
        <w:rPr>
          <w:rFonts w:ascii="Times New Roman" w:eastAsiaTheme="majorEastAsia" w:hAnsi="Times New Roman" w:cs="Times New Roman"/>
          <w:i/>
          <w:iCs/>
          <w:color w:val="000000" w:themeColor="text1"/>
          <w:sz w:val="24"/>
          <w:szCs w:val="24"/>
        </w:rPr>
        <w:t>Social Desirability</w:t>
      </w:r>
      <w:r w:rsidRPr="00597FFB">
        <w:rPr>
          <w:rFonts w:ascii="Times New Roman" w:eastAsiaTheme="majorEastAsia" w:hAnsi="Times New Roman" w:cs="Times New Roman"/>
          <w:i/>
          <w:iCs/>
          <w:color w:val="000000" w:themeColor="text1"/>
          <w:sz w:val="24"/>
          <w:szCs w:val="24"/>
        </w:rPr>
        <w:t>.</w:t>
      </w:r>
      <w:bookmarkEnd w:id="208"/>
    </w:p>
    <w:p w14:paraId="18873067" w14:textId="7F558859"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Common method bias, also referred to as common method variance (CMV), was interpreted in consistency with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{"citationID":"AsJojniE","properties":{"formattedCitation":"(Campbell &amp; Fiske, 1959)","plainCitation":"(Campbell &amp; Fiske, 1959)","dontUpdate":true,"noteIndex":0},"citationItems":[{"id":4529,"uris":["http://zotero.org/users/local/b6CRLSJH/items/IBILVEBM"],"itemData":{"id":4529,"type":"article-journal","container-title":"Psychological Bulletin","DOI":"10.1037/h0046016","ISSN":"1939-1455, 0033-2909","issue":"2","journalAbbreviation":"Psychological Bulletin","language":"en","page":"81-105","source":"DOI.org (Crossref)","title":"Convergent and discriminant validation by the multitrait-multimethod matrix.","volume":"56","author":[{"family":"Campbell","given":"Donald T."},{"family":"Fiske","given":"Donald W."}],"issued":{"date-parts":[["1959"]]}}}],"schema":"https://github.com/citation-style-language/schema/raw/master/csl-citation.json"}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Campbell and Fiske (1959)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(as cited in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{"citationID":"hKs7t2vC","properties":{"formattedCitation":"(Malhotra et al., 2017)","plainCitation":"(Malhotra et al., 2017)","dontUpdate":true,"noteIndex":0},"citationItems":[{"id":4530,"uris":["http://zotero.org/users/local/b6CRLSJH/items/MZ6E82JR"],"itemData":{"id":4530,"type":"article-journal","container-title":"Journal of Advertising","DOI":"10.1080/00913367.2016.1252287","ISSN":"0091-3367, 1557-7805","issue":"1","journalAbbreviation":"Journal of Advertising","language":"en","page":"193-212","source":"DOI.org (Crossref)","title":"Common Method Variance in Advertising Research: When to Be Concerned and How to Control for It","title-short":"Common Method Variance in Advertising Research","volume":"46","author":[{"family":"Malhotra","given":"Naresh K."},{"family":"Schaller","given":"Tracey King"},{"family":"Patil","given":"Ashutosh"}],"issued":{"date-parts":[["2017",1,2]]}}}],"schema":"https://github.com/citation-style-language/schema/raw/master/csl-citation.json"}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Malhotra et al., 2017)</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who defined it as the potential alterations to true correlations among observed variables in a study. As was the case in the current research, it is attributed to the collection of data from respondents using a single survey instrument and at the same time. Some examples of common rater effects that may have infiltrated the current research include social desirability, acquiescence bias, leniency effect and consistency motive (</w:t>
      </w:r>
      <w:r w:rsidRPr="00597FFB">
        <w:rPr>
          <w:rFonts w:ascii="Times New Roman" w:eastAsiaTheme="minorHAnsi" w:hAnsi="Times New Roman" w:cs="Times New Roman"/>
          <w:sz w:val="24"/>
        </w:rPr>
        <w:t>Podsakoff et al., 2003)</w:t>
      </w:r>
      <w:r w:rsidRPr="00597FFB">
        <w:rPr>
          <w:rFonts w:ascii="Times New Roman" w:eastAsiaTheme="minorHAnsi" w:hAnsi="Times New Roman" w:cs="Times New Roman"/>
          <w:sz w:val="24"/>
          <w:szCs w:val="24"/>
        </w:rPr>
        <w:t>. The implication of these effects is that respondents may have been lenient in their responses. For example, some UAE millennials may have tended to over-report good EWR behaviors and under-report negative EWR behaviors given that this is highly associated with studies that elicit responses of socially desirable</w:t>
      </w:r>
      <w:r w:rsidRPr="00597FFB">
        <w:rPr>
          <w:rFonts w:eastAsiaTheme="minorHAnsi"/>
        </w:rPr>
        <w:t xml:space="preserve"> </w:t>
      </w:r>
      <w:r w:rsidRPr="00597FFB">
        <w:rPr>
          <w:rFonts w:ascii="Times New Roman" w:eastAsiaTheme="minorHAnsi" w:hAnsi="Times New Roman" w:cs="Times New Roman"/>
          <w:sz w:val="24"/>
          <w:szCs w:val="24"/>
        </w:rPr>
        <w:t xml:space="preserve">behaviors such as waste management, values and ethics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{"citationID":"9bsepRKg","properties":{"formattedCitation":"(Parlangeli et al., 2020)","plainCitation":"(Parlangeli et al., 2020)","noteIndex":0},"citationItems":[{"id":4531,"uris":["http://zotero.org/users/local/b6CRLSJH/items/USZVBXD6"],"itemData":{"id":4531,"type":"article-journal","container-title":"Science and Engineering Ethics","DOI":"10.1007/s11948-019-00091-6","ISSN":"1353-3452, 1471-5546","issue":"1","journalAbbreviation":"Sci Eng Ethics","language":"en","page":"159-181","source":"DOI.org (Crossref)","title":"Perceptions of Work-Related Stress and Ethical Misconduct Amongst Non-tenured Researchers in Italy","volume":"26","author":[{"family":"Parlangeli","given":"Oronzo"},{"family":"Guidi","given":"Stefano"},{"family":"Marchigiani","given":"Enrica"},{"family":"Bracci","given":"Margherita"},{"family":"Liston","given":"Paul M."}],"issued":{"date-parts":[["2020",2]]}}}],"schema":"https://github.com/citation-style-language/schema/raw/master/csl-citation.json"}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(Parlangeli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p>
    <w:p w14:paraId="1558943F"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second category was item characteristic effects given that common item formats and common item content were used to operationalize multiple variables in the current study’s questionnaire. Although this practice helps to reduce respondent fatigue, the researcher did not overlook that it potentially encourages “global ticking”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{"citationID":"D02Jbh3S","properties":{"formattedCitation":"(Carle et al., 2021)","plainCitation":"(Carle et al., 2021)","noteIndex":0},"citationItems":[{"id":4532,"uris":["http://zotero.org/users/local/b6CRLSJH/items/QW2SYUU8"],"itemData":{"id":4532,"type":"article-journal","container-title":"Quality of Life Research","DOI":"10.1007/s11136-020-02700-5","ISSN":"0962-9343, 1573-2649","issue":"4","journalAbbreviation":"Qual Life Res","language":"en","page":"997-1004","source":"DOI.org (Crossref)","title":"Using nationally representative percentiles to interpret PROMIS pediatric measures","volume":"30","author":[{"family":"Carle","given":"Adam C."},{"family":"Bevans","given":"Katherine B."},{"family":"Tucker","given":"Carole A."},{"family":"Forrest","given":"Christopher B."}],"issued":{"date-parts":[["2021",4]]}}}],"schema":"https://github.com/citation-style-language/schema/raw/master/csl-citation.json"}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(Carle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whereby some respondents may have paid less attention to subsequent questions because they had become familiar with the response format by the time they were getting to the subsequent sections with Likert-type responses. One of the measures that was taken to reduce the effect of common item format in the current study was the inclusion of statements relating to that construct at the beginning of each survey section before respondents answered the questions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{"citationID":"9PtajPdc","properties":{"formattedCitation":"(ten Haken et al., 2021)","plainCitation":"(ten Haken et al., 2021)","noteIndex":0},"citationItems":[{"id":4534,"uris":["http://zotero.org/users/local/b6CRLSJH/items/XACEFXRW"],"itemData":{"id":4534,"type":"article-journal","container-title":"Nurse Education Today","DOI":"10.1016/j.nedt.2021.104813","ISSN":"02606917","journalAbbreviation":"Nurse Education Today","language":"en","page":"104813","source":"DOI.org (Crossref)","title":"Education and training of nurses in the use of advanced medical technologies in home care related to patient safety: A cross-sectional survey","title-short":"Education and training of nurses in the use of advanced medical technologies in home care related to patient safety","volume":"100","author":[{"family":"Haken","given":"Ingrid","non-dropping-particle":"ten"},{"family":"Ben Allouch","given":"Somaya"},{"family":"Harten","given":"Wim H.","non-dropping-particle":"van"}],"issued":{"date-parts":[["2021",5]]}}}],"schema":"https://github.com/citation-style-language/schema/raw/master/csl-citation.json"}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(ten Haken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p>
    <w:p w14:paraId="023BEA8A" w14:textId="35AAF6C3"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third category of bias considered in the current research was that which emanates from perceived relationships among measurement items in the questionnaire due to the positioning of the items with each other. To overcome this measurement items of various constructs were mixed and question shuffling was turned on in Qualtrics® for some questionnaire sections to make it difficult for respondents to relate a new question from one that they had answered </w:t>
      </w:r>
      <w:bookmarkStart w:id="209" w:name="_Hlk105438118"/>
      <w:r w:rsidRPr="00597FFB">
        <w:rPr>
          <w:rFonts w:ascii="Times New Roman" w:eastAsiaTheme="minorHAnsi" w:hAnsi="Times New Roman" w:cs="Times New Roman"/>
          <w:sz w:val="24"/>
          <w:szCs w:val="24"/>
        </w:rPr>
        <w:t xml:space="preserve">previously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{"citationID":"a5pHtA7u","properties":{"formattedCitation":"(Reynolds et al., 2021)","plainCitation":"(Reynolds et al., 2021)","noteIndex":0},"citationItems":[{"id":4536,"uris":["http://zotero.org/users/local/b6CRLSJH/items/5QT3LC4V"],"itemData":{"id":4536,"type":"book","edition":"Second edition","event-place":"Cham, Switzerland","ISBN":"978-3-030-59454-1","language":"eng","note":"DOI: 10.1007/978-3-030-59455-8","number-of-pages":"710","publisher":"Springer","publisher-place":"Cham, Switzerland","source":"K10plus ISBN","title":"Mastering modern psychological testing: theory and methods","title-short":"Mastering modern psychological testing","author":[{"family":"Reynolds","given":"Cecil R."},{"family":"Altmann","given":"Robert"},{"family":"Allen","given":"Daniel N."}],"issued":{"date-parts":[["2021"]]}}}],"schema":"https://github.com/citation-style-language/schema/raw/master/csl-citation.json"}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(Reynolds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bookmarkEnd w:id="209"/>
      <w:r w:rsidRPr="00597FFB">
        <w:rPr>
          <w:rFonts w:ascii="Times New Roman" w:eastAsiaTheme="minorHAnsi" w:hAnsi="Times New Roman" w:cs="Times New Roman"/>
          <w:sz w:val="24"/>
          <w:szCs w:val="24"/>
        </w:rPr>
        <w:t>The final group of the source of CMV that was avoided was measurement context effects, which occurs when the same instrument is used to collect data on both the predictors and criterion variables. For example, some less-motivated participants may have tended to give average responses or agree (or disagree) with most of the</w:t>
      </w:r>
      <w:r w:rsidRPr="00597FFB">
        <w:rPr>
          <w:rFonts w:eastAsiaTheme="minorHAnsi"/>
        </w:rPr>
        <w:t xml:space="preserve"> </w:t>
      </w:r>
      <w:r w:rsidRPr="00597FFB">
        <w:rPr>
          <w:rFonts w:ascii="Times New Roman" w:eastAsiaTheme="minorHAnsi" w:hAnsi="Times New Roman" w:cs="Times New Roman"/>
          <w:sz w:val="24"/>
          <w:szCs w:val="24"/>
        </w:rPr>
        <w:t xml:space="preserve">items in long or cumbersome self-report surveys. Such an approach may have introduced a common bias among both the predictor and criterion variables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{"citationID":"xPJnJW64","properties":{"formattedCitation":"(Bryant &amp; Merritt, 2021)","plainCitation":"(Bryant &amp; Merritt, 2021)","noteIndex":0},"citationItems":[{"id":4538,"uris":["http://zotero.org/users/local/b6CRLSJH/items/H9EHF8IA"],"itemData":{"id":4538,"type":"article-journal","container-title":"Journal of Business Ethics","DOI":"10.1007/s10551-019-04211-x","ISSN":"0167-4544, 1573-0697","issue":"4","journalAbbreviation":"J Bus Ethics","language":"en","page":"777-793","source":"DOI.org (Crossref)","title":"Unethical Pro-organizational Behavior and Positive Leader–Employee Relationships","volume":"168","author":[{"family":"Bryant","given":"Will"},{"family":"Merritt","given":"Stephanie M."}],"issued":{"date-parts":[["2021",2]]}}}],"schema":"https://github.com/citation-style-language/schema/raw/master/csl-citation.json"}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w:t>
      </w:r>
      <w:r w:rsidR="003626C5" w:rsidRPr="00597FFB">
        <w:rPr>
          <w:rFonts w:ascii="Times New Roman" w:eastAsiaTheme="minorHAnsi" w:hAnsi="Times New Roman" w:cs="Times New Roman"/>
          <w:sz w:val="24"/>
        </w:rPr>
        <w:t>Xu et al.</w:t>
      </w:r>
      <w:r w:rsidRPr="00597FFB">
        <w:rPr>
          <w:rFonts w:ascii="Times New Roman" w:eastAsiaTheme="minorHAnsi" w:hAnsi="Times New Roman" w:cs="Times New Roman"/>
          <w:sz w:val="24"/>
        </w:rPr>
        <w:t>, 202</w:t>
      </w:r>
      <w:r w:rsidR="003626C5" w:rsidRPr="00597FFB">
        <w:rPr>
          <w:rFonts w:ascii="Times New Roman" w:eastAsiaTheme="minorHAnsi" w:hAnsi="Times New Roman" w:cs="Times New Roman"/>
          <w:sz w:val="24"/>
        </w:rPr>
        <w:t>0</w:t>
      </w:r>
      <w:r w:rsidRPr="00597FFB">
        <w:rPr>
          <w:rFonts w:ascii="Times New Roman" w:eastAsiaTheme="minorHAnsi" w:hAnsi="Times New Roman" w:cs="Times New Roman"/>
          <w:sz w:val="24"/>
        </w:rPr>
        <w:t>)</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4FA165B5" w14:textId="38919EDC"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Some additional approaches to minimize the effect of common method bias were also employed in the current research. For example, the researcher sought to motivate the respondents to tell the truth by assuring them of their confidentiality and anonymity (Mousavi et al., 2021). Since motivation may sometimes be difficult to provide and may not even guarantee respondents will be honest in responses, the procedural and statistical approaches recommended by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{"citationID":"CeYDZKc6","properties":{"formattedCitation":"(Baumgartner &amp; Weijters, 2021)","plainCitation":"(Baumgartner &amp; Weijters, 2021)","dontUpdate":true,"noteIndex":0},"citationItems":[{"id":4541,"uris":["http://zotero.org/users/local/b6CRLSJH/items/DYWAYQXJ"],"itemData":{"id":4541,"type":"article-journal","abstract":"Common method variance (CMV) is an important concern in international marketing research because presumed substantive relationships may actually be due to shared method variance. Because method effects may vary systematically across cultures and countries, accounting for method effects in international marketing research is particularly critical. A systematic review of Journal of International Marketing articles published during a five-year period (2015–2019, N = 93) shows that (1) authors often report post hoc CMV tests but usually conclude that CMV is not an issue and (2) many post hoc tests are conducted using the Harman one-factor test and the marker variable technique, which have serious deficiencies for detecting and controlling CMV. Drawing on a classification and comparative evaluation of the most common statistical approaches for dealing with CMV, the authors recommend two approaches and propose a procedure for dealing with CMV in international marketing research. The procedure, which is based on multisample structural equation modeling, is illustrated with data from a cross-national pan-European survey (N = 11,970, 14 countries), which shows that even though method variance is present in the data, method effects do not seriously bias the substantive conclusions in this particular study.","container-title":"Journal of International Marketing","DOI":"10.1177/1069031X21995871","ISSN":"1069-031X, 1547-7215","issue":"3","journalAbbreviation":"Journal of International Marketing","language":"en","page":"7-22","source":"DOI.org (Crossref)","title":"Dealing with Common Method Variance in International Marketing Research","volume":"29","author":[{"family":"Baumgartner","given":"Hans"},{"family":"Weijters","given":"Bert"}],"issued":{"date-parts":[["2021",9]]}}}],"schema":"https://github.com/citation-style-language/schema/raw/master/csl-citation.json"} </w:instrText>
      </w:r>
      <w:r w:rsidRPr="00597FFB">
        <w:rPr>
          <w:rFonts w:ascii="Times New Roman" w:eastAsiaTheme="minorHAnsi" w:hAnsi="Times New Roman" w:cs="Times New Roman"/>
          <w:sz w:val="24"/>
          <w:szCs w:val="24"/>
        </w:rPr>
        <w:fldChar w:fldCharType="separate"/>
      </w:r>
      <w:r w:rsidR="003626C5" w:rsidRPr="00597FFB">
        <w:rPr>
          <w:rFonts w:ascii="Times New Roman" w:eastAsia="Times New Roman" w:hAnsi="Times New Roman" w:cs="Times New Roman"/>
          <w:color w:val="000000" w:themeColor="text1"/>
          <w:sz w:val="24"/>
          <w:szCs w:val="24"/>
          <w:lang w:eastAsia="en-GB"/>
        </w:rPr>
        <w:t xml:space="preserve"> Wiesmeth</w:t>
      </w:r>
      <w:r w:rsidRPr="00597FFB">
        <w:rPr>
          <w:rFonts w:ascii="Times New Roman" w:eastAsiaTheme="minorHAnsi" w:hAnsi="Times New Roman" w:cs="Times New Roman"/>
          <w:sz w:val="24"/>
        </w:rPr>
        <w:t xml:space="preserve"> (202</w:t>
      </w:r>
      <w:r w:rsidR="003626C5" w:rsidRPr="00597FFB">
        <w:rPr>
          <w:rFonts w:ascii="Times New Roman" w:eastAsiaTheme="minorHAnsi" w:hAnsi="Times New Roman" w:cs="Times New Roman"/>
          <w:sz w:val="24"/>
        </w:rPr>
        <w:t>0</w:t>
      </w:r>
      <w:r w:rsidRPr="00597FFB">
        <w:rPr>
          <w:rFonts w:ascii="Times New Roman" w:eastAsiaTheme="minorHAnsi" w:hAnsi="Times New Roman" w:cs="Times New Roman"/>
          <w:sz w:val="24"/>
        </w:rPr>
        <w:t>)</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to control CMV were instituted. The procedural measures were undertaken before and during the data collection exercise whereas the statistical approaches usually described as ex-post measures were undertaken after the data was collected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{"citationID":"8CyIR6ml","properties":{"formattedCitation":"(Kock et al., 2021)","plainCitation":"(Kock et al., 2021)","noteIndex":0},"citationItems":[{"id":4542,"uris":["http://zotero.org/users/local/b6CRLSJH/items/IMU5YRXL"],"itemData":{"id":4542,"type":"article-journal","container-title":"Tourism Management","DOI":"10.1016/j.tourman.2021.104330","ISSN":"02615177","journalAbbreviation":"Tourism Management","language":"en","page":"104330","source":"DOI.org (Crossref)","title":"Understanding and managing the threat of common method bias: Detection, prevention and control","title-short":"Understanding and managing the threat of common method bias","volume":"86","author":[{"family":"Kock","given":"Florian"},{"family":"Berbekova","given":"Adiyukh"},{"family":"Assaf","given":"A. George"}],"issued":{"date-parts":[["2021",10]]}}}],"schema":"https://github.com/citation-style-language/schema/raw/master/csl-citation.json"}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(Kock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w:t>
      </w:r>
    </w:p>
    <w:p w14:paraId="7DC7A5B9"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Procedural measures involved separating the data collection exercise on the predictor and outcome variables. It also included shuffling the order of questions in an instrument. Other techniques that were used included reducing ambiguities in scale items by pre-testing instruments and eliminating common scale effects by using different response options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{"citationID":"rTv0lEmt","properties":{"formattedCitation":"(Grand, 2020)","plainCitation":"(Grand, 2020)","noteIndex":0},"citationItems":[{"id":4544,"uris":["http://zotero.org/users/local/b6CRLSJH/items/2Q8Q6BJA"],"itemData":{"id":4544,"type":"article-journal","container-title":"Journal of Applied Psychology","DOI":"10.1037/apl0000468","ISSN":"1939-1854, 0021-9010","issue":"8","journalAbbreviation":"Journal of Applied Psychology","language":"en","page":"819-862","source":"DOI.org (Crossref)","title":"A general response process theory for situational judgment tests.","volume":"105","author":[{"family":"Grand","given":"James A."}],"issued":{"date-parts":[["2020",8]]}}}],"schema":"https://github.com/citation-style-language/schema/raw/master/csl-citation.json"}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(Grand,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Although these measures to a large extent help to minimized the potential of CMV, the researcher was cautious of Rindfleisch et al.’s (2008) warning that such remedies should be considered only if they will not produce lower response rates or trigger respondent fatigue and confusion. In the current research, instruments were pre-tested to ensure the wording of items are free from ambiguities. Counterbalancing of items and separating predictor and criterion measurement, along with anonymity were also applied to control for common method bias, as suggested by Podsakoff et al. (2003). </w:t>
      </w:r>
    </w:p>
    <w:p w14:paraId="6F2D9A4C"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Harman’s single-factor test and multi-trait-multimethod analysis were also performed. According to Yeapet al. (2016), Harman’s single-factor test involves determining the extent of bias in a given data set when the results are entered into an exploratory factor analysis. If only a single factor emerges from the unrotated factor solution or where there is more than one factor and the first factor accounts for the majority of the variance (Podsakoff et al., 2003), CMV is likely to be present. Harman’s single-factor is the commonly used approach although it has been criticized for its inability to produce a quantitative measure for the extent of the CMV.</w:t>
      </w:r>
    </w:p>
    <w:p w14:paraId="43854B9F"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Other approaches, such as full collinearity assessment (FCA), have been proposed for studies that used partial least squares structural equation modelling (PLS-SEM) as the analytical technique (Kock, 2015). In PLS-SEM, the occurrence of a VIF greater than 3.3 was regarded as an indication of pathological collinearity and as an indication that the research model may have been contaminated by common methods bias. Therefore, all VIFs resulting from a full collinearity test at factor level were required to be equal to or lower than 3.3 for the model of the current research to be considered to be free from common methods bias (Kock, 2015).</w:t>
      </w:r>
    </w:p>
    <w:p w14:paraId="6BB2EFE5" w14:textId="213F3635"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0" w:name="_Toc127170343"/>
      <w:r w:rsidRPr="00597FFB">
        <w:rPr>
          <w:rFonts w:ascii="Times New Roman" w:eastAsiaTheme="majorEastAsia" w:hAnsi="Times New Roman" w:cs="Times New Roman"/>
          <w:i/>
          <w:iCs/>
          <w:color w:val="000000" w:themeColor="text1"/>
          <w:sz w:val="24"/>
          <w:szCs w:val="24"/>
        </w:rPr>
        <w:t>4.4.2. Descriptive Analysis</w:t>
      </w:r>
      <w:r w:rsidR="007160E3" w:rsidRPr="00597FFB">
        <w:rPr>
          <w:rFonts w:ascii="Times New Roman" w:eastAsiaTheme="majorEastAsia" w:hAnsi="Times New Roman" w:cs="Times New Roman"/>
          <w:i/>
          <w:iCs/>
          <w:color w:val="000000" w:themeColor="text1"/>
          <w:sz w:val="24"/>
          <w:szCs w:val="24"/>
        </w:rPr>
        <w:t>.</w:t>
      </w:r>
      <w:bookmarkEnd w:id="210"/>
      <w:r w:rsidRPr="00597FFB">
        <w:rPr>
          <w:rFonts w:ascii="Times New Roman" w:eastAsiaTheme="majorEastAsia" w:hAnsi="Times New Roman" w:cs="Times New Roman"/>
          <w:i/>
          <w:iCs/>
          <w:color w:val="000000" w:themeColor="text1"/>
          <w:sz w:val="24"/>
          <w:szCs w:val="24"/>
        </w:rPr>
        <w:t xml:space="preserve"> </w:t>
      </w:r>
    </w:p>
    <w:p w14:paraId="4AAA1BED"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In the current research examples of the descriptive statistics that were generated included the measures of central tendency (mean, median, and mode), standard deviation, and chi-square coefficient. The choice of these descriptive analytical techniques was informed by the nature of the scales used in the questionnaire. Descriptive statistics were the preferred means of analyzing and presenting data collected using a categorical scale. </w:t>
      </w:r>
    </w:p>
    <w:p w14:paraId="7AFE3720" w14:textId="5C228B3A"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1" w:name="_Toc127170344"/>
      <w:r w:rsidRPr="00597FFB">
        <w:rPr>
          <w:rFonts w:ascii="Times New Roman" w:eastAsiaTheme="majorEastAsia" w:hAnsi="Times New Roman" w:cs="Times New Roman"/>
          <w:i/>
          <w:iCs/>
          <w:color w:val="000000" w:themeColor="text1"/>
          <w:sz w:val="24"/>
          <w:szCs w:val="24"/>
        </w:rPr>
        <w:t>4.4.3. Inferential Analysis</w:t>
      </w:r>
      <w:r w:rsidR="007160E3" w:rsidRPr="00597FFB">
        <w:rPr>
          <w:rFonts w:ascii="Times New Roman" w:eastAsiaTheme="majorEastAsia" w:hAnsi="Times New Roman" w:cs="Times New Roman"/>
          <w:i/>
          <w:iCs/>
          <w:color w:val="000000" w:themeColor="text1"/>
          <w:sz w:val="24"/>
          <w:szCs w:val="24"/>
        </w:rPr>
        <w:t>.</w:t>
      </w:r>
      <w:bookmarkEnd w:id="211"/>
      <w:r w:rsidRPr="00597FFB">
        <w:rPr>
          <w:rFonts w:ascii="Times New Roman" w:eastAsiaTheme="majorEastAsia" w:hAnsi="Times New Roman" w:cs="Times New Roman"/>
          <w:i/>
          <w:iCs/>
          <w:color w:val="000000" w:themeColor="text1"/>
          <w:sz w:val="24"/>
          <w:szCs w:val="24"/>
        </w:rPr>
        <w:t xml:space="preserve"> </w:t>
      </w:r>
    </w:p>
    <w:p w14:paraId="0595B346"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Inferential statistics involved using sample data to estimate sample parameters that could be generalized across the UAE millennials as the target population under study. Although there are several classes of inferential statistics, Pallant’s (2000) categorization into two broad categories was adopted in the current research i.e., inferential statistics that help to compare groups and those that help to test relationships. In the context of social sciences such as the current research, concepts are rarely measurable directly, hence existing multivariate approaches were limited when unobservable variables such as UAE millennials’ intention to engage in EWR needed to be measured indirectly using indicators. Structural equation modelling (SEM) is a widely used approach that helps to minimize limitations due to concept measurement. Wong (2013) and Hair Jr. et al. (2014) describe SEM as a more robust statistical technique that helps to incorporate unobservable or latent variables, which are measured indirectly by some indicators.</w:t>
      </w:r>
    </w:p>
    <w:p w14:paraId="5B0B4697" w14:textId="055913B2"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two main approaches to SEM, which include covariance-based structural equation modelling (CB-SEM) (Jöreskog 1973, 1978) and variance-based or partial least square structural equation modelling (PLS-SEM) (</w:t>
      </w:r>
      <w:r w:rsidR="00C050A0" w:rsidRPr="00597FFB">
        <w:rPr>
          <w:rFonts w:ascii="Times New Roman" w:eastAsiaTheme="minorHAnsi" w:hAnsi="Times New Roman" w:cs="Times New Roman"/>
          <w:sz w:val="24"/>
          <w:szCs w:val="24"/>
        </w:rPr>
        <w:t>World</w:t>
      </w:r>
      <w:r w:rsidRPr="00597FFB">
        <w:rPr>
          <w:rFonts w:ascii="Times New Roman" w:eastAsiaTheme="minorHAnsi" w:hAnsi="Times New Roman" w:cs="Times New Roman"/>
          <w:sz w:val="24"/>
          <w:szCs w:val="24"/>
        </w:rPr>
        <w:t xml:space="preserve"> 1982, 1985) were considered in the current research. CB-SEM is a parametric procedure primarily used to confirm or reject theories. CB-SEM makes assumptions about data distribution, minimum sample size, model complexity, reflective constructs and strong theoretical knowledge about the model being tested (Hair et al., 2011). </w:t>
      </w:r>
    </w:p>
    <w:p w14:paraId="5A9FF79B"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PLS-SEM is a non-parametric approach for examining the relationship among constructs including mediation and moderated relationships (Avkiran, 2018). PLS-SEM, as the name implies, operates much like multiple regression by minimizing the residual variances of the endogenous constructs (Hair et al., 2011). As a non-parametric technique, the strict assumption about data distribution and sampling procedure is not as vital to the technique’s approach. Unlike CB-SEM, PLS-SEM was the most appropriate in this study since the research objectives were about predicting and developing theories by maximizing explained variance in the dependent variables of EWR intention/behavior (Hair Jr. et al., 2014). Compared to CB-SEM, it was deemed more robust and worked well with both smaller and much larger samples. Unlike CB-SEM, PLS-SEM readily and easily works with both formative as well as reflective constructs. This unique feature made it a suitable data analysis technique for this descriptive study (Hair Jr, et. al., 2014).</w:t>
      </w:r>
    </w:p>
    <w:p w14:paraId="45EACC9A"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Also, PLS-SEM is the preferred method when the research objective is theory development and prediction because of its prediction orientation. This was useful in the context of this research where theory about UAE millennials’ intention to undertake EWR is less developed (Hair Jr. et al., 2014). Moreover, the use of PLS-SEM helped to avoid the problem of indeterminacy, which is the difficulty with estimating stable factor scores and developing more precise estimates of factor scores. This is because the PLS algorithm calculates latent variable scores as exact linear combinations of the observed indicator variables (Lowry &amp; Gaskin, 2014).</w:t>
      </w:r>
    </w:p>
    <w:p w14:paraId="5BB7FADF" w14:textId="77777777" w:rsidR="00E41CB5" w:rsidRPr="00597FFB" w:rsidRDefault="00E41CB5" w:rsidP="00C050A0">
      <w:pPr>
        <w:widowControl w:val="0"/>
        <w:spacing w:after="0" w:line="480" w:lineRule="auto"/>
        <w:ind w:firstLine="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However, it is noteworthy that PLS-SEM carried some disadvantages to the current research. For instance, PLS-SEM’s focus is on maximizing partial model structures. Specifically, the PLS-SEM algorithm first optimizes the measurement model parameters and then, in a second step, estimates the path coefficients in the structural model. Thus, the researcher in the current research had to examine the measurement models’ characteristics first by assessing the reliability and validity of the indicators and eliminate those that fell out of the acceptable threshold. The researcher was also cautious that using PLS-SEM for theory testing and confirmation may have been hampered by the lack an adequate global measure of models’ goodness of fit (Hair Jr. et al., 2014).</w:t>
      </w:r>
    </w:p>
    <w:p w14:paraId="3C202F6E"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researcher understood that PLS-SEM does not assume data distributions and that it, instead, relies on a resampling procedure called bootstrapping. Mooney et al. (1993) describe bootstrapping as an intensive computational algorithm that involves resampling the data with replacement numerous times to generate an empirical estimate of the entire sampling distribution of a statistic. The results of such a procedure are minimizing measurement errors and also producing estimates that provide a better representation of the population (Mooney et al., 1993). Still, the risk of highly skewed data in the current research could still reduce the statistical power of the analysis (Hair Jr, et. al., 2014). So, extreme values and outliers were excluded from data when found to affect the outcomes of the analyses. However, the use of a large sample size in the current research remedied the potential to occasion a type II error, which occurs when a poorly specified model can still falsely achieve adequate model fit (Wong, 2013).</w:t>
      </w:r>
    </w:p>
    <w:p w14:paraId="39C85073" w14:textId="691B0F02" w:rsidR="00E41CB5" w:rsidRPr="00597FFB" w:rsidRDefault="006F2A57"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2" w:name="_Toc127170345"/>
      <w:r w:rsidRPr="00597FFB">
        <w:rPr>
          <w:rFonts w:ascii="Times New Roman" w:eastAsiaTheme="majorEastAsia" w:hAnsi="Times New Roman" w:cs="Times New Roman"/>
          <w:i/>
          <w:iCs/>
          <w:color w:val="000000" w:themeColor="text1"/>
          <w:sz w:val="24"/>
          <w:szCs w:val="24"/>
        </w:rPr>
        <w:t xml:space="preserve">4.4.4. </w:t>
      </w:r>
      <w:r w:rsidR="00E41CB5" w:rsidRPr="00597FFB">
        <w:rPr>
          <w:rFonts w:ascii="Times New Roman" w:eastAsiaTheme="majorEastAsia" w:hAnsi="Times New Roman" w:cs="Times New Roman"/>
          <w:i/>
          <w:iCs/>
          <w:color w:val="000000" w:themeColor="text1"/>
          <w:sz w:val="24"/>
          <w:szCs w:val="24"/>
        </w:rPr>
        <w:t xml:space="preserve">Partial </w:t>
      </w:r>
      <w:r w:rsidRPr="00597FFB">
        <w:rPr>
          <w:rFonts w:ascii="Times New Roman" w:eastAsiaTheme="majorEastAsia" w:hAnsi="Times New Roman" w:cs="Times New Roman"/>
          <w:i/>
          <w:iCs/>
          <w:color w:val="000000" w:themeColor="text1"/>
          <w:sz w:val="24"/>
          <w:szCs w:val="24"/>
        </w:rPr>
        <w:t>Least Squares-Multi Group (</w:t>
      </w:r>
      <w:r w:rsidR="00E41CB5" w:rsidRPr="00597FFB">
        <w:rPr>
          <w:rFonts w:ascii="Times New Roman" w:eastAsiaTheme="majorEastAsia" w:hAnsi="Times New Roman" w:cs="Times New Roman"/>
          <w:i/>
          <w:iCs/>
          <w:color w:val="000000" w:themeColor="text1"/>
          <w:sz w:val="24"/>
          <w:szCs w:val="24"/>
        </w:rPr>
        <w:t>PLS</w:t>
      </w:r>
      <w:r w:rsidRPr="00597FFB">
        <w:rPr>
          <w:rFonts w:ascii="Times New Roman" w:eastAsiaTheme="majorEastAsia" w:hAnsi="Times New Roman" w:cs="Times New Roman"/>
          <w:i/>
          <w:iCs/>
          <w:color w:val="000000" w:themeColor="text1"/>
          <w:sz w:val="24"/>
          <w:szCs w:val="24"/>
        </w:rPr>
        <w:t>-</w:t>
      </w:r>
      <w:r w:rsidR="00E41CB5" w:rsidRPr="00597FFB">
        <w:rPr>
          <w:rFonts w:ascii="Times New Roman" w:eastAsiaTheme="majorEastAsia" w:hAnsi="Times New Roman" w:cs="Times New Roman"/>
          <w:i/>
          <w:iCs/>
          <w:color w:val="000000" w:themeColor="text1"/>
          <w:sz w:val="24"/>
          <w:szCs w:val="24"/>
        </w:rPr>
        <w:t>MGA</w:t>
      </w:r>
      <w:r w:rsidRPr="00597FFB">
        <w:rPr>
          <w:rFonts w:ascii="Times New Roman" w:eastAsiaTheme="majorEastAsia" w:hAnsi="Times New Roman" w:cs="Times New Roman"/>
          <w:i/>
          <w:iCs/>
          <w:color w:val="000000" w:themeColor="text1"/>
          <w:sz w:val="24"/>
          <w:szCs w:val="24"/>
        </w:rPr>
        <w:t>).</w:t>
      </w:r>
      <w:bookmarkEnd w:id="212"/>
      <w:r w:rsidRPr="00597FFB">
        <w:rPr>
          <w:rFonts w:ascii="Times New Roman" w:eastAsiaTheme="majorEastAsia" w:hAnsi="Times New Roman" w:cs="Times New Roman"/>
          <w:i/>
          <w:iCs/>
          <w:color w:val="000000" w:themeColor="text1"/>
          <w:sz w:val="24"/>
          <w:szCs w:val="24"/>
        </w:rPr>
        <w:t xml:space="preserve"> </w:t>
      </w:r>
    </w:p>
    <w:p w14:paraId="54C31C2D"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Individual behavior is influenced partially by a population’s socio-demographic characteristics such as income level, type of housing, sex and educational background (Patel et al., 2017). The UAE, where the data were collected, is highly urbanized with about 90 percent of its residents living in urban cities, and its economic vibrancy draws people from all over in search of job opportunities and better living conditions. Altogether, the UAE has a very diverse population, different ethnic background, income levels, housing types and occupation. These characteristics bring about heterogeneity in the population. It was, therefore, important to identify, assess, and treat heterogeneity in data. </w:t>
      </w:r>
    </w:p>
    <w:p w14:paraId="5C1CC05D"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In path modelling, interaction variables can mediate or moderate path relationships. The rule of thumb for distinguishing a mediator from a moderator is that mediators must be a causal result of the exogenous construct and a causal antecedent of the outcome variable, whereas a moderator must not be the causal result of the exogenous. Moderators are mostly variables that are characteristics of the respondents or the context of the study (Baron &amp; Kenny, 1986). In the current research, the interaction effect (moderation) of threat appraisal, information/knowledge, environment assessment, incentives, and environmental concern were postulated and tested. Personal norm and attitude were tested as mediator variables and PLS-MGA was used in this regard.</w:t>
      </w:r>
    </w:p>
    <w:p w14:paraId="560C9DB4" w14:textId="4D9C7668" w:rsidR="00E41CB5" w:rsidRPr="00597FFB" w:rsidRDefault="006F2A57"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3" w:name="_Toc127170346"/>
      <w:r w:rsidRPr="00597FFB">
        <w:rPr>
          <w:rFonts w:ascii="Times New Roman" w:eastAsiaTheme="majorEastAsia" w:hAnsi="Times New Roman" w:cs="Times New Roman"/>
          <w:i/>
          <w:iCs/>
          <w:color w:val="000000" w:themeColor="text1"/>
          <w:sz w:val="24"/>
          <w:szCs w:val="24"/>
        </w:rPr>
        <w:t xml:space="preserve">4.4.5. </w:t>
      </w:r>
      <w:r w:rsidR="00E41CB5" w:rsidRPr="00597FFB">
        <w:rPr>
          <w:rFonts w:ascii="Times New Roman" w:eastAsiaTheme="majorEastAsia" w:hAnsi="Times New Roman" w:cs="Times New Roman"/>
          <w:i/>
          <w:iCs/>
          <w:color w:val="000000" w:themeColor="text1"/>
          <w:sz w:val="24"/>
          <w:szCs w:val="24"/>
        </w:rPr>
        <w:t>Multi</w:t>
      </w:r>
      <w:r w:rsidRPr="00597FFB">
        <w:rPr>
          <w:rFonts w:ascii="Times New Roman" w:eastAsiaTheme="majorEastAsia" w:hAnsi="Times New Roman" w:cs="Times New Roman"/>
          <w:i/>
          <w:iCs/>
          <w:color w:val="000000" w:themeColor="text1"/>
          <w:sz w:val="24"/>
          <w:szCs w:val="24"/>
        </w:rPr>
        <w:t xml:space="preserve">-Group Analysis Procedure </w:t>
      </w:r>
      <w:r w:rsidR="00DD61A0" w:rsidRPr="00597FFB">
        <w:rPr>
          <w:rFonts w:ascii="Times New Roman" w:eastAsiaTheme="majorEastAsia" w:hAnsi="Times New Roman" w:cs="Times New Roman"/>
          <w:i/>
          <w:iCs/>
          <w:color w:val="000000" w:themeColor="text1"/>
          <w:sz w:val="24"/>
          <w:szCs w:val="24"/>
        </w:rPr>
        <w:t>i</w:t>
      </w:r>
      <w:r w:rsidRPr="00597FFB">
        <w:rPr>
          <w:rFonts w:ascii="Times New Roman" w:eastAsiaTheme="majorEastAsia" w:hAnsi="Times New Roman" w:cs="Times New Roman"/>
          <w:i/>
          <w:iCs/>
          <w:color w:val="000000" w:themeColor="text1"/>
          <w:sz w:val="24"/>
          <w:szCs w:val="24"/>
        </w:rPr>
        <w:t xml:space="preserve">n </w:t>
      </w:r>
      <w:r w:rsidR="00E41CB5" w:rsidRPr="00597FFB">
        <w:rPr>
          <w:rFonts w:ascii="Times New Roman" w:eastAsiaTheme="majorEastAsia" w:hAnsi="Times New Roman" w:cs="Times New Roman"/>
          <w:i/>
          <w:iCs/>
          <w:color w:val="000000" w:themeColor="text1"/>
          <w:sz w:val="24"/>
          <w:szCs w:val="24"/>
        </w:rPr>
        <w:t>PLS</w:t>
      </w:r>
      <w:r w:rsidRPr="00597FFB">
        <w:rPr>
          <w:rFonts w:ascii="Times New Roman" w:eastAsiaTheme="majorEastAsia" w:hAnsi="Times New Roman" w:cs="Times New Roman"/>
          <w:i/>
          <w:iCs/>
          <w:color w:val="000000" w:themeColor="text1"/>
          <w:sz w:val="24"/>
          <w:szCs w:val="24"/>
        </w:rPr>
        <w:t>-</w:t>
      </w:r>
      <w:r w:rsidR="00E41CB5" w:rsidRPr="00597FFB">
        <w:rPr>
          <w:rFonts w:ascii="Times New Roman" w:eastAsiaTheme="majorEastAsia" w:hAnsi="Times New Roman" w:cs="Times New Roman"/>
          <w:i/>
          <w:iCs/>
          <w:color w:val="000000" w:themeColor="text1"/>
          <w:sz w:val="24"/>
          <w:szCs w:val="24"/>
        </w:rPr>
        <w:t>SEM</w:t>
      </w:r>
      <w:r w:rsidRPr="00597FFB">
        <w:rPr>
          <w:rFonts w:ascii="Times New Roman" w:eastAsiaTheme="majorEastAsia" w:hAnsi="Times New Roman" w:cs="Times New Roman"/>
          <w:i/>
          <w:iCs/>
          <w:color w:val="000000" w:themeColor="text1"/>
          <w:sz w:val="24"/>
          <w:szCs w:val="24"/>
        </w:rPr>
        <w:t>.</w:t>
      </w:r>
      <w:bookmarkEnd w:id="213"/>
      <w:r w:rsidRPr="00597FFB">
        <w:rPr>
          <w:rFonts w:ascii="Times New Roman" w:eastAsiaTheme="majorEastAsia" w:hAnsi="Times New Roman" w:cs="Times New Roman"/>
          <w:i/>
          <w:iCs/>
          <w:color w:val="000000" w:themeColor="text1"/>
          <w:sz w:val="24"/>
          <w:szCs w:val="24"/>
        </w:rPr>
        <w:t xml:space="preserve"> </w:t>
      </w:r>
    </w:p>
    <w:p w14:paraId="3D0AEE23"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To test for group-specific differences in path relationships, measurement invariance or measurement equivalence were the diagnostic techniques used in the current research. Establishing measurement invariance was important because it showed that group differences do not result from how specific groups interpreted questions administered, rather than the true differences in structural relationships (Hair et al., 2018). Failing to achieve measurement invariance was interpreted as contributing to measurement error, which could have reduced the statistical power of the test (Hult et al., 2008).</w:t>
      </w:r>
    </w:p>
    <w:p w14:paraId="675E9632" w14:textId="011E035F"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To assess measurement invariance in PLS-SEM in the current research, the three steps outlined by Hair et al. (2018) collectively called </w:t>
      </w:r>
      <w:r w:rsidR="006555C4" w:rsidRPr="00597FFB">
        <w:rPr>
          <w:rFonts w:ascii="Times New Roman" w:eastAsiaTheme="minorHAnsi" w:hAnsi="Times New Roman" w:cs="Times New Roman"/>
          <w:sz w:val="24"/>
          <w:szCs w:val="24"/>
        </w:rPr>
        <w:t>M</w:t>
      </w:r>
      <w:r w:rsidRPr="00597FFB">
        <w:rPr>
          <w:rFonts w:ascii="Times New Roman" w:eastAsiaTheme="minorHAnsi" w:hAnsi="Times New Roman" w:cs="Times New Roman"/>
          <w:sz w:val="24"/>
          <w:szCs w:val="24"/>
        </w:rPr>
        <w:t xml:space="preserve">easurement </w:t>
      </w:r>
      <w:r w:rsidR="006555C4" w:rsidRPr="00597FFB">
        <w:rPr>
          <w:rFonts w:ascii="Times New Roman" w:eastAsiaTheme="minorHAnsi" w:hAnsi="Times New Roman" w:cs="Times New Roman"/>
          <w:sz w:val="24"/>
          <w:szCs w:val="24"/>
        </w:rPr>
        <w:t>I</w:t>
      </w:r>
      <w:r w:rsidRPr="00597FFB">
        <w:rPr>
          <w:rFonts w:ascii="Times New Roman" w:eastAsiaTheme="minorHAnsi" w:hAnsi="Times New Roman" w:cs="Times New Roman"/>
          <w:sz w:val="24"/>
          <w:szCs w:val="24"/>
        </w:rPr>
        <w:t xml:space="preserve">nvariance of the </w:t>
      </w:r>
      <w:r w:rsidR="006555C4" w:rsidRPr="00597FFB">
        <w:rPr>
          <w:rFonts w:ascii="Times New Roman" w:eastAsiaTheme="minorHAnsi" w:hAnsi="Times New Roman" w:cs="Times New Roman"/>
          <w:sz w:val="24"/>
          <w:szCs w:val="24"/>
        </w:rPr>
        <w:t>C</w:t>
      </w:r>
      <w:r w:rsidRPr="00597FFB">
        <w:rPr>
          <w:rFonts w:ascii="Times New Roman" w:eastAsiaTheme="minorHAnsi" w:hAnsi="Times New Roman" w:cs="Times New Roman"/>
          <w:sz w:val="24"/>
          <w:szCs w:val="24"/>
        </w:rPr>
        <w:t xml:space="preserve">omposite </w:t>
      </w:r>
      <w:r w:rsidR="006555C4" w:rsidRPr="00597FFB">
        <w:rPr>
          <w:rFonts w:ascii="Times New Roman" w:eastAsiaTheme="minorHAnsi" w:hAnsi="Times New Roman" w:cs="Times New Roman"/>
          <w:sz w:val="24"/>
          <w:szCs w:val="24"/>
        </w:rPr>
        <w:t>M</w:t>
      </w:r>
      <w:r w:rsidRPr="00597FFB">
        <w:rPr>
          <w:rFonts w:ascii="Times New Roman" w:eastAsiaTheme="minorHAnsi" w:hAnsi="Times New Roman" w:cs="Times New Roman"/>
          <w:sz w:val="24"/>
          <w:szCs w:val="24"/>
        </w:rPr>
        <w:t xml:space="preserve">odels (MICOM) procedure were invoked. The MICOM procedure began with examining configural invariance. Configural invariance involved ensuring that there were no identical indicators, data treatment was performed, and algorithm settings across the groups were compared (Hair, Jr. et al., 2018). Each group had to have the minimum recommended sample size, which is usually guided by Cohen’s (1988) table for determining sample size </w:t>
      </w:r>
      <w:r w:rsidR="00B111AB" w:rsidRPr="00597FFB">
        <w:rPr>
          <w:rFonts w:ascii="Times New Roman" w:eastAsiaTheme="minorHAnsi" w:hAnsi="Times New Roman" w:cs="Times New Roman"/>
          <w:sz w:val="24"/>
          <w:szCs w:val="24"/>
        </w:rPr>
        <w:t>adequacy.</w:t>
      </w:r>
      <w:r w:rsidRPr="00597FFB">
        <w:rPr>
          <w:rFonts w:ascii="Times New Roman" w:eastAsiaTheme="minorHAnsi" w:hAnsi="Times New Roman" w:cs="Times New Roman"/>
          <w:sz w:val="24"/>
          <w:szCs w:val="24"/>
        </w:rPr>
        <w:t xml:space="preserve"> Upon achieving configural invariance, the next step was compositional invariance. This stage involved comparing original correlations (c) with 5% quantile value of the distributions (Cu). Compositional invariance was deemed to have been achieved if the original correlation was equal to or greater than 5% quantile. The procedure tested the null hypothesis that c= 1, which could not be rejected. The final diagnostics involved testing for equality of composite mean values and variance across the selected groups. Full invariance was assumed when composite mean values and variance fell between 2.5% and 97.5% confidence interval. If only some conditions were met, partial invariance was assumed and where none is achieved, no invariance. </w:t>
      </w:r>
    </w:p>
    <w:p w14:paraId="32B4E211" w14:textId="7A72D7C6"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4" w:name="_Toc127170347"/>
      <w:r w:rsidRPr="00597FFB">
        <w:rPr>
          <w:rFonts w:ascii="Times New Roman" w:eastAsiaTheme="majorEastAsia" w:hAnsi="Times New Roman" w:cs="Times New Roman"/>
          <w:i/>
          <w:iCs/>
          <w:color w:val="000000" w:themeColor="text1"/>
          <w:sz w:val="24"/>
          <w:szCs w:val="24"/>
        </w:rPr>
        <w:t>4.4.6. Reliability</w:t>
      </w:r>
      <w:r w:rsidR="00F400BD" w:rsidRPr="00597FFB">
        <w:rPr>
          <w:rFonts w:ascii="Times New Roman" w:eastAsiaTheme="majorEastAsia" w:hAnsi="Times New Roman" w:cs="Times New Roman"/>
          <w:i/>
          <w:iCs/>
          <w:color w:val="000000" w:themeColor="text1"/>
          <w:sz w:val="24"/>
          <w:szCs w:val="24"/>
        </w:rPr>
        <w:t>.</w:t>
      </w:r>
      <w:bookmarkEnd w:id="214"/>
    </w:p>
    <w:p w14:paraId="60518136" w14:textId="384F0F0A"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Reliability examined the consistency of measures and findings that were yielded by the research tools and techniques applied for data collection. Accordingly, reliability was useful in revealing whether similar results would be achieved should the survey used in the current research be adapted within different occasions, including varying points of time or different samples, as well as when utilized by other researchers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{"citationID":"Fy5Q41Qa","properties":{"formattedCitation":"(Biesialska et al., 2021)","plainCitation":"(Biesialska et al., 2021)","noteIndex":0},"citationItems":[{"id":4475,"uris":["http://zotero.org/users/local/b6CRLSJH/items/98CERR3E"],"itemData":{"id":4475,"type":"article-journal","container-title":"Information and Software Technology","DOI":"10.1016/j.infsof.2020.106448","ISSN":"09505849","journalAbbreviation":"Information and Software Technology","language":"en","page":"106448","source":"DOI.org (Crossref)","title":"Big Data analytics in Agile software development: A systematic mapping study","title-short":"Big Data analytics in Agile software development","volume":"132","author":[{"family":"Biesialska","given":"Katarzyna"},{"family":"Franch","given":"Xavier"},{"family":"Muntés-Mulero","given":"Victor"}],"issued":{"date-parts":[["2021",4]]}}}],"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(Biesialska et al.,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To enhance the reliability of the scales applied in the current research, measurements were selected carefully and solely adapted if respective items for each construct had been proven reliable in previous empirical research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{"citationID":"1e7gmr3d","properties":{"formattedCitation":"(Y.-C. Chen et al., 2022)","plainCitation":"(Y.-C. Chen et al., 2022)","noteIndex":0},"citationItems":[{"id":4476,"uris":["http://zotero.org/users/local/b6CRLSJH/items/I3FXYY92"],"itemData":{"id":4476,"type":"article-journal","abstract":"Background\n              Advancements in digital technologies seek to promote health and access to services. However, people lacking abilities and confidence to use technology are likely to be left behind, leading to health disparities. In providing digital health services, health care providers need to be aware of users’ diverse electronic health (eHealth) literacy to address their particular needs and ensure equitable uptake and use of digital services. To understand such needs, an instrument that captures users’ knowledge, skills, trust, motivation, and experiences in relation to technology is required. The eHealth Literacy Questionnaire (eHLQ) is a multidimensional tool with 7 scales covering diverse dimensions of eHealth literacy. The tool was simultaneously developed in English and Danish using a grounded and validity-driven approach and has been shown to have strong psychometric properties.\n            \n            \n              Objective\n              This study aims to translate and culturally adapt the eHLQ for application among Mandarin-speaking people with chronic diseases in Taiwan and then undertake a rigorous set of validity-testing procedures.\n            \n            \n              Methods\n              The cross-cultural adaptation of the eHLQ included translation and evaluation of the translations. The measurement properties were assessed using classical test theory and item response theory (IRT) approaches. Content validity, known-group validity, and internal consistency were explored, as well as item characteristic curves (ICCs), item discrimination, and item location/difficulty.\n            \n            \n              Results\n              The adapted version was reviewed, and a recommended forward translation was confirmed through consensus. The tool exhibited good content validity. A total of 420 people with 1 or more chronic diseases participated in a validity-testing survey. The eHLQ showed good internal consistency (Cronbach α=.75-.95). For known-group validity, all 7 eHLQ scales showed strong associations with education. Unidimensionality and local independence assumptions were met except for scale 2. IRT analysis showed that all items demonstrated good discrimination (range 0.27-12.15) and a good range of difficulty (range 0.59-1.67) except for 2 items in scale 7.\n            \n            \n              Conclusions\n              Using a rigorous process, the eHLQ was translated from English into a culturally appropriate tool for use in the Mandarin language. Validity testing provided evidence of satisfactory-to-strong psychometric properties of the eHLQ. The 7 scales are likely to be useful research tools for evaluating digital health interventions and for informing the development of health technology products and interventions that equitably suit diverse users’ needs.","container-title":"Journal of Medical Internet Research","DOI":"10.2196/32855","ISSN":"1438-8871","issue":"1","journalAbbreviation":"J Med Internet Res","language":"en","page":"e32855","source":"DOI.org (Crossref)","title":"Validity Testing and Cultural Adaptation of the eHealth Literacy Questionnaire (eHLQ) Among People With Chronic Diseases in Taiwan: Mixed Methods Study","title-short":"Validity Testing and Cultural Adaptation of the eHealth Literacy Questionnaire (eHLQ) Among People With Chronic Diseases in Taiwan","volume":"24","author":[{"family":"Chen","given":"Yu-Chi"},{"family":"Cheng","given":"Christina"},{"family":"Osborne","given":"Richard H"},{"family":"Kayser","given":"Lars"},{"family":"Liu","given":"Chieh-Yu"},{"family":"Chang","given":"Li-Chun"}],"issued":{"date-parts":[["2022",1,19]]}}}],"schema":"https://github.com/citation-style-language/schema/raw/master/csl-citation.json"} </w:instrText>
      </w:r>
      <w:r w:rsidRPr="00597FFB">
        <w:rPr>
          <w:rFonts w:ascii="Times New Roman" w:eastAsiaTheme="minorHAnsi" w:hAnsi="Times New Roman" w:cs="Times New Roman"/>
          <w:sz w:val="24"/>
          <w:szCs w:val="24"/>
        </w:rPr>
        <w:fldChar w:fldCharType="separate"/>
      </w:r>
      <w:r w:rsidR="0002538C" w:rsidRPr="00597FFB">
        <w:rPr>
          <w:rFonts w:ascii="Times New Roman" w:hAnsi="Times New Roman" w:cs="Times New Roman"/>
          <w:sz w:val="24"/>
        </w:rPr>
        <w:t>(Y.-C. Chen et al., 2022)</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31D6E90F" w14:textId="177CC923"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The reliability of the scales adapted in the current research was measured using the Cronbach’s alpha, which tests the internal consistency of scales by calculating the extent to which the items on each scale belong together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{"citationID":"PiBbKhRn","properties":{"formattedCitation":"(Pallant, 2020)","plainCitation":"(Pallant, 2020)","noteIndex":0},"citationItems":[{"id":4448,"uris":["http://zotero.org/users/local/b6CRLSJH/items/LWWRE8Q5"],"itemData":{"id":4448,"type":"book","edition":"7","ISBN":"978-1-00-311745-2","language":"en","note":"DOI: 10.4324/9781003117452","publisher":"Routledge","source":"DOI.org (Crossref)","title":"SPSS Survival Manual: A Step by Step Guide to Data Analysis Using IBM SPSS","title-short":"SPSS Survival Manual","URL":"https://www.taylorfrancis.com/books/9781000248777","author":[{"family":"Pallant","given":"Julie"}],"accessed":{"date-parts":[["2022",6,5]]},"issued":{"date-parts":[["2020",7,16]]}}}],"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(Pallant,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This was indicated by providing the average correlation among all items comprised in a scale presented in values ranging from 0 to 1. Scales were considered strongly reliable when Cronbach’s alpha exceeded a value above 0.7. However, in accordance with </w:t>
      </w:r>
      <w:r w:rsidRPr="00597FFB">
        <w:rPr>
          <w:rFonts w:ascii="Times New Roman" w:eastAsiaTheme="minorHAnsi" w:hAnsi="Times New Roman" w:cs="Times New Roman"/>
          <w:sz w:val="24"/>
          <w:szCs w:val="24"/>
        </w:rPr>
        <w:fldChar w:fldCharType="begin"/>
      </w:r>
      <w:r w:rsidR="0002538C" w:rsidRPr="00597FFB">
        <w:rPr>
          <w:rFonts w:ascii="Times New Roman" w:eastAsiaTheme="minorHAnsi" w:hAnsi="Times New Roman" w:cs="Times New Roman"/>
          <w:sz w:val="24"/>
          <w:szCs w:val="24"/>
        </w:rPr>
        <w:instrText xml:space="preserve"> ADDIN ZOTERO_ITEM CSL_CITATION {"citationID":"8wnon7kk","properties":{"formattedCitation":"(Christa &amp; Kristinae, 2021)","plainCitation":"(Christa &amp; Kristinae, 2021)","dontUpdate":true,"noteIndex":0},"citationItems":[{"id":4477,"uris":["http://zotero.org/users/local/b6CRLSJH/items/ZCCR5LZE"],"itemData":{"id":4477,"type":"article-journal","abstract":"Management research maintains business performance of local products during the pandemic, requiring organizations to act effectively and efficiently in managing resources based on relevant knowledge. Efforts are needed to sustain local product business, maintain the key to organizational success based on knowledge sharing and innovation in improving business performance so that local products remain sustainable. This research was analyzed quantitatively using SEM-AMOS statistical tools, in 300 local product business actors in Central Kalimantan and Bali. The proactive antecedents of market orientation were obtained significantly positive encouraging mediation role of knowledge sharing by 51% and innovation by 63% on business performance. Activities that are managed so that superior products become management activities with significant positive Planning, Organizing, Actuatingand Controlling (POAC) carried out by mediating positive impacts to maintain local product business. The novelty of this research is a conceptual model based on Knowledge Based View (KBV) to increase local product business in two provinces affected by Covid-19. The implication of this research is to encourage business actors to synergize with market orientation into relevant information to identify changes and needs, as well as to encourage knowledge sharing and innovation in improving business performance of local products that are in accordance with consumer needs.","container-title":"Uncertain Supply Chain Management","DOI":"10.5267/j.uscm.2020.10.006","ISSN":"22916822, 22916830","journalAbbreviation":"10.5267/j.uscm","page":"151-158","source":"DOI.org (Crossref)","title":"The effect of product innovation on business performance during COVID 19 pandemic","author":[{"family":"Christa","given":"Usup Riassy"},{"family":"Kristinae","given":"Vivy"}],"issued":{"date-parts":[["2021"]]}}}],"schema":"https://github.com/citation-style-language/schema/raw/master/csl-citation.json"}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Christa and Kristinae (2021)</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a Cronbach’s alpha of 0.6 was still acceptable.</w:t>
      </w:r>
    </w:p>
    <w:p w14:paraId="1CB7A244" w14:textId="0B543A35" w:rsidR="00E41CB5" w:rsidRPr="00597FFB" w:rsidRDefault="00E41CB5" w:rsidP="00C050A0">
      <w:pPr>
        <w:keepNext/>
        <w:keepLines/>
        <w:spacing w:after="0" w:line="480" w:lineRule="auto"/>
        <w:ind w:left="720" w:hanging="720"/>
        <w:outlineLvl w:val="2"/>
        <w:rPr>
          <w:rFonts w:ascii="Times New Roman" w:eastAsiaTheme="majorEastAsia" w:hAnsi="Times New Roman" w:cs="Times New Roman"/>
          <w:i/>
          <w:iCs/>
          <w:color w:val="000000" w:themeColor="text1"/>
          <w:sz w:val="24"/>
          <w:szCs w:val="24"/>
        </w:rPr>
      </w:pPr>
      <w:bookmarkStart w:id="215" w:name="_Toc127170348"/>
      <w:r w:rsidRPr="00597FFB">
        <w:rPr>
          <w:rFonts w:ascii="Times New Roman" w:eastAsiaTheme="majorEastAsia" w:hAnsi="Times New Roman" w:cs="Times New Roman"/>
          <w:i/>
          <w:iCs/>
          <w:color w:val="000000" w:themeColor="text1"/>
          <w:sz w:val="24"/>
          <w:szCs w:val="24"/>
        </w:rPr>
        <w:t>4.4.7. Validity</w:t>
      </w:r>
      <w:r w:rsidR="00F400BD" w:rsidRPr="00597FFB">
        <w:rPr>
          <w:rFonts w:ascii="Times New Roman" w:eastAsiaTheme="majorEastAsia" w:hAnsi="Times New Roman" w:cs="Times New Roman"/>
          <w:i/>
          <w:iCs/>
          <w:color w:val="000000" w:themeColor="text1"/>
          <w:sz w:val="24"/>
          <w:szCs w:val="24"/>
        </w:rPr>
        <w:t>.</w:t>
      </w:r>
      <w:bookmarkEnd w:id="215"/>
      <w:r w:rsidRPr="00597FFB">
        <w:rPr>
          <w:rFonts w:ascii="Times New Roman" w:eastAsiaTheme="majorEastAsia" w:hAnsi="Times New Roman" w:cs="Times New Roman"/>
          <w:i/>
          <w:iCs/>
          <w:color w:val="000000" w:themeColor="text1"/>
          <w:sz w:val="24"/>
          <w:szCs w:val="24"/>
        </w:rPr>
        <w:t xml:space="preserve"> </w:t>
      </w:r>
    </w:p>
    <w:p w14:paraId="5D68FC68" w14:textId="66BB1A2E" w:rsidR="00373683"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Internal validity was interpreted to be a reflection of the extent to which the scales used in the questionnaire actually measured what they were intended to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{"citationID":"zVURNQXR","properties":{"formattedCitation":"(Park et al., 2020)","plainCitation":"(Park et al., 2020)","noteIndex":0},"citationItems":[{"id":4479,"uris":["http://zotero.org/users/local/b6CRLSJH/items/KRY8P2BP"],"itemData":{"id":4479,"type":"article-journal","container-title":"Academic Medicine","DOI":"10.1097/ACM.0000000000003093","ISSN":"1040-2446","issue":"5","journalAbbreviation":"Academic Medicine","language":"en","page":"690-694","source":"DOI.org (Crossref)","title":"The Positivism Paradigm of Research:","title-short":"The Positivism Paradigm of Research","volume":"95","author":[{"family":"Park","given":"Yoon Soo"},{"family":"Konge","given":"Lars"},{"family":"Artino","given":"Anthony R."}],"issued":{"date-parts":[["2020",5]]}}}],"schema":"https://github.com/citation-style-language/schema/raw/master/csl-citation.json"}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(Park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To ensure the validity of the questionnaire, three kinds of validities were considered crucial. These included content validity, criterion-related validity, and construct validity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{"citationID":"XswfDj75","properties":{"formattedCitation":"(Mathieu et al., 2020)","plainCitation":"(Mathieu et al., 2020)","noteIndex":0},"citationItems":[{"id":4480,"uris":["http://zotero.org/users/local/b6CRLSJH/items/SQ5SNYA2"],"itemData":{"id":4480,"type":"article-journal","abstract":"Marks, Mathieu, and Zaccaro (2001) advanced a theory and framework of team processes that has garnered much attention and guided numerous investigations. They proposed that 10 first-order constructs (e.g., strategy formulation, coordination, conflict management) would map to three second-order constructs (i.e., transition, action, and interpersonal). Despite the popularity of this framework, we are unaware of any validated multiitem measures of the team processes they identified. Accordingly, we develop and demonstrate content and construct validity of 50-, 30-, and 10-item versions of a survey measure of team processes. Using data from over 700 teams, we test Marks et al.’s higher-order model and find results that are largely consistent with both their 10 first-order dimensions and the 10:3 second-order framework. Using samples of global virtual knowledge teams and health care employees, we provide evidence of the discriminant validity of our team process measure versus a measure of team empowerment. We provide recommendations for the use of these measures in future research and practice and encourage their use as part of a portfolio of measures of team processes.","container-title":"Organizational Research Methods","DOI":"10.1177/1094428119840801","ISSN":"1094-4281, 1552-7425","issue":"3","journalAbbreviation":"Organizational Research Methods","language":"en","page":"399-431","source":"DOI.org (Crossref)","title":"The Development and Construct Validity of a Team Processes Survey Measure","volume":"23","author":[{"family":"Mathieu","given":"John E."},{"family":"Luciano","given":"Margaret M."},{"family":"D’Innocenzo","given":"Lauren"},{"family":"Klock","given":"Elizabeth A."},{"family":"LePine","given":"Jeffery A."}],"issued":{"date-parts":[["2020",7]]}}}],"schema":"https://github.com/citation-style-language/schema/raw/master/csl-citation.json"}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(Mathieu et al.,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Content validity refers to the degree to which the items within the survey adequately cover the investigative question. This adequate coverage was assured by a thorough literature review conducted, resulting in the deduction of items that have already been proven valid in prior research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{"citationID":"NyOSTo5G","properties":{"formattedCitation":"(Story &amp; Tait, 2019)","plainCitation":"(Story &amp; Tait, 2019)","noteIndex":0},"citationItems":[{"id":4482,"uris":["http://zotero.org/users/local/b6CRLSJH/items/XWXD2TMW"],"itemData":{"id":4482,"type":"article-journal","abstract":"Abstract\n            \n              SUMMARY\n              Surveys provide evidence on practice, attitudes, and knowledge. However, conducting good survey research is harder than it looks. The authors aim to provide guidance to both researchers and readers in conducting and interpreting survey research. Like all research, surveys should have clear research question(s) using the smallest possible number of high-quality, essential, survey questions (items) that will interest the target population. Both researchers and readers should put themselves in the position of the respondents. The survey questions should provide reproducible results (reliable), measure what they are supposed to measure (valid), and take less than 10 min to answer. Good survey research reports provide results with valid and reliable answers to the research question with an adequate response rate (at least 40%) and adequate precision (margin of error ideally 5% or less). Possible biases among those who did not respond (nonresponders) must be carefully analyzed and discussed. Quantitative results can be combined with qualitative results in mixed-methods research to provide greater insight.","container-title":"Anesthesiology","DOI":"10.1097/ALN.0000000000002436","ISSN":"0003-3022","issue":"2","language":"en","page":"192-202","source":"DOI.org (Crossref)","title":"Survey Research","volume":"130","author":[{"family":"Story","given":"David A."},{"family":"Tait","given":"Alan R."}],"issued":{"date-parts":[["2019",2,1]]}}}],"schema":"https://github.com/citation-style-language/schema/raw/master/csl-citation.json"}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(Story &amp; Tait, 2019)</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xml:space="preserve">. Additionally, questions were discussed with an expert as well as with the respondents of the questionnaire’s pilot phase to assess the items essentiality for the purpose of the study and, thus, to further enhance content validity (Saunders et al., 2018). Criterion validity, which is reflected in the items’ capability to make accurate predictions (Saunders et al., 2018), was measured in this study by conducting correlation tests. Lastly, construct validity refers to the extent to which the items used actually measure the underlying constructs that are supposed to be measured. This means that construct validity answers how well generalizations can be drawn from the measurement items to the construct measured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{"citationID":"p5vCF0BU","properties":{"formattedCitation":"(Bowman &amp; Goodboy, 2020)","plainCitation":"(Bowman &amp; Goodboy, 2020)","noteIndex":0},"citationItems":[{"id":4483,"uris":["http://zotero.org/users/local/b6CRLSJH/items/LW692GCP"],"itemData":{"id":4483,"type":"article-journal","container-title":"Annals of the International Communication Association","DOI":"10.1080/23808985.2020.1792791","ISSN":"2380-8985, 2380-8977","issue":"3","journalAbbreviation":"Annals of the International Communication Association","language":"en","page":"219-234","source":"DOI.org (Crossref)","title":"Evolving considerations and empirical approaches to construct validity in communication science","volume":"44","author":[{"family":"Bowman","given":"Nicholas David"},{"family":"Goodboy","given":"Alan K."}],"issued":{"date-parts":[["2020",7,2]]}}}],"schema":"https://github.com/citation-style-language/schema/raw/master/csl-citation.json"} </w:instrText>
      </w:r>
      <w:r w:rsidRPr="00597FFB">
        <w:rPr>
          <w:rFonts w:ascii="Times New Roman" w:eastAsiaTheme="minorHAnsi" w:hAnsi="Times New Roman" w:cs="Times New Roman"/>
          <w:sz w:val="24"/>
          <w:szCs w:val="24"/>
        </w:rPr>
        <w:fldChar w:fldCharType="separate"/>
      </w:r>
      <w:r w:rsidR="001F3CEE" w:rsidRPr="00597FFB">
        <w:rPr>
          <w:rFonts w:ascii="Times New Roman" w:eastAsia="Calibri" w:hAnsi="Times New Roman" w:cs="Times New Roman"/>
          <w:color w:val="000000"/>
          <w:sz w:val="24"/>
          <w:szCs w:val="24"/>
        </w:rPr>
        <w:fldChar w:fldCharType="begin"/>
      </w:r>
      <w:r w:rsidR="001F3CEE" w:rsidRPr="00597FFB">
        <w:rPr>
          <w:rFonts w:ascii="Times New Roman" w:eastAsia="Calibri" w:hAnsi="Times New Roman" w:cs="Times New Roman"/>
          <w:color w:val="000000"/>
          <w:sz w:val="24"/>
          <w:szCs w:val="24"/>
        </w:rPr>
        <w:instrText xml:space="preserve"> ADDIN ZOTERO_ITEM CSL_CITATION {"citationID":"afdfou4hi4","properties":{"formattedCitation":"(Bowman &amp; Goodboy, 2020)","plainCitation":"(Bowman &amp; Goodboy, 2020)","noteIndex":0},"citationItems":[{"id":4483,"uris":["http://zotero.org/users/local/b6CRLSJH/items/LW692GCP"],"itemData":{"id":4483,"type":"article-journal","container-title":"Annals of the International Communication Association","DOI":"10.1080/23808985.2020.1792791","ISSN":"2380-8985, 2380-8977","issue":"3","journalAbbreviation":"Annals of the International Communication Association","language":"en","page":"219-234","source":"DOI.org (Crossref)","title":"Evolving considerations and empirical approaches to construct validity in communication science","volume":"44","author":[{"family":"Bowman","given":"Nicholas David"},{"family":"Goodboy","given":"Alan K."}],"issued":{"date-parts":[["2020",7,2]]}}}],"schema":"https://github.com/citation-style-language/schema/raw/master/csl-citation.json"} </w:instrText>
      </w:r>
      <w:r w:rsidR="001F3CEE" w:rsidRPr="00597FFB">
        <w:rPr>
          <w:rFonts w:ascii="Times New Roman" w:eastAsia="Calibri" w:hAnsi="Times New Roman" w:cs="Times New Roman"/>
          <w:color w:val="000000"/>
          <w:sz w:val="24"/>
          <w:szCs w:val="24"/>
        </w:rPr>
        <w:fldChar w:fldCharType="separate"/>
      </w:r>
      <w:r w:rsidR="001F3CEE" w:rsidRPr="00597FFB">
        <w:rPr>
          <w:rFonts w:ascii="Times New Roman" w:hAnsi="Times New Roman" w:cs="Times New Roman"/>
          <w:sz w:val="24"/>
          <w:szCs w:val="24"/>
        </w:rPr>
        <w:t>(</w:t>
      </w:r>
      <w:r w:rsidR="001F3CEE" w:rsidRPr="00597FFB">
        <w:t xml:space="preserve"> </w:t>
      </w:r>
      <w:r w:rsidR="001F3CEE" w:rsidRPr="00597FFB">
        <w:rPr>
          <w:rFonts w:ascii="Times New Roman" w:hAnsi="Times New Roman" w:cs="Times New Roman"/>
          <w:sz w:val="24"/>
          <w:szCs w:val="24"/>
        </w:rPr>
        <w:t>Yarimoglu &amp; Gunay, 2020b)</w:t>
      </w:r>
      <w:r w:rsidR="001F3CEE" w:rsidRPr="00597FFB">
        <w:rPr>
          <w:rFonts w:ascii="Times New Roman" w:eastAsia="Calibri" w:hAnsi="Times New Roman" w:cs="Times New Roman"/>
          <w:color w:val="000000"/>
          <w:sz w:val="24"/>
          <w:szCs w:val="24"/>
        </w:rPr>
        <w:fldChar w:fldCharType="end"/>
      </w:r>
      <w:r w:rsidR="001F3CEE" w:rsidRPr="00597FFB">
        <w:rPr>
          <w:rFonts w:ascii="Times New Roman" w:eastAsiaTheme="minorHAnsi" w:hAnsi="Times New Roman" w:cs="Times New Roman"/>
          <w:sz w:val="24"/>
        </w:rPr>
        <w:t>.</w:t>
      </w:r>
      <w:r w:rsidRPr="00597FFB">
        <w:rPr>
          <w:rFonts w:ascii="Times New Roman" w:eastAsiaTheme="minorHAnsi" w:hAnsi="Times New Roman" w:cs="Times New Roman"/>
          <w:sz w:val="24"/>
          <w:szCs w:val="24"/>
        </w:rPr>
        <w:fldChar w:fldCharType="end"/>
      </w:r>
      <w:r w:rsidR="001F3CEE" w:rsidRPr="00597FFB">
        <w:rPr>
          <w:rFonts w:ascii="Times New Roman" w:eastAsiaTheme="minorHAnsi" w:hAnsi="Times New Roman" w:cs="Times New Roman"/>
          <w:sz w:val="24"/>
          <w:szCs w:val="24"/>
        </w:rPr>
        <w:t xml:space="preserve"> </w:t>
      </w:r>
      <w:r w:rsidRPr="00597FFB">
        <w:rPr>
          <w:rFonts w:ascii="Times New Roman" w:eastAsiaTheme="minorHAnsi" w:hAnsi="Times New Roman" w:cs="Times New Roman"/>
          <w:sz w:val="24"/>
          <w:szCs w:val="24"/>
        </w:rPr>
        <w:t>Construct validity was achieved by testing the reliability of each multi-item construct and deletion of items that do not sufficiently represent the construct being measured. It was also enhanced by utilizing a pilot study (see section 4.6.4) including both test respondents being aware and unaware of EWR, as these were assumed to eventually differ concerning some of the constructs examined. Therefore, items were adapted respectively after the pilot test to further ensure construct validity.</w:t>
      </w:r>
    </w:p>
    <w:p w14:paraId="481C6806" w14:textId="11E86CC7" w:rsidR="00554E60" w:rsidRPr="00597FFB" w:rsidRDefault="00373683" w:rsidP="00C050A0">
      <w:pPr>
        <w:keepNext/>
        <w:keepLines/>
        <w:widowControl w:val="0"/>
        <w:spacing w:before="40" w:after="0" w:line="480" w:lineRule="auto"/>
        <w:outlineLvl w:val="1"/>
        <w:rPr>
          <w:rFonts w:ascii="Times New Roman" w:eastAsiaTheme="majorEastAsia" w:hAnsi="Times New Roman" w:cs="Times New Roman"/>
          <w:b/>
          <w:bCs/>
          <w:color w:val="000000" w:themeColor="text1"/>
          <w:sz w:val="24"/>
          <w:szCs w:val="24"/>
        </w:rPr>
      </w:pPr>
      <w:bookmarkStart w:id="216" w:name="_Toc127170349"/>
      <w:r w:rsidRPr="00597FFB">
        <w:rPr>
          <w:rFonts w:ascii="Times New Roman" w:eastAsiaTheme="majorEastAsia" w:hAnsi="Times New Roman" w:cs="Times New Roman"/>
          <w:b/>
          <w:bCs/>
          <w:color w:val="000000" w:themeColor="text1"/>
          <w:sz w:val="24"/>
          <w:szCs w:val="24"/>
        </w:rPr>
        <w:t xml:space="preserve">4.5. </w:t>
      </w:r>
      <w:r w:rsidR="00554E60" w:rsidRPr="00597FFB">
        <w:rPr>
          <w:rFonts w:ascii="Times New Roman" w:eastAsiaTheme="majorEastAsia" w:hAnsi="Times New Roman" w:cs="Times New Roman"/>
          <w:b/>
          <w:bCs/>
          <w:color w:val="000000" w:themeColor="text1"/>
          <w:sz w:val="24"/>
          <w:szCs w:val="24"/>
        </w:rPr>
        <w:t xml:space="preserve">Ethical </w:t>
      </w:r>
      <w:r w:rsidRPr="00597FFB">
        <w:rPr>
          <w:rFonts w:ascii="Times New Roman" w:eastAsiaTheme="majorEastAsia" w:hAnsi="Times New Roman" w:cs="Times New Roman"/>
          <w:b/>
          <w:bCs/>
          <w:color w:val="000000" w:themeColor="text1"/>
          <w:sz w:val="24"/>
          <w:szCs w:val="24"/>
        </w:rPr>
        <w:t>Considerations</w:t>
      </w:r>
      <w:r w:rsidR="00F400BD" w:rsidRPr="00597FFB">
        <w:rPr>
          <w:rFonts w:ascii="Times New Roman" w:eastAsiaTheme="majorEastAsia" w:hAnsi="Times New Roman" w:cs="Times New Roman"/>
          <w:b/>
          <w:bCs/>
          <w:color w:val="000000" w:themeColor="text1"/>
          <w:sz w:val="24"/>
          <w:szCs w:val="24"/>
        </w:rPr>
        <w:t>.</w:t>
      </w:r>
      <w:bookmarkEnd w:id="216"/>
    </w:p>
    <w:p w14:paraId="549355A2" w14:textId="3EB7058C" w:rsidR="00373683" w:rsidRPr="00597FFB" w:rsidRDefault="00E41CB5" w:rsidP="00C050A0">
      <w:pPr>
        <w:widowControl w:val="0"/>
        <w:spacing w:after="0" w:line="480" w:lineRule="auto"/>
        <w:ind w:firstLine="36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Throughout the conduct of this research ethical issues were taken into consideration, as recommended by Bell, Harley, and Bryman (2022). For instance, the privacy of respondents including the confidential treatment of any personal data provided as well as a voluntary nature of participation was always presupposed while conducting this research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{"citationID":"K9V8ATIz","properties":{"formattedCitation":"(Ngozwana, 2018)","plainCitation":"(Ngozwana, 2018)","noteIndex":0},"citationItems":[{"id":4473,"uris":["http://zotero.org/users/local/b6CRLSJH/items/X8ZRNY5H"],"itemData":{"id":4473,"type":"article-journal","abstract":"&lt;p style=\"text-align: justify;\"&gt;This article examines the ethical dilemmas that are specific to qualitative research methodology. These dilemmas concern the issues of withdrawal from the study, anonymity and confidentiality, which are discussed. Each aspect examines how it was dealt with using the researcher’s reflections. The research was positioned within an interpretive paradigm and used the small scale qualitative research design in one rural and one urban contexts of Lesotho. Purposive and snowball sampling were used to select the participants from the larger population. Using a semi-structured interview guide, participants were interviewed individually while others were engaged in focus group discussions. A lesson learnt is that ethics in methodology, when conducting research in an African context, do not always follow what is proposed in the Western literature. It is recommended that a context should be considered when applying ethics in qualitative research studies in Africa since some ethics in research are context-specific.&lt;/p&gt;","container-title":"International Journal of Educational Methodology","DOI":"10.12973/ijem.4.1.19","ISSN":"24699632, 24699632","issue":"1","journalAbbreviation":"INT J EDUC METHODOL","page":"19-28","source":"DOI.org (Crossref)","title":"Ethical Dilemmas in Qualitative Research Methodology: Researcher’s Reflections","title-short":"Ethical Dilemmas in Qualitative Research Methodology","volume":"4","author":[{"family":"Ngozwana","given":"Nomazulu"}],"issued":{"date-parts":[["2018",2,15]]}}}],"schema":"https://github.com/citation-style-language/schema/raw/master/csl-citation.json"}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(Ngozwana, 2018)</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 In this regard, participants were assured that data collected would remain anonymous and that it was only going to be used for research purposes only.</w:t>
      </w:r>
      <w:r w:rsidRPr="00597FFB">
        <w:rPr>
          <w:rFonts w:eastAsiaTheme="minorHAnsi"/>
        </w:rPr>
        <w:t xml:space="preserve"> </w:t>
      </w:r>
      <w:r w:rsidRPr="00597FFB">
        <w:rPr>
          <w:rFonts w:ascii="Times New Roman" w:eastAsiaTheme="minorHAnsi" w:hAnsi="Times New Roman" w:cs="Times New Roman"/>
          <w:sz w:val="24"/>
          <w:szCs w:val="24"/>
        </w:rPr>
        <w:t xml:space="preserve">Since the respondents were required to provide information relating to their age, gender, educational background, employment status, and income levels, they were assured that such information would be used solely for the study and that no information collected from them would be used for other purposes without their prior knowledge and consent. Possible benefits of the study to the respondents were also explained to them. Further, respondents were informed that no monetary compensation would be available to them for participation in the study and that they were free to withdraw from the study without penalty by failing to complete or submit the questionnaire. Furthermore, confidentiality of data was guaranteed ensuring that data were kept under password protection and that no data was shared with third parties </w:t>
      </w:r>
      <w:r w:rsidRPr="00597FFB">
        <w:rPr>
          <w:rFonts w:ascii="Times New Roman" w:eastAsiaTheme="minorHAnsi" w:hAnsi="Times New Roman" w:cs="Times New Roman"/>
          <w:sz w:val="24"/>
          <w:szCs w:val="24"/>
        </w:rPr>
        <w:fldChar w:fldCharType="begin"/>
      </w:r>
      <w:r w:rsidRPr="00597FFB">
        <w:rPr>
          <w:rFonts w:ascii="Times New Roman" w:eastAsiaTheme="minorHAnsi" w:hAnsi="Times New Roman" w:cs="Times New Roman"/>
          <w:sz w:val="24"/>
          <w:szCs w:val="24"/>
        </w:rPr>
        <w:instrText xml:space="preserve"> ADDIN ZOTERO_ITEM CSL_CITATION {"citationID":"WR2tv3CU","properties":{"formattedCitation":"(Zheng &amp; Cai, 2020)","plainCitation":"(Zheng &amp; Cai, 2020)","noteIndex":0},"citationItems":[{"id":4474,"uris":["http://zotero.org/users/local/b6CRLSJH/items/4F8U9CYI"],"itemData":{"id":4474,"type":"article-journal","container-title":"IEEE Journal on Selected Areas in Communications","DOI":"10.1109/JSAC.2020.2980802","ISSN":"0733-8716, 1558-0008","issue":"5","journalAbbreviation":"IEEE J. Select. Areas Commun.","page":"968-979","source":"DOI.org (Crossref)","title":"Privacy-Preserved Data Sharing Towards Multiple Parties in Industrial IoTs","volume":"38","author":[{"family":"Zheng","given":"Xu"},{"family":"Cai","given":"Zhipeng"}],"issued":{"date-parts":[["2020",5]]}}}],"schema":"https://github.com/citation-style-language/schema/raw/master/csl-citation.json"} </w:instrText>
      </w:r>
      <w:r w:rsidRPr="00597FFB">
        <w:rPr>
          <w:rFonts w:ascii="Times New Roman" w:eastAsiaTheme="minorHAnsi" w:hAnsi="Times New Roman" w:cs="Times New Roman"/>
          <w:sz w:val="24"/>
          <w:szCs w:val="24"/>
        </w:rPr>
        <w:fldChar w:fldCharType="separate"/>
      </w:r>
      <w:r w:rsidRPr="00597FFB">
        <w:rPr>
          <w:rFonts w:ascii="Times New Roman" w:eastAsiaTheme="minorHAnsi" w:hAnsi="Times New Roman" w:cs="Times New Roman"/>
          <w:sz w:val="24"/>
        </w:rPr>
        <w:t>(Zheng &amp; Cai, 2020)</w:t>
      </w:r>
      <w:r w:rsidRPr="00597FFB">
        <w:rPr>
          <w:rFonts w:ascii="Times New Roman" w:eastAsiaTheme="minorHAnsi" w:hAnsi="Times New Roman" w:cs="Times New Roman"/>
          <w:sz w:val="24"/>
          <w:szCs w:val="24"/>
        </w:rPr>
        <w:fldChar w:fldCharType="end"/>
      </w:r>
      <w:r w:rsidRPr="00597FFB">
        <w:rPr>
          <w:rFonts w:ascii="Times New Roman" w:eastAsiaTheme="minorHAnsi" w:hAnsi="Times New Roman" w:cs="Times New Roman"/>
          <w:sz w:val="24"/>
          <w:szCs w:val="24"/>
        </w:rPr>
        <w:t>.</w:t>
      </w:r>
    </w:p>
    <w:p w14:paraId="37A29B3C" w14:textId="0D3520F4" w:rsidR="00C762B8" w:rsidRPr="00597FFB" w:rsidRDefault="00373683" w:rsidP="00C050A0">
      <w:pPr>
        <w:keepNext/>
        <w:keepLines/>
        <w:widowControl w:val="0"/>
        <w:spacing w:before="40" w:after="0" w:line="480" w:lineRule="auto"/>
        <w:outlineLvl w:val="1"/>
        <w:rPr>
          <w:rFonts w:ascii="Times New Roman" w:eastAsiaTheme="majorEastAsia" w:hAnsi="Times New Roman" w:cs="Times New Roman"/>
          <w:b/>
          <w:bCs/>
          <w:color w:val="000000" w:themeColor="text1"/>
          <w:sz w:val="24"/>
          <w:szCs w:val="24"/>
        </w:rPr>
      </w:pPr>
      <w:bookmarkStart w:id="217" w:name="_Toc127170350"/>
      <w:r w:rsidRPr="00597FFB">
        <w:rPr>
          <w:rFonts w:ascii="Times New Roman" w:eastAsiaTheme="majorEastAsia" w:hAnsi="Times New Roman" w:cs="Times New Roman"/>
          <w:b/>
          <w:bCs/>
          <w:color w:val="000000" w:themeColor="text1"/>
          <w:sz w:val="24"/>
          <w:szCs w:val="24"/>
        </w:rPr>
        <w:t>4.6. Chapter Summary</w:t>
      </w:r>
      <w:r w:rsidR="00F400BD" w:rsidRPr="00597FFB">
        <w:rPr>
          <w:rFonts w:ascii="Times New Roman" w:eastAsiaTheme="majorEastAsia" w:hAnsi="Times New Roman" w:cs="Times New Roman"/>
          <w:b/>
          <w:bCs/>
          <w:color w:val="000000" w:themeColor="text1"/>
          <w:sz w:val="24"/>
          <w:szCs w:val="24"/>
        </w:rPr>
        <w:t>.</w:t>
      </w:r>
      <w:bookmarkEnd w:id="217"/>
    </w:p>
    <w:p w14:paraId="3E1BB894" w14:textId="77777777" w:rsidR="00E41CB5" w:rsidRPr="00597FFB" w:rsidRDefault="00E41CB5" w:rsidP="00C050A0">
      <w:pPr>
        <w:widowControl w:val="0"/>
        <w:spacing w:after="0" w:line="480" w:lineRule="auto"/>
        <w:ind w:firstLine="720"/>
        <w:jc w:val="both"/>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The chapter presented the research methods that were implemented to collect data and guide the analysis and discussion of results. The chapter began with a discussion of research philosophy, purpose, and approach in section 4.2. Based on the characteristics, the postpositivist view, which anchors on objective scientific inquiry, was adopted. In alignment with the postpositivist research philosophy, an explanatory, quantitative research approach was adopted. A cross-sectional study design was suitable for meeting the objectives of the study, as explained in section 4.3. In section 4.4, the sampling, questionnaire administration, and data collection procedures including study area and population, sampling procedures, survey design, pilot test, and data collection, preparation, and management were discussed. The rationale behind the data processing approaches and analyses including the generation of descriptive analysis, inferential analysis, the employment of PLS-SEM techniques, reliability, validity, and common method bias and social desirability measures were addressed in section 4.5. Ethical considerations made during the conduct of this study were discussed in section 4.6. In Chapter 5, the analysis that led to the results of the study are discussed, along with their interpretation to inform the findings.</w:t>
      </w:r>
    </w:p>
    <w:p w14:paraId="4884E393" w14:textId="77777777" w:rsidR="00E41CB5" w:rsidRPr="00597FFB" w:rsidRDefault="00E41CB5" w:rsidP="00C050A0">
      <w:pPr>
        <w:spacing w:line="480" w:lineRule="auto"/>
        <w:rPr>
          <w:rFonts w:ascii="Times New Roman" w:eastAsiaTheme="minorHAnsi" w:hAnsi="Times New Roman" w:cs="Times New Roman"/>
          <w:b/>
          <w:bCs/>
          <w:color w:val="C00000"/>
          <w:sz w:val="24"/>
          <w:szCs w:val="24"/>
        </w:rPr>
      </w:pPr>
      <w:r w:rsidRPr="00597FFB">
        <w:rPr>
          <w:rFonts w:ascii="Times New Roman" w:eastAsiaTheme="minorHAnsi" w:hAnsi="Times New Roman" w:cs="Times New Roman"/>
          <w:b/>
          <w:bCs/>
          <w:color w:val="C00000"/>
          <w:sz w:val="24"/>
          <w:szCs w:val="24"/>
        </w:rPr>
        <w:br w:type="page"/>
      </w:r>
    </w:p>
    <w:p w14:paraId="1C87D6D1" w14:textId="77777777" w:rsidR="00F01093" w:rsidRPr="00597FFB" w:rsidRDefault="00F01093" w:rsidP="00AD5C37">
      <w:pPr>
        <w:spacing w:line="480" w:lineRule="auto"/>
        <w:jc w:val="both"/>
        <w:rPr>
          <w:rFonts w:ascii="Times New Roman" w:hAnsi="Times New Roman" w:cs="Times New Roman"/>
          <w:sz w:val="24"/>
          <w:szCs w:val="24"/>
        </w:rPr>
        <w:sectPr w:rsidR="00F01093" w:rsidRPr="00597FFB" w:rsidSect="00C92710">
          <w:pgSz w:w="11909" w:h="16834" w:code="9"/>
          <w:pgMar w:top="1800" w:right="2160" w:bottom="1800" w:left="2160" w:header="720" w:footer="720" w:gutter="0"/>
          <w:lnNumType w:countBy="1" w:restart="continuous"/>
          <w:cols w:space="720"/>
          <w:docGrid w:linePitch="360"/>
        </w:sectPr>
      </w:pPr>
    </w:p>
    <w:p w14:paraId="5C02FFA4" w14:textId="7BB45914" w:rsidR="00DA468A" w:rsidRPr="00597FFB" w:rsidRDefault="00DA468A" w:rsidP="00385CA0">
      <w:pPr>
        <w:pStyle w:val="Heading1"/>
        <w:jc w:val="center"/>
        <w:rPr>
          <w:rFonts w:asciiTheme="majorBidi" w:hAnsiTheme="majorBidi"/>
          <w:b/>
          <w:bCs/>
          <w:color w:val="000000" w:themeColor="text1"/>
          <w:sz w:val="28"/>
          <w:szCs w:val="28"/>
        </w:rPr>
      </w:pPr>
      <w:bookmarkStart w:id="218" w:name="_Toc123641097"/>
      <w:bookmarkStart w:id="219" w:name="_Toc127170351"/>
      <w:r w:rsidRPr="00597FFB">
        <w:rPr>
          <w:rFonts w:asciiTheme="majorBidi" w:hAnsiTheme="majorBidi"/>
          <w:b/>
          <w:bCs/>
          <w:color w:val="000000" w:themeColor="text1"/>
          <w:sz w:val="28"/>
          <w:szCs w:val="28"/>
        </w:rPr>
        <w:t xml:space="preserve">CHAPTER </w:t>
      </w:r>
      <w:bookmarkEnd w:id="218"/>
      <w:r w:rsidRPr="00597FFB">
        <w:rPr>
          <w:rFonts w:asciiTheme="majorBidi" w:hAnsiTheme="majorBidi"/>
          <w:b/>
          <w:bCs/>
          <w:color w:val="000000" w:themeColor="text1"/>
          <w:sz w:val="28"/>
          <w:szCs w:val="28"/>
        </w:rPr>
        <w:t>5</w:t>
      </w:r>
      <w:bookmarkEnd w:id="219"/>
    </w:p>
    <w:p w14:paraId="0C974CEA" w14:textId="3A33DB3F" w:rsidR="00385CA0" w:rsidRPr="00597FFB" w:rsidRDefault="002D1D93" w:rsidP="00385CA0">
      <w:pPr>
        <w:pStyle w:val="Heading1"/>
        <w:jc w:val="center"/>
        <w:rPr>
          <w:rFonts w:asciiTheme="majorBidi" w:hAnsiTheme="majorBidi"/>
          <w:b/>
          <w:bCs/>
          <w:color w:val="000000" w:themeColor="text1"/>
          <w:sz w:val="26"/>
          <w:szCs w:val="26"/>
        </w:rPr>
      </w:pPr>
      <w:bookmarkStart w:id="220" w:name="_Toc127170352"/>
      <w:r w:rsidRPr="00597FFB">
        <w:rPr>
          <w:rFonts w:asciiTheme="majorBidi" w:hAnsiTheme="majorBidi"/>
          <w:b/>
          <w:bCs/>
          <w:color w:val="000000" w:themeColor="text1"/>
          <w:sz w:val="26"/>
          <w:szCs w:val="26"/>
        </w:rPr>
        <w:t xml:space="preserve">Findings, Analysis, </w:t>
      </w:r>
      <w:r w:rsidR="0013608A">
        <w:rPr>
          <w:rFonts w:asciiTheme="majorBidi" w:hAnsiTheme="majorBidi"/>
          <w:b/>
          <w:bCs/>
          <w:color w:val="000000" w:themeColor="text1"/>
          <w:sz w:val="26"/>
          <w:szCs w:val="26"/>
        </w:rPr>
        <w:t>a</w:t>
      </w:r>
      <w:r w:rsidRPr="00597FFB">
        <w:rPr>
          <w:rFonts w:asciiTheme="majorBidi" w:hAnsiTheme="majorBidi"/>
          <w:b/>
          <w:bCs/>
          <w:color w:val="000000" w:themeColor="text1"/>
          <w:sz w:val="26"/>
          <w:szCs w:val="26"/>
        </w:rPr>
        <w:t>nd Discussion</w:t>
      </w:r>
      <w:bookmarkEnd w:id="220"/>
    </w:p>
    <w:p w14:paraId="4BC2588D" w14:textId="77777777" w:rsidR="00E52362" w:rsidRPr="00597FFB" w:rsidRDefault="00E52362" w:rsidP="00E52362">
      <w:pPr>
        <w:widowControl w:val="0"/>
        <w:spacing w:before="26" w:after="26" w:line="480" w:lineRule="auto"/>
        <w:jc w:val="center"/>
        <w:rPr>
          <w:rFonts w:ascii="Times New Roman" w:hAnsi="Times New Roman" w:cs="Times New Roman"/>
          <w:b/>
          <w:bCs/>
          <w:color w:val="000000"/>
          <w:sz w:val="28"/>
          <w:szCs w:val="28"/>
        </w:rPr>
      </w:pPr>
    </w:p>
    <w:p w14:paraId="79CBF169" w14:textId="77777777" w:rsidR="00E52362" w:rsidRPr="00597FFB" w:rsidRDefault="00E52362" w:rsidP="00E52362">
      <w:pPr>
        <w:widowControl w:val="0"/>
        <w:spacing w:after="0" w:line="480" w:lineRule="auto"/>
        <w:ind w:left="360" w:hanging="360"/>
        <w:jc w:val="center"/>
        <w:rPr>
          <w:rFonts w:ascii="Times New Roman" w:hAnsi="Times New Roman" w:cs="Times New Roman"/>
          <w:i/>
          <w:iCs/>
          <w:sz w:val="24"/>
          <w:szCs w:val="24"/>
        </w:rPr>
      </w:pPr>
      <w:r w:rsidRPr="00597FFB">
        <w:rPr>
          <w:rFonts w:ascii="Times New Roman" w:hAnsi="Times New Roman" w:cs="Times New Roman"/>
          <w:i/>
          <w:iCs/>
          <w:sz w:val="24"/>
          <w:szCs w:val="24"/>
        </w:rPr>
        <w:t>"</w:t>
      </w:r>
      <w:r w:rsidRPr="00597FFB">
        <w:rPr>
          <w:i/>
          <w:iCs/>
        </w:rPr>
        <w:t xml:space="preserve"> </w:t>
      </w:r>
      <w:r w:rsidRPr="00597FFB">
        <w:rPr>
          <w:rFonts w:ascii="Times New Roman" w:hAnsi="Times New Roman" w:cs="Times New Roman"/>
          <w:i/>
          <w:iCs/>
          <w:sz w:val="24"/>
          <w:szCs w:val="24"/>
        </w:rPr>
        <w:t>I like to take out the recycling because I actually feel like I’m doing something." (Mike Quigley)</w:t>
      </w:r>
    </w:p>
    <w:p w14:paraId="1FF94155" w14:textId="77777777" w:rsidR="00E52362" w:rsidRPr="00597FFB" w:rsidRDefault="00E52362" w:rsidP="00E52362">
      <w:pPr>
        <w:pStyle w:val="ListParagraph"/>
        <w:keepNext/>
        <w:spacing w:after="0" w:line="480" w:lineRule="auto"/>
        <w:ind w:left="432"/>
        <w:contextualSpacing w:val="0"/>
        <w:outlineLvl w:val="0"/>
        <w:rPr>
          <w:rFonts w:ascii="Times New Roman" w:eastAsia="Times New Roman" w:hAnsi="Times New Roman" w:cs="Times New Roman"/>
          <w:b/>
          <w:bCs/>
          <w:vanish/>
          <w:kern w:val="32"/>
          <w:sz w:val="24"/>
          <w:szCs w:val="24"/>
        </w:rPr>
      </w:pPr>
    </w:p>
    <w:p w14:paraId="384C1AD8" w14:textId="77777777" w:rsidR="00E52362" w:rsidRPr="00597FFB" w:rsidRDefault="00E52362" w:rsidP="006D2286">
      <w:pPr>
        <w:pStyle w:val="ListParagraph"/>
        <w:keepNext/>
        <w:spacing w:after="0" w:line="480" w:lineRule="auto"/>
        <w:ind w:left="432"/>
        <w:contextualSpacing w:val="0"/>
        <w:outlineLvl w:val="0"/>
        <w:rPr>
          <w:rFonts w:ascii="Times New Roman" w:eastAsia="Times New Roman" w:hAnsi="Times New Roman" w:cs="Times New Roman"/>
          <w:b/>
          <w:bCs/>
          <w:vanish/>
          <w:kern w:val="32"/>
          <w:sz w:val="24"/>
          <w:szCs w:val="24"/>
        </w:rPr>
      </w:pPr>
    </w:p>
    <w:p w14:paraId="2500C254" w14:textId="763AA06B" w:rsidR="00500329" w:rsidRPr="00597FFB" w:rsidRDefault="00500329" w:rsidP="006D2286">
      <w:pPr>
        <w:pStyle w:val="Heading2"/>
        <w:widowControl w:val="0"/>
        <w:spacing w:line="480" w:lineRule="auto"/>
        <w:ind w:left="576" w:hanging="576"/>
        <w:rPr>
          <w:rFonts w:ascii="Times New Roman" w:eastAsia="Times New Roman" w:hAnsi="Times New Roman" w:cs="Times New Roman"/>
          <w:b/>
          <w:bCs/>
          <w:vanish/>
          <w:kern w:val="32"/>
          <w:sz w:val="24"/>
          <w:szCs w:val="24"/>
        </w:rPr>
      </w:pPr>
      <w:bookmarkStart w:id="221" w:name="_Toc127170353"/>
      <w:r w:rsidRPr="00597FFB">
        <w:rPr>
          <w:rFonts w:ascii="Times New Roman" w:hAnsi="Times New Roman"/>
          <w:b/>
          <w:bCs/>
          <w:color w:val="auto"/>
          <w:sz w:val="24"/>
          <w:szCs w:val="24"/>
        </w:rPr>
        <w:t xml:space="preserve">5.0. </w:t>
      </w:r>
      <w:r w:rsidRPr="00597FFB">
        <w:rPr>
          <w:rFonts w:ascii="Times New Roman" w:hAnsi="Times New Roman"/>
          <w:b/>
          <w:bCs/>
          <w:color w:val="000000"/>
          <w:sz w:val="24"/>
          <w:szCs w:val="24"/>
        </w:rPr>
        <w:t>Introduction</w:t>
      </w:r>
      <w:r w:rsidR="00D03314" w:rsidRPr="00597FFB">
        <w:rPr>
          <w:rFonts w:ascii="Times New Roman" w:hAnsi="Times New Roman"/>
          <w:b/>
          <w:bCs/>
          <w:color w:val="000000"/>
          <w:sz w:val="24"/>
          <w:szCs w:val="24"/>
        </w:rPr>
        <w:t>.</w:t>
      </w:r>
      <w:bookmarkEnd w:id="221"/>
    </w:p>
    <w:p w14:paraId="76CEACA4" w14:textId="598B4B47" w:rsidR="00E52362" w:rsidRPr="00597FFB" w:rsidRDefault="00E52362" w:rsidP="006D2286">
      <w:pPr>
        <w:widowControl w:val="0"/>
        <w:tabs>
          <w:tab w:val="left" w:pos="3690"/>
        </w:tabs>
        <w:spacing w:line="480" w:lineRule="auto"/>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 xml:space="preserve">         This chapter presents the analysis, results, and discussion of the findings obtained from the statistical analysis of the sample data collected based on the implementation of the research methodology. In section 5.1, the characteristics of the respondents who completed this study’s questionnaire are presented. Sections 5.2 through 5.4 are a presentation of the descriptive statistics and testing of the various hypotheses pertaining to the extended TPB, NAT, and PMT models using structural equation modeling (SEM). Section 5.2 contains the analysis and results pertaining to the extended TPB model and in accordance with the 15 hypotheses related to this model. In section 5.3, the analysis and results of the extended NAT model and the 14 hypotheses thereof are presented. Finally, the analysis and results of findings of the extended PMT model in line with the 12 hypotheses related to this model are in section 5.4. The results of this research are discussed in section 5.5. The chapter summary appears in section 5.6, as the last section.</w:t>
      </w:r>
    </w:p>
    <w:p w14:paraId="39C24169" w14:textId="2F463F9E" w:rsidR="00E52362" w:rsidRPr="00597FFB" w:rsidRDefault="00E52362" w:rsidP="006D2286">
      <w:pPr>
        <w:widowControl w:val="0"/>
        <w:tabs>
          <w:tab w:val="left" w:pos="3690"/>
        </w:tabs>
        <w:spacing w:line="480" w:lineRule="auto"/>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 xml:space="preserve">              In this chapter, the results are discussed according to the sequence of the hypotheses, taking the TPB, NAT, and PMT frameworks into account, to understand EWR intention and adoption EWR behavior. A cognitive approach was taken in order to understand the consumer as an individual. These results are also compared and contrasted to the existing literature in order to extend the body of knowledge regarding factors that influence millennials’ EWR behavior. Tables and figures are used to visually present some of the results. The data from the questionnaire was subdivided in three different groups corresponding to the three different models. For each group means, standard deviations and correlations to intention will be list. The chapter starts with a description of the profile of the respondents, followed by descriptive results for the dimensions pertaining to recycling. This is followed by testing associations between consumers’ intention to recycle and the other constructs through correlations, hypothesis testing and regression analysis. The data analysis technique was described and justified together with the structural equation model. Validity and reliability will be addressed. </w:t>
      </w:r>
    </w:p>
    <w:p w14:paraId="6C54317C" w14:textId="4C92DFA4" w:rsidR="00E52362" w:rsidRPr="00597FFB" w:rsidRDefault="00E52362" w:rsidP="006D2286">
      <w:pPr>
        <w:pStyle w:val="Heading2"/>
        <w:spacing w:line="480" w:lineRule="auto"/>
        <w:ind w:left="576" w:hanging="576"/>
        <w:rPr>
          <w:rFonts w:ascii="Times New Roman" w:hAnsi="Times New Roman"/>
          <w:color w:val="000000"/>
          <w:sz w:val="24"/>
          <w:szCs w:val="24"/>
        </w:rPr>
      </w:pPr>
      <w:bookmarkStart w:id="222" w:name="_Toc127170354"/>
      <w:r w:rsidRPr="00597FFB">
        <w:rPr>
          <w:rFonts w:ascii="Times New Roman" w:hAnsi="Times New Roman"/>
          <w:b/>
          <w:bCs/>
          <w:color w:val="000000"/>
          <w:sz w:val="24"/>
          <w:szCs w:val="24"/>
        </w:rPr>
        <w:t>5.1. Respondents’ Characteristics</w:t>
      </w:r>
      <w:r w:rsidR="00D03314" w:rsidRPr="00597FFB">
        <w:rPr>
          <w:rFonts w:ascii="Times New Roman" w:hAnsi="Times New Roman"/>
          <w:b/>
          <w:bCs/>
          <w:color w:val="000000"/>
          <w:sz w:val="24"/>
          <w:szCs w:val="24"/>
        </w:rPr>
        <w:t>.</w:t>
      </w:r>
      <w:bookmarkEnd w:id="222"/>
    </w:p>
    <w:p w14:paraId="74FB41CD" w14:textId="77777777" w:rsidR="00E52362" w:rsidRPr="00597FFB" w:rsidRDefault="00E52362" w:rsidP="006D2286">
      <w:pPr>
        <w:widowControl w:val="0"/>
        <w:tabs>
          <w:tab w:val="left" w:pos="3690"/>
        </w:tabs>
        <w:spacing w:line="480" w:lineRule="auto"/>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 xml:space="preserve">         UAE millennials who were recruited through a convenience sampling technique completed either the online or the face-to-face survey anonymously as described in the data collection procedures in the previous chapter and further elaborated in the next paragraph. The survey mobilization strategy was targeted at selecting young consumers as a research sample with justification. Young consumers tend to be keen users of electronic equipment (e.g., cell phones and tablets) that have a rapid obsolescence rate. Millennials share certain socioeconomic and knowledge characteristics that make them a homogeneous sample (Kochan et al., 2016). They have been also recognized as a representative sample for millennials in past research on e-waste recycling (Kumar, 2019). Millennials sample has also been used to represent consumers’ intention towards plastic waste recycling (Khan et al., 2019) and buying green products (Gunarathne et al., 2020). Besides, many UAE young millennials are engaged in sustainability programs such as “Sustainable Campus Initiative” and “Sustainability Tracking, Assessment and Rating System (STARS)” that encourage campuses to manage and improve their sustainability performance (Schoeman &amp; Rampedi, 2021). All these conditions support the view that UAE millennials are most likely well acquainted with e-waste knowledge and can conceive potential resolutions to EWR.</w:t>
      </w:r>
    </w:p>
    <w:p w14:paraId="66185B11" w14:textId="77777777" w:rsidR="00E52362" w:rsidRPr="00597FFB" w:rsidRDefault="00E52362" w:rsidP="006D2286">
      <w:pPr>
        <w:widowControl w:val="0"/>
        <w:tabs>
          <w:tab w:val="left" w:pos="3690"/>
        </w:tabs>
        <w:spacing w:line="480" w:lineRule="auto"/>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 xml:space="preserve">            Face-to-face interviews can maximize the quality of the data collected as interviewers can provide guidance to the respondents and motivate them to finish the survey more carefully and thoroughly (Liu, 2017). However, due to the outbreak of the COVID-19 pandemic, face-to-face surveys are difficult to carry out on a large scale. Therefore, an online questionnaire survey was also conducted and administered through Qualtrics®.</w:t>
      </w:r>
    </w:p>
    <w:p w14:paraId="0F769168" w14:textId="6BF25494" w:rsidR="009E6FDF" w:rsidRPr="00597FFB" w:rsidRDefault="00E52362" w:rsidP="006D2286">
      <w:pPr>
        <w:tabs>
          <w:tab w:val="left" w:pos="3690"/>
        </w:tabs>
        <w:spacing w:line="480" w:lineRule="auto"/>
        <w:jc w:val="both"/>
        <w:rPr>
          <w:rFonts w:cs="Times New Roman"/>
          <w:i/>
          <w:iCs/>
          <w:color w:val="000000"/>
          <w:sz w:val="24"/>
          <w:szCs w:val="24"/>
        </w:rPr>
      </w:pPr>
      <w:r w:rsidRPr="00597FFB">
        <w:rPr>
          <w:rFonts w:ascii="Times New Roman" w:hAnsi="Times New Roman" w:cs="Times New Roman"/>
          <w:color w:val="000000"/>
          <w:sz w:val="24"/>
          <w:szCs w:val="24"/>
        </w:rPr>
        <w:t xml:space="preserve">             Survey data were collected from mid-July to mid-August of 2022. In total, 681 questionnaires were obtained and 505 valid questionnaires were kept, resulting in an effective response rate of 74.2%. Data from all the participants (N= 505) was used in the data analysis of all three measurement models i.e., extended TPB, extended NAT, and extended PMT. Table 1</w:t>
      </w:r>
      <w:r w:rsidR="00E24812" w:rsidRPr="00597FFB">
        <w:rPr>
          <w:rFonts w:ascii="Times New Roman" w:hAnsi="Times New Roman" w:cs="Times New Roman"/>
          <w:color w:val="000000"/>
          <w:sz w:val="24"/>
          <w:szCs w:val="24"/>
        </w:rPr>
        <w:t>2</w:t>
      </w:r>
      <w:r w:rsidRPr="00597FFB">
        <w:rPr>
          <w:rFonts w:ascii="Times New Roman" w:hAnsi="Times New Roman" w:cs="Times New Roman"/>
          <w:color w:val="000000"/>
          <w:sz w:val="24"/>
          <w:szCs w:val="24"/>
        </w:rPr>
        <w:t xml:space="preserve"> shows the demographic information of participants. As shown Table 1</w:t>
      </w:r>
      <w:r w:rsidR="00E24812" w:rsidRPr="00597FFB">
        <w:rPr>
          <w:rFonts w:ascii="Times New Roman" w:hAnsi="Times New Roman" w:cs="Times New Roman"/>
          <w:color w:val="000000"/>
          <w:sz w:val="24"/>
          <w:szCs w:val="24"/>
        </w:rPr>
        <w:t>2</w:t>
      </w:r>
      <w:r w:rsidRPr="00597FFB">
        <w:rPr>
          <w:rFonts w:ascii="Times New Roman" w:hAnsi="Times New Roman" w:cs="Times New Roman"/>
          <w:color w:val="000000"/>
          <w:sz w:val="24"/>
          <w:szCs w:val="24"/>
        </w:rPr>
        <w:t>, 353 participants were male (69.9%) while the remaining 152 (30.1%) were female. Majority of the participants were aged between 22 and 30 years (324; 64.2%) and those aged 31 to 40 years (180; 35.6%) were second-highest in number with only one participant each falling in the categories of 18-21 and 41 and above years. The sample comprised more master's degree holders (218; 43.2%) than it did those with bachelor’s degrees (173; 34.2%), PhD or equivalent (49; 9.7%), college diploma/certificate holders (42; 8.3%), those with high school (14; 2.8%), and primary school (1; 0.2%) qualifications in that order. This is a true reflection of the overall literacy picture of young people in the UAE because, as an economically developed region, the UAE has been able to invest in education and attract rally more young people to pursue high educational qualifications. The monthly household income of most respondents was USD 3000 or below (207; 41%) and they were followed respectively in frequency by respondents whose monthly household incomes were between USD 3001 and USD 8000 (75; 14.9%), USD 15001 – USD 20000 (21; 4.2%) and over USD 20000 (7; 1.4%).</w:t>
      </w:r>
    </w:p>
    <w:p w14:paraId="471432B4" w14:textId="1F2B89DE" w:rsidR="00E52362" w:rsidRPr="00597FFB" w:rsidRDefault="002B74F6" w:rsidP="002B74F6">
      <w:pPr>
        <w:widowControl w:val="0"/>
        <w:tabs>
          <w:tab w:val="left" w:pos="3690"/>
        </w:tabs>
        <w:spacing w:line="480" w:lineRule="auto"/>
        <w:jc w:val="both"/>
        <w:rPr>
          <w:rFonts w:ascii="Times New Roman" w:hAnsi="Times New Roman" w:cs="Times New Roman"/>
          <w:color w:val="000000"/>
          <w:sz w:val="24"/>
          <w:szCs w:val="24"/>
        </w:rPr>
      </w:pPr>
      <w:r w:rsidRPr="00597FFB">
        <w:rPr>
          <w:rFonts w:asciiTheme="majorBidi" w:hAnsiTheme="majorBidi" w:cstheme="majorBidi"/>
          <w:b/>
          <w:bCs/>
          <w:color w:val="000000"/>
        </w:rPr>
        <w:t>Table 1</w:t>
      </w:r>
      <w:r w:rsidR="00607DF3" w:rsidRPr="00597FFB">
        <w:rPr>
          <w:rFonts w:asciiTheme="majorBidi" w:hAnsiTheme="majorBidi" w:cstheme="majorBidi"/>
          <w:b/>
          <w:bCs/>
          <w:color w:val="000000"/>
        </w:rPr>
        <w:t>2</w:t>
      </w:r>
      <w:r w:rsidRPr="00597FFB">
        <w:rPr>
          <w:rFonts w:asciiTheme="majorBidi" w:hAnsiTheme="majorBidi" w:cstheme="majorBidi"/>
          <w:color w:val="000000"/>
        </w:rPr>
        <w:t>:</w:t>
      </w:r>
      <w:r w:rsidRPr="00597FFB">
        <w:rPr>
          <w:rFonts w:asciiTheme="majorBidi" w:hAnsiTheme="majorBidi" w:cstheme="majorBidi"/>
          <w:b/>
          <w:bCs/>
          <w:i/>
          <w:iCs/>
        </w:rPr>
        <w:t xml:space="preserve"> </w:t>
      </w:r>
      <w:r w:rsidRPr="00597FFB">
        <w:rPr>
          <w:rFonts w:asciiTheme="majorBidi" w:hAnsiTheme="majorBidi" w:cstheme="majorBidi"/>
          <w:i/>
          <w:iCs/>
          <w:color w:val="000000"/>
        </w:rPr>
        <w:t xml:space="preserve">Demographic Characteristics </w:t>
      </w:r>
      <w:r w:rsidR="00DD61A0" w:rsidRPr="00597FFB">
        <w:rPr>
          <w:rFonts w:asciiTheme="majorBidi" w:hAnsiTheme="majorBidi" w:cstheme="majorBidi"/>
          <w:i/>
          <w:iCs/>
          <w:color w:val="000000"/>
        </w:rPr>
        <w:t>o</w:t>
      </w:r>
      <w:r w:rsidRPr="00597FFB">
        <w:rPr>
          <w:rFonts w:asciiTheme="majorBidi" w:hAnsiTheme="majorBidi" w:cstheme="majorBidi"/>
          <w:i/>
          <w:iCs/>
          <w:color w:val="000000"/>
        </w:rPr>
        <w:t>f Research Participants</w:t>
      </w:r>
      <w:bookmarkStart w:id="223" w:name="_Hlk125795399"/>
      <w:r w:rsidR="00B95C18" w:rsidRPr="00597FFB">
        <w:rPr>
          <w:rFonts w:asciiTheme="majorBidi" w:hAnsiTheme="majorBidi" w:cstheme="majorBidi"/>
          <w:i/>
          <w:iCs/>
          <w:color w:val="000000"/>
        </w:rPr>
        <w:t>.</w:t>
      </w:r>
    </w:p>
    <w:bookmarkEnd w:id="223"/>
    <w:tbl>
      <w:tblPr>
        <w:tblW w:w="7290" w:type="dxa"/>
        <w:tblBorders>
          <w:top w:val="single" w:sz="4" w:space="0" w:color="auto"/>
          <w:bottom w:val="single" w:sz="4" w:space="0" w:color="auto"/>
        </w:tblBorders>
        <w:tblLayout w:type="fixed"/>
        <w:tblLook w:val="04A0" w:firstRow="1" w:lastRow="0" w:firstColumn="1" w:lastColumn="0" w:noHBand="0" w:noVBand="1"/>
      </w:tblPr>
      <w:tblGrid>
        <w:gridCol w:w="1475"/>
        <w:gridCol w:w="2845"/>
        <w:gridCol w:w="990"/>
        <w:gridCol w:w="1980"/>
      </w:tblGrid>
      <w:tr w:rsidR="001B7A40" w:rsidRPr="00597FFB" w14:paraId="5AA0C8F6" w14:textId="77777777" w:rsidTr="000E48F1">
        <w:trPr>
          <w:trHeight w:val="269"/>
        </w:trPr>
        <w:tc>
          <w:tcPr>
            <w:tcW w:w="4320" w:type="dxa"/>
            <w:gridSpan w:val="2"/>
          </w:tcPr>
          <w:p w14:paraId="42822919" w14:textId="77777777" w:rsidR="001B7A40" w:rsidRPr="00597FFB" w:rsidRDefault="001B7A40" w:rsidP="000E48F1">
            <w:pPr>
              <w:widowControl w:val="0"/>
              <w:autoSpaceDE w:val="0"/>
              <w:autoSpaceDN w:val="0"/>
              <w:adjustRightInd w:val="0"/>
              <w:spacing w:after="0" w:line="240" w:lineRule="auto"/>
              <w:rPr>
                <w:rFonts w:asciiTheme="majorBidi" w:hAnsiTheme="majorBidi" w:cstheme="majorBidi"/>
              </w:rPr>
            </w:pPr>
          </w:p>
        </w:tc>
        <w:tc>
          <w:tcPr>
            <w:tcW w:w="990" w:type="dxa"/>
            <w:hideMark/>
          </w:tcPr>
          <w:p w14:paraId="166F705D"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b/>
                <w:bCs/>
                <w:color w:val="000000"/>
              </w:rPr>
            </w:pPr>
            <w:r w:rsidRPr="00597FFB">
              <w:rPr>
                <w:rFonts w:asciiTheme="majorBidi" w:hAnsiTheme="majorBidi" w:cstheme="majorBidi"/>
                <w:b/>
                <w:bCs/>
                <w:color w:val="000000"/>
              </w:rPr>
              <w:t>Count</w:t>
            </w:r>
          </w:p>
        </w:tc>
        <w:tc>
          <w:tcPr>
            <w:tcW w:w="1980" w:type="dxa"/>
            <w:hideMark/>
          </w:tcPr>
          <w:p w14:paraId="4C364FD0"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b/>
                <w:bCs/>
                <w:color w:val="000000"/>
              </w:rPr>
            </w:pPr>
            <w:r w:rsidRPr="00597FFB">
              <w:rPr>
                <w:rFonts w:asciiTheme="majorBidi" w:hAnsiTheme="majorBidi" w:cstheme="majorBidi"/>
                <w:b/>
                <w:bCs/>
                <w:color w:val="000000"/>
              </w:rPr>
              <w:t>Column N %</w:t>
            </w:r>
          </w:p>
        </w:tc>
      </w:tr>
      <w:tr w:rsidR="001B7A40" w:rsidRPr="00597FFB" w14:paraId="48DEF28E" w14:textId="77777777" w:rsidTr="000E48F1">
        <w:trPr>
          <w:trHeight w:val="264"/>
        </w:trPr>
        <w:tc>
          <w:tcPr>
            <w:tcW w:w="1475" w:type="dxa"/>
            <w:vMerge w:val="restart"/>
            <w:hideMark/>
          </w:tcPr>
          <w:p w14:paraId="654A5C82"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r w:rsidRPr="00597FFB">
              <w:rPr>
                <w:rFonts w:asciiTheme="majorBidi" w:hAnsiTheme="majorBidi" w:cstheme="majorBidi"/>
                <w:b/>
                <w:bCs/>
                <w:color w:val="000000"/>
              </w:rPr>
              <w:t>Gender</w:t>
            </w:r>
          </w:p>
        </w:tc>
        <w:tc>
          <w:tcPr>
            <w:tcW w:w="2845" w:type="dxa"/>
            <w:hideMark/>
          </w:tcPr>
          <w:p w14:paraId="70CBCA94"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Male</w:t>
            </w:r>
          </w:p>
        </w:tc>
        <w:tc>
          <w:tcPr>
            <w:tcW w:w="990" w:type="dxa"/>
            <w:hideMark/>
          </w:tcPr>
          <w:p w14:paraId="55278A6C"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353</w:t>
            </w:r>
          </w:p>
        </w:tc>
        <w:tc>
          <w:tcPr>
            <w:tcW w:w="1980" w:type="dxa"/>
            <w:hideMark/>
          </w:tcPr>
          <w:p w14:paraId="68F63869"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69.9%</w:t>
            </w:r>
          </w:p>
        </w:tc>
      </w:tr>
      <w:tr w:rsidR="001B7A40" w:rsidRPr="00597FFB" w14:paraId="08294899" w14:textId="77777777" w:rsidTr="000E48F1">
        <w:trPr>
          <w:trHeight w:val="276"/>
        </w:trPr>
        <w:tc>
          <w:tcPr>
            <w:tcW w:w="1475" w:type="dxa"/>
            <w:vMerge/>
            <w:vAlign w:val="center"/>
            <w:hideMark/>
          </w:tcPr>
          <w:p w14:paraId="2C0C0655"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645BAF10"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Female</w:t>
            </w:r>
          </w:p>
        </w:tc>
        <w:tc>
          <w:tcPr>
            <w:tcW w:w="990" w:type="dxa"/>
            <w:hideMark/>
          </w:tcPr>
          <w:p w14:paraId="2C57DDE4"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152</w:t>
            </w:r>
          </w:p>
        </w:tc>
        <w:tc>
          <w:tcPr>
            <w:tcW w:w="1980" w:type="dxa"/>
            <w:hideMark/>
          </w:tcPr>
          <w:p w14:paraId="41E84EF1"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30.1%</w:t>
            </w:r>
          </w:p>
        </w:tc>
      </w:tr>
      <w:tr w:rsidR="001B7A40" w:rsidRPr="00597FFB" w14:paraId="24D55093" w14:textId="77777777" w:rsidTr="000E48F1">
        <w:trPr>
          <w:trHeight w:val="264"/>
        </w:trPr>
        <w:tc>
          <w:tcPr>
            <w:tcW w:w="1475" w:type="dxa"/>
            <w:vMerge w:val="restart"/>
            <w:hideMark/>
          </w:tcPr>
          <w:p w14:paraId="32D2CF47"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r w:rsidRPr="00597FFB">
              <w:rPr>
                <w:rFonts w:asciiTheme="majorBidi" w:hAnsiTheme="majorBidi" w:cstheme="majorBidi"/>
                <w:b/>
                <w:bCs/>
                <w:color w:val="000000"/>
              </w:rPr>
              <w:t>Age</w:t>
            </w:r>
          </w:p>
        </w:tc>
        <w:tc>
          <w:tcPr>
            <w:tcW w:w="2845" w:type="dxa"/>
            <w:hideMark/>
          </w:tcPr>
          <w:p w14:paraId="5C66AB63"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18-21</w:t>
            </w:r>
          </w:p>
        </w:tc>
        <w:tc>
          <w:tcPr>
            <w:tcW w:w="990" w:type="dxa"/>
            <w:hideMark/>
          </w:tcPr>
          <w:p w14:paraId="69C9D193"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w:t>
            </w:r>
          </w:p>
        </w:tc>
        <w:tc>
          <w:tcPr>
            <w:tcW w:w="1980" w:type="dxa"/>
            <w:hideMark/>
          </w:tcPr>
          <w:p w14:paraId="7E79E1B8"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0.2%</w:t>
            </w:r>
          </w:p>
        </w:tc>
      </w:tr>
      <w:tr w:rsidR="001B7A40" w:rsidRPr="00597FFB" w14:paraId="19D56333" w14:textId="77777777" w:rsidTr="000E48F1">
        <w:trPr>
          <w:trHeight w:val="276"/>
        </w:trPr>
        <w:tc>
          <w:tcPr>
            <w:tcW w:w="1475" w:type="dxa"/>
            <w:vMerge/>
            <w:vAlign w:val="center"/>
            <w:hideMark/>
          </w:tcPr>
          <w:p w14:paraId="2680CD47"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364FE746"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22-30</w:t>
            </w:r>
          </w:p>
        </w:tc>
        <w:tc>
          <w:tcPr>
            <w:tcW w:w="990" w:type="dxa"/>
            <w:hideMark/>
          </w:tcPr>
          <w:p w14:paraId="32683109"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324</w:t>
            </w:r>
          </w:p>
        </w:tc>
        <w:tc>
          <w:tcPr>
            <w:tcW w:w="1980" w:type="dxa"/>
            <w:hideMark/>
          </w:tcPr>
          <w:p w14:paraId="622E007B"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64.2%</w:t>
            </w:r>
          </w:p>
        </w:tc>
      </w:tr>
      <w:tr w:rsidR="001B7A40" w:rsidRPr="00597FFB" w14:paraId="685B8BC0" w14:textId="77777777" w:rsidTr="000E48F1">
        <w:trPr>
          <w:trHeight w:val="276"/>
        </w:trPr>
        <w:tc>
          <w:tcPr>
            <w:tcW w:w="1475" w:type="dxa"/>
            <w:vMerge/>
            <w:vAlign w:val="center"/>
            <w:hideMark/>
          </w:tcPr>
          <w:p w14:paraId="2A4B6050"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28BAAD2A"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31-40</w:t>
            </w:r>
          </w:p>
        </w:tc>
        <w:tc>
          <w:tcPr>
            <w:tcW w:w="990" w:type="dxa"/>
            <w:hideMark/>
          </w:tcPr>
          <w:p w14:paraId="1C91DE68"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180</w:t>
            </w:r>
          </w:p>
        </w:tc>
        <w:tc>
          <w:tcPr>
            <w:tcW w:w="1980" w:type="dxa"/>
            <w:hideMark/>
          </w:tcPr>
          <w:p w14:paraId="230DED76"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35.6%</w:t>
            </w:r>
          </w:p>
        </w:tc>
      </w:tr>
      <w:tr w:rsidR="001B7A40" w:rsidRPr="00597FFB" w14:paraId="7B773590" w14:textId="77777777" w:rsidTr="000E48F1">
        <w:trPr>
          <w:trHeight w:val="264"/>
        </w:trPr>
        <w:tc>
          <w:tcPr>
            <w:tcW w:w="1475" w:type="dxa"/>
            <w:vMerge w:val="restart"/>
            <w:hideMark/>
          </w:tcPr>
          <w:p w14:paraId="1B0D3452"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p>
          <w:p w14:paraId="649CF305"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p>
          <w:p w14:paraId="742400B9"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r w:rsidRPr="00597FFB">
              <w:rPr>
                <w:rFonts w:asciiTheme="majorBidi" w:hAnsiTheme="majorBidi" w:cstheme="majorBidi"/>
                <w:b/>
                <w:bCs/>
                <w:color w:val="000000"/>
              </w:rPr>
              <w:t>Education</w:t>
            </w:r>
          </w:p>
        </w:tc>
        <w:tc>
          <w:tcPr>
            <w:tcW w:w="2845" w:type="dxa"/>
            <w:hideMark/>
          </w:tcPr>
          <w:p w14:paraId="243CA75B"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Primary school</w:t>
            </w:r>
          </w:p>
        </w:tc>
        <w:tc>
          <w:tcPr>
            <w:tcW w:w="990" w:type="dxa"/>
            <w:hideMark/>
          </w:tcPr>
          <w:p w14:paraId="45ED0222"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9</w:t>
            </w:r>
          </w:p>
        </w:tc>
        <w:tc>
          <w:tcPr>
            <w:tcW w:w="1980" w:type="dxa"/>
            <w:hideMark/>
          </w:tcPr>
          <w:p w14:paraId="3077B568"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1.8%</w:t>
            </w:r>
          </w:p>
        </w:tc>
      </w:tr>
      <w:tr w:rsidR="001B7A40" w:rsidRPr="00597FFB" w14:paraId="47D7FC07" w14:textId="77777777" w:rsidTr="000E48F1">
        <w:trPr>
          <w:trHeight w:val="276"/>
        </w:trPr>
        <w:tc>
          <w:tcPr>
            <w:tcW w:w="1475" w:type="dxa"/>
            <w:vMerge/>
            <w:vAlign w:val="center"/>
            <w:hideMark/>
          </w:tcPr>
          <w:p w14:paraId="274ECCE6"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15176980"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High school</w:t>
            </w:r>
          </w:p>
        </w:tc>
        <w:tc>
          <w:tcPr>
            <w:tcW w:w="990" w:type="dxa"/>
            <w:hideMark/>
          </w:tcPr>
          <w:p w14:paraId="3E371417"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14</w:t>
            </w:r>
          </w:p>
        </w:tc>
        <w:tc>
          <w:tcPr>
            <w:tcW w:w="1980" w:type="dxa"/>
            <w:hideMark/>
          </w:tcPr>
          <w:p w14:paraId="620A7FDC"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2.8%</w:t>
            </w:r>
          </w:p>
        </w:tc>
      </w:tr>
      <w:tr w:rsidR="001B7A40" w:rsidRPr="00597FFB" w14:paraId="46521B75" w14:textId="77777777" w:rsidTr="000E48F1">
        <w:trPr>
          <w:trHeight w:val="70"/>
        </w:trPr>
        <w:tc>
          <w:tcPr>
            <w:tcW w:w="1475" w:type="dxa"/>
            <w:vMerge/>
            <w:vAlign w:val="center"/>
            <w:hideMark/>
          </w:tcPr>
          <w:p w14:paraId="43EC81F8"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6342D05F"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College Diploma/Certificate</w:t>
            </w:r>
          </w:p>
        </w:tc>
        <w:tc>
          <w:tcPr>
            <w:tcW w:w="990" w:type="dxa"/>
            <w:hideMark/>
          </w:tcPr>
          <w:p w14:paraId="1540BF14"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42</w:t>
            </w:r>
          </w:p>
        </w:tc>
        <w:tc>
          <w:tcPr>
            <w:tcW w:w="1980" w:type="dxa"/>
            <w:hideMark/>
          </w:tcPr>
          <w:p w14:paraId="6FEF31B0"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8.3%</w:t>
            </w:r>
          </w:p>
        </w:tc>
      </w:tr>
      <w:tr w:rsidR="001B7A40" w:rsidRPr="00597FFB" w14:paraId="6B6C38A6" w14:textId="77777777" w:rsidTr="000E48F1">
        <w:trPr>
          <w:trHeight w:val="287"/>
        </w:trPr>
        <w:tc>
          <w:tcPr>
            <w:tcW w:w="1475" w:type="dxa"/>
            <w:vMerge/>
            <w:vAlign w:val="center"/>
            <w:hideMark/>
          </w:tcPr>
          <w:p w14:paraId="56F42E58"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70A2D3D0"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bachelor’s e degree</w:t>
            </w:r>
          </w:p>
        </w:tc>
        <w:tc>
          <w:tcPr>
            <w:tcW w:w="990" w:type="dxa"/>
            <w:hideMark/>
          </w:tcPr>
          <w:p w14:paraId="31A4B758"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173</w:t>
            </w:r>
          </w:p>
        </w:tc>
        <w:tc>
          <w:tcPr>
            <w:tcW w:w="1980" w:type="dxa"/>
            <w:hideMark/>
          </w:tcPr>
          <w:p w14:paraId="171A6A49"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34.3%</w:t>
            </w:r>
          </w:p>
        </w:tc>
      </w:tr>
      <w:tr w:rsidR="001B7A40" w:rsidRPr="00597FFB" w14:paraId="3D77C9FC" w14:textId="77777777" w:rsidTr="000E48F1">
        <w:trPr>
          <w:trHeight w:val="276"/>
        </w:trPr>
        <w:tc>
          <w:tcPr>
            <w:tcW w:w="1475" w:type="dxa"/>
            <w:vMerge/>
            <w:vAlign w:val="center"/>
            <w:hideMark/>
          </w:tcPr>
          <w:p w14:paraId="31C6391C"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1C89A3F1"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Master’s degree</w:t>
            </w:r>
          </w:p>
        </w:tc>
        <w:tc>
          <w:tcPr>
            <w:tcW w:w="990" w:type="dxa"/>
            <w:hideMark/>
          </w:tcPr>
          <w:p w14:paraId="676313F0"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218</w:t>
            </w:r>
          </w:p>
        </w:tc>
        <w:tc>
          <w:tcPr>
            <w:tcW w:w="1980" w:type="dxa"/>
            <w:hideMark/>
          </w:tcPr>
          <w:p w14:paraId="5F00D1A7"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43.2%</w:t>
            </w:r>
          </w:p>
        </w:tc>
      </w:tr>
      <w:tr w:rsidR="001B7A40" w:rsidRPr="00597FFB" w14:paraId="25C665C2" w14:textId="77777777" w:rsidTr="000E48F1">
        <w:trPr>
          <w:trHeight w:val="276"/>
        </w:trPr>
        <w:tc>
          <w:tcPr>
            <w:tcW w:w="1475" w:type="dxa"/>
            <w:vMerge/>
            <w:vAlign w:val="center"/>
            <w:hideMark/>
          </w:tcPr>
          <w:p w14:paraId="378CABFA" w14:textId="77777777" w:rsidR="001B7A40" w:rsidRPr="00597FFB" w:rsidRDefault="001B7A40" w:rsidP="000E48F1">
            <w:pPr>
              <w:widowControl w:val="0"/>
              <w:spacing w:after="0" w:line="240" w:lineRule="auto"/>
              <w:rPr>
                <w:rFonts w:asciiTheme="majorBidi" w:hAnsiTheme="majorBidi" w:cstheme="majorBidi"/>
                <w:b/>
                <w:bCs/>
                <w:color w:val="000000"/>
              </w:rPr>
            </w:pPr>
          </w:p>
        </w:tc>
        <w:tc>
          <w:tcPr>
            <w:tcW w:w="2845" w:type="dxa"/>
            <w:hideMark/>
          </w:tcPr>
          <w:p w14:paraId="2AAE7116"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PhD or equivalent</w:t>
            </w:r>
          </w:p>
        </w:tc>
        <w:tc>
          <w:tcPr>
            <w:tcW w:w="990" w:type="dxa"/>
            <w:hideMark/>
          </w:tcPr>
          <w:p w14:paraId="0135159D"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49</w:t>
            </w:r>
          </w:p>
        </w:tc>
        <w:tc>
          <w:tcPr>
            <w:tcW w:w="1980" w:type="dxa"/>
            <w:hideMark/>
          </w:tcPr>
          <w:p w14:paraId="6C8AD97C"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9.7%</w:t>
            </w:r>
          </w:p>
        </w:tc>
      </w:tr>
      <w:tr w:rsidR="001B7A40" w:rsidRPr="00597FFB" w14:paraId="0EFE0A11" w14:textId="77777777" w:rsidTr="000E48F1">
        <w:trPr>
          <w:trHeight w:val="264"/>
        </w:trPr>
        <w:tc>
          <w:tcPr>
            <w:tcW w:w="1475" w:type="dxa"/>
            <w:vMerge w:val="restart"/>
            <w:hideMark/>
          </w:tcPr>
          <w:p w14:paraId="473A7E4C"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b/>
                <w:bCs/>
                <w:color w:val="000000"/>
              </w:rPr>
            </w:pPr>
            <w:r w:rsidRPr="00597FFB">
              <w:rPr>
                <w:rFonts w:asciiTheme="majorBidi" w:hAnsiTheme="majorBidi" w:cstheme="majorBidi"/>
                <w:b/>
                <w:bCs/>
                <w:color w:val="000000"/>
              </w:rPr>
              <w:t>Income</w:t>
            </w:r>
          </w:p>
        </w:tc>
        <w:tc>
          <w:tcPr>
            <w:tcW w:w="2845" w:type="dxa"/>
            <w:hideMark/>
          </w:tcPr>
          <w:p w14:paraId="2A0BF3A4"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USD 3000 or below</w:t>
            </w:r>
          </w:p>
        </w:tc>
        <w:tc>
          <w:tcPr>
            <w:tcW w:w="990" w:type="dxa"/>
            <w:hideMark/>
          </w:tcPr>
          <w:p w14:paraId="278E9FBD"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207</w:t>
            </w:r>
          </w:p>
        </w:tc>
        <w:tc>
          <w:tcPr>
            <w:tcW w:w="1980" w:type="dxa"/>
            <w:hideMark/>
          </w:tcPr>
          <w:p w14:paraId="2592E23D"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41.0%</w:t>
            </w:r>
          </w:p>
        </w:tc>
      </w:tr>
      <w:tr w:rsidR="001B7A40" w:rsidRPr="00597FFB" w14:paraId="0DF15027" w14:textId="77777777" w:rsidTr="000E48F1">
        <w:trPr>
          <w:trHeight w:val="276"/>
        </w:trPr>
        <w:tc>
          <w:tcPr>
            <w:tcW w:w="1475" w:type="dxa"/>
            <w:vMerge/>
            <w:vAlign w:val="center"/>
            <w:hideMark/>
          </w:tcPr>
          <w:p w14:paraId="42D4E1BA" w14:textId="77777777" w:rsidR="001B7A40" w:rsidRPr="00597FFB" w:rsidRDefault="001B7A40" w:rsidP="000E48F1">
            <w:pPr>
              <w:widowControl w:val="0"/>
              <w:spacing w:after="0" w:line="240" w:lineRule="auto"/>
              <w:rPr>
                <w:rFonts w:asciiTheme="majorBidi" w:hAnsiTheme="majorBidi" w:cstheme="majorBidi"/>
                <w:color w:val="000000"/>
              </w:rPr>
            </w:pPr>
          </w:p>
        </w:tc>
        <w:tc>
          <w:tcPr>
            <w:tcW w:w="2845" w:type="dxa"/>
            <w:hideMark/>
          </w:tcPr>
          <w:p w14:paraId="7BE47535"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USD 3001-USD 8000</w:t>
            </w:r>
          </w:p>
        </w:tc>
        <w:tc>
          <w:tcPr>
            <w:tcW w:w="990" w:type="dxa"/>
            <w:hideMark/>
          </w:tcPr>
          <w:p w14:paraId="06716DE4"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195</w:t>
            </w:r>
          </w:p>
        </w:tc>
        <w:tc>
          <w:tcPr>
            <w:tcW w:w="1980" w:type="dxa"/>
            <w:hideMark/>
          </w:tcPr>
          <w:p w14:paraId="48916C37"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38.6%</w:t>
            </w:r>
          </w:p>
        </w:tc>
      </w:tr>
      <w:tr w:rsidR="001B7A40" w:rsidRPr="00597FFB" w14:paraId="6E80D7F2" w14:textId="77777777" w:rsidTr="000E48F1">
        <w:trPr>
          <w:trHeight w:val="276"/>
        </w:trPr>
        <w:tc>
          <w:tcPr>
            <w:tcW w:w="1475" w:type="dxa"/>
            <w:vMerge/>
            <w:vAlign w:val="center"/>
            <w:hideMark/>
          </w:tcPr>
          <w:p w14:paraId="7D9C974B" w14:textId="77777777" w:rsidR="001B7A40" w:rsidRPr="00597FFB" w:rsidRDefault="001B7A40" w:rsidP="000E48F1">
            <w:pPr>
              <w:widowControl w:val="0"/>
              <w:spacing w:after="0" w:line="240" w:lineRule="auto"/>
              <w:rPr>
                <w:rFonts w:asciiTheme="majorBidi" w:hAnsiTheme="majorBidi" w:cstheme="majorBidi"/>
                <w:color w:val="000000"/>
              </w:rPr>
            </w:pPr>
          </w:p>
        </w:tc>
        <w:tc>
          <w:tcPr>
            <w:tcW w:w="2845" w:type="dxa"/>
            <w:hideMark/>
          </w:tcPr>
          <w:p w14:paraId="7B65221C"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USD 8001-USD 15000</w:t>
            </w:r>
          </w:p>
        </w:tc>
        <w:tc>
          <w:tcPr>
            <w:tcW w:w="990" w:type="dxa"/>
            <w:hideMark/>
          </w:tcPr>
          <w:p w14:paraId="71DA94C3"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75</w:t>
            </w:r>
          </w:p>
        </w:tc>
        <w:tc>
          <w:tcPr>
            <w:tcW w:w="1980" w:type="dxa"/>
            <w:hideMark/>
          </w:tcPr>
          <w:p w14:paraId="698A0223"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14.9%</w:t>
            </w:r>
          </w:p>
        </w:tc>
      </w:tr>
      <w:tr w:rsidR="001B7A40" w:rsidRPr="00597FFB" w14:paraId="531E9C22" w14:textId="77777777" w:rsidTr="000E48F1">
        <w:trPr>
          <w:trHeight w:val="276"/>
        </w:trPr>
        <w:tc>
          <w:tcPr>
            <w:tcW w:w="1475" w:type="dxa"/>
            <w:vMerge/>
            <w:vAlign w:val="center"/>
            <w:hideMark/>
          </w:tcPr>
          <w:p w14:paraId="5FE959F2" w14:textId="77777777" w:rsidR="001B7A40" w:rsidRPr="00597FFB" w:rsidRDefault="001B7A40" w:rsidP="000E48F1">
            <w:pPr>
              <w:widowControl w:val="0"/>
              <w:spacing w:after="0" w:line="240" w:lineRule="auto"/>
              <w:rPr>
                <w:rFonts w:asciiTheme="majorBidi" w:hAnsiTheme="majorBidi" w:cstheme="majorBidi"/>
                <w:color w:val="000000"/>
              </w:rPr>
            </w:pPr>
          </w:p>
        </w:tc>
        <w:tc>
          <w:tcPr>
            <w:tcW w:w="2845" w:type="dxa"/>
            <w:hideMark/>
          </w:tcPr>
          <w:p w14:paraId="162C7CA6"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USD 15001-USD 20000</w:t>
            </w:r>
          </w:p>
        </w:tc>
        <w:tc>
          <w:tcPr>
            <w:tcW w:w="990" w:type="dxa"/>
            <w:hideMark/>
          </w:tcPr>
          <w:p w14:paraId="43B696B7"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21</w:t>
            </w:r>
          </w:p>
        </w:tc>
        <w:tc>
          <w:tcPr>
            <w:tcW w:w="1980" w:type="dxa"/>
            <w:hideMark/>
          </w:tcPr>
          <w:p w14:paraId="4EC0BCFA"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4.2%</w:t>
            </w:r>
          </w:p>
        </w:tc>
      </w:tr>
      <w:tr w:rsidR="001B7A40" w:rsidRPr="00597FFB" w14:paraId="34D1451E" w14:textId="77777777" w:rsidTr="000E48F1">
        <w:trPr>
          <w:trHeight w:val="276"/>
        </w:trPr>
        <w:tc>
          <w:tcPr>
            <w:tcW w:w="1475" w:type="dxa"/>
            <w:vMerge/>
            <w:vAlign w:val="center"/>
            <w:hideMark/>
          </w:tcPr>
          <w:p w14:paraId="5858B1F8" w14:textId="77777777" w:rsidR="001B7A40" w:rsidRPr="00597FFB" w:rsidRDefault="001B7A40" w:rsidP="000E48F1">
            <w:pPr>
              <w:widowControl w:val="0"/>
              <w:spacing w:after="0" w:line="240" w:lineRule="auto"/>
              <w:rPr>
                <w:rFonts w:asciiTheme="majorBidi" w:hAnsiTheme="majorBidi" w:cstheme="majorBidi"/>
                <w:color w:val="000000"/>
              </w:rPr>
            </w:pPr>
          </w:p>
        </w:tc>
        <w:tc>
          <w:tcPr>
            <w:tcW w:w="2845" w:type="dxa"/>
            <w:hideMark/>
          </w:tcPr>
          <w:p w14:paraId="5DB06D54" w14:textId="77777777" w:rsidR="001B7A40" w:rsidRPr="00597FFB" w:rsidRDefault="001B7A40" w:rsidP="000E48F1">
            <w:pPr>
              <w:widowControl w:val="0"/>
              <w:autoSpaceDE w:val="0"/>
              <w:autoSpaceDN w:val="0"/>
              <w:adjustRightInd w:val="0"/>
              <w:spacing w:after="0" w:line="240" w:lineRule="auto"/>
              <w:ind w:left="60" w:right="60"/>
              <w:rPr>
                <w:rFonts w:asciiTheme="majorBidi" w:hAnsiTheme="majorBidi" w:cstheme="majorBidi"/>
                <w:color w:val="000000"/>
              </w:rPr>
            </w:pPr>
            <w:r w:rsidRPr="00597FFB">
              <w:rPr>
                <w:rFonts w:asciiTheme="majorBidi" w:hAnsiTheme="majorBidi" w:cstheme="majorBidi"/>
                <w:color w:val="000000"/>
              </w:rPr>
              <w:t>Over USD 20000</w:t>
            </w:r>
          </w:p>
        </w:tc>
        <w:tc>
          <w:tcPr>
            <w:tcW w:w="990" w:type="dxa"/>
            <w:hideMark/>
          </w:tcPr>
          <w:p w14:paraId="545F217B"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7</w:t>
            </w:r>
          </w:p>
        </w:tc>
        <w:tc>
          <w:tcPr>
            <w:tcW w:w="1980" w:type="dxa"/>
            <w:hideMark/>
          </w:tcPr>
          <w:p w14:paraId="60945016" w14:textId="77777777" w:rsidR="001B7A40" w:rsidRPr="00597FFB" w:rsidRDefault="001B7A40" w:rsidP="000E48F1">
            <w:pPr>
              <w:widowControl w:val="0"/>
              <w:autoSpaceDE w:val="0"/>
              <w:autoSpaceDN w:val="0"/>
              <w:adjustRightInd w:val="0"/>
              <w:spacing w:after="0" w:line="240" w:lineRule="auto"/>
              <w:ind w:left="60" w:right="60"/>
              <w:jc w:val="center"/>
              <w:rPr>
                <w:rFonts w:asciiTheme="majorBidi" w:hAnsiTheme="majorBidi" w:cstheme="majorBidi"/>
                <w:color w:val="000000"/>
                <w:sz w:val="20"/>
                <w:szCs w:val="20"/>
              </w:rPr>
            </w:pPr>
            <w:r w:rsidRPr="00597FFB">
              <w:rPr>
                <w:rFonts w:asciiTheme="majorBidi" w:hAnsiTheme="majorBidi" w:cstheme="majorBidi"/>
                <w:color w:val="000000"/>
                <w:sz w:val="20"/>
                <w:szCs w:val="20"/>
              </w:rPr>
              <w:t>1.4%</w:t>
            </w:r>
          </w:p>
        </w:tc>
      </w:tr>
    </w:tbl>
    <w:p w14:paraId="213329C8" w14:textId="77777777" w:rsidR="006500A8" w:rsidRPr="00597FFB" w:rsidRDefault="006500A8" w:rsidP="001B7A40">
      <w:pPr>
        <w:widowControl w:val="0"/>
        <w:spacing w:line="480" w:lineRule="auto"/>
        <w:ind w:firstLine="720"/>
        <w:jc w:val="both"/>
        <w:rPr>
          <w:rFonts w:ascii="Times New Roman" w:hAnsi="Times New Roman" w:cs="Times New Roman"/>
          <w:sz w:val="24"/>
          <w:szCs w:val="24"/>
        </w:rPr>
      </w:pPr>
    </w:p>
    <w:p w14:paraId="4A6879C6" w14:textId="2EC04566" w:rsidR="00E52362" w:rsidRPr="00597FFB" w:rsidRDefault="00E52362" w:rsidP="001B7A40">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As shown in Figure 11, </w:t>
      </w:r>
      <w:r w:rsidRPr="00597FFB">
        <w:rPr>
          <w:rFonts w:ascii="Times New Roman" w:hAnsi="Times New Roman" w:cs="Times New Roman"/>
          <w:color w:val="000000"/>
          <w:sz w:val="24"/>
          <w:szCs w:val="24"/>
        </w:rPr>
        <w:t>more than half of the respondents (55%) kept their e-waste at home and (31%) discarded it as trash</w:t>
      </w:r>
      <w:r w:rsidRPr="00597FFB">
        <w:rPr>
          <w:rFonts w:ascii="Times New Roman" w:hAnsi="Times New Roman" w:cs="Times New Roman"/>
          <w:sz w:val="24"/>
          <w:szCs w:val="24"/>
        </w:rPr>
        <w:t xml:space="preserve">, which is in accordance with a similar survey (Yin et al., 2014). There are three possible reasons for this. First, replaced e-waste often hold economic and use value, so consumers may keep their old devices as a sacrificial device (Wilson et al., 2017). Second, as much personal information is stored on the replaced mobile phones, consumers sometimes perceive it to be of some emotional value and are more cautious about disposing of it for fear of privacy </w:t>
      </w:r>
      <w:r w:rsidRPr="00597FFB">
        <w:rPr>
          <w:rFonts w:ascii="Times New Roman" w:hAnsi="Times New Roman" w:cs="Times New Roman"/>
          <w:color w:val="000000"/>
          <w:sz w:val="24"/>
          <w:szCs w:val="24"/>
        </w:rPr>
        <w:t xml:space="preserve">disclosure. Finally, it is convenient to keep the e-waste which takes up little house space. Respondents who recycled their e-waste through informal recycling channels accounted for 6% of the sample while those who sold e-waste as second-hand and recycled formally accounted for 5% and 3% respectively. To contain the potential </w:t>
      </w:r>
      <w:r w:rsidRPr="00597FFB">
        <w:rPr>
          <w:rFonts w:ascii="Times New Roman" w:hAnsi="Times New Roman" w:cs="Times New Roman"/>
          <w:sz w:val="24"/>
          <w:szCs w:val="24"/>
        </w:rPr>
        <w:t xml:space="preserve">effect of method bias, the study followed Podsakoff et al.’s (2003), guidelines throughout the administration process of the survey. Moreover, the results of Harman’s single-factor test indicated that several factors arose and that the largest factor accounted for only </w:t>
      </w:r>
      <w:r w:rsidRPr="00597FFB">
        <w:rPr>
          <w:rFonts w:ascii="Times New Roman" w:hAnsi="Times New Roman" w:cs="Times New Roman"/>
          <w:color w:val="000000"/>
          <w:sz w:val="24"/>
          <w:szCs w:val="24"/>
        </w:rPr>
        <w:t>26.82%</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 xml:space="preserve">of the total covariance. Thus, common bias was not a critical issue. </w:t>
      </w:r>
    </w:p>
    <w:p w14:paraId="1B7194E8" w14:textId="297DB088" w:rsidR="00B95C18" w:rsidRPr="00597FFB" w:rsidRDefault="00B95C18" w:rsidP="004570DB">
      <w:pPr>
        <w:widowControl w:val="0"/>
        <w:spacing w:after="0" w:line="240" w:lineRule="auto"/>
        <w:jc w:val="both"/>
        <w:rPr>
          <w:rFonts w:ascii="Times New Roman" w:hAnsi="Times New Roman" w:cs="Times New Roman"/>
          <w:i/>
          <w:iCs/>
        </w:rPr>
      </w:pPr>
      <w:r w:rsidRPr="00597FFB">
        <w:rPr>
          <w:rFonts w:ascii="Times New Roman" w:hAnsi="Times New Roman" w:cs="Times New Roman"/>
          <w:b/>
          <w:bCs/>
        </w:rPr>
        <w:t>Figure 11:</w:t>
      </w:r>
      <w:r w:rsidRPr="00597FFB">
        <w:rPr>
          <w:rFonts w:ascii="Times New Roman" w:hAnsi="Times New Roman" w:cs="Times New Roman"/>
        </w:rPr>
        <w:t xml:space="preserve"> </w:t>
      </w:r>
      <w:r w:rsidRPr="00597FFB">
        <w:rPr>
          <w:rFonts w:ascii="Times New Roman" w:hAnsi="Times New Roman" w:cs="Times New Roman"/>
          <w:i/>
          <w:iCs/>
        </w:rPr>
        <w:t xml:space="preserve">Millennials’ Preference </w:t>
      </w:r>
      <w:r w:rsidR="00072848" w:rsidRPr="00597FFB">
        <w:rPr>
          <w:rFonts w:ascii="Times New Roman" w:hAnsi="Times New Roman" w:cs="Times New Roman"/>
          <w:i/>
          <w:iCs/>
        </w:rPr>
        <w:t>f</w:t>
      </w:r>
      <w:r w:rsidRPr="00597FFB">
        <w:rPr>
          <w:rFonts w:ascii="Times New Roman" w:hAnsi="Times New Roman" w:cs="Times New Roman"/>
          <w:i/>
          <w:iCs/>
        </w:rPr>
        <w:t>or EWR.</w:t>
      </w:r>
    </w:p>
    <w:p w14:paraId="7387761C" w14:textId="59158068" w:rsidR="001B7A40" w:rsidRPr="00597FFB" w:rsidRDefault="001B7A40" w:rsidP="004570DB">
      <w:pPr>
        <w:widowControl w:val="0"/>
        <w:spacing w:after="0" w:line="240" w:lineRule="auto"/>
        <w:jc w:val="both"/>
        <w:rPr>
          <w:rFonts w:ascii="Times New Roman" w:hAnsi="Times New Roman" w:cs="Times New Roman"/>
          <w:i/>
          <w:iCs/>
        </w:rPr>
      </w:pPr>
    </w:p>
    <w:p w14:paraId="28EBED26" w14:textId="32EE34AF" w:rsidR="001B7A40" w:rsidRPr="00597FFB" w:rsidRDefault="001B7A40" w:rsidP="004570DB">
      <w:pPr>
        <w:widowControl w:val="0"/>
        <w:spacing w:after="0" w:line="240" w:lineRule="auto"/>
        <w:jc w:val="both"/>
        <w:rPr>
          <w:rFonts w:ascii="Times New Roman" w:hAnsi="Times New Roman" w:cs="Times New Roman"/>
          <w:i/>
          <w:iCs/>
        </w:rPr>
      </w:pPr>
      <w:r w:rsidRPr="00597FFB">
        <w:rPr>
          <w:rFonts w:ascii="Times New Roman" w:hAnsi="Times New Roman" w:cs="Times New Roman"/>
          <w:i/>
          <w:iCs/>
          <w:noProof/>
        </w:rPr>
        <w:drawing>
          <wp:inline distT="0" distB="0" distL="0" distR="0" wp14:anchorId="6B6D9F4E" wp14:editId="72C60D04">
            <wp:extent cx="4816475" cy="2761615"/>
            <wp:effectExtent l="0" t="0" r="317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6475" cy="2761615"/>
                    </a:xfrm>
                    <a:prstGeom prst="rect">
                      <a:avLst/>
                    </a:prstGeom>
                    <a:noFill/>
                  </pic:spPr>
                </pic:pic>
              </a:graphicData>
            </a:graphic>
          </wp:inline>
        </w:drawing>
      </w:r>
    </w:p>
    <w:p w14:paraId="2DE55234" w14:textId="77777777" w:rsidR="001B7A40" w:rsidRPr="00597FFB" w:rsidRDefault="001B7A40" w:rsidP="004570DB">
      <w:pPr>
        <w:widowControl w:val="0"/>
        <w:spacing w:after="0" w:line="240" w:lineRule="auto"/>
        <w:jc w:val="both"/>
      </w:pPr>
    </w:p>
    <w:p w14:paraId="75BAD943" w14:textId="3DB4CF85" w:rsidR="00051B4C" w:rsidRPr="00597FFB" w:rsidRDefault="00051B4C" w:rsidP="00B95C18">
      <w:pPr>
        <w:pStyle w:val="Heading2"/>
        <w:widowControl w:val="0"/>
        <w:spacing w:line="480" w:lineRule="auto"/>
        <w:ind w:left="576" w:hanging="576"/>
      </w:pPr>
      <w:bookmarkStart w:id="224" w:name="_Toc127170355"/>
      <w:r w:rsidRPr="00597FFB">
        <w:rPr>
          <w:rFonts w:ascii="Times New Roman" w:hAnsi="Times New Roman"/>
          <w:b/>
          <w:bCs/>
          <w:color w:val="auto"/>
          <w:sz w:val="24"/>
          <w:szCs w:val="24"/>
        </w:rPr>
        <w:t xml:space="preserve">5.2. Section </w:t>
      </w:r>
      <w:r w:rsidRPr="00597FFB">
        <w:rPr>
          <w:rFonts w:ascii="Times New Roman" w:hAnsi="Times New Roman"/>
          <w:b/>
          <w:bCs/>
          <w:color w:val="000000"/>
          <w:sz w:val="24"/>
          <w:szCs w:val="24"/>
        </w:rPr>
        <w:t xml:space="preserve">A: Extended Theory </w:t>
      </w:r>
      <w:r w:rsidR="00072848" w:rsidRPr="00597FFB">
        <w:rPr>
          <w:rFonts w:ascii="Times New Roman" w:hAnsi="Times New Roman"/>
          <w:b/>
          <w:bCs/>
          <w:color w:val="000000"/>
          <w:sz w:val="24"/>
          <w:szCs w:val="24"/>
        </w:rPr>
        <w:t>o</w:t>
      </w:r>
      <w:r w:rsidRPr="00597FFB">
        <w:rPr>
          <w:rFonts w:ascii="Times New Roman" w:hAnsi="Times New Roman"/>
          <w:b/>
          <w:bCs/>
          <w:color w:val="000000"/>
          <w:sz w:val="24"/>
          <w:szCs w:val="24"/>
        </w:rPr>
        <w:t>f Planned Behavior (TPB)</w:t>
      </w:r>
      <w:r w:rsidR="00B95C18" w:rsidRPr="00597FFB">
        <w:rPr>
          <w:rFonts w:ascii="Times New Roman" w:hAnsi="Times New Roman"/>
          <w:b/>
          <w:bCs/>
          <w:color w:val="000000"/>
          <w:sz w:val="24"/>
          <w:szCs w:val="24"/>
        </w:rPr>
        <w:t>.</w:t>
      </w:r>
      <w:bookmarkEnd w:id="224"/>
    </w:p>
    <w:p w14:paraId="295E434A" w14:textId="77777777" w:rsidR="00F73785" w:rsidRPr="00597FFB" w:rsidRDefault="00F73785" w:rsidP="00F73785">
      <w:pPr>
        <w:pStyle w:val="Heading3"/>
        <w:widowControl w:val="0"/>
        <w:spacing w:line="480" w:lineRule="auto"/>
        <w:ind w:left="720" w:hanging="720"/>
        <w:rPr>
          <w:rFonts w:ascii="Times New Roman" w:hAnsi="Times New Roman"/>
          <w:color w:val="auto"/>
          <w:sz w:val="24"/>
          <w:szCs w:val="24"/>
        </w:rPr>
      </w:pPr>
      <w:bookmarkStart w:id="225" w:name="_Toc127170356"/>
      <w:r w:rsidRPr="00597FFB">
        <w:rPr>
          <w:rFonts w:ascii="Times New Roman" w:hAnsi="Times New Roman"/>
          <w:i/>
          <w:iCs/>
          <w:color w:val="auto"/>
          <w:sz w:val="24"/>
          <w:szCs w:val="24"/>
        </w:rPr>
        <w:t xml:space="preserve">5.2.1. </w:t>
      </w:r>
      <w:bookmarkStart w:id="226" w:name="_Hlk123626660"/>
      <w:r w:rsidRPr="00597FFB">
        <w:rPr>
          <w:rFonts w:ascii="Times New Roman" w:hAnsi="Times New Roman"/>
          <w:i/>
          <w:iCs/>
          <w:color w:val="auto"/>
          <w:sz w:val="24"/>
          <w:szCs w:val="24"/>
        </w:rPr>
        <w:t xml:space="preserve">The Measurement </w:t>
      </w:r>
      <w:bookmarkEnd w:id="226"/>
      <w:r w:rsidRPr="00597FFB">
        <w:rPr>
          <w:rFonts w:ascii="Times New Roman" w:hAnsi="Times New Roman"/>
          <w:i/>
          <w:iCs/>
          <w:color w:val="auto"/>
          <w:sz w:val="24"/>
          <w:szCs w:val="24"/>
        </w:rPr>
        <w:t>Model</w:t>
      </w:r>
      <w:r w:rsidRPr="00597FFB">
        <w:t>.</w:t>
      </w:r>
      <w:bookmarkEnd w:id="225"/>
    </w:p>
    <w:p w14:paraId="20483B23" w14:textId="77777777" w:rsidR="00F73785" w:rsidRPr="00597FFB" w:rsidRDefault="00F73785" w:rsidP="00F73785">
      <w:pPr>
        <w:widowControl w:val="0"/>
        <w:tabs>
          <w:tab w:val="left" w:pos="3690"/>
        </w:tabs>
        <w:spacing w:line="480" w:lineRule="auto"/>
        <w:jc w:val="both"/>
        <w:rPr>
          <w:rFonts w:ascii="Times New Roman" w:hAnsi="Times New Roman" w:cs="Times New Roman"/>
          <w:sz w:val="24"/>
          <w:szCs w:val="24"/>
        </w:rPr>
      </w:pPr>
      <w:r w:rsidRPr="00597FFB">
        <w:rPr>
          <w:rFonts w:ascii="Times New Roman" w:hAnsi="Times New Roman" w:cs="Times New Roman"/>
          <w:sz w:val="24"/>
          <w:szCs w:val="24"/>
        </w:rPr>
        <w:t xml:space="preserve">          The conceptualization of the TPB model in this study (Figure 12) comprised of the primary TPB variables including the independent variables of attitude towards EWR, subjective norm, perceive behavioral control, EWR behavioral intentions, and adoption of EWR behavior together with the additional variables namely environmental concern and incentives. Accordingly, the results reported in this section are related to the extended TPB model as conceptualized in this study and presented in Chapter 3.</w:t>
      </w:r>
    </w:p>
    <w:p w14:paraId="5C37648B" w14:textId="12EBC6BD" w:rsidR="00502374" w:rsidRPr="00597FFB" w:rsidRDefault="00502374" w:rsidP="00F73785">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         The mean scores for each variable measured through the questionnaire were analyzed in order to understand the central tendency for each question. Central tendency is a useful measure in psychology, as it represents what is normal for the data, condensing the responses into one representative value. The mean scores were interpreted for each question relating to the constructs to understand the relevance of the construct in relation to the particular construct being measured. Considering the five-point scale utilized for data collection, an interpretation scale was decided on beforehand to be applied to the mean scores, which ranged from 1 to 5. The interpretation scale is presented in Table 1</w:t>
      </w:r>
      <w:r w:rsidR="00E24812" w:rsidRPr="00597FFB">
        <w:rPr>
          <w:rFonts w:ascii="Times New Roman" w:hAnsi="Times New Roman" w:cs="Times New Roman"/>
          <w:sz w:val="24"/>
          <w:szCs w:val="24"/>
        </w:rPr>
        <w:t>3</w:t>
      </w:r>
      <w:r w:rsidRPr="00597FFB">
        <w:rPr>
          <w:rFonts w:ascii="Times New Roman" w:hAnsi="Times New Roman" w:cs="Times New Roman"/>
          <w:sz w:val="24"/>
          <w:szCs w:val="24"/>
        </w:rPr>
        <w:t xml:space="preserve"> below. The mean score for attitude towards recycling construct was high, and the data were normally distributed with minimal standard deviation. The mean score indicates that most of the respondents had positive attitudes towards recycling. There was a strong agreement that EWR is beneficial for the environment and natural resources, as well as the responsibility of everyone. This indicates an awareness of the positive impact that EWR has on the environment. It is also important to note that partaking in EWR brings about feelings of satisfaction and that respondents are interested in EWR.</w:t>
      </w:r>
    </w:p>
    <w:p w14:paraId="6FF92547" w14:textId="7D987A4B" w:rsidR="009F34CB" w:rsidRPr="00597FFB" w:rsidRDefault="00B95C18" w:rsidP="00F73785">
      <w:pPr>
        <w:widowControl w:val="0"/>
        <w:spacing w:after="0" w:line="240" w:lineRule="auto"/>
        <w:jc w:val="both"/>
        <w:rPr>
          <w:rFonts w:ascii="Times New Roman" w:hAnsi="Times New Roman" w:cs="Times New Roman"/>
          <w:i/>
          <w:iCs/>
        </w:rPr>
      </w:pPr>
      <w:r w:rsidRPr="00597FFB">
        <w:rPr>
          <w:rFonts w:ascii="Times New Roman" w:hAnsi="Times New Roman" w:cs="Times New Roman"/>
          <w:b/>
          <w:bCs/>
        </w:rPr>
        <w:t>Figure 1</w:t>
      </w:r>
      <w:r w:rsidR="00607DF3" w:rsidRPr="00597FFB">
        <w:rPr>
          <w:rFonts w:ascii="Times New Roman" w:hAnsi="Times New Roman" w:cs="Times New Roman"/>
          <w:b/>
          <w:bCs/>
        </w:rPr>
        <w:t>2</w:t>
      </w:r>
      <w:r w:rsidRPr="00597FFB">
        <w:rPr>
          <w:rFonts w:ascii="Times New Roman" w:hAnsi="Times New Roman" w:cs="Times New Roman"/>
          <w:b/>
          <w:bCs/>
        </w:rPr>
        <w:t>:</w:t>
      </w:r>
      <w:r w:rsidRPr="00597FFB">
        <w:rPr>
          <w:rFonts w:ascii="Times New Roman" w:hAnsi="Times New Roman" w:cs="Times New Roman"/>
        </w:rPr>
        <w:t xml:space="preserve"> </w:t>
      </w:r>
      <w:r w:rsidRPr="00597FFB">
        <w:rPr>
          <w:rFonts w:ascii="Times New Roman" w:hAnsi="Times New Roman" w:cs="Times New Roman"/>
          <w:i/>
          <w:iCs/>
        </w:rPr>
        <w:t xml:space="preserve">Enhanced TPB Model </w:t>
      </w:r>
      <w:r w:rsidR="00072848" w:rsidRPr="00597FFB">
        <w:rPr>
          <w:rFonts w:ascii="Times New Roman" w:hAnsi="Times New Roman" w:cs="Times New Roman"/>
          <w:i/>
          <w:iCs/>
        </w:rPr>
        <w:t>f</w:t>
      </w:r>
      <w:r w:rsidRPr="00597FFB">
        <w:rPr>
          <w:rFonts w:ascii="Times New Roman" w:hAnsi="Times New Roman" w:cs="Times New Roman"/>
          <w:i/>
          <w:iCs/>
        </w:rPr>
        <w:t xml:space="preserve">or Intent </w:t>
      </w:r>
      <w:r w:rsidR="00072848" w:rsidRPr="00597FFB">
        <w:rPr>
          <w:rFonts w:ascii="Times New Roman" w:hAnsi="Times New Roman" w:cs="Times New Roman"/>
          <w:i/>
          <w:iCs/>
        </w:rPr>
        <w:t>a</w:t>
      </w:r>
      <w:r w:rsidRPr="00597FFB">
        <w:rPr>
          <w:rFonts w:ascii="Times New Roman" w:hAnsi="Times New Roman" w:cs="Times New Roman"/>
          <w:i/>
          <w:iCs/>
        </w:rPr>
        <w:t xml:space="preserve">nd Adoption </w:t>
      </w:r>
      <w:r w:rsidR="00072848" w:rsidRPr="00597FFB">
        <w:rPr>
          <w:rFonts w:ascii="Times New Roman" w:hAnsi="Times New Roman" w:cs="Times New Roman"/>
          <w:i/>
          <w:iCs/>
        </w:rPr>
        <w:t>o</w:t>
      </w:r>
      <w:r w:rsidRPr="00597FFB">
        <w:rPr>
          <w:rFonts w:ascii="Times New Roman" w:hAnsi="Times New Roman" w:cs="Times New Roman"/>
          <w:i/>
          <w:iCs/>
        </w:rPr>
        <w:t xml:space="preserve">f EWR Behavior </w:t>
      </w:r>
      <w:r w:rsidR="00740D34" w:rsidRPr="00597FFB">
        <w:rPr>
          <w:rFonts w:ascii="Times New Roman" w:hAnsi="Times New Roman" w:cs="Times New Roman"/>
          <w:i/>
          <w:iCs/>
        </w:rPr>
        <w:t>b</w:t>
      </w:r>
      <w:r w:rsidRPr="00597FFB">
        <w:rPr>
          <w:rFonts w:ascii="Times New Roman" w:hAnsi="Times New Roman" w:cs="Times New Roman"/>
          <w:i/>
          <w:iCs/>
        </w:rPr>
        <w:t>y UAE Millennials With Additional Variables.</w:t>
      </w:r>
    </w:p>
    <w:p w14:paraId="58054EF5" w14:textId="341F32D3" w:rsidR="00502374" w:rsidRPr="00BC7688" w:rsidRDefault="00740D34" w:rsidP="00BC7688">
      <w:pPr>
        <w:widowControl w:val="0"/>
        <w:spacing w:after="0" w:line="240" w:lineRule="auto"/>
        <w:jc w:val="both"/>
        <w:rPr>
          <w:rFonts w:ascii="Times New Roman" w:hAnsi="Times New Roman" w:cs="Times New Roman"/>
        </w:rPr>
      </w:pPr>
      <w:r w:rsidRPr="00597FFB">
        <w:rPr>
          <w:noProof/>
        </w:rPr>
        <w:drawing>
          <wp:inline distT="0" distB="0" distL="0" distR="0" wp14:anchorId="6E1B83DC" wp14:editId="0935739C">
            <wp:extent cx="4819015" cy="36804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19015" cy="3680460"/>
                    </a:xfrm>
                    <a:prstGeom prst="rect">
                      <a:avLst/>
                    </a:prstGeom>
                    <a:noFill/>
                    <a:ln>
                      <a:noFill/>
                    </a:ln>
                  </pic:spPr>
                </pic:pic>
              </a:graphicData>
            </a:graphic>
          </wp:inline>
        </w:drawing>
      </w:r>
    </w:p>
    <w:p w14:paraId="5B3F93A7" w14:textId="2183CABC" w:rsidR="00E52362" w:rsidRPr="00597FFB" w:rsidRDefault="00E83E65" w:rsidP="00E52362">
      <w:pPr>
        <w:widowControl w:val="0"/>
        <w:spacing w:after="0" w:line="240" w:lineRule="auto"/>
        <w:rPr>
          <w:rFonts w:ascii="Times New Roman" w:hAnsi="Times New Roman" w:cs="Times New Roman"/>
          <w:i/>
          <w:iCs/>
        </w:rPr>
      </w:pPr>
      <w:r w:rsidRPr="00597FFB">
        <w:rPr>
          <w:rFonts w:ascii="Times New Roman" w:hAnsi="Times New Roman" w:cs="Times New Roman"/>
          <w:b/>
          <w:bCs/>
        </w:rPr>
        <w:t>Table 1</w:t>
      </w:r>
      <w:r w:rsidR="00607DF3" w:rsidRPr="00597FFB">
        <w:rPr>
          <w:rFonts w:ascii="Times New Roman" w:hAnsi="Times New Roman" w:cs="Times New Roman"/>
          <w:b/>
          <w:bCs/>
        </w:rPr>
        <w:t>3</w:t>
      </w:r>
      <w:r w:rsidRPr="00597FFB">
        <w:rPr>
          <w:rFonts w:ascii="Times New Roman" w:hAnsi="Times New Roman" w:cs="Times New Roman"/>
          <w:b/>
          <w:bCs/>
        </w:rPr>
        <w:t>:</w:t>
      </w:r>
      <w:r w:rsidRPr="00597FFB">
        <w:rPr>
          <w:rFonts w:ascii="Times New Roman" w:hAnsi="Times New Roman" w:cs="Times New Roman"/>
          <w:u w:val="single"/>
        </w:rPr>
        <w:t xml:space="preserve"> </w:t>
      </w:r>
      <w:r w:rsidRPr="00597FFB">
        <w:rPr>
          <w:rFonts w:ascii="Times New Roman" w:hAnsi="Times New Roman" w:cs="Times New Roman"/>
          <w:i/>
          <w:iCs/>
        </w:rPr>
        <w:t>Mean Interpretation Scale (N = 505)</w:t>
      </w:r>
      <w:r w:rsidR="009F34CB" w:rsidRPr="00597FFB">
        <w:rPr>
          <w:rFonts w:ascii="Times New Roman" w:hAnsi="Times New Roman" w:cs="Times New Roman"/>
          <w:i/>
          <w:iCs/>
        </w:rPr>
        <w:t>.</w:t>
      </w:r>
    </w:p>
    <w:p w14:paraId="2898843A" w14:textId="77777777" w:rsidR="009F34CB" w:rsidRPr="00597FFB" w:rsidRDefault="009F34CB" w:rsidP="00E52362">
      <w:pPr>
        <w:widowControl w:val="0"/>
        <w:spacing w:after="0" w:line="240" w:lineRule="auto"/>
        <w:rPr>
          <w:rFonts w:ascii="Times New Roman" w:hAnsi="Times New Roman" w:cs="Times New Roman"/>
          <w:i/>
          <w:iCs/>
        </w:rPr>
      </w:pPr>
    </w:p>
    <w:tbl>
      <w:tblPr>
        <w:tblW w:w="5000" w:type="pct"/>
        <w:tblBorders>
          <w:top w:val="single" w:sz="4" w:space="0" w:color="auto"/>
          <w:bottom w:val="single" w:sz="4" w:space="0" w:color="auto"/>
        </w:tblBorders>
        <w:tblLook w:val="04A0" w:firstRow="1" w:lastRow="0" w:firstColumn="1" w:lastColumn="0" w:noHBand="0" w:noVBand="1"/>
      </w:tblPr>
      <w:tblGrid>
        <w:gridCol w:w="3794"/>
        <w:gridCol w:w="3795"/>
      </w:tblGrid>
      <w:tr w:rsidR="00356BCB" w:rsidRPr="00597FFB" w14:paraId="3ADD8A68" w14:textId="77777777" w:rsidTr="000E48F1">
        <w:trPr>
          <w:trHeight w:val="215"/>
        </w:trPr>
        <w:tc>
          <w:tcPr>
            <w:tcW w:w="2500" w:type="pct"/>
            <w:tcBorders>
              <w:top w:val="single" w:sz="4" w:space="0" w:color="auto"/>
              <w:bottom w:val="single" w:sz="4" w:space="0" w:color="auto"/>
            </w:tcBorders>
            <w:shd w:val="clear" w:color="auto" w:fill="FFE599"/>
          </w:tcPr>
          <w:p w14:paraId="46E5412B"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Mean Range</w:t>
            </w:r>
          </w:p>
        </w:tc>
        <w:tc>
          <w:tcPr>
            <w:tcW w:w="2500" w:type="pct"/>
            <w:tcBorders>
              <w:top w:val="single" w:sz="4" w:space="0" w:color="auto"/>
              <w:bottom w:val="single" w:sz="4" w:space="0" w:color="auto"/>
            </w:tcBorders>
            <w:shd w:val="clear" w:color="auto" w:fill="FFE599"/>
          </w:tcPr>
          <w:p w14:paraId="6401F9EB"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Interpretation</w:t>
            </w:r>
          </w:p>
        </w:tc>
      </w:tr>
      <w:tr w:rsidR="00356BCB" w:rsidRPr="00597FFB" w14:paraId="6C8E9602" w14:textId="77777777" w:rsidTr="000E48F1">
        <w:tc>
          <w:tcPr>
            <w:tcW w:w="2500" w:type="pct"/>
            <w:tcBorders>
              <w:top w:val="single" w:sz="4" w:space="0" w:color="auto"/>
            </w:tcBorders>
            <w:shd w:val="clear" w:color="auto" w:fill="FFE599"/>
          </w:tcPr>
          <w:p w14:paraId="6013900C"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 xml:space="preserve">M&gt;4&lt;5 </w:t>
            </w:r>
          </w:p>
        </w:tc>
        <w:tc>
          <w:tcPr>
            <w:tcW w:w="2500" w:type="pct"/>
            <w:tcBorders>
              <w:top w:val="single" w:sz="4" w:space="0" w:color="auto"/>
            </w:tcBorders>
            <w:shd w:val="clear" w:color="auto" w:fill="FFE599"/>
          </w:tcPr>
          <w:p w14:paraId="6989F526"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Strongly agree with/support construct</w:t>
            </w:r>
          </w:p>
        </w:tc>
      </w:tr>
      <w:tr w:rsidR="00356BCB" w:rsidRPr="00597FFB" w14:paraId="171BEC0B" w14:textId="77777777" w:rsidTr="000E48F1">
        <w:tc>
          <w:tcPr>
            <w:tcW w:w="2500" w:type="pct"/>
            <w:shd w:val="clear" w:color="auto" w:fill="FBE4D5"/>
          </w:tcPr>
          <w:p w14:paraId="351DB773"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M&gt;3.5&lt;4</w:t>
            </w:r>
          </w:p>
        </w:tc>
        <w:tc>
          <w:tcPr>
            <w:tcW w:w="2500" w:type="pct"/>
            <w:shd w:val="clear" w:color="auto" w:fill="FBE4D5"/>
          </w:tcPr>
          <w:p w14:paraId="50137FD5"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Agree with/support construct</w:t>
            </w:r>
          </w:p>
        </w:tc>
      </w:tr>
      <w:tr w:rsidR="00356BCB" w:rsidRPr="00597FFB" w14:paraId="45807F09" w14:textId="77777777" w:rsidTr="000E48F1">
        <w:tc>
          <w:tcPr>
            <w:tcW w:w="2500" w:type="pct"/>
            <w:shd w:val="clear" w:color="auto" w:fill="BDD6EE"/>
          </w:tcPr>
          <w:p w14:paraId="253B176C"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M&gt;2.5&lt;3.5</w:t>
            </w:r>
          </w:p>
        </w:tc>
        <w:tc>
          <w:tcPr>
            <w:tcW w:w="2500" w:type="pct"/>
            <w:shd w:val="clear" w:color="auto" w:fill="BDD6EE"/>
          </w:tcPr>
          <w:p w14:paraId="66FE5144" w14:textId="77777777" w:rsidR="00356BCB" w:rsidRPr="00597FFB" w:rsidRDefault="00356BCB" w:rsidP="000E48F1">
            <w:pPr>
              <w:widowControl w:val="0"/>
              <w:tabs>
                <w:tab w:val="left" w:pos="3690"/>
              </w:tabs>
              <w:spacing w:after="0" w:line="240" w:lineRule="auto"/>
              <w:rPr>
                <w:rFonts w:ascii="Times New Roman" w:hAnsi="Times New Roman" w:cs="Times New Roman"/>
              </w:rPr>
            </w:pPr>
            <w:r w:rsidRPr="00597FFB">
              <w:rPr>
                <w:rFonts w:ascii="Times New Roman" w:hAnsi="Times New Roman" w:cs="Times New Roman"/>
              </w:rPr>
              <w:t>Moderately agree with/support construct</w:t>
            </w:r>
          </w:p>
        </w:tc>
      </w:tr>
      <w:tr w:rsidR="00356BCB" w:rsidRPr="00597FFB" w14:paraId="64747DAA" w14:textId="77777777" w:rsidTr="000E48F1">
        <w:tc>
          <w:tcPr>
            <w:tcW w:w="2500" w:type="pct"/>
            <w:shd w:val="clear" w:color="auto" w:fill="C5E0B3"/>
          </w:tcPr>
          <w:p w14:paraId="6D96543C" w14:textId="77777777" w:rsidR="00356BCB" w:rsidRPr="00597FFB" w:rsidRDefault="00356BCB" w:rsidP="000E48F1">
            <w:pPr>
              <w:widowControl w:val="0"/>
              <w:tabs>
                <w:tab w:val="left" w:pos="3690"/>
              </w:tabs>
              <w:spacing w:after="0" w:line="240" w:lineRule="auto"/>
              <w:rPr>
                <w:rFonts w:ascii="Times New Roman" w:hAnsi="Times New Roman" w:cs="Times New Roman"/>
                <w:color w:val="000000"/>
              </w:rPr>
            </w:pPr>
            <w:r w:rsidRPr="00597FFB">
              <w:rPr>
                <w:rFonts w:ascii="Times New Roman" w:hAnsi="Times New Roman" w:cs="Times New Roman"/>
                <w:color w:val="000000"/>
              </w:rPr>
              <w:t>M&lt;2.5</w:t>
            </w:r>
          </w:p>
        </w:tc>
        <w:tc>
          <w:tcPr>
            <w:tcW w:w="2500" w:type="pct"/>
            <w:shd w:val="clear" w:color="auto" w:fill="C5E0B3"/>
          </w:tcPr>
          <w:p w14:paraId="3B2A6514" w14:textId="77777777" w:rsidR="00356BCB" w:rsidRPr="00597FFB" w:rsidRDefault="00356BCB" w:rsidP="000E48F1">
            <w:pPr>
              <w:widowControl w:val="0"/>
              <w:tabs>
                <w:tab w:val="left" w:pos="3690"/>
              </w:tabs>
              <w:spacing w:after="0" w:line="240" w:lineRule="auto"/>
              <w:rPr>
                <w:rFonts w:ascii="Times New Roman" w:hAnsi="Times New Roman" w:cs="Times New Roman"/>
                <w:color w:val="000000"/>
              </w:rPr>
            </w:pPr>
            <w:r w:rsidRPr="00597FFB">
              <w:rPr>
                <w:rFonts w:ascii="Times New Roman" w:hAnsi="Times New Roman" w:cs="Times New Roman"/>
                <w:color w:val="000000"/>
              </w:rPr>
              <w:t>Disagree with/do not support construct</w:t>
            </w:r>
          </w:p>
        </w:tc>
      </w:tr>
    </w:tbl>
    <w:p w14:paraId="5D1628F8" w14:textId="77777777" w:rsidR="00E83E65" w:rsidRPr="00597FFB" w:rsidRDefault="00E83E65" w:rsidP="00072848">
      <w:pPr>
        <w:widowControl w:val="0"/>
        <w:spacing w:line="480" w:lineRule="auto"/>
        <w:jc w:val="both"/>
        <w:rPr>
          <w:rFonts w:ascii="Times New Roman" w:hAnsi="Times New Roman" w:cs="Times New Roman"/>
          <w:sz w:val="24"/>
          <w:szCs w:val="24"/>
        </w:rPr>
      </w:pPr>
    </w:p>
    <w:p w14:paraId="112E90E3" w14:textId="77777777" w:rsidR="00E52362" w:rsidRPr="00597FFB" w:rsidRDefault="00E52362" w:rsidP="00E83E65">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overall mean for the subjective norm construct was 3.238 and the data being normally distributed with small standard deviations. The mean score indicates that most respondents support the construct. The results indicate that the strongest form of social influence in terms of EWR was family, neighbors, and community actually recycling e-waste (M = 3.261), followed closely by the expectation of family, neighbors, and community that the UAE millennial will recycle e-waste (M = 3.255). This implies that close relationships with those in the immediate circles of UAE millennials plays an important role in influencing UAE millennials behavior toward EWR. However, even though outside influences such as media (M = 3.198) did exhibit notable influence on UAE EWR behavior, that influence is not as strong as that of friends, neighbors, and community. To the best of the researcher’s knowledge, the prevalence and influence of social media and online influencers in modern society have not yet been considered in research to date, and it would be interesting to explore social media’s influence on human behavior compared to traditional media in respect of EWR.</w:t>
      </w:r>
    </w:p>
    <w:p w14:paraId="427903F8" w14:textId="77777777"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construct of perceived behavioral control proposed under the TPB was tested. The overall mean score for the perceived behavioral control construct was 3.236, and the data were normally distributed with minimal standard deviation. The results indicate that there was moderate agreement that the handling charges, transportation costs, recycling time and facilities were hinderances to EWR. The Cronbach’s Alpha for PCB was </w:t>
      </w:r>
      <w:r w:rsidRPr="00597FFB">
        <w:rPr>
          <w:rFonts w:ascii="Times New Roman" w:eastAsia="Times New Roman" w:hAnsi="Times New Roman" w:cs="Times New Roman"/>
          <w:color w:val="000000"/>
          <w:sz w:val="24"/>
          <w:szCs w:val="24"/>
        </w:rPr>
        <w:t>0.856</w:t>
      </w:r>
      <w:r w:rsidRPr="00597FFB">
        <w:rPr>
          <w:rFonts w:ascii="Times New Roman" w:hAnsi="Times New Roman" w:cs="Times New Roman"/>
          <w:sz w:val="24"/>
          <w:szCs w:val="24"/>
        </w:rPr>
        <w:t>, indicating an acceptable measure of test accuracy, i.e., the test measured what it was designed to measure.</w:t>
      </w:r>
    </w:p>
    <w:p w14:paraId="379A2114" w14:textId="77777777" w:rsidR="00E52362" w:rsidRPr="00597FFB" w:rsidRDefault="00E52362" w:rsidP="00035B64">
      <w:pPr>
        <w:widowControl w:val="0"/>
        <w:tabs>
          <w:tab w:val="left" w:pos="3690"/>
        </w:tabs>
        <w:spacing w:line="480" w:lineRule="auto"/>
        <w:jc w:val="both"/>
        <w:rPr>
          <w:rFonts w:ascii="Times New Roman" w:hAnsi="Times New Roman" w:cs="Times New Roman"/>
          <w:sz w:val="24"/>
          <w:szCs w:val="24"/>
        </w:rPr>
      </w:pPr>
      <w:r w:rsidRPr="00597FFB">
        <w:rPr>
          <w:rFonts w:ascii="Times New Roman" w:hAnsi="Times New Roman" w:cs="Times New Roman"/>
          <w:sz w:val="24"/>
          <w:szCs w:val="24"/>
        </w:rPr>
        <w:t xml:space="preserve">            Confirmatory factor analysis (CFA) was performed and good discriminant validity results implied that the results of the hypothesis testing would be valid and reliable because each of the instruments measured was within the acceptable limits. The convergent validity results showed that the results were likely to show high levels of reliability. Cronbach’s Alpha, scale composite reliability (SCR), and AVE all lay within the desired range for the instruments related to the constructs in the extended TPB. The measuring instruments used in this regard all showed acceptable.</w:t>
      </w:r>
    </w:p>
    <w:p w14:paraId="2EF3C9E5" w14:textId="77777777" w:rsidR="00E52362" w:rsidRPr="00597FFB" w:rsidRDefault="00E52362" w:rsidP="00035B64">
      <w:pPr>
        <w:widowControl w:val="0"/>
        <w:tabs>
          <w:tab w:val="left" w:pos="3690"/>
        </w:tabs>
        <w:spacing w:line="480" w:lineRule="auto"/>
        <w:jc w:val="both"/>
        <w:rPr>
          <w:rFonts w:ascii="Times New Roman" w:hAnsi="Times New Roman" w:cs="Times New Roman"/>
          <w:sz w:val="24"/>
          <w:szCs w:val="24"/>
        </w:rPr>
      </w:pPr>
      <w:r w:rsidRPr="00597FFB">
        <w:rPr>
          <w:rFonts w:ascii="Times New Roman" w:hAnsi="Times New Roman" w:cs="Times New Roman"/>
          <w:sz w:val="24"/>
          <w:szCs w:val="24"/>
        </w:rPr>
        <w:t xml:space="preserve"> or good goodness of fit indices, Cronbach’s alpha, convergent validity and discriminant validity. They were, therefore, deemed suitable for use in this study, and to measure the study constructs. </w:t>
      </w:r>
    </w:p>
    <w:p w14:paraId="5995108F" w14:textId="32B4E774"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skewness and kurtosis values of the measurement model were satisfactory, and within the range of -0.5 and +0.5 thereby denoting approximate symmetrical distribution. The correlation coefficient is a quantitative assessment calculated to measure both the strength and the direction of linear relationships between continuous variables in relation to others i.e., it indicates that as one variable changes in value, the other variable changes in specific direction. The values range between -1 and +1. The greater the absolute value, the stronger the relationship, while the sign of the value indicates the direction of the relationship. The correlation coefficient of attitude in relation to EWRBI was 0.648 (</w:t>
      </w:r>
      <w:r w:rsidRPr="00597FFB">
        <w:rPr>
          <w:rFonts w:ascii="Times New Roman" w:hAnsi="Times New Roman" w:cs="Times New Roman"/>
          <w:i/>
          <w:iCs/>
          <w:sz w:val="24"/>
          <w:szCs w:val="24"/>
        </w:rPr>
        <w:t>p</w:t>
      </w:r>
      <w:r w:rsidRPr="00597FFB">
        <w:rPr>
          <w:rFonts w:ascii="Times New Roman" w:hAnsi="Times New Roman" w:cs="Times New Roman"/>
          <w:sz w:val="24"/>
          <w:szCs w:val="24"/>
        </w:rPr>
        <w:t xml:space="preserve"> &lt; 0.05; Table 1</w:t>
      </w:r>
      <w:r w:rsidR="00E125B0" w:rsidRPr="00597FFB">
        <w:rPr>
          <w:rFonts w:ascii="Times New Roman" w:hAnsi="Times New Roman" w:cs="Times New Roman"/>
          <w:sz w:val="24"/>
          <w:szCs w:val="24"/>
        </w:rPr>
        <w:t>4</w:t>
      </w:r>
      <w:r w:rsidRPr="00597FFB">
        <w:rPr>
          <w:rFonts w:ascii="Times New Roman" w:hAnsi="Times New Roman" w:cs="Times New Roman"/>
          <w:sz w:val="24"/>
          <w:szCs w:val="24"/>
        </w:rPr>
        <w:t>) indicating a strong positive relationship between the variables, i.e., as attitude increases, so does EWRBI. This implies that an improvement in the Attitude towards EWR may influence Behavioral Intention towards EWR positively.</w:t>
      </w:r>
    </w:p>
    <w:p w14:paraId="46A92AE5" w14:textId="46ABE540"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Table 1</w:t>
      </w:r>
      <w:r w:rsidR="00E125B0" w:rsidRPr="00597FFB">
        <w:rPr>
          <w:rFonts w:ascii="Times New Roman" w:hAnsi="Times New Roman" w:cs="Times New Roman"/>
          <w:sz w:val="24"/>
          <w:szCs w:val="24"/>
        </w:rPr>
        <w:t>4</w:t>
      </w:r>
      <w:r w:rsidRPr="00597FFB">
        <w:rPr>
          <w:rFonts w:ascii="Times New Roman" w:hAnsi="Times New Roman" w:cs="Times New Roman"/>
          <w:sz w:val="24"/>
          <w:szCs w:val="24"/>
        </w:rPr>
        <w:t xml:space="preserve"> indicates that the p-value of the test was lower than the predetermined level of significance (p &lt; 0.05), thus signaling that the null hypothesis could not be rejected. This implies that there is a significant, positive relationship between attitude and</w:t>
      </w:r>
      <w:r w:rsidRPr="00597FFB">
        <w:t xml:space="preserve"> </w:t>
      </w:r>
      <w:r w:rsidRPr="00597FFB">
        <w:rPr>
          <w:rFonts w:ascii="Times New Roman" w:hAnsi="Times New Roman" w:cs="Times New Roman"/>
          <w:sz w:val="24"/>
          <w:szCs w:val="24"/>
        </w:rPr>
        <w:t>EWRBI, which implies that Attitude toward EWR will positively influence UAE millennials’ EWR Behavioral Intention. This is supported by the strong positive correlation of the attitude with EWRBI shown in Table 1</w:t>
      </w:r>
      <w:r w:rsidR="00E125B0" w:rsidRPr="00597FFB">
        <w:rPr>
          <w:rFonts w:ascii="Times New Roman" w:hAnsi="Times New Roman" w:cs="Times New Roman"/>
          <w:sz w:val="24"/>
          <w:szCs w:val="24"/>
        </w:rPr>
        <w:t>4</w:t>
      </w:r>
      <w:r w:rsidRPr="00597FFB">
        <w:rPr>
          <w:rFonts w:ascii="Times New Roman" w:hAnsi="Times New Roman" w:cs="Times New Roman"/>
          <w:sz w:val="24"/>
          <w:szCs w:val="24"/>
        </w:rPr>
        <w:t>, which highlights that an increase in attitude may lead to an increase in EWRBI.</w:t>
      </w:r>
    </w:p>
    <w:p w14:paraId="62DF7113" w14:textId="77777777"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correlation coefficient of subjective norm in relation to EWRBI was 0.676, indicating a positive relationship between the variables, i.e., as the influence of subjective norm increases, so does EWRBI. This implies that increased influence of subjective norms may positively influence the EWR</w:t>
      </w:r>
      <w:r w:rsidRPr="00597FFB" w:rsidDel="0067322F">
        <w:rPr>
          <w:rFonts w:ascii="Times New Roman" w:hAnsi="Times New Roman" w:cs="Times New Roman"/>
          <w:sz w:val="24"/>
          <w:szCs w:val="24"/>
        </w:rPr>
        <w:t xml:space="preserve"> </w:t>
      </w:r>
      <w:r w:rsidRPr="00597FFB">
        <w:rPr>
          <w:rFonts w:ascii="Times New Roman" w:hAnsi="Times New Roman" w:cs="Times New Roman"/>
          <w:sz w:val="24"/>
          <w:szCs w:val="24"/>
        </w:rPr>
        <w:t>Behavioral Intention of UAE millennials. The second hypothesis sought to establish how subjective norm influences EWR Behavioral Intention. The p-value of the test was less than the predetermined level of significant difference between subjective norm and EWRBI, indicating that there is a likelihood that subjective norms will positively influence UAE millennials’ EWR behavioral intentions.</w:t>
      </w:r>
    </w:p>
    <w:p w14:paraId="3101D699" w14:textId="77777777"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correlation coefficient of PCB in relation to EWRBI was 0.688 (p &lt; 0.05), indicating that there is relationship between the variables, i.e., PCB influences EWRBI. This implies that the cost of EWR will not affect the influencing the UAE millennials EWR behavioral intentions. The Third hypothesis sought to establish how PCB influences EWR Behavioral Intention. This indicates that there is a chance that the PCB influences UAE millennials’ EWR behavioral intentions.</w:t>
      </w:r>
    </w:p>
    <w:p w14:paraId="416987B5" w14:textId="09421BA3" w:rsidR="00E52362" w:rsidRPr="00597FFB" w:rsidRDefault="00E52362" w:rsidP="00035B64">
      <w:pPr>
        <w:widowControl w:val="0"/>
        <w:spacing w:after="0"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Since all the factors exhibited high, positive correlation (</w:t>
      </w:r>
      <w:r w:rsidRPr="00597FFB">
        <w:rPr>
          <w:rFonts w:ascii="Times New Roman" w:hAnsi="Times New Roman" w:cs="Times New Roman"/>
          <w:i/>
          <w:iCs/>
          <w:sz w:val="24"/>
          <w:szCs w:val="24"/>
        </w:rPr>
        <w:t xml:space="preserve">r </w:t>
      </w:r>
      <w:r w:rsidRPr="00597FFB">
        <w:rPr>
          <w:rFonts w:ascii="Times New Roman" w:hAnsi="Times New Roman" w:cs="Times New Roman"/>
          <w:sz w:val="24"/>
          <w:szCs w:val="24"/>
        </w:rPr>
        <w:t>range 0.509 to 0.852; Table 1</w:t>
      </w:r>
      <w:r w:rsidR="00F067A8" w:rsidRPr="00597FFB">
        <w:rPr>
          <w:rFonts w:ascii="Times New Roman" w:hAnsi="Times New Roman" w:cs="Times New Roman"/>
          <w:sz w:val="24"/>
          <w:szCs w:val="24"/>
        </w:rPr>
        <w:t>4</w:t>
      </w:r>
      <w:r w:rsidRPr="00597FFB">
        <w:rPr>
          <w:rFonts w:ascii="Times New Roman" w:hAnsi="Times New Roman" w:cs="Times New Roman"/>
          <w:sz w:val="24"/>
          <w:szCs w:val="24"/>
        </w:rPr>
        <w:t>), the risk of standardized regression coefficients being associated with huge standard errors owing to potential multicollinearity could not be overlooked (Winship &amp; Western, 2016).</w:t>
      </w:r>
    </w:p>
    <w:tbl>
      <w:tblPr>
        <w:tblpPr w:leftFromText="180" w:rightFromText="180" w:vertAnchor="text" w:horzAnchor="margin" w:tblpY="564"/>
        <w:tblW w:w="7429" w:type="dxa"/>
        <w:tblLook w:val="04A0" w:firstRow="1" w:lastRow="0" w:firstColumn="1" w:lastColumn="0" w:noHBand="0" w:noVBand="1"/>
      </w:tblPr>
      <w:tblGrid>
        <w:gridCol w:w="1263"/>
        <w:gridCol w:w="1224"/>
        <w:gridCol w:w="1224"/>
        <w:gridCol w:w="1224"/>
        <w:gridCol w:w="1224"/>
        <w:gridCol w:w="1270"/>
      </w:tblGrid>
      <w:tr w:rsidR="00356BCB" w:rsidRPr="00597FFB" w14:paraId="428CE73E" w14:textId="77777777" w:rsidTr="00356BCB">
        <w:trPr>
          <w:cantSplit/>
          <w:trHeight w:val="295"/>
        </w:trPr>
        <w:tc>
          <w:tcPr>
            <w:tcW w:w="1263" w:type="dxa"/>
            <w:tcBorders>
              <w:top w:val="single" w:sz="4" w:space="0" w:color="auto"/>
              <w:left w:val="nil"/>
              <w:bottom w:val="single" w:sz="4" w:space="0" w:color="auto"/>
              <w:right w:val="nil"/>
            </w:tcBorders>
            <w:noWrap/>
            <w:vAlign w:val="bottom"/>
            <w:hideMark/>
          </w:tcPr>
          <w:p w14:paraId="4ACFAD2F" w14:textId="77777777" w:rsidR="00356BCB" w:rsidRPr="00597FFB" w:rsidRDefault="00356BCB" w:rsidP="00356BCB">
            <w:pPr>
              <w:widowControl w:val="0"/>
              <w:spacing w:after="0" w:line="240" w:lineRule="auto"/>
              <w:jc w:val="both"/>
              <w:rPr>
                <w:rFonts w:ascii="Times New Roman" w:hAnsi="Times New Roman" w:cs="Times New Roman"/>
              </w:rPr>
            </w:pPr>
            <w:bookmarkStart w:id="227" w:name="_Hlk125795735"/>
          </w:p>
        </w:tc>
        <w:tc>
          <w:tcPr>
            <w:tcW w:w="1224" w:type="dxa"/>
            <w:tcBorders>
              <w:top w:val="single" w:sz="4" w:space="0" w:color="auto"/>
              <w:left w:val="nil"/>
              <w:bottom w:val="single" w:sz="4" w:space="0" w:color="auto"/>
              <w:right w:val="nil"/>
            </w:tcBorders>
            <w:noWrap/>
            <w:vAlign w:val="bottom"/>
            <w:hideMark/>
          </w:tcPr>
          <w:p w14:paraId="1C33C170"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AT</w:t>
            </w:r>
          </w:p>
        </w:tc>
        <w:tc>
          <w:tcPr>
            <w:tcW w:w="1224" w:type="dxa"/>
            <w:tcBorders>
              <w:top w:val="single" w:sz="4" w:space="0" w:color="auto"/>
              <w:left w:val="nil"/>
              <w:bottom w:val="single" w:sz="4" w:space="0" w:color="auto"/>
              <w:right w:val="nil"/>
            </w:tcBorders>
            <w:noWrap/>
            <w:vAlign w:val="bottom"/>
            <w:hideMark/>
          </w:tcPr>
          <w:p w14:paraId="0890A59B"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SN</w:t>
            </w:r>
          </w:p>
        </w:tc>
        <w:tc>
          <w:tcPr>
            <w:tcW w:w="1224" w:type="dxa"/>
            <w:tcBorders>
              <w:top w:val="single" w:sz="4" w:space="0" w:color="auto"/>
              <w:left w:val="nil"/>
              <w:bottom w:val="single" w:sz="4" w:space="0" w:color="auto"/>
              <w:right w:val="nil"/>
            </w:tcBorders>
            <w:noWrap/>
            <w:vAlign w:val="bottom"/>
            <w:hideMark/>
          </w:tcPr>
          <w:p w14:paraId="302DDC76"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PCB</w:t>
            </w:r>
          </w:p>
        </w:tc>
        <w:tc>
          <w:tcPr>
            <w:tcW w:w="1224" w:type="dxa"/>
            <w:tcBorders>
              <w:top w:val="single" w:sz="4" w:space="0" w:color="auto"/>
              <w:left w:val="nil"/>
              <w:bottom w:val="single" w:sz="4" w:space="0" w:color="auto"/>
              <w:right w:val="nil"/>
            </w:tcBorders>
            <w:noWrap/>
            <w:vAlign w:val="bottom"/>
            <w:hideMark/>
          </w:tcPr>
          <w:p w14:paraId="6A6F7AB3"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IN</w:t>
            </w:r>
          </w:p>
        </w:tc>
        <w:tc>
          <w:tcPr>
            <w:tcW w:w="1270" w:type="dxa"/>
            <w:tcBorders>
              <w:top w:val="single" w:sz="4" w:space="0" w:color="auto"/>
              <w:left w:val="nil"/>
              <w:bottom w:val="single" w:sz="4" w:space="0" w:color="auto"/>
              <w:right w:val="nil"/>
            </w:tcBorders>
            <w:noWrap/>
            <w:vAlign w:val="bottom"/>
            <w:hideMark/>
          </w:tcPr>
          <w:p w14:paraId="51C30B14"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EWRBI</w:t>
            </w:r>
          </w:p>
        </w:tc>
      </w:tr>
      <w:tr w:rsidR="00356BCB" w:rsidRPr="00597FFB" w14:paraId="610CAF16" w14:textId="77777777" w:rsidTr="00356BCB">
        <w:trPr>
          <w:cantSplit/>
          <w:trHeight w:val="295"/>
        </w:trPr>
        <w:tc>
          <w:tcPr>
            <w:tcW w:w="1263" w:type="dxa"/>
            <w:tcBorders>
              <w:top w:val="single" w:sz="4" w:space="0" w:color="auto"/>
              <w:left w:val="nil"/>
              <w:bottom w:val="nil"/>
              <w:right w:val="nil"/>
            </w:tcBorders>
            <w:noWrap/>
            <w:vAlign w:val="bottom"/>
            <w:hideMark/>
          </w:tcPr>
          <w:p w14:paraId="328FFB5C"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AT</w:t>
            </w:r>
          </w:p>
        </w:tc>
        <w:tc>
          <w:tcPr>
            <w:tcW w:w="1224" w:type="dxa"/>
            <w:tcBorders>
              <w:top w:val="single" w:sz="4" w:space="0" w:color="auto"/>
              <w:left w:val="nil"/>
              <w:bottom w:val="nil"/>
              <w:right w:val="nil"/>
            </w:tcBorders>
            <w:noWrap/>
            <w:vAlign w:val="bottom"/>
            <w:hideMark/>
          </w:tcPr>
          <w:p w14:paraId="58AAB6FC"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1</w:t>
            </w:r>
          </w:p>
        </w:tc>
        <w:tc>
          <w:tcPr>
            <w:tcW w:w="1224" w:type="dxa"/>
            <w:tcBorders>
              <w:top w:val="single" w:sz="4" w:space="0" w:color="auto"/>
              <w:left w:val="nil"/>
              <w:bottom w:val="nil"/>
              <w:right w:val="nil"/>
            </w:tcBorders>
            <w:noWrap/>
            <w:vAlign w:val="bottom"/>
            <w:hideMark/>
          </w:tcPr>
          <w:p w14:paraId="283AD517"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.807**</w:t>
            </w:r>
          </w:p>
        </w:tc>
        <w:tc>
          <w:tcPr>
            <w:tcW w:w="1224" w:type="dxa"/>
            <w:tcBorders>
              <w:top w:val="single" w:sz="4" w:space="0" w:color="auto"/>
              <w:left w:val="nil"/>
              <w:bottom w:val="nil"/>
              <w:right w:val="nil"/>
            </w:tcBorders>
            <w:noWrap/>
            <w:vAlign w:val="bottom"/>
            <w:hideMark/>
          </w:tcPr>
          <w:p w14:paraId="740D8A46"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.821**</w:t>
            </w:r>
          </w:p>
        </w:tc>
        <w:tc>
          <w:tcPr>
            <w:tcW w:w="1224" w:type="dxa"/>
            <w:tcBorders>
              <w:top w:val="single" w:sz="4" w:space="0" w:color="auto"/>
              <w:left w:val="nil"/>
              <w:bottom w:val="nil"/>
              <w:right w:val="nil"/>
            </w:tcBorders>
            <w:noWrap/>
            <w:vAlign w:val="bottom"/>
            <w:hideMark/>
          </w:tcPr>
          <w:p w14:paraId="467EA51A"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.509**</w:t>
            </w:r>
          </w:p>
        </w:tc>
        <w:tc>
          <w:tcPr>
            <w:tcW w:w="1270" w:type="dxa"/>
            <w:tcBorders>
              <w:top w:val="single" w:sz="4" w:space="0" w:color="auto"/>
              <w:left w:val="nil"/>
              <w:bottom w:val="nil"/>
              <w:right w:val="nil"/>
            </w:tcBorders>
            <w:noWrap/>
            <w:vAlign w:val="bottom"/>
            <w:hideMark/>
          </w:tcPr>
          <w:p w14:paraId="0390B216"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.648**</w:t>
            </w:r>
          </w:p>
        </w:tc>
      </w:tr>
      <w:tr w:rsidR="00356BCB" w:rsidRPr="00597FFB" w14:paraId="2D2A15B0" w14:textId="77777777" w:rsidTr="00356BCB">
        <w:trPr>
          <w:cantSplit/>
          <w:trHeight w:val="295"/>
        </w:trPr>
        <w:tc>
          <w:tcPr>
            <w:tcW w:w="1263" w:type="dxa"/>
            <w:noWrap/>
            <w:vAlign w:val="bottom"/>
            <w:hideMark/>
          </w:tcPr>
          <w:p w14:paraId="3EA5C891"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SN</w:t>
            </w:r>
          </w:p>
        </w:tc>
        <w:tc>
          <w:tcPr>
            <w:tcW w:w="1224" w:type="dxa"/>
            <w:noWrap/>
            <w:vAlign w:val="bottom"/>
            <w:hideMark/>
          </w:tcPr>
          <w:p w14:paraId="790C39E4" w14:textId="77777777" w:rsidR="00356BCB" w:rsidRPr="00597FFB" w:rsidRDefault="00356BCB" w:rsidP="00356BCB">
            <w:pPr>
              <w:widowControl w:val="0"/>
              <w:spacing w:after="0" w:line="240" w:lineRule="auto"/>
              <w:jc w:val="both"/>
              <w:rPr>
                <w:rFonts w:ascii="Times New Roman" w:hAnsi="Times New Roman" w:cs="Times New Roman"/>
                <w:b/>
              </w:rPr>
            </w:pPr>
          </w:p>
        </w:tc>
        <w:tc>
          <w:tcPr>
            <w:tcW w:w="1224" w:type="dxa"/>
            <w:noWrap/>
            <w:vAlign w:val="bottom"/>
            <w:hideMark/>
          </w:tcPr>
          <w:p w14:paraId="6515CA26"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1</w:t>
            </w:r>
          </w:p>
        </w:tc>
        <w:tc>
          <w:tcPr>
            <w:tcW w:w="1224" w:type="dxa"/>
            <w:noWrap/>
            <w:vAlign w:val="bottom"/>
            <w:hideMark/>
          </w:tcPr>
          <w:p w14:paraId="0FF90A6B"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.852**</w:t>
            </w:r>
          </w:p>
        </w:tc>
        <w:tc>
          <w:tcPr>
            <w:tcW w:w="1224" w:type="dxa"/>
            <w:noWrap/>
            <w:vAlign w:val="bottom"/>
            <w:hideMark/>
          </w:tcPr>
          <w:p w14:paraId="601172F3"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.553**</w:t>
            </w:r>
          </w:p>
        </w:tc>
        <w:tc>
          <w:tcPr>
            <w:tcW w:w="1270" w:type="dxa"/>
            <w:noWrap/>
            <w:vAlign w:val="bottom"/>
            <w:hideMark/>
          </w:tcPr>
          <w:p w14:paraId="1873CA71"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.676**</w:t>
            </w:r>
          </w:p>
        </w:tc>
      </w:tr>
      <w:tr w:rsidR="00356BCB" w:rsidRPr="00597FFB" w14:paraId="109A3514" w14:textId="77777777" w:rsidTr="00356BCB">
        <w:trPr>
          <w:cantSplit/>
          <w:trHeight w:val="295"/>
        </w:trPr>
        <w:tc>
          <w:tcPr>
            <w:tcW w:w="1263" w:type="dxa"/>
            <w:noWrap/>
            <w:vAlign w:val="bottom"/>
            <w:hideMark/>
          </w:tcPr>
          <w:p w14:paraId="428EC319"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PCB</w:t>
            </w:r>
          </w:p>
        </w:tc>
        <w:tc>
          <w:tcPr>
            <w:tcW w:w="1224" w:type="dxa"/>
            <w:noWrap/>
            <w:vAlign w:val="bottom"/>
            <w:hideMark/>
          </w:tcPr>
          <w:p w14:paraId="79DF7ED4" w14:textId="77777777" w:rsidR="00356BCB" w:rsidRPr="00597FFB" w:rsidRDefault="00356BCB" w:rsidP="00356BCB">
            <w:pPr>
              <w:widowControl w:val="0"/>
              <w:spacing w:after="0" w:line="240" w:lineRule="auto"/>
              <w:jc w:val="both"/>
              <w:rPr>
                <w:rFonts w:ascii="Times New Roman" w:hAnsi="Times New Roman" w:cs="Times New Roman"/>
                <w:b/>
              </w:rPr>
            </w:pPr>
          </w:p>
        </w:tc>
        <w:tc>
          <w:tcPr>
            <w:tcW w:w="1224" w:type="dxa"/>
            <w:noWrap/>
            <w:vAlign w:val="bottom"/>
            <w:hideMark/>
          </w:tcPr>
          <w:p w14:paraId="0E1188AC" w14:textId="77777777" w:rsidR="00356BCB" w:rsidRPr="00597FFB" w:rsidRDefault="00356BCB" w:rsidP="00356BCB">
            <w:pPr>
              <w:widowControl w:val="0"/>
              <w:spacing w:after="0" w:line="240" w:lineRule="auto"/>
              <w:jc w:val="both"/>
              <w:rPr>
                <w:rFonts w:ascii="Times New Roman" w:hAnsi="Times New Roman" w:cs="Times New Roman"/>
              </w:rPr>
            </w:pPr>
          </w:p>
        </w:tc>
        <w:tc>
          <w:tcPr>
            <w:tcW w:w="1224" w:type="dxa"/>
            <w:noWrap/>
            <w:vAlign w:val="bottom"/>
            <w:hideMark/>
          </w:tcPr>
          <w:p w14:paraId="51B4F97D"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1</w:t>
            </w:r>
          </w:p>
        </w:tc>
        <w:tc>
          <w:tcPr>
            <w:tcW w:w="1224" w:type="dxa"/>
            <w:noWrap/>
            <w:vAlign w:val="bottom"/>
            <w:hideMark/>
          </w:tcPr>
          <w:p w14:paraId="26D4036F"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.569**</w:t>
            </w:r>
          </w:p>
        </w:tc>
        <w:tc>
          <w:tcPr>
            <w:tcW w:w="1270" w:type="dxa"/>
            <w:noWrap/>
            <w:vAlign w:val="bottom"/>
            <w:hideMark/>
          </w:tcPr>
          <w:p w14:paraId="2E9476B1"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.688**</w:t>
            </w:r>
          </w:p>
        </w:tc>
      </w:tr>
      <w:tr w:rsidR="00356BCB" w:rsidRPr="00597FFB" w14:paraId="2ECE1EF6" w14:textId="77777777" w:rsidTr="00356BCB">
        <w:trPr>
          <w:cantSplit/>
          <w:trHeight w:val="295"/>
        </w:trPr>
        <w:tc>
          <w:tcPr>
            <w:tcW w:w="1263" w:type="dxa"/>
            <w:noWrap/>
            <w:vAlign w:val="bottom"/>
            <w:hideMark/>
          </w:tcPr>
          <w:p w14:paraId="06F2EC67"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IN</w:t>
            </w:r>
          </w:p>
        </w:tc>
        <w:tc>
          <w:tcPr>
            <w:tcW w:w="1224" w:type="dxa"/>
            <w:noWrap/>
            <w:vAlign w:val="bottom"/>
            <w:hideMark/>
          </w:tcPr>
          <w:p w14:paraId="3063DE5F" w14:textId="77777777" w:rsidR="00356BCB" w:rsidRPr="00597FFB" w:rsidRDefault="00356BCB" w:rsidP="00356BCB">
            <w:pPr>
              <w:widowControl w:val="0"/>
              <w:spacing w:after="0" w:line="240" w:lineRule="auto"/>
              <w:jc w:val="both"/>
              <w:rPr>
                <w:rFonts w:ascii="Times New Roman" w:hAnsi="Times New Roman" w:cs="Times New Roman"/>
                <w:b/>
              </w:rPr>
            </w:pPr>
          </w:p>
        </w:tc>
        <w:tc>
          <w:tcPr>
            <w:tcW w:w="1224" w:type="dxa"/>
            <w:noWrap/>
            <w:vAlign w:val="bottom"/>
            <w:hideMark/>
          </w:tcPr>
          <w:p w14:paraId="0256A9C6" w14:textId="77777777" w:rsidR="00356BCB" w:rsidRPr="00597FFB" w:rsidRDefault="00356BCB" w:rsidP="00356BCB">
            <w:pPr>
              <w:widowControl w:val="0"/>
              <w:spacing w:after="0" w:line="240" w:lineRule="auto"/>
              <w:jc w:val="both"/>
              <w:rPr>
                <w:rFonts w:ascii="Times New Roman" w:hAnsi="Times New Roman" w:cs="Times New Roman"/>
              </w:rPr>
            </w:pPr>
          </w:p>
        </w:tc>
        <w:tc>
          <w:tcPr>
            <w:tcW w:w="1224" w:type="dxa"/>
            <w:noWrap/>
            <w:vAlign w:val="bottom"/>
            <w:hideMark/>
          </w:tcPr>
          <w:p w14:paraId="51BBBA70" w14:textId="77777777" w:rsidR="00356BCB" w:rsidRPr="00597FFB" w:rsidRDefault="00356BCB" w:rsidP="00356BCB">
            <w:pPr>
              <w:widowControl w:val="0"/>
              <w:spacing w:after="0" w:line="240" w:lineRule="auto"/>
              <w:jc w:val="both"/>
              <w:rPr>
                <w:rFonts w:ascii="Times New Roman" w:hAnsi="Times New Roman" w:cs="Times New Roman"/>
              </w:rPr>
            </w:pPr>
          </w:p>
        </w:tc>
        <w:tc>
          <w:tcPr>
            <w:tcW w:w="1224" w:type="dxa"/>
            <w:noWrap/>
            <w:vAlign w:val="bottom"/>
            <w:hideMark/>
          </w:tcPr>
          <w:p w14:paraId="29EC4CA8"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1</w:t>
            </w:r>
          </w:p>
        </w:tc>
        <w:tc>
          <w:tcPr>
            <w:tcW w:w="1270" w:type="dxa"/>
            <w:noWrap/>
            <w:vAlign w:val="bottom"/>
            <w:hideMark/>
          </w:tcPr>
          <w:p w14:paraId="69459E13"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.731**</w:t>
            </w:r>
          </w:p>
        </w:tc>
      </w:tr>
      <w:tr w:rsidR="00356BCB" w:rsidRPr="00597FFB" w14:paraId="6D8FE79B" w14:textId="77777777" w:rsidTr="00356BCB">
        <w:trPr>
          <w:cantSplit/>
          <w:trHeight w:val="295"/>
        </w:trPr>
        <w:tc>
          <w:tcPr>
            <w:tcW w:w="1263" w:type="dxa"/>
            <w:noWrap/>
            <w:vAlign w:val="bottom"/>
            <w:hideMark/>
          </w:tcPr>
          <w:p w14:paraId="348697F6" w14:textId="77777777" w:rsidR="00356BCB" w:rsidRPr="00597FFB" w:rsidRDefault="00356BCB" w:rsidP="00356BCB">
            <w:pPr>
              <w:widowControl w:val="0"/>
              <w:spacing w:after="0" w:line="240" w:lineRule="auto"/>
              <w:jc w:val="both"/>
              <w:rPr>
                <w:rFonts w:ascii="Times New Roman" w:hAnsi="Times New Roman" w:cs="Times New Roman"/>
                <w:b/>
              </w:rPr>
            </w:pPr>
            <w:r w:rsidRPr="00597FFB">
              <w:rPr>
                <w:rFonts w:ascii="Times New Roman" w:hAnsi="Times New Roman" w:cs="Times New Roman"/>
                <w:b/>
              </w:rPr>
              <w:t>EWRBI</w:t>
            </w:r>
          </w:p>
        </w:tc>
        <w:tc>
          <w:tcPr>
            <w:tcW w:w="1224" w:type="dxa"/>
            <w:noWrap/>
            <w:vAlign w:val="bottom"/>
            <w:hideMark/>
          </w:tcPr>
          <w:p w14:paraId="2A8094FB" w14:textId="77777777" w:rsidR="00356BCB" w:rsidRPr="00597FFB" w:rsidRDefault="00356BCB" w:rsidP="00356BCB">
            <w:pPr>
              <w:widowControl w:val="0"/>
              <w:spacing w:after="0" w:line="240" w:lineRule="auto"/>
              <w:jc w:val="both"/>
              <w:rPr>
                <w:rFonts w:ascii="Times New Roman" w:hAnsi="Times New Roman" w:cs="Times New Roman"/>
                <w:b/>
              </w:rPr>
            </w:pPr>
          </w:p>
        </w:tc>
        <w:tc>
          <w:tcPr>
            <w:tcW w:w="1224" w:type="dxa"/>
            <w:noWrap/>
            <w:vAlign w:val="bottom"/>
            <w:hideMark/>
          </w:tcPr>
          <w:p w14:paraId="21E02825" w14:textId="77777777" w:rsidR="00356BCB" w:rsidRPr="00597FFB" w:rsidRDefault="00356BCB" w:rsidP="00356BCB">
            <w:pPr>
              <w:widowControl w:val="0"/>
              <w:spacing w:after="0" w:line="240" w:lineRule="auto"/>
              <w:jc w:val="both"/>
              <w:rPr>
                <w:rFonts w:ascii="Times New Roman" w:hAnsi="Times New Roman" w:cs="Times New Roman"/>
              </w:rPr>
            </w:pPr>
          </w:p>
        </w:tc>
        <w:tc>
          <w:tcPr>
            <w:tcW w:w="1224" w:type="dxa"/>
            <w:noWrap/>
            <w:vAlign w:val="bottom"/>
            <w:hideMark/>
          </w:tcPr>
          <w:p w14:paraId="2F70C771" w14:textId="77777777" w:rsidR="00356BCB" w:rsidRPr="00597FFB" w:rsidRDefault="00356BCB" w:rsidP="00356BCB">
            <w:pPr>
              <w:widowControl w:val="0"/>
              <w:spacing w:after="0" w:line="240" w:lineRule="auto"/>
              <w:jc w:val="both"/>
              <w:rPr>
                <w:rFonts w:ascii="Times New Roman" w:hAnsi="Times New Roman" w:cs="Times New Roman"/>
              </w:rPr>
            </w:pPr>
          </w:p>
        </w:tc>
        <w:tc>
          <w:tcPr>
            <w:tcW w:w="1224" w:type="dxa"/>
            <w:noWrap/>
            <w:vAlign w:val="bottom"/>
            <w:hideMark/>
          </w:tcPr>
          <w:p w14:paraId="14A01624" w14:textId="77777777" w:rsidR="00356BCB" w:rsidRPr="00597FFB" w:rsidRDefault="00356BCB" w:rsidP="00356BCB">
            <w:pPr>
              <w:widowControl w:val="0"/>
              <w:spacing w:after="0" w:line="240" w:lineRule="auto"/>
              <w:jc w:val="both"/>
              <w:rPr>
                <w:rFonts w:ascii="Times New Roman" w:hAnsi="Times New Roman" w:cs="Times New Roman"/>
              </w:rPr>
            </w:pPr>
          </w:p>
        </w:tc>
        <w:tc>
          <w:tcPr>
            <w:tcW w:w="1270" w:type="dxa"/>
            <w:noWrap/>
            <w:vAlign w:val="bottom"/>
            <w:hideMark/>
          </w:tcPr>
          <w:p w14:paraId="5C7E1F9E" w14:textId="77777777" w:rsidR="00356BCB" w:rsidRPr="00597FFB" w:rsidRDefault="00356BCB" w:rsidP="00356BCB">
            <w:pPr>
              <w:widowControl w:val="0"/>
              <w:spacing w:after="0" w:line="240" w:lineRule="auto"/>
              <w:jc w:val="both"/>
              <w:rPr>
                <w:rFonts w:ascii="Times New Roman" w:hAnsi="Times New Roman" w:cs="Times New Roman"/>
              </w:rPr>
            </w:pPr>
            <w:r w:rsidRPr="00597FFB">
              <w:rPr>
                <w:rFonts w:ascii="Times New Roman" w:hAnsi="Times New Roman" w:cs="Times New Roman"/>
              </w:rPr>
              <w:t>1</w:t>
            </w:r>
          </w:p>
        </w:tc>
      </w:tr>
      <w:tr w:rsidR="00356BCB" w:rsidRPr="00597FFB" w14:paraId="745E850E" w14:textId="77777777" w:rsidTr="00356BCB">
        <w:trPr>
          <w:cantSplit/>
          <w:trHeight w:val="295"/>
        </w:trPr>
        <w:tc>
          <w:tcPr>
            <w:tcW w:w="7429" w:type="dxa"/>
            <w:gridSpan w:val="6"/>
            <w:tcBorders>
              <w:bottom w:val="single" w:sz="4" w:space="0" w:color="auto"/>
            </w:tcBorders>
            <w:noWrap/>
            <w:vAlign w:val="bottom"/>
          </w:tcPr>
          <w:p w14:paraId="44B52523" w14:textId="77777777" w:rsidR="00356BCB" w:rsidRPr="00597FFB" w:rsidRDefault="00356BCB" w:rsidP="00356BCB">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sz w:val="20"/>
                <w:szCs w:val="20"/>
              </w:rPr>
              <w:t>Note: *** indicate P&lt;0.01, ** P&lt;0.05, * P&lt;0.1</w:t>
            </w:r>
          </w:p>
        </w:tc>
      </w:tr>
    </w:tbl>
    <w:p w14:paraId="39792D9E" w14:textId="634060C1" w:rsidR="00973EC3" w:rsidRPr="00597FFB" w:rsidRDefault="00973EC3" w:rsidP="00973EC3">
      <w:pPr>
        <w:spacing w:line="480" w:lineRule="auto"/>
        <w:jc w:val="both"/>
        <w:rPr>
          <w:rFonts w:asciiTheme="majorBidi" w:hAnsiTheme="majorBidi" w:cstheme="majorBidi"/>
          <w:i/>
          <w:iCs/>
        </w:rPr>
      </w:pPr>
      <w:r w:rsidRPr="00597FFB">
        <w:rPr>
          <w:rFonts w:asciiTheme="majorBidi" w:hAnsiTheme="majorBidi" w:cstheme="majorBidi"/>
          <w:b/>
          <w:bCs/>
        </w:rPr>
        <w:t>Table 1</w:t>
      </w:r>
      <w:r w:rsidR="00607DF3" w:rsidRPr="00597FFB">
        <w:rPr>
          <w:rFonts w:asciiTheme="majorBidi" w:hAnsiTheme="majorBidi" w:cstheme="majorBidi"/>
          <w:b/>
          <w:bCs/>
        </w:rPr>
        <w:t>4</w:t>
      </w:r>
      <w:r w:rsidRPr="00597FFB">
        <w:rPr>
          <w:rFonts w:asciiTheme="majorBidi" w:hAnsiTheme="majorBidi" w:cstheme="majorBidi"/>
          <w:b/>
          <w:bCs/>
        </w:rPr>
        <w:t>:</w:t>
      </w:r>
      <w:r w:rsidRPr="00597FFB">
        <w:rPr>
          <w:rFonts w:asciiTheme="majorBidi" w:hAnsiTheme="majorBidi" w:cstheme="majorBidi"/>
          <w:b/>
          <w:bCs/>
          <w:i/>
          <w:iCs/>
          <w:color w:val="000000"/>
        </w:rPr>
        <w:t xml:space="preserve"> </w:t>
      </w:r>
      <w:r w:rsidRPr="00597FFB">
        <w:rPr>
          <w:rFonts w:asciiTheme="majorBidi" w:hAnsiTheme="majorBidi" w:cstheme="majorBidi"/>
          <w:i/>
          <w:iCs/>
        </w:rPr>
        <w:t xml:space="preserve">Correlation Matrix </w:t>
      </w:r>
      <w:r w:rsidR="00072848" w:rsidRPr="00597FFB">
        <w:rPr>
          <w:rFonts w:asciiTheme="majorBidi" w:hAnsiTheme="majorBidi" w:cstheme="majorBidi"/>
          <w:i/>
          <w:iCs/>
        </w:rPr>
        <w:t>o</w:t>
      </w:r>
      <w:r w:rsidRPr="00597FFB">
        <w:rPr>
          <w:rFonts w:asciiTheme="majorBidi" w:hAnsiTheme="majorBidi" w:cstheme="majorBidi"/>
          <w:i/>
          <w:iCs/>
        </w:rPr>
        <w:t>f Extended TPB Model Constructs</w:t>
      </w:r>
      <w:r w:rsidR="007A3C7E" w:rsidRPr="00597FFB">
        <w:rPr>
          <w:rFonts w:asciiTheme="majorBidi" w:hAnsiTheme="majorBidi" w:cstheme="majorBidi"/>
          <w:i/>
          <w:iCs/>
        </w:rPr>
        <w:t>.</w:t>
      </w:r>
    </w:p>
    <w:bookmarkEnd w:id="227"/>
    <w:p w14:paraId="29B76258" w14:textId="77777777" w:rsidR="00035B64" w:rsidRPr="00597FFB" w:rsidRDefault="00035B64" w:rsidP="00035B64">
      <w:pPr>
        <w:widowControl w:val="0"/>
        <w:spacing w:line="480" w:lineRule="auto"/>
        <w:ind w:firstLine="720"/>
        <w:jc w:val="both"/>
        <w:rPr>
          <w:rFonts w:asciiTheme="majorBidi" w:hAnsiTheme="majorBidi" w:cstheme="majorBidi"/>
          <w:b/>
          <w:bCs/>
        </w:rPr>
      </w:pPr>
    </w:p>
    <w:p w14:paraId="4377ABE6" w14:textId="036DDFEC"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To check for this multicollinearity risk, variance inflation factors (VIFs) were tested and found to fall below the acceptable maximum score of 10 with the lowest being incentives (1.734) and the highest being PCB (5.972) to indicate a non-significant multicollinearity risk (Henseler et al., 2016), as shown in Table 1</w:t>
      </w:r>
      <w:r w:rsidR="003C1AE5" w:rsidRPr="00597FFB">
        <w:rPr>
          <w:rFonts w:ascii="Times New Roman" w:hAnsi="Times New Roman" w:cs="Times New Roman"/>
          <w:sz w:val="24"/>
          <w:szCs w:val="24"/>
        </w:rPr>
        <w:t>4</w:t>
      </w:r>
      <w:r w:rsidRPr="00597FFB">
        <w:rPr>
          <w:rFonts w:ascii="Times New Roman" w:hAnsi="Times New Roman" w:cs="Times New Roman"/>
          <w:sz w:val="24"/>
          <w:szCs w:val="24"/>
        </w:rPr>
        <w:t xml:space="preserve">. An appropriate internal consistency level was recorded for all constructs as the Cronbach’s Alpha (a) values range from </w:t>
      </w:r>
      <w:r w:rsidRPr="00597FFB">
        <w:rPr>
          <w:rFonts w:ascii="Times New Roman" w:hAnsi="Times New Roman" w:cs="Times New Roman"/>
          <w:color w:val="000000"/>
          <w:sz w:val="24"/>
          <w:szCs w:val="24"/>
        </w:rPr>
        <w:t xml:space="preserve">0.731 (incentives) to 0.983 (environmental concern). </w:t>
      </w:r>
      <w:r w:rsidRPr="00597FFB">
        <w:rPr>
          <w:rFonts w:ascii="Times New Roman" w:hAnsi="Times New Roman" w:cs="Times New Roman"/>
          <w:sz w:val="24"/>
          <w:szCs w:val="24"/>
        </w:rPr>
        <w:t>The Cronbach’s Alpha for attitude (used to measure attitude) was 0.752. The Cronbach’s alpha for subjective norm, perceived behavioral control, EWR behavioral intention, and adoption of EWR were 0.823, 0.856, 0.933, and 0.872 respectively as per Table 1</w:t>
      </w:r>
      <w:r w:rsidR="00BD2F09" w:rsidRPr="00597FFB">
        <w:rPr>
          <w:rFonts w:ascii="Times New Roman" w:hAnsi="Times New Roman" w:cs="Times New Roman"/>
          <w:sz w:val="24"/>
          <w:szCs w:val="24"/>
        </w:rPr>
        <w:t>4</w:t>
      </w:r>
      <w:r w:rsidRPr="00597FFB">
        <w:rPr>
          <w:rFonts w:ascii="Times New Roman" w:hAnsi="Times New Roman" w:cs="Times New Roman"/>
          <w:sz w:val="24"/>
          <w:szCs w:val="24"/>
        </w:rPr>
        <w:t>. This was an indication of reasonable internal consistency and a confirmation that the questionnaire measured what it was designed to measure (Hair Jr. et al., 2021).</w:t>
      </w:r>
    </w:p>
    <w:p w14:paraId="610A6873" w14:textId="0E16E57A" w:rsidR="00E52362" w:rsidRPr="00597FFB" w:rsidRDefault="00E52362" w:rsidP="00035B64">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Discriminant validity was examined using the Fornell-Larcker Criterion.</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 xml:space="preserve">The interitem correlation provides a precise measure of construct homogeneity and dimensionality that differs from the reliability statistic. The interitem correlations for the constructs ranged </w:t>
      </w:r>
      <w:r w:rsidRPr="00597FFB">
        <w:rPr>
          <w:rFonts w:ascii="Times New Roman" w:hAnsi="Times New Roman" w:cs="Times New Roman"/>
          <w:color w:val="000000"/>
          <w:sz w:val="24"/>
          <w:szCs w:val="24"/>
        </w:rPr>
        <w:t>from 0.509 to 0.852 with</w:t>
      </w:r>
      <w:r w:rsidRPr="00597FFB">
        <w:rPr>
          <w:rFonts w:ascii="Times New Roman" w:hAnsi="Times New Roman" w:cs="Times New Roman"/>
          <w:sz w:val="24"/>
          <w:szCs w:val="24"/>
        </w:rPr>
        <w:t xml:space="preserve"> more than 50% of the interitem correlations falling between</w:t>
      </w:r>
      <w:r w:rsidRPr="00597FFB">
        <w:rPr>
          <w:rFonts w:ascii="Times New Roman" w:hAnsi="Times New Roman" w:cs="Times New Roman"/>
          <w:color w:val="C00000"/>
          <w:sz w:val="24"/>
          <w:szCs w:val="24"/>
        </w:rPr>
        <w:t xml:space="preserve"> </w:t>
      </w:r>
      <w:r w:rsidRPr="00597FFB">
        <w:rPr>
          <w:rFonts w:ascii="Times New Roman" w:hAnsi="Times New Roman" w:cs="Times New Roman"/>
          <w:color w:val="000000"/>
          <w:sz w:val="24"/>
          <w:szCs w:val="24"/>
        </w:rPr>
        <w:t>0.30 and 0.70 to satisfy</w:t>
      </w:r>
      <w:r w:rsidRPr="00597FFB">
        <w:rPr>
          <w:rFonts w:ascii="Times New Roman" w:hAnsi="Times New Roman" w:cs="Times New Roman"/>
          <w:sz w:val="24"/>
          <w:szCs w:val="24"/>
        </w:rPr>
        <w:t xml:space="preserve"> scale development criteria (Tabachnick &amp; Fidell, 2001).</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The greatest correlation ratio in the measurement model was less than the cut-off point of 0.90 (Hair Jr. et al., 2017), which demonstrated an acceptable discriminant validity level in the measurement model (see Table 1</w:t>
      </w:r>
      <w:r w:rsidR="00A76A23" w:rsidRPr="00597FFB">
        <w:rPr>
          <w:rFonts w:ascii="Times New Roman" w:hAnsi="Times New Roman" w:cs="Times New Roman"/>
          <w:sz w:val="24"/>
          <w:szCs w:val="24"/>
        </w:rPr>
        <w:t>5</w:t>
      </w:r>
      <w:r w:rsidRPr="00597FFB">
        <w:rPr>
          <w:rFonts w:ascii="Times New Roman" w:hAnsi="Times New Roman" w:cs="Times New Roman"/>
          <w:sz w:val="24"/>
          <w:szCs w:val="24"/>
        </w:rPr>
        <w:t xml:space="preserve"> </w:t>
      </w:r>
      <w:r w:rsidR="00A76A23" w:rsidRPr="00597FFB">
        <w:rPr>
          <w:rFonts w:ascii="Times New Roman" w:hAnsi="Times New Roman" w:cs="Times New Roman"/>
          <w:sz w:val="24"/>
          <w:szCs w:val="24"/>
        </w:rPr>
        <w:t>below</w:t>
      </w:r>
      <w:r w:rsidRPr="00597FFB">
        <w:rPr>
          <w:rFonts w:ascii="Times New Roman" w:hAnsi="Times New Roman" w:cs="Times New Roman"/>
          <w:sz w:val="24"/>
          <w:szCs w:val="24"/>
        </w:rPr>
        <w:t>).</w:t>
      </w:r>
    </w:p>
    <w:p w14:paraId="6755F212" w14:textId="0D6DDFCB" w:rsidR="00E52362" w:rsidRPr="00597FFB" w:rsidRDefault="00E52362" w:rsidP="00035B64">
      <w:pPr>
        <w:widowControl w:val="0"/>
        <w:spacing w:after="0" w:line="480" w:lineRule="auto"/>
        <w:ind w:firstLine="720"/>
        <w:jc w:val="both"/>
        <w:rPr>
          <w:rFonts w:ascii="Times New Roman" w:hAnsi="Times New Roman" w:cs="Times New Roman"/>
          <w:color w:val="000000"/>
          <w:sz w:val="24"/>
          <w:szCs w:val="24"/>
        </w:rPr>
      </w:pPr>
      <w:r w:rsidRPr="00597FFB">
        <w:rPr>
          <w:rFonts w:ascii="Times New Roman" w:hAnsi="Times New Roman" w:cs="Times New Roman"/>
          <w:sz w:val="24"/>
          <w:szCs w:val="24"/>
        </w:rPr>
        <w:t>The composite reliability coefficients were above the acceptable minimum threshold of 0.60 for exploratory research although this was not the case for attitude and incentives, which had scores of 0.547 and 0.276, as shown in Table 1</w:t>
      </w:r>
      <w:r w:rsidR="00214D81" w:rsidRPr="00597FFB">
        <w:rPr>
          <w:rFonts w:ascii="Times New Roman" w:hAnsi="Times New Roman" w:cs="Times New Roman"/>
          <w:sz w:val="24"/>
          <w:szCs w:val="24"/>
        </w:rPr>
        <w:t>5</w:t>
      </w:r>
      <w:r w:rsidRPr="00597FFB">
        <w:rPr>
          <w:rFonts w:ascii="Times New Roman" w:hAnsi="Times New Roman" w:cs="Times New Roman"/>
          <w:sz w:val="24"/>
          <w:szCs w:val="24"/>
        </w:rPr>
        <w:t>. For the former, this was fairly close to the 0.60 score and was deemed admissible while for the latter this could be explained by the fact that the construct had few items/factors (two only) and this tends to affect the overall composite reliability scores (Hair Jr. et al., 2021). Apart from incentives, the average variance extracted (AVE) is well above the threshold value of 0.50 thereby indicating sufficient convergent validity (Hair Jr. et al., 2022). Table 1</w:t>
      </w:r>
      <w:r w:rsidR="004C2F8E" w:rsidRPr="00597FFB">
        <w:rPr>
          <w:rFonts w:ascii="Times New Roman" w:hAnsi="Times New Roman" w:cs="Times New Roman"/>
          <w:sz w:val="24"/>
          <w:szCs w:val="24"/>
        </w:rPr>
        <w:t>5</w:t>
      </w:r>
      <w:r w:rsidRPr="00597FFB">
        <w:rPr>
          <w:rFonts w:ascii="Times New Roman" w:hAnsi="Times New Roman" w:cs="Times New Roman"/>
          <w:sz w:val="24"/>
          <w:szCs w:val="24"/>
        </w:rPr>
        <w:t xml:space="preserve"> also indicates that the minimum square root value of the AVE along the diagonal </w:t>
      </w:r>
      <w:r w:rsidRPr="00597FFB">
        <w:rPr>
          <w:rFonts w:ascii="Times New Roman" w:hAnsi="Times New Roman" w:cs="Times New Roman"/>
          <w:color w:val="000000"/>
          <w:sz w:val="24"/>
          <w:szCs w:val="24"/>
        </w:rPr>
        <w:t>line (0.658) was lower than the maximum correlation value between latent constructs (0.852). Correlation refers to the technique used to measure the relationship between two or more variables, in this case, the relationship between Behavioral Intention (BI) and the independent variables (AT, SN, PCB, EC, EWRBI, AD, IN), as shown in Table 1</w:t>
      </w:r>
      <w:r w:rsidR="00F74AA8" w:rsidRPr="00597FFB">
        <w:rPr>
          <w:rFonts w:ascii="Times New Roman" w:hAnsi="Times New Roman" w:cs="Times New Roman"/>
          <w:color w:val="000000"/>
          <w:sz w:val="24"/>
          <w:szCs w:val="24"/>
        </w:rPr>
        <w:t>5</w:t>
      </w:r>
      <w:r w:rsidRPr="00597FFB">
        <w:rPr>
          <w:rFonts w:ascii="Times New Roman" w:hAnsi="Times New Roman" w:cs="Times New Roman"/>
          <w:color w:val="000000"/>
          <w:sz w:val="24"/>
          <w:szCs w:val="24"/>
        </w:rPr>
        <w:t>.</w:t>
      </w:r>
    </w:p>
    <w:p w14:paraId="6000AF5B" w14:textId="785958F1" w:rsidR="00936BB5" w:rsidRPr="00597FFB" w:rsidRDefault="00936BB5" w:rsidP="00035B64">
      <w:pPr>
        <w:spacing w:line="276" w:lineRule="auto"/>
        <w:jc w:val="both"/>
        <w:rPr>
          <w:rFonts w:ascii="Times New Roman" w:hAnsi="Times New Roman" w:cs="Times New Roman"/>
          <w:b/>
          <w:bCs/>
          <w:i/>
          <w:iCs/>
          <w:color w:val="000000"/>
        </w:rPr>
      </w:pPr>
      <w:r w:rsidRPr="00597FFB">
        <w:rPr>
          <w:rFonts w:ascii="Times New Roman" w:hAnsi="Times New Roman" w:cs="Times New Roman"/>
          <w:b/>
          <w:bCs/>
          <w:color w:val="000000"/>
        </w:rPr>
        <w:t xml:space="preserve">Table 15: </w:t>
      </w:r>
      <w:r w:rsidRPr="00597FFB">
        <w:rPr>
          <w:rFonts w:ascii="Times New Roman" w:hAnsi="Times New Roman" w:cs="Times New Roman"/>
          <w:i/>
          <w:iCs/>
          <w:color w:val="000000"/>
        </w:rPr>
        <w:t>Descriptive Statistics, Factor Loadings, and Reliability and Validity Analysis.</w:t>
      </w:r>
    </w:p>
    <w:tbl>
      <w:tblPr>
        <w:tblW w:w="7650" w:type="dxa"/>
        <w:tblLook w:val="04A0" w:firstRow="1" w:lastRow="0" w:firstColumn="1" w:lastColumn="0" w:noHBand="0" w:noVBand="1"/>
      </w:tblPr>
      <w:tblGrid>
        <w:gridCol w:w="1006"/>
        <w:gridCol w:w="576"/>
        <w:gridCol w:w="756"/>
        <w:gridCol w:w="756"/>
        <w:gridCol w:w="928"/>
        <w:gridCol w:w="1206"/>
        <w:gridCol w:w="1128"/>
        <w:gridCol w:w="766"/>
        <w:gridCol w:w="188"/>
        <w:gridCol w:w="478"/>
      </w:tblGrid>
      <w:tr w:rsidR="00936BB5" w:rsidRPr="00597FFB" w14:paraId="28F09111" w14:textId="77777777" w:rsidTr="000E48F1">
        <w:trPr>
          <w:trHeight w:val="235"/>
        </w:trPr>
        <w:tc>
          <w:tcPr>
            <w:tcW w:w="7149" w:type="dxa"/>
            <w:gridSpan w:val="9"/>
            <w:tcBorders>
              <w:top w:val="single" w:sz="4" w:space="0" w:color="auto"/>
              <w:left w:val="nil"/>
              <w:bottom w:val="single" w:sz="4" w:space="0" w:color="auto"/>
              <w:right w:val="nil"/>
            </w:tcBorders>
            <w:noWrap/>
            <w:vAlign w:val="bottom"/>
            <w:hideMark/>
          </w:tcPr>
          <w:p w14:paraId="36CEA9A2" w14:textId="77777777" w:rsidR="00936BB5" w:rsidRPr="00597FFB" w:rsidRDefault="00936BB5"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b/>
                <w:color w:val="000000"/>
                <w:sz w:val="20"/>
                <w:szCs w:val="20"/>
              </w:rPr>
              <w:t>Descriptive Statistics, Reliability and Validity Analysis</w:t>
            </w:r>
          </w:p>
        </w:tc>
        <w:tc>
          <w:tcPr>
            <w:tcW w:w="501" w:type="dxa"/>
            <w:tcBorders>
              <w:top w:val="single" w:sz="4" w:space="0" w:color="auto"/>
              <w:left w:val="nil"/>
              <w:bottom w:val="single" w:sz="4" w:space="0" w:color="auto"/>
              <w:right w:val="nil"/>
            </w:tcBorders>
          </w:tcPr>
          <w:p w14:paraId="314E6E77"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p>
        </w:tc>
      </w:tr>
      <w:tr w:rsidR="00936BB5" w:rsidRPr="00597FFB" w14:paraId="006FAA79" w14:textId="77777777" w:rsidTr="000E48F1">
        <w:trPr>
          <w:trHeight w:val="710"/>
        </w:trPr>
        <w:tc>
          <w:tcPr>
            <w:tcW w:w="976" w:type="dxa"/>
            <w:tcBorders>
              <w:top w:val="single" w:sz="4" w:space="0" w:color="auto"/>
              <w:left w:val="nil"/>
              <w:bottom w:val="single" w:sz="4" w:space="0" w:color="auto"/>
              <w:right w:val="nil"/>
            </w:tcBorders>
            <w:noWrap/>
            <w:vAlign w:val="bottom"/>
            <w:hideMark/>
          </w:tcPr>
          <w:p w14:paraId="2FF9F7BE" w14:textId="77777777" w:rsidR="00936BB5" w:rsidRPr="00597FFB" w:rsidRDefault="00936BB5" w:rsidP="000E48F1">
            <w:pPr>
              <w:widowControl w:val="0"/>
              <w:rPr>
                <w:rFonts w:ascii="Times New Roman" w:eastAsia="Times New Roman" w:hAnsi="Times New Roman" w:cs="Times New Roman"/>
                <w:sz w:val="20"/>
                <w:szCs w:val="20"/>
              </w:rPr>
            </w:pPr>
          </w:p>
        </w:tc>
        <w:tc>
          <w:tcPr>
            <w:tcW w:w="562" w:type="dxa"/>
            <w:tcBorders>
              <w:top w:val="single" w:sz="4" w:space="0" w:color="auto"/>
              <w:left w:val="nil"/>
              <w:bottom w:val="single" w:sz="4" w:space="0" w:color="auto"/>
              <w:right w:val="nil"/>
            </w:tcBorders>
            <w:noWrap/>
            <w:vAlign w:val="bottom"/>
            <w:hideMark/>
          </w:tcPr>
          <w:p w14:paraId="23A20134"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N</w:t>
            </w:r>
          </w:p>
        </w:tc>
        <w:tc>
          <w:tcPr>
            <w:tcW w:w="735" w:type="dxa"/>
            <w:tcBorders>
              <w:top w:val="single" w:sz="4" w:space="0" w:color="auto"/>
              <w:left w:val="nil"/>
              <w:bottom w:val="single" w:sz="4" w:space="0" w:color="auto"/>
              <w:right w:val="nil"/>
            </w:tcBorders>
            <w:noWrap/>
            <w:vAlign w:val="bottom"/>
            <w:hideMark/>
          </w:tcPr>
          <w:p w14:paraId="1914DED1"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Mean</w:t>
            </w:r>
          </w:p>
        </w:tc>
        <w:tc>
          <w:tcPr>
            <w:tcW w:w="735" w:type="dxa"/>
            <w:tcBorders>
              <w:top w:val="single" w:sz="4" w:space="0" w:color="auto"/>
              <w:left w:val="nil"/>
              <w:bottom w:val="single" w:sz="4" w:space="0" w:color="auto"/>
              <w:right w:val="nil"/>
            </w:tcBorders>
            <w:noWrap/>
            <w:vAlign w:val="bottom"/>
            <w:hideMark/>
          </w:tcPr>
          <w:p w14:paraId="50B4B0DF"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Std. Dev.</w:t>
            </w:r>
          </w:p>
        </w:tc>
        <w:tc>
          <w:tcPr>
            <w:tcW w:w="900" w:type="dxa"/>
            <w:tcBorders>
              <w:top w:val="single" w:sz="4" w:space="0" w:color="auto"/>
              <w:left w:val="nil"/>
              <w:bottom w:val="single" w:sz="4" w:space="0" w:color="auto"/>
              <w:right w:val="nil"/>
            </w:tcBorders>
            <w:noWrap/>
            <w:vAlign w:val="bottom"/>
            <w:hideMark/>
          </w:tcPr>
          <w:p w14:paraId="3EF236A6"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 xml:space="preserve">Factor Loading </w:t>
            </w:r>
          </w:p>
        </w:tc>
        <w:tc>
          <w:tcPr>
            <w:tcW w:w="1167" w:type="dxa"/>
            <w:tcBorders>
              <w:top w:val="single" w:sz="4" w:space="0" w:color="auto"/>
              <w:left w:val="nil"/>
              <w:bottom w:val="single" w:sz="4" w:space="0" w:color="auto"/>
              <w:right w:val="nil"/>
            </w:tcBorders>
            <w:noWrap/>
            <w:vAlign w:val="bottom"/>
            <w:hideMark/>
          </w:tcPr>
          <w:p w14:paraId="6D275DC3" w14:textId="77777777" w:rsidR="00936BB5" w:rsidRPr="00597FFB" w:rsidRDefault="00936BB5"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Cronbach's Alpha</w:t>
            </w:r>
          </w:p>
        </w:tc>
        <w:tc>
          <w:tcPr>
            <w:tcW w:w="1092" w:type="dxa"/>
            <w:tcBorders>
              <w:top w:val="single" w:sz="4" w:space="0" w:color="auto"/>
              <w:left w:val="nil"/>
              <w:bottom w:val="single" w:sz="4" w:space="0" w:color="auto"/>
              <w:right w:val="nil"/>
            </w:tcBorders>
            <w:noWrap/>
            <w:vAlign w:val="bottom"/>
            <w:hideMark/>
          </w:tcPr>
          <w:p w14:paraId="1A44EB6B" w14:textId="77777777" w:rsidR="00936BB5" w:rsidRPr="00597FFB" w:rsidRDefault="00936BB5"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Composite Reliability</w:t>
            </w:r>
          </w:p>
        </w:tc>
        <w:tc>
          <w:tcPr>
            <w:tcW w:w="766" w:type="dxa"/>
            <w:tcBorders>
              <w:top w:val="single" w:sz="4" w:space="0" w:color="auto"/>
              <w:left w:val="nil"/>
              <w:bottom w:val="single" w:sz="4" w:space="0" w:color="auto"/>
              <w:right w:val="nil"/>
            </w:tcBorders>
            <w:noWrap/>
            <w:vAlign w:val="center"/>
            <w:hideMark/>
          </w:tcPr>
          <w:p w14:paraId="610818CC" w14:textId="77777777" w:rsidR="00936BB5" w:rsidRPr="00597FFB" w:rsidRDefault="00936BB5"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AVE</w:t>
            </w:r>
          </w:p>
        </w:tc>
        <w:tc>
          <w:tcPr>
            <w:tcW w:w="717" w:type="dxa"/>
            <w:gridSpan w:val="2"/>
            <w:tcBorders>
              <w:top w:val="single" w:sz="4" w:space="0" w:color="auto"/>
              <w:left w:val="nil"/>
              <w:bottom w:val="single" w:sz="4" w:space="0" w:color="auto"/>
              <w:right w:val="nil"/>
            </w:tcBorders>
          </w:tcPr>
          <w:p w14:paraId="0EAC3B67" w14:textId="77777777" w:rsidR="00936BB5" w:rsidRPr="00597FFB" w:rsidRDefault="00936BB5"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AVE Sqrt</w:t>
            </w:r>
          </w:p>
        </w:tc>
      </w:tr>
      <w:tr w:rsidR="00936BB5" w:rsidRPr="00597FFB" w14:paraId="5B02E403" w14:textId="77777777" w:rsidTr="000E48F1">
        <w:trPr>
          <w:trHeight w:val="235"/>
        </w:trPr>
        <w:tc>
          <w:tcPr>
            <w:tcW w:w="976" w:type="dxa"/>
            <w:tcBorders>
              <w:top w:val="single" w:sz="4" w:space="0" w:color="auto"/>
              <w:left w:val="nil"/>
              <w:bottom w:val="nil"/>
              <w:right w:val="nil"/>
            </w:tcBorders>
            <w:noWrap/>
            <w:vAlign w:val="bottom"/>
            <w:hideMark/>
          </w:tcPr>
          <w:p w14:paraId="56EBA571"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AT1</w:t>
            </w:r>
          </w:p>
        </w:tc>
        <w:tc>
          <w:tcPr>
            <w:tcW w:w="562" w:type="dxa"/>
            <w:tcBorders>
              <w:top w:val="single" w:sz="4" w:space="0" w:color="auto"/>
              <w:left w:val="nil"/>
              <w:bottom w:val="nil"/>
              <w:right w:val="nil"/>
            </w:tcBorders>
            <w:noWrap/>
            <w:vAlign w:val="bottom"/>
            <w:hideMark/>
          </w:tcPr>
          <w:p w14:paraId="2936D6D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37DBCB0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3.010</w:t>
            </w:r>
          </w:p>
        </w:tc>
        <w:tc>
          <w:tcPr>
            <w:tcW w:w="735" w:type="dxa"/>
            <w:tcBorders>
              <w:top w:val="single" w:sz="4" w:space="0" w:color="auto"/>
              <w:left w:val="nil"/>
              <w:bottom w:val="nil"/>
              <w:right w:val="nil"/>
            </w:tcBorders>
            <w:noWrap/>
            <w:vAlign w:val="bottom"/>
            <w:hideMark/>
          </w:tcPr>
          <w:p w14:paraId="06094AE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1.587</w:t>
            </w:r>
          </w:p>
        </w:tc>
        <w:tc>
          <w:tcPr>
            <w:tcW w:w="900" w:type="dxa"/>
            <w:tcBorders>
              <w:top w:val="single" w:sz="4" w:space="0" w:color="auto"/>
              <w:left w:val="nil"/>
              <w:bottom w:val="nil"/>
              <w:right w:val="nil"/>
            </w:tcBorders>
            <w:noWrap/>
            <w:vAlign w:val="bottom"/>
            <w:hideMark/>
          </w:tcPr>
          <w:p w14:paraId="2D8B349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0.658</w:t>
            </w:r>
          </w:p>
        </w:tc>
        <w:tc>
          <w:tcPr>
            <w:tcW w:w="1167" w:type="dxa"/>
            <w:vMerge w:val="restart"/>
            <w:tcBorders>
              <w:top w:val="single" w:sz="4" w:space="0" w:color="auto"/>
              <w:left w:val="nil"/>
              <w:bottom w:val="single" w:sz="4" w:space="0" w:color="auto"/>
              <w:right w:val="nil"/>
            </w:tcBorders>
            <w:noWrap/>
            <w:vAlign w:val="center"/>
            <w:hideMark/>
          </w:tcPr>
          <w:p w14:paraId="506D794B"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0.752</w:t>
            </w:r>
          </w:p>
        </w:tc>
        <w:tc>
          <w:tcPr>
            <w:tcW w:w="1092" w:type="dxa"/>
            <w:vMerge w:val="restart"/>
            <w:tcBorders>
              <w:top w:val="single" w:sz="4" w:space="0" w:color="auto"/>
              <w:left w:val="nil"/>
              <w:bottom w:val="single" w:sz="4" w:space="0" w:color="auto"/>
              <w:right w:val="nil"/>
            </w:tcBorders>
            <w:noWrap/>
            <w:vAlign w:val="center"/>
            <w:hideMark/>
          </w:tcPr>
          <w:p w14:paraId="12D3166E"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0.547</w:t>
            </w:r>
          </w:p>
        </w:tc>
        <w:tc>
          <w:tcPr>
            <w:tcW w:w="766" w:type="dxa"/>
            <w:vMerge w:val="restart"/>
            <w:tcBorders>
              <w:top w:val="single" w:sz="4" w:space="0" w:color="auto"/>
              <w:left w:val="nil"/>
              <w:bottom w:val="single" w:sz="4" w:space="0" w:color="auto"/>
              <w:right w:val="nil"/>
            </w:tcBorders>
            <w:noWrap/>
            <w:vAlign w:val="center"/>
            <w:hideMark/>
          </w:tcPr>
          <w:p w14:paraId="471027D1"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0.819</w:t>
            </w:r>
          </w:p>
        </w:tc>
        <w:tc>
          <w:tcPr>
            <w:tcW w:w="717" w:type="dxa"/>
            <w:gridSpan w:val="2"/>
            <w:vMerge w:val="restart"/>
            <w:tcBorders>
              <w:left w:val="nil"/>
              <w:right w:val="nil"/>
            </w:tcBorders>
            <w:vAlign w:val="center"/>
          </w:tcPr>
          <w:p w14:paraId="51D45D0F" w14:textId="77777777" w:rsidR="00936BB5" w:rsidRPr="00597FFB" w:rsidRDefault="00936BB5" w:rsidP="000E48F1">
            <w:pPr>
              <w:widowControl w:val="0"/>
              <w:spacing w:after="0"/>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0.905</w:t>
            </w:r>
          </w:p>
        </w:tc>
      </w:tr>
      <w:tr w:rsidR="00936BB5" w:rsidRPr="00597FFB" w14:paraId="2374A22B" w14:textId="77777777" w:rsidTr="000E48F1">
        <w:trPr>
          <w:trHeight w:val="235"/>
        </w:trPr>
        <w:tc>
          <w:tcPr>
            <w:tcW w:w="976" w:type="dxa"/>
            <w:noWrap/>
            <w:vAlign w:val="bottom"/>
            <w:hideMark/>
          </w:tcPr>
          <w:p w14:paraId="18F21F95"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AT2</w:t>
            </w:r>
          </w:p>
        </w:tc>
        <w:tc>
          <w:tcPr>
            <w:tcW w:w="562" w:type="dxa"/>
            <w:noWrap/>
            <w:vAlign w:val="bottom"/>
            <w:hideMark/>
          </w:tcPr>
          <w:p w14:paraId="1BB25E7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24DEABB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3.293</w:t>
            </w:r>
          </w:p>
        </w:tc>
        <w:tc>
          <w:tcPr>
            <w:tcW w:w="735" w:type="dxa"/>
            <w:noWrap/>
            <w:vAlign w:val="bottom"/>
            <w:hideMark/>
          </w:tcPr>
          <w:p w14:paraId="0D6E2C9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0.964</w:t>
            </w:r>
          </w:p>
        </w:tc>
        <w:tc>
          <w:tcPr>
            <w:tcW w:w="900" w:type="dxa"/>
            <w:noWrap/>
            <w:vAlign w:val="bottom"/>
            <w:hideMark/>
          </w:tcPr>
          <w:p w14:paraId="56B1CE5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0.640</w:t>
            </w:r>
          </w:p>
        </w:tc>
        <w:tc>
          <w:tcPr>
            <w:tcW w:w="1167" w:type="dxa"/>
            <w:vMerge/>
            <w:tcBorders>
              <w:top w:val="single" w:sz="4" w:space="0" w:color="auto"/>
              <w:left w:val="nil"/>
              <w:bottom w:val="single" w:sz="4" w:space="0" w:color="auto"/>
              <w:right w:val="nil"/>
            </w:tcBorders>
            <w:vAlign w:val="center"/>
            <w:hideMark/>
          </w:tcPr>
          <w:p w14:paraId="7E46850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726A1CB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6BDC2A6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vAlign w:val="center"/>
          </w:tcPr>
          <w:p w14:paraId="785301B0" w14:textId="77777777" w:rsidR="00936BB5" w:rsidRPr="00597FFB" w:rsidRDefault="00936BB5" w:rsidP="000E48F1">
            <w:pPr>
              <w:widowControl w:val="0"/>
              <w:spacing w:after="0"/>
              <w:jc w:val="center"/>
              <w:rPr>
                <w:rFonts w:ascii="Times New Roman" w:eastAsia="Times New Roman" w:hAnsi="Times New Roman" w:cs="Times New Roman"/>
                <w:color w:val="000000"/>
                <w:sz w:val="20"/>
                <w:szCs w:val="20"/>
              </w:rPr>
            </w:pPr>
          </w:p>
        </w:tc>
      </w:tr>
      <w:tr w:rsidR="00936BB5" w:rsidRPr="00597FFB" w14:paraId="4414ACDE" w14:textId="77777777" w:rsidTr="000E48F1">
        <w:trPr>
          <w:trHeight w:val="235"/>
        </w:trPr>
        <w:tc>
          <w:tcPr>
            <w:tcW w:w="976" w:type="dxa"/>
            <w:noWrap/>
            <w:vAlign w:val="bottom"/>
            <w:hideMark/>
          </w:tcPr>
          <w:p w14:paraId="4C7E0E6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AT3</w:t>
            </w:r>
          </w:p>
        </w:tc>
        <w:tc>
          <w:tcPr>
            <w:tcW w:w="562" w:type="dxa"/>
            <w:noWrap/>
            <w:vAlign w:val="bottom"/>
            <w:hideMark/>
          </w:tcPr>
          <w:p w14:paraId="1AFA9960"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1ADAAE3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3.198</w:t>
            </w:r>
          </w:p>
        </w:tc>
        <w:tc>
          <w:tcPr>
            <w:tcW w:w="735" w:type="dxa"/>
            <w:noWrap/>
            <w:vAlign w:val="bottom"/>
            <w:hideMark/>
          </w:tcPr>
          <w:p w14:paraId="5259A87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0.960</w:t>
            </w:r>
          </w:p>
        </w:tc>
        <w:tc>
          <w:tcPr>
            <w:tcW w:w="900" w:type="dxa"/>
            <w:noWrap/>
            <w:vAlign w:val="bottom"/>
            <w:hideMark/>
          </w:tcPr>
          <w:p w14:paraId="54A0406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0.659</w:t>
            </w:r>
          </w:p>
        </w:tc>
        <w:tc>
          <w:tcPr>
            <w:tcW w:w="1167" w:type="dxa"/>
            <w:vMerge/>
            <w:tcBorders>
              <w:top w:val="single" w:sz="4" w:space="0" w:color="auto"/>
              <w:left w:val="nil"/>
              <w:bottom w:val="single" w:sz="4" w:space="0" w:color="auto"/>
              <w:right w:val="nil"/>
            </w:tcBorders>
            <w:vAlign w:val="center"/>
            <w:hideMark/>
          </w:tcPr>
          <w:p w14:paraId="22D2CC1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0BEB613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5FFC9DC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93D69E7" w14:textId="77777777" w:rsidR="00936BB5" w:rsidRPr="00597FFB" w:rsidRDefault="00936BB5" w:rsidP="000E48F1">
            <w:pPr>
              <w:widowControl w:val="0"/>
              <w:spacing w:after="0"/>
              <w:jc w:val="center"/>
              <w:rPr>
                <w:rFonts w:ascii="Times New Roman" w:eastAsia="Times New Roman" w:hAnsi="Times New Roman" w:cs="Times New Roman"/>
                <w:color w:val="000000"/>
                <w:sz w:val="20"/>
                <w:szCs w:val="20"/>
              </w:rPr>
            </w:pPr>
          </w:p>
        </w:tc>
      </w:tr>
      <w:tr w:rsidR="00936BB5" w:rsidRPr="00597FFB" w14:paraId="4EEB15AD" w14:textId="77777777" w:rsidTr="000E48F1">
        <w:trPr>
          <w:trHeight w:val="235"/>
        </w:trPr>
        <w:tc>
          <w:tcPr>
            <w:tcW w:w="976" w:type="dxa"/>
            <w:tcBorders>
              <w:top w:val="nil"/>
              <w:left w:val="nil"/>
              <w:bottom w:val="single" w:sz="4" w:space="0" w:color="auto"/>
              <w:right w:val="nil"/>
            </w:tcBorders>
            <w:noWrap/>
            <w:vAlign w:val="bottom"/>
            <w:hideMark/>
          </w:tcPr>
          <w:p w14:paraId="6838947E"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AT4</w:t>
            </w:r>
          </w:p>
        </w:tc>
        <w:tc>
          <w:tcPr>
            <w:tcW w:w="562" w:type="dxa"/>
            <w:tcBorders>
              <w:top w:val="nil"/>
              <w:left w:val="nil"/>
              <w:bottom w:val="single" w:sz="4" w:space="0" w:color="auto"/>
              <w:right w:val="nil"/>
            </w:tcBorders>
            <w:noWrap/>
            <w:vAlign w:val="bottom"/>
            <w:hideMark/>
          </w:tcPr>
          <w:p w14:paraId="5DA5896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32960AC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3.210</w:t>
            </w:r>
          </w:p>
        </w:tc>
        <w:tc>
          <w:tcPr>
            <w:tcW w:w="735" w:type="dxa"/>
            <w:tcBorders>
              <w:top w:val="nil"/>
              <w:left w:val="nil"/>
              <w:bottom w:val="single" w:sz="4" w:space="0" w:color="auto"/>
              <w:right w:val="nil"/>
            </w:tcBorders>
            <w:noWrap/>
            <w:vAlign w:val="bottom"/>
            <w:hideMark/>
          </w:tcPr>
          <w:p w14:paraId="4127D7D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1.052</w:t>
            </w:r>
          </w:p>
        </w:tc>
        <w:tc>
          <w:tcPr>
            <w:tcW w:w="900" w:type="dxa"/>
            <w:tcBorders>
              <w:top w:val="nil"/>
              <w:left w:val="nil"/>
              <w:bottom w:val="single" w:sz="4" w:space="0" w:color="auto"/>
              <w:right w:val="nil"/>
            </w:tcBorders>
            <w:noWrap/>
            <w:vAlign w:val="bottom"/>
            <w:hideMark/>
          </w:tcPr>
          <w:p w14:paraId="308F6C3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0.731</w:t>
            </w:r>
          </w:p>
        </w:tc>
        <w:tc>
          <w:tcPr>
            <w:tcW w:w="1167" w:type="dxa"/>
            <w:vMerge/>
            <w:tcBorders>
              <w:top w:val="single" w:sz="4" w:space="0" w:color="auto"/>
              <w:left w:val="nil"/>
              <w:bottom w:val="single" w:sz="4" w:space="0" w:color="auto"/>
              <w:right w:val="nil"/>
            </w:tcBorders>
            <w:vAlign w:val="center"/>
            <w:hideMark/>
          </w:tcPr>
          <w:p w14:paraId="0937DE3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3F54A21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2CDB62D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776A953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E773832" w14:textId="77777777" w:rsidTr="000E48F1">
        <w:trPr>
          <w:trHeight w:val="216"/>
        </w:trPr>
        <w:tc>
          <w:tcPr>
            <w:tcW w:w="976" w:type="dxa"/>
            <w:tcBorders>
              <w:top w:val="single" w:sz="4" w:space="0" w:color="auto"/>
              <w:left w:val="nil"/>
              <w:bottom w:val="nil"/>
              <w:right w:val="nil"/>
            </w:tcBorders>
            <w:noWrap/>
            <w:vAlign w:val="bottom"/>
            <w:hideMark/>
          </w:tcPr>
          <w:p w14:paraId="2BAB7EC4"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SN1</w:t>
            </w:r>
          </w:p>
        </w:tc>
        <w:tc>
          <w:tcPr>
            <w:tcW w:w="562" w:type="dxa"/>
            <w:tcBorders>
              <w:top w:val="single" w:sz="4" w:space="0" w:color="auto"/>
              <w:left w:val="nil"/>
              <w:bottom w:val="nil"/>
              <w:right w:val="nil"/>
            </w:tcBorders>
            <w:noWrap/>
            <w:vAlign w:val="bottom"/>
            <w:hideMark/>
          </w:tcPr>
          <w:p w14:paraId="6D2AF4C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23FD4C6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3.255</w:t>
            </w:r>
          </w:p>
        </w:tc>
        <w:tc>
          <w:tcPr>
            <w:tcW w:w="735" w:type="dxa"/>
            <w:tcBorders>
              <w:top w:val="single" w:sz="4" w:space="0" w:color="auto"/>
              <w:left w:val="nil"/>
              <w:bottom w:val="nil"/>
              <w:right w:val="nil"/>
            </w:tcBorders>
            <w:noWrap/>
            <w:vAlign w:val="bottom"/>
            <w:hideMark/>
          </w:tcPr>
          <w:p w14:paraId="4768409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0.994</w:t>
            </w:r>
          </w:p>
        </w:tc>
        <w:tc>
          <w:tcPr>
            <w:tcW w:w="900" w:type="dxa"/>
            <w:tcBorders>
              <w:top w:val="single" w:sz="4" w:space="0" w:color="auto"/>
              <w:left w:val="nil"/>
              <w:bottom w:val="nil"/>
              <w:right w:val="nil"/>
            </w:tcBorders>
            <w:noWrap/>
            <w:vAlign w:val="bottom"/>
            <w:hideMark/>
          </w:tcPr>
          <w:p w14:paraId="0581C2E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0.541</w:t>
            </w:r>
          </w:p>
        </w:tc>
        <w:tc>
          <w:tcPr>
            <w:tcW w:w="1167" w:type="dxa"/>
            <w:vMerge w:val="restart"/>
            <w:tcBorders>
              <w:top w:val="single" w:sz="4" w:space="0" w:color="auto"/>
              <w:left w:val="nil"/>
              <w:bottom w:val="single" w:sz="4" w:space="0" w:color="auto"/>
              <w:right w:val="nil"/>
            </w:tcBorders>
            <w:noWrap/>
            <w:vAlign w:val="center"/>
            <w:hideMark/>
          </w:tcPr>
          <w:p w14:paraId="5E1F1C04"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0.823</w:t>
            </w:r>
          </w:p>
        </w:tc>
        <w:tc>
          <w:tcPr>
            <w:tcW w:w="1092" w:type="dxa"/>
            <w:vMerge w:val="restart"/>
            <w:tcBorders>
              <w:top w:val="single" w:sz="4" w:space="0" w:color="auto"/>
              <w:left w:val="nil"/>
              <w:bottom w:val="single" w:sz="4" w:space="0" w:color="auto"/>
              <w:right w:val="nil"/>
            </w:tcBorders>
            <w:noWrap/>
            <w:vAlign w:val="center"/>
            <w:hideMark/>
          </w:tcPr>
          <w:p w14:paraId="6A82A835"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0.613</w:t>
            </w:r>
          </w:p>
        </w:tc>
        <w:tc>
          <w:tcPr>
            <w:tcW w:w="766" w:type="dxa"/>
            <w:vMerge w:val="restart"/>
            <w:tcBorders>
              <w:top w:val="single" w:sz="4" w:space="0" w:color="auto"/>
              <w:left w:val="nil"/>
              <w:bottom w:val="single" w:sz="4" w:space="0" w:color="auto"/>
              <w:right w:val="nil"/>
            </w:tcBorders>
            <w:noWrap/>
            <w:vAlign w:val="center"/>
            <w:hideMark/>
          </w:tcPr>
          <w:p w14:paraId="317BE288"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0.825</w:t>
            </w:r>
          </w:p>
        </w:tc>
        <w:tc>
          <w:tcPr>
            <w:tcW w:w="717" w:type="dxa"/>
            <w:gridSpan w:val="2"/>
            <w:vMerge w:val="restart"/>
            <w:tcBorders>
              <w:top w:val="single" w:sz="4" w:space="0" w:color="auto"/>
              <w:left w:val="nil"/>
              <w:right w:val="nil"/>
            </w:tcBorders>
            <w:vAlign w:val="center"/>
          </w:tcPr>
          <w:p w14:paraId="78AE36BF"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0.908</w:t>
            </w:r>
          </w:p>
        </w:tc>
      </w:tr>
      <w:tr w:rsidR="00936BB5" w:rsidRPr="00597FFB" w14:paraId="65078E30" w14:textId="77777777" w:rsidTr="000E48F1">
        <w:trPr>
          <w:trHeight w:val="235"/>
        </w:trPr>
        <w:tc>
          <w:tcPr>
            <w:tcW w:w="976" w:type="dxa"/>
            <w:noWrap/>
            <w:vAlign w:val="bottom"/>
            <w:hideMark/>
          </w:tcPr>
          <w:p w14:paraId="4EB3A4E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SN2</w:t>
            </w:r>
          </w:p>
        </w:tc>
        <w:tc>
          <w:tcPr>
            <w:tcW w:w="562" w:type="dxa"/>
            <w:noWrap/>
            <w:vAlign w:val="bottom"/>
            <w:hideMark/>
          </w:tcPr>
          <w:p w14:paraId="5CCA7B2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5EE442D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3.261</w:t>
            </w:r>
          </w:p>
        </w:tc>
        <w:tc>
          <w:tcPr>
            <w:tcW w:w="735" w:type="dxa"/>
            <w:noWrap/>
            <w:vAlign w:val="bottom"/>
            <w:hideMark/>
          </w:tcPr>
          <w:p w14:paraId="75E5159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0.908</w:t>
            </w:r>
          </w:p>
        </w:tc>
        <w:tc>
          <w:tcPr>
            <w:tcW w:w="900" w:type="dxa"/>
            <w:noWrap/>
            <w:vAlign w:val="bottom"/>
            <w:hideMark/>
          </w:tcPr>
          <w:p w14:paraId="707AE3E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0.580</w:t>
            </w:r>
          </w:p>
        </w:tc>
        <w:tc>
          <w:tcPr>
            <w:tcW w:w="1167" w:type="dxa"/>
            <w:vMerge/>
            <w:tcBorders>
              <w:top w:val="single" w:sz="4" w:space="0" w:color="auto"/>
              <w:left w:val="nil"/>
              <w:bottom w:val="single" w:sz="4" w:space="0" w:color="auto"/>
              <w:right w:val="nil"/>
            </w:tcBorders>
            <w:vAlign w:val="center"/>
            <w:hideMark/>
          </w:tcPr>
          <w:p w14:paraId="3585F3D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6EE8D16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right w:val="nil"/>
            </w:tcBorders>
            <w:vAlign w:val="center"/>
            <w:hideMark/>
          </w:tcPr>
          <w:p w14:paraId="74B73DA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34C42D3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C8D245D" w14:textId="77777777" w:rsidTr="000E48F1">
        <w:trPr>
          <w:trHeight w:val="235"/>
        </w:trPr>
        <w:tc>
          <w:tcPr>
            <w:tcW w:w="976" w:type="dxa"/>
            <w:tcBorders>
              <w:top w:val="nil"/>
              <w:left w:val="nil"/>
              <w:bottom w:val="single" w:sz="4" w:space="0" w:color="auto"/>
              <w:right w:val="nil"/>
            </w:tcBorders>
            <w:noWrap/>
            <w:vAlign w:val="bottom"/>
            <w:hideMark/>
          </w:tcPr>
          <w:p w14:paraId="6DE6C743"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SN3</w:t>
            </w:r>
          </w:p>
        </w:tc>
        <w:tc>
          <w:tcPr>
            <w:tcW w:w="562" w:type="dxa"/>
            <w:tcBorders>
              <w:top w:val="nil"/>
              <w:left w:val="nil"/>
              <w:bottom w:val="single" w:sz="4" w:space="0" w:color="auto"/>
              <w:right w:val="nil"/>
            </w:tcBorders>
            <w:noWrap/>
            <w:vAlign w:val="bottom"/>
            <w:hideMark/>
          </w:tcPr>
          <w:p w14:paraId="497750E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01674F4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3.198</w:t>
            </w:r>
          </w:p>
        </w:tc>
        <w:tc>
          <w:tcPr>
            <w:tcW w:w="735" w:type="dxa"/>
            <w:tcBorders>
              <w:top w:val="nil"/>
              <w:left w:val="nil"/>
              <w:bottom w:val="single" w:sz="4" w:space="0" w:color="auto"/>
              <w:right w:val="nil"/>
            </w:tcBorders>
            <w:noWrap/>
            <w:vAlign w:val="bottom"/>
            <w:hideMark/>
          </w:tcPr>
          <w:p w14:paraId="735890A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1.037</w:t>
            </w:r>
          </w:p>
        </w:tc>
        <w:tc>
          <w:tcPr>
            <w:tcW w:w="900" w:type="dxa"/>
            <w:tcBorders>
              <w:top w:val="nil"/>
              <w:left w:val="nil"/>
              <w:bottom w:val="single" w:sz="4" w:space="0" w:color="auto"/>
              <w:right w:val="nil"/>
            </w:tcBorders>
            <w:noWrap/>
            <w:vAlign w:val="bottom"/>
            <w:hideMark/>
          </w:tcPr>
          <w:p w14:paraId="27B27CA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0.720</w:t>
            </w:r>
          </w:p>
        </w:tc>
        <w:tc>
          <w:tcPr>
            <w:tcW w:w="1167" w:type="dxa"/>
            <w:vMerge/>
            <w:tcBorders>
              <w:top w:val="single" w:sz="4" w:space="0" w:color="auto"/>
              <w:left w:val="nil"/>
              <w:bottom w:val="single" w:sz="4" w:space="0" w:color="auto"/>
              <w:right w:val="nil"/>
            </w:tcBorders>
            <w:vAlign w:val="center"/>
            <w:hideMark/>
          </w:tcPr>
          <w:p w14:paraId="0564451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72BC69C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4134293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091D853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7AE3F767" w14:textId="77777777" w:rsidTr="000E48F1">
        <w:trPr>
          <w:trHeight w:val="235"/>
        </w:trPr>
        <w:tc>
          <w:tcPr>
            <w:tcW w:w="976" w:type="dxa"/>
            <w:tcBorders>
              <w:top w:val="single" w:sz="4" w:space="0" w:color="auto"/>
              <w:left w:val="nil"/>
              <w:bottom w:val="nil"/>
              <w:right w:val="nil"/>
            </w:tcBorders>
            <w:noWrap/>
            <w:vAlign w:val="bottom"/>
            <w:hideMark/>
          </w:tcPr>
          <w:p w14:paraId="5DB8EE4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PCB1</w:t>
            </w:r>
          </w:p>
        </w:tc>
        <w:tc>
          <w:tcPr>
            <w:tcW w:w="562" w:type="dxa"/>
            <w:tcBorders>
              <w:top w:val="single" w:sz="4" w:space="0" w:color="auto"/>
              <w:left w:val="nil"/>
              <w:bottom w:val="nil"/>
              <w:right w:val="nil"/>
            </w:tcBorders>
            <w:noWrap/>
            <w:vAlign w:val="bottom"/>
            <w:hideMark/>
          </w:tcPr>
          <w:p w14:paraId="1A99381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0309833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3.196</w:t>
            </w:r>
          </w:p>
        </w:tc>
        <w:tc>
          <w:tcPr>
            <w:tcW w:w="735" w:type="dxa"/>
            <w:tcBorders>
              <w:top w:val="single" w:sz="4" w:space="0" w:color="auto"/>
              <w:left w:val="nil"/>
              <w:bottom w:val="nil"/>
              <w:right w:val="nil"/>
            </w:tcBorders>
            <w:noWrap/>
            <w:vAlign w:val="bottom"/>
            <w:hideMark/>
          </w:tcPr>
          <w:p w14:paraId="1EFC1CB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1.071</w:t>
            </w:r>
          </w:p>
        </w:tc>
        <w:tc>
          <w:tcPr>
            <w:tcW w:w="900" w:type="dxa"/>
            <w:tcBorders>
              <w:top w:val="single" w:sz="4" w:space="0" w:color="auto"/>
              <w:left w:val="nil"/>
              <w:bottom w:val="nil"/>
              <w:right w:val="nil"/>
            </w:tcBorders>
            <w:noWrap/>
            <w:vAlign w:val="bottom"/>
            <w:hideMark/>
          </w:tcPr>
          <w:p w14:paraId="48E7623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0.709</w:t>
            </w:r>
          </w:p>
        </w:tc>
        <w:tc>
          <w:tcPr>
            <w:tcW w:w="1167" w:type="dxa"/>
            <w:vMerge w:val="restart"/>
            <w:tcBorders>
              <w:top w:val="single" w:sz="4" w:space="0" w:color="auto"/>
              <w:left w:val="nil"/>
              <w:bottom w:val="single" w:sz="4" w:space="0" w:color="auto"/>
              <w:right w:val="nil"/>
            </w:tcBorders>
            <w:noWrap/>
            <w:vAlign w:val="center"/>
            <w:hideMark/>
          </w:tcPr>
          <w:p w14:paraId="6FB0BE5C"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0.856</w:t>
            </w:r>
          </w:p>
        </w:tc>
        <w:tc>
          <w:tcPr>
            <w:tcW w:w="1092" w:type="dxa"/>
            <w:vMerge w:val="restart"/>
            <w:tcBorders>
              <w:top w:val="single" w:sz="4" w:space="0" w:color="auto"/>
              <w:left w:val="nil"/>
              <w:bottom w:val="single" w:sz="4" w:space="0" w:color="auto"/>
              <w:right w:val="nil"/>
            </w:tcBorders>
            <w:noWrap/>
            <w:vAlign w:val="center"/>
            <w:hideMark/>
          </w:tcPr>
          <w:p w14:paraId="6A83C774"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0.602</w:t>
            </w:r>
          </w:p>
        </w:tc>
        <w:tc>
          <w:tcPr>
            <w:tcW w:w="766" w:type="dxa"/>
            <w:vMerge w:val="restart"/>
            <w:tcBorders>
              <w:top w:val="single" w:sz="4" w:space="0" w:color="auto"/>
              <w:left w:val="nil"/>
              <w:bottom w:val="single" w:sz="4" w:space="0" w:color="auto"/>
              <w:right w:val="nil"/>
            </w:tcBorders>
            <w:noWrap/>
            <w:vAlign w:val="center"/>
            <w:hideMark/>
          </w:tcPr>
          <w:p w14:paraId="5C87AD0B"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0.857</w:t>
            </w:r>
          </w:p>
        </w:tc>
        <w:tc>
          <w:tcPr>
            <w:tcW w:w="717" w:type="dxa"/>
            <w:gridSpan w:val="2"/>
            <w:vMerge w:val="restart"/>
            <w:tcBorders>
              <w:top w:val="single" w:sz="4" w:space="0" w:color="auto"/>
              <w:left w:val="nil"/>
              <w:right w:val="nil"/>
            </w:tcBorders>
            <w:vAlign w:val="center"/>
          </w:tcPr>
          <w:p w14:paraId="5C065B28"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0.926</w:t>
            </w:r>
          </w:p>
        </w:tc>
      </w:tr>
      <w:tr w:rsidR="00936BB5" w:rsidRPr="00597FFB" w14:paraId="2710C51E" w14:textId="77777777" w:rsidTr="000E48F1">
        <w:trPr>
          <w:trHeight w:val="235"/>
        </w:trPr>
        <w:tc>
          <w:tcPr>
            <w:tcW w:w="976" w:type="dxa"/>
            <w:noWrap/>
            <w:vAlign w:val="bottom"/>
            <w:hideMark/>
          </w:tcPr>
          <w:p w14:paraId="16971D83"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PCB2</w:t>
            </w:r>
          </w:p>
        </w:tc>
        <w:tc>
          <w:tcPr>
            <w:tcW w:w="562" w:type="dxa"/>
            <w:noWrap/>
            <w:vAlign w:val="bottom"/>
            <w:hideMark/>
          </w:tcPr>
          <w:p w14:paraId="3E53DE1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327B03D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3.218</w:t>
            </w:r>
          </w:p>
        </w:tc>
        <w:tc>
          <w:tcPr>
            <w:tcW w:w="735" w:type="dxa"/>
            <w:noWrap/>
            <w:vAlign w:val="bottom"/>
            <w:hideMark/>
          </w:tcPr>
          <w:p w14:paraId="344F753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0.889</w:t>
            </w:r>
          </w:p>
        </w:tc>
        <w:tc>
          <w:tcPr>
            <w:tcW w:w="900" w:type="dxa"/>
            <w:noWrap/>
            <w:vAlign w:val="bottom"/>
            <w:hideMark/>
          </w:tcPr>
          <w:p w14:paraId="6750D9E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0.569</w:t>
            </w:r>
          </w:p>
        </w:tc>
        <w:tc>
          <w:tcPr>
            <w:tcW w:w="1167" w:type="dxa"/>
            <w:vMerge/>
            <w:tcBorders>
              <w:top w:val="single" w:sz="4" w:space="0" w:color="auto"/>
              <w:left w:val="nil"/>
              <w:bottom w:val="single" w:sz="4" w:space="0" w:color="auto"/>
              <w:right w:val="nil"/>
            </w:tcBorders>
            <w:vAlign w:val="center"/>
            <w:hideMark/>
          </w:tcPr>
          <w:p w14:paraId="23C5719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68A306B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514687E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19D8A3C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75E1544E" w14:textId="77777777" w:rsidTr="000E48F1">
        <w:trPr>
          <w:trHeight w:val="235"/>
        </w:trPr>
        <w:tc>
          <w:tcPr>
            <w:tcW w:w="976" w:type="dxa"/>
            <w:noWrap/>
            <w:vAlign w:val="bottom"/>
            <w:hideMark/>
          </w:tcPr>
          <w:p w14:paraId="4966DAF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PCB3</w:t>
            </w:r>
          </w:p>
        </w:tc>
        <w:tc>
          <w:tcPr>
            <w:tcW w:w="562" w:type="dxa"/>
            <w:noWrap/>
            <w:vAlign w:val="bottom"/>
            <w:hideMark/>
          </w:tcPr>
          <w:p w14:paraId="09EB82D0"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2B061EC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3.234</w:t>
            </w:r>
          </w:p>
        </w:tc>
        <w:tc>
          <w:tcPr>
            <w:tcW w:w="735" w:type="dxa"/>
            <w:noWrap/>
            <w:vAlign w:val="bottom"/>
            <w:hideMark/>
          </w:tcPr>
          <w:p w14:paraId="24D8BC5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0.911</w:t>
            </w:r>
          </w:p>
        </w:tc>
        <w:tc>
          <w:tcPr>
            <w:tcW w:w="900" w:type="dxa"/>
            <w:noWrap/>
            <w:vAlign w:val="bottom"/>
            <w:hideMark/>
          </w:tcPr>
          <w:p w14:paraId="29BE714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0.569</w:t>
            </w:r>
          </w:p>
        </w:tc>
        <w:tc>
          <w:tcPr>
            <w:tcW w:w="1167" w:type="dxa"/>
            <w:vMerge/>
            <w:tcBorders>
              <w:top w:val="single" w:sz="4" w:space="0" w:color="auto"/>
              <w:left w:val="nil"/>
              <w:bottom w:val="single" w:sz="4" w:space="0" w:color="auto"/>
              <w:right w:val="nil"/>
            </w:tcBorders>
            <w:vAlign w:val="center"/>
            <w:hideMark/>
          </w:tcPr>
          <w:p w14:paraId="0A0DA86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49028D46"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01F29B1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5333661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0BB34E72" w14:textId="77777777" w:rsidTr="000E48F1">
        <w:trPr>
          <w:trHeight w:val="216"/>
        </w:trPr>
        <w:tc>
          <w:tcPr>
            <w:tcW w:w="976" w:type="dxa"/>
            <w:tcBorders>
              <w:top w:val="nil"/>
              <w:left w:val="nil"/>
              <w:bottom w:val="single" w:sz="4" w:space="0" w:color="auto"/>
              <w:right w:val="nil"/>
            </w:tcBorders>
            <w:noWrap/>
            <w:vAlign w:val="bottom"/>
            <w:hideMark/>
          </w:tcPr>
          <w:p w14:paraId="606C2926"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PCB4</w:t>
            </w:r>
          </w:p>
        </w:tc>
        <w:tc>
          <w:tcPr>
            <w:tcW w:w="562" w:type="dxa"/>
            <w:tcBorders>
              <w:top w:val="nil"/>
              <w:left w:val="nil"/>
              <w:bottom w:val="single" w:sz="4" w:space="0" w:color="auto"/>
              <w:right w:val="nil"/>
            </w:tcBorders>
            <w:noWrap/>
            <w:vAlign w:val="bottom"/>
            <w:hideMark/>
          </w:tcPr>
          <w:p w14:paraId="3073778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58BDAFB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3.295</w:t>
            </w:r>
          </w:p>
        </w:tc>
        <w:tc>
          <w:tcPr>
            <w:tcW w:w="735" w:type="dxa"/>
            <w:tcBorders>
              <w:top w:val="nil"/>
              <w:left w:val="nil"/>
              <w:bottom w:val="single" w:sz="4" w:space="0" w:color="auto"/>
              <w:right w:val="nil"/>
            </w:tcBorders>
            <w:noWrap/>
            <w:vAlign w:val="bottom"/>
            <w:hideMark/>
          </w:tcPr>
          <w:p w14:paraId="000ADD5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0.907</w:t>
            </w:r>
          </w:p>
        </w:tc>
        <w:tc>
          <w:tcPr>
            <w:tcW w:w="900" w:type="dxa"/>
            <w:tcBorders>
              <w:top w:val="nil"/>
              <w:left w:val="nil"/>
              <w:bottom w:val="single" w:sz="4" w:space="0" w:color="auto"/>
              <w:right w:val="nil"/>
            </w:tcBorders>
            <w:noWrap/>
            <w:vAlign w:val="bottom"/>
            <w:hideMark/>
          </w:tcPr>
          <w:p w14:paraId="3BDB297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0.561</w:t>
            </w:r>
          </w:p>
        </w:tc>
        <w:tc>
          <w:tcPr>
            <w:tcW w:w="1167" w:type="dxa"/>
            <w:vMerge/>
            <w:tcBorders>
              <w:top w:val="single" w:sz="4" w:space="0" w:color="auto"/>
              <w:left w:val="nil"/>
              <w:bottom w:val="single" w:sz="4" w:space="0" w:color="auto"/>
              <w:right w:val="nil"/>
            </w:tcBorders>
            <w:vAlign w:val="center"/>
            <w:hideMark/>
          </w:tcPr>
          <w:p w14:paraId="61D30E5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78DA82C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71D84F0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125CC30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04D95B2" w14:textId="77777777" w:rsidTr="000E48F1">
        <w:trPr>
          <w:trHeight w:val="235"/>
        </w:trPr>
        <w:tc>
          <w:tcPr>
            <w:tcW w:w="976" w:type="dxa"/>
            <w:tcBorders>
              <w:top w:val="single" w:sz="4" w:space="0" w:color="auto"/>
              <w:left w:val="nil"/>
              <w:bottom w:val="nil"/>
              <w:right w:val="nil"/>
            </w:tcBorders>
            <w:noWrap/>
            <w:vAlign w:val="bottom"/>
            <w:hideMark/>
          </w:tcPr>
          <w:p w14:paraId="78D52FE5"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w:t>
            </w:r>
          </w:p>
        </w:tc>
        <w:tc>
          <w:tcPr>
            <w:tcW w:w="562" w:type="dxa"/>
            <w:tcBorders>
              <w:top w:val="single" w:sz="4" w:space="0" w:color="auto"/>
              <w:left w:val="nil"/>
              <w:bottom w:val="nil"/>
              <w:right w:val="nil"/>
            </w:tcBorders>
            <w:noWrap/>
            <w:vAlign w:val="bottom"/>
            <w:hideMark/>
          </w:tcPr>
          <w:p w14:paraId="259B652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5584072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3.347</w:t>
            </w:r>
          </w:p>
        </w:tc>
        <w:tc>
          <w:tcPr>
            <w:tcW w:w="735" w:type="dxa"/>
            <w:tcBorders>
              <w:top w:val="single" w:sz="4" w:space="0" w:color="auto"/>
              <w:left w:val="nil"/>
              <w:bottom w:val="nil"/>
              <w:right w:val="nil"/>
            </w:tcBorders>
            <w:noWrap/>
            <w:vAlign w:val="bottom"/>
            <w:hideMark/>
          </w:tcPr>
          <w:p w14:paraId="4512F3F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0.970</w:t>
            </w:r>
          </w:p>
        </w:tc>
        <w:tc>
          <w:tcPr>
            <w:tcW w:w="900" w:type="dxa"/>
            <w:tcBorders>
              <w:top w:val="single" w:sz="4" w:space="0" w:color="auto"/>
              <w:left w:val="nil"/>
              <w:bottom w:val="nil"/>
              <w:right w:val="nil"/>
            </w:tcBorders>
            <w:noWrap/>
            <w:vAlign w:val="bottom"/>
            <w:hideMark/>
          </w:tcPr>
          <w:p w14:paraId="0325A57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0.703</w:t>
            </w:r>
          </w:p>
        </w:tc>
        <w:tc>
          <w:tcPr>
            <w:tcW w:w="1167" w:type="dxa"/>
            <w:vMerge w:val="restart"/>
            <w:tcBorders>
              <w:top w:val="single" w:sz="4" w:space="0" w:color="auto"/>
              <w:left w:val="nil"/>
              <w:bottom w:val="single" w:sz="4" w:space="0" w:color="auto"/>
              <w:right w:val="nil"/>
            </w:tcBorders>
            <w:noWrap/>
            <w:vAlign w:val="center"/>
            <w:hideMark/>
          </w:tcPr>
          <w:p w14:paraId="564AA20C"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0.983</w:t>
            </w:r>
          </w:p>
        </w:tc>
        <w:tc>
          <w:tcPr>
            <w:tcW w:w="1092" w:type="dxa"/>
            <w:vMerge w:val="restart"/>
            <w:tcBorders>
              <w:top w:val="single" w:sz="4" w:space="0" w:color="auto"/>
              <w:left w:val="nil"/>
              <w:bottom w:val="single" w:sz="4" w:space="0" w:color="auto"/>
              <w:right w:val="nil"/>
            </w:tcBorders>
            <w:noWrap/>
            <w:vAlign w:val="center"/>
            <w:hideMark/>
          </w:tcPr>
          <w:p w14:paraId="083786F3" w14:textId="77777777" w:rsidR="00936BB5" w:rsidRPr="00597FFB" w:rsidRDefault="00936BB5" w:rsidP="000E48F1">
            <w:pPr>
              <w:widowControl w:val="0"/>
              <w:jc w:val="center"/>
              <w:rPr>
                <w:rFonts w:ascii="Times New Roman" w:eastAsia="Times New Roman" w:hAnsi="Times New Roman" w:cs="Times New Roman"/>
                <w:sz w:val="20"/>
                <w:szCs w:val="20"/>
              </w:rPr>
            </w:pPr>
          </w:p>
          <w:p w14:paraId="5540C190" w14:textId="77777777" w:rsidR="00936BB5" w:rsidRPr="00597FFB" w:rsidRDefault="00936BB5" w:rsidP="000E48F1">
            <w:pPr>
              <w:widowControl w:val="0"/>
              <w:jc w:val="center"/>
              <w:rPr>
                <w:rFonts w:ascii="Times New Roman" w:eastAsia="Times New Roman" w:hAnsi="Times New Roman" w:cs="Times New Roman"/>
                <w:color w:val="000000"/>
                <w:sz w:val="20"/>
                <w:szCs w:val="20"/>
              </w:rPr>
            </w:pPr>
          </w:p>
          <w:p w14:paraId="304E8E60"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0.760</w:t>
            </w:r>
          </w:p>
          <w:p w14:paraId="50B8C347" w14:textId="77777777" w:rsidR="00936BB5" w:rsidRPr="00597FFB" w:rsidRDefault="00936BB5" w:rsidP="000E48F1">
            <w:pPr>
              <w:widowControl w:val="0"/>
              <w:jc w:val="center"/>
              <w:rPr>
                <w:rFonts w:ascii="Times New Roman" w:eastAsia="Times New Roman" w:hAnsi="Times New Roman" w:cs="Times New Roman"/>
                <w:sz w:val="20"/>
                <w:szCs w:val="20"/>
              </w:rPr>
            </w:pPr>
          </w:p>
          <w:p w14:paraId="5B2862CB" w14:textId="77777777" w:rsidR="00936BB5" w:rsidRPr="00597FFB" w:rsidRDefault="00936BB5" w:rsidP="000E48F1">
            <w:pPr>
              <w:widowControl w:val="0"/>
              <w:jc w:val="center"/>
              <w:rPr>
                <w:rFonts w:ascii="Times New Roman" w:eastAsia="Times New Roman" w:hAnsi="Times New Roman" w:cs="Times New Roman"/>
                <w:color w:val="000000"/>
                <w:sz w:val="20"/>
                <w:szCs w:val="20"/>
              </w:rPr>
            </w:pPr>
          </w:p>
          <w:p w14:paraId="3762E415" w14:textId="77777777" w:rsidR="00936BB5" w:rsidRPr="00597FFB" w:rsidRDefault="00936BB5" w:rsidP="000E48F1">
            <w:pPr>
              <w:widowControl w:val="0"/>
              <w:jc w:val="center"/>
              <w:rPr>
                <w:rFonts w:ascii="Times New Roman" w:eastAsia="Times New Roman" w:hAnsi="Times New Roman" w:cs="Times New Roman"/>
                <w:sz w:val="20"/>
                <w:szCs w:val="20"/>
              </w:rPr>
            </w:pPr>
          </w:p>
        </w:tc>
        <w:tc>
          <w:tcPr>
            <w:tcW w:w="766" w:type="dxa"/>
            <w:vMerge w:val="restart"/>
            <w:tcBorders>
              <w:top w:val="single" w:sz="4" w:space="0" w:color="auto"/>
              <w:left w:val="nil"/>
              <w:bottom w:val="single" w:sz="4" w:space="0" w:color="auto"/>
              <w:right w:val="nil"/>
            </w:tcBorders>
            <w:noWrap/>
            <w:vAlign w:val="center"/>
            <w:hideMark/>
          </w:tcPr>
          <w:p w14:paraId="67D4C767"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0.982</w:t>
            </w:r>
          </w:p>
        </w:tc>
        <w:tc>
          <w:tcPr>
            <w:tcW w:w="717" w:type="dxa"/>
            <w:gridSpan w:val="2"/>
            <w:vMerge w:val="restart"/>
            <w:tcBorders>
              <w:top w:val="single" w:sz="4" w:space="0" w:color="auto"/>
              <w:left w:val="nil"/>
              <w:right w:val="nil"/>
            </w:tcBorders>
            <w:vAlign w:val="center"/>
          </w:tcPr>
          <w:p w14:paraId="68F2A916"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0.990</w:t>
            </w:r>
          </w:p>
        </w:tc>
      </w:tr>
      <w:tr w:rsidR="00936BB5" w:rsidRPr="00597FFB" w14:paraId="63B2CBC0" w14:textId="77777777" w:rsidTr="000E48F1">
        <w:trPr>
          <w:trHeight w:val="235"/>
        </w:trPr>
        <w:tc>
          <w:tcPr>
            <w:tcW w:w="976" w:type="dxa"/>
            <w:noWrap/>
            <w:vAlign w:val="bottom"/>
            <w:hideMark/>
          </w:tcPr>
          <w:p w14:paraId="7B74AC4C"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EC2</w:t>
            </w:r>
          </w:p>
        </w:tc>
        <w:tc>
          <w:tcPr>
            <w:tcW w:w="562" w:type="dxa"/>
            <w:noWrap/>
            <w:vAlign w:val="bottom"/>
            <w:hideMark/>
          </w:tcPr>
          <w:p w14:paraId="4602C94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73EFC74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3.416</w:t>
            </w:r>
          </w:p>
        </w:tc>
        <w:tc>
          <w:tcPr>
            <w:tcW w:w="735" w:type="dxa"/>
            <w:noWrap/>
            <w:vAlign w:val="bottom"/>
            <w:hideMark/>
          </w:tcPr>
          <w:p w14:paraId="50BE15D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0.935</w:t>
            </w:r>
          </w:p>
        </w:tc>
        <w:tc>
          <w:tcPr>
            <w:tcW w:w="900" w:type="dxa"/>
            <w:noWrap/>
            <w:vAlign w:val="bottom"/>
            <w:hideMark/>
          </w:tcPr>
          <w:p w14:paraId="2758A190"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0.736</w:t>
            </w:r>
          </w:p>
        </w:tc>
        <w:tc>
          <w:tcPr>
            <w:tcW w:w="1167" w:type="dxa"/>
            <w:vMerge/>
            <w:tcBorders>
              <w:left w:val="nil"/>
              <w:bottom w:val="single" w:sz="4" w:space="0" w:color="auto"/>
              <w:right w:val="nil"/>
            </w:tcBorders>
            <w:vAlign w:val="center"/>
            <w:hideMark/>
          </w:tcPr>
          <w:p w14:paraId="0E3ADD9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0353C04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3F031B4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53A96A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01FE2B97" w14:textId="77777777" w:rsidTr="000E48F1">
        <w:trPr>
          <w:trHeight w:val="235"/>
        </w:trPr>
        <w:tc>
          <w:tcPr>
            <w:tcW w:w="976" w:type="dxa"/>
            <w:noWrap/>
            <w:vAlign w:val="bottom"/>
            <w:hideMark/>
          </w:tcPr>
          <w:p w14:paraId="5D3F766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EC3</w:t>
            </w:r>
          </w:p>
        </w:tc>
        <w:tc>
          <w:tcPr>
            <w:tcW w:w="562" w:type="dxa"/>
            <w:noWrap/>
            <w:vAlign w:val="bottom"/>
            <w:hideMark/>
          </w:tcPr>
          <w:p w14:paraId="66AEAF6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568BD5A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3.414</w:t>
            </w:r>
          </w:p>
        </w:tc>
        <w:tc>
          <w:tcPr>
            <w:tcW w:w="735" w:type="dxa"/>
            <w:noWrap/>
            <w:vAlign w:val="bottom"/>
            <w:hideMark/>
          </w:tcPr>
          <w:p w14:paraId="4D90AD0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0.918</w:t>
            </w:r>
          </w:p>
        </w:tc>
        <w:tc>
          <w:tcPr>
            <w:tcW w:w="900" w:type="dxa"/>
            <w:noWrap/>
            <w:vAlign w:val="bottom"/>
            <w:hideMark/>
          </w:tcPr>
          <w:p w14:paraId="424AD05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0.715</w:t>
            </w:r>
          </w:p>
        </w:tc>
        <w:tc>
          <w:tcPr>
            <w:tcW w:w="1167" w:type="dxa"/>
            <w:vMerge/>
            <w:tcBorders>
              <w:left w:val="nil"/>
              <w:bottom w:val="single" w:sz="4" w:space="0" w:color="auto"/>
              <w:right w:val="nil"/>
            </w:tcBorders>
            <w:vAlign w:val="center"/>
            <w:hideMark/>
          </w:tcPr>
          <w:p w14:paraId="4B26870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2017A61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464C565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9991D1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5780AE18" w14:textId="77777777" w:rsidTr="000E48F1">
        <w:trPr>
          <w:trHeight w:val="235"/>
        </w:trPr>
        <w:tc>
          <w:tcPr>
            <w:tcW w:w="976" w:type="dxa"/>
            <w:noWrap/>
            <w:vAlign w:val="bottom"/>
            <w:hideMark/>
          </w:tcPr>
          <w:p w14:paraId="0EDAFBB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EC4</w:t>
            </w:r>
          </w:p>
        </w:tc>
        <w:tc>
          <w:tcPr>
            <w:tcW w:w="562" w:type="dxa"/>
            <w:noWrap/>
            <w:vAlign w:val="bottom"/>
            <w:hideMark/>
          </w:tcPr>
          <w:p w14:paraId="01F7C71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199CC65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3.481</w:t>
            </w:r>
          </w:p>
        </w:tc>
        <w:tc>
          <w:tcPr>
            <w:tcW w:w="735" w:type="dxa"/>
            <w:noWrap/>
            <w:vAlign w:val="bottom"/>
            <w:hideMark/>
          </w:tcPr>
          <w:p w14:paraId="2E72F34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0.949</w:t>
            </w:r>
          </w:p>
        </w:tc>
        <w:tc>
          <w:tcPr>
            <w:tcW w:w="900" w:type="dxa"/>
            <w:noWrap/>
            <w:vAlign w:val="bottom"/>
            <w:hideMark/>
          </w:tcPr>
          <w:p w14:paraId="0AEB76D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0.577</w:t>
            </w:r>
          </w:p>
        </w:tc>
        <w:tc>
          <w:tcPr>
            <w:tcW w:w="1167" w:type="dxa"/>
            <w:vMerge/>
            <w:tcBorders>
              <w:left w:val="nil"/>
              <w:bottom w:val="single" w:sz="4" w:space="0" w:color="auto"/>
              <w:right w:val="nil"/>
            </w:tcBorders>
            <w:vAlign w:val="center"/>
            <w:hideMark/>
          </w:tcPr>
          <w:p w14:paraId="063B92C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367A2F9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087F704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1C03C3F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3339E3DE" w14:textId="77777777" w:rsidTr="000E48F1">
        <w:trPr>
          <w:trHeight w:val="235"/>
        </w:trPr>
        <w:tc>
          <w:tcPr>
            <w:tcW w:w="976" w:type="dxa"/>
            <w:noWrap/>
            <w:vAlign w:val="bottom"/>
            <w:hideMark/>
          </w:tcPr>
          <w:p w14:paraId="7EA3BBBC"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EC5</w:t>
            </w:r>
          </w:p>
        </w:tc>
        <w:tc>
          <w:tcPr>
            <w:tcW w:w="562" w:type="dxa"/>
            <w:noWrap/>
            <w:vAlign w:val="bottom"/>
            <w:hideMark/>
          </w:tcPr>
          <w:p w14:paraId="6A66268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6BE05C4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3.390</w:t>
            </w:r>
          </w:p>
        </w:tc>
        <w:tc>
          <w:tcPr>
            <w:tcW w:w="735" w:type="dxa"/>
            <w:noWrap/>
            <w:vAlign w:val="bottom"/>
            <w:hideMark/>
          </w:tcPr>
          <w:p w14:paraId="1942320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1.004</w:t>
            </w:r>
          </w:p>
        </w:tc>
        <w:tc>
          <w:tcPr>
            <w:tcW w:w="900" w:type="dxa"/>
            <w:noWrap/>
            <w:vAlign w:val="bottom"/>
            <w:hideMark/>
          </w:tcPr>
          <w:p w14:paraId="1B86A6D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0.747</w:t>
            </w:r>
          </w:p>
        </w:tc>
        <w:tc>
          <w:tcPr>
            <w:tcW w:w="1167" w:type="dxa"/>
            <w:vMerge/>
            <w:tcBorders>
              <w:left w:val="nil"/>
              <w:bottom w:val="single" w:sz="4" w:space="0" w:color="auto"/>
              <w:right w:val="nil"/>
            </w:tcBorders>
            <w:vAlign w:val="center"/>
            <w:hideMark/>
          </w:tcPr>
          <w:p w14:paraId="17BB4D9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079C5846"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13F334A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43869A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1AC8DA3E" w14:textId="77777777" w:rsidTr="000E48F1">
        <w:trPr>
          <w:trHeight w:val="216"/>
        </w:trPr>
        <w:tc>
          <w:tcPr>
            <w:tcW w:w="976" w:type="dxa"/>
            <w:noWrap/>
            <w:vAlign w:val="bottom"/>
            <w:hideMark/>
          </w:tcPr>
          <w:p w14:paraId="4EE7781D"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EC6</w:t>
            </w:r>
          </w:p>
        </w:tc>
        <w:tc>
          <w:tcPr>
            <w:tcW w:w="562" w:type="dxa"/>
            <w:noWrap/>
            <w:vAlign w:val="bottom"/>
            <w:hideMark/>
          </w:tcPr>
          <w:p w14:paraId="20F7E0C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60770FE0"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3.404</w:t>
            </w:r>
          </w:p>
        </w:tc>
        <w:tc>
          <w:tcPr>
            <w:tcW w:w="735" w:type="dxa"/>
            <w:noWrap/>
            <w:vAlign w:val="bottom"/>
            <w:hideMark/>
          </w:tcPr>
          <w:p w14:paraId="52A8FF8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0.967</w:t>
            </w:r>
          </w:p>
        </w:tc>
        <w:tc>
          <w:tcPr>
            <w:tcW w:w="900" w:type="dxa"/>
            <w:noWrap/>
            <w:vAlign w:val="bottom"/>
            <w:hideMark/>
          </w:tcPr>
          <w:p w14:paraId="3860DC1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0.767</w:t>
            </w:r>
          </w:p>
        </w:tc>
        <w:tc>
          <w:tcPr>
            <w:tcW w:w="1167" w:type="dxa"/>
            <w:vMerge/>
            <w:tcBorders>
              <w:left w:val="nil"/>
              <w:bottom w:val="single" w:sz="4" w:space="0" w:color="auto"/>
              <w:right w:val="nil"/>
            </w:tcBorders>
            <w:vAlign w:val="center"/>
            <w:hideMark/>
          </w:tcPr>
          <w:p w14:paraId="76E8B266"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5810F4E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1D9039E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41093F2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30203F12" w14:textId="77777777" w:rsidTr="000E48F1">
        <w:trPr>
          <w:trHeight w:val="235"/>
        </w:trPr>
        <w:tc>
          <w:tcPr>
            <w:tcW w:w="976" w:type="dxa"/>
            <w:noWrap/>
            <w:vAlign w:val="bottom"/>
            <w:hideMark/>
          </w:tcPr>
          <w:p w14:paraId="266947E7"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EC7</w:t>
            </w:r>
          </w:p>
        </w:tc>
        <w:tc>
          <w:tcPr>
            <w:tcW w:w="562" w:type="dxa"/>
            <w:noWrap/>
            <w:vAlign w:val="bottom"/>
            <w:hideMark/>
          </w:tcPr>
          <w:p w14:paraId="2FF8386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60992FF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3.410</w:t>
            </w:r>
          </w:p>
        </w:tc>
        <w:tc>
          <w:tcPr>
            <w:tcW w:w="735" w:type="dxa"/>
            <w:noWrap/>
            <w:vAlign w:val="bottom"/>
            <w:hideMark/>
          </w:tcPr>
          <w:p w14:paraId="6FD31C4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0.998</w:t>
            </w:r>
          </w:p>
        </w:tc>
        <w:tc>
          <w:tcPr>
            <w:tcW w:w="900" w:type="dxa"/>
            <w:noWrap/>
            <w:vAlign w:val="bottom"/>
            <w:hideMark/>
          </w:tcPr>
          <w:p w14:paraId="10F0DD6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0.807</w:t>
            </w:r>
          </w:p>
        </w:tc>
        <w:tc>
          <w:tcPr>
            <w:tcW w:w="1167" w:type="dxa"/>
            <w:vMerge/>
            <w:tcBorders>
              <w:left w:val="nil"/>
              <w:bottom w:val="single" w:sz="4" w:space="0" w:color="auto"/>
              <w:right w:val="nil"/>
            </w:tcBorders>
            <w:vAlign w:val="center"/>
            <w:hideMark/>
          </w:tcPr>
          <w:p w14:paraId="036AC45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31F9E94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5B766BA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690CEE56"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01E4CE70" w14:textId="77777777" w:rsidTr="000E48F1">
        <w:trPr>
          <w:trHeight w:val="235"/>
        </w:trPr>
        <w:tc>
          <w:tcPr>
            <w:tcW w:w="976" w:type="dxa"/>
            <w:noWrap/>
            <w:vAlign w:val="bottom"/>
            <w:hideMark/>
          </w:tcPr>
          <w:p w14:paraId="6020699B"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EC8</w:t>
            </w:r>
          </w:p>
        </w:tc>
        <w:tc>
          <w:tcPr>
            <w:tcW w:w="562" w:type="dxa"/>
            <w:noWrap/>
            <w:vAlign w:val="bottom"/>
            <w:hideMark/>
          </w:tcPr>
          <w:p w14:paraId="568057D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14B7C37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3.360</w:t>
            </w:r>
          </w:p>
        </w:tc>
        <w:tc>
          <w:tcPr>
            <w:tcW w:w="735" w:type="dxa"/>
            <w:noWrap/>
            <w:vAlign w:val="bottom"/>
            <w:hideMark/>
          </w:tcPr>
          <w:p w14:paraId="68D210E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0.988</w:t>
            </w:r>
          </w:p>
        </w:tc>
        <w:tc>
          <w:tcPr>
            <w:tcW w:w="900" w:type="dxa"/>
            <w:noWrap/>
            <w:vAlign w:val="bottom"/>
            <w:hideMark/>
          </w:tcPr>
          <w:p w14:paraId="5DDE7C7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0.787</w:t>
            </w:r>
          </w:p>
        </w:tc>
        <w:tc>
          <w:tcPr>
            <w:tcW w:w="1167" w:type="dxa"/>
            <w:vMerge/>
            <w:tcBorders>
              <w:left w:val="nil"/>
              <w:bottom w:val="single" w:sz="4" w:space="0" w:color="auto"/>
              <w:right w:val="nil"/>
            </w:tcBorders>
            <w:vAlign w:val="center"/>
            <w:hideMark/>
          </w:tcPr>
          <w:p w14:paraId="3B5A2E0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0DA3ECD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64C13C4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643289F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6A9818D8" w14:textId="77777777" w:rsidTr="000E48F1">
        <w:trPr>
          <w:trHeight w:val="235"/>
        </w:trPr>
        <w:tc>
          <w:tcPr>
            <w:tcW w:w="976" w:type="dxa"/>
            <w:noWrap/>
            <w:vAlign w:val="bottom"/>
            <w:hideMark/>
          </w:tcPr>
          <w:p w14:paraId="41D04726"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EC9</w:t>
            </w:r>
          </w:p>
        </w:tc>
        <w:tc>
          <w:tcPr>
            <w:tcW w:w="562" w:type="dxa"/>
            <w:noWrap/>
            <w:vAlign w:val="bottom"/>
            <w:hideMark/>
          </w:tcPr>
          <w:p w14:paraId="6E4659F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1BF55AE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3.341</w:t>
            </w:r>
          </w:p>
        </w:tc>
        <w:tc>
          <w:tcPr>
            <w:tcW w:w="735" w:type="dxa"/>
            <w:noWrap/>
            <w:vAlign w:val="bottom"/>
            <w:hideMark/>
          </w:tcPr>
          <w:p w14:paraId="2EAE10F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0.946</w:t>
            </w:r>
          </w:p>
        </w:tc>
        <w:tc>
          <w:tcPr>
            <w:tcW w:w="900" w:type="dxa"/>
            <w:noWrap/>
            <w:vAlign w:val="bottom"/>
            <w:hideMark/>
          </w:tcPr>
          <w:p w14:paraId="66CE7A0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0.756</w:t>
            </w:r>
          </w:p>
        </w:tc>
        <w:tc>
          <w:tcPr>
            <w:tcW w:w="1167" w:type="dxa"/>
            <w:vMerge/>
            <w:tcBorders>
              <w:left w:val="nil"/>
              <w:bottom w:val="single" w:sz="4" w:space="0" w:color="auto"/>
              <w:right w:val="nil"/>
            </w:tcBorders>
            <w:vAlign w:val="center"/>
            <w:hideMark/>
          </w:tcPr>
          <w:p w14:paraId="1A2D0AC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4D036E20"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17A4A8C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2EC9EE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1DE7B16B" w14:textId="77777777" w:rsidTr="000E48F1">
        <w:trPr>
          <w:trHeight w:val="235"/>
        </w:trPr>
        <w:tc>
          <w:tcPr>
            <w:tcW w:w="976" w:type="dxa"/>
            <w:noWrap/>
            <w:vAlign w:val="bottom"/>
            <w:hideMark/>
          </w:tcPr>
          <w:p w14:paraId="67FE0104"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EC10</w:t>
            </w:r>
          </w:p>
        </w:tc>
        <w:tc>
          <w:tcPr>
            <w:tcW w:w="562" w:type="dxa"/>
            <w:noWrap/>
            <w:vAlign w:val="bottom"/>
            <w:hideMark/>
          </w:tcPr>
          <w:p w14:paraId="1679DB8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504</w:t>
            </w:r>
          </w:p>
        </w:tc>
        <w:tc>
          <w:tcPr>
            <w:tcW w:w="735" w:type="dxa"/>
            <w:noWrap/>
            <w:vAlign w:val="bottom"/>
            <w:hideMark/>
          </w:tcPr>
          <w:p w14:paraId="5BE7CB8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3.331</w:t>
            </w:r>
          </w:p>
        </w:tc>
        <w:tc>
          <w:tcPr>
            <w:tcW w:w="735" w:type="dxa"/>
            <w:noWrap/>
            <w:vAlign w:val="bottom"/>
            <w:hideMark/>
          </w:tcPr>
          <w:p w14:paraId="6677825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0.999</w:t>
            </w:r>
          </w:p>
        </w:tc>
        <w:tc>
          <w:tcPr>
            <w:tcW w:w="900" w:type="dxa"/>
            <w:noWrap/>
            <w:vAlign w:val="bottom"/>
            <w:hideMark/>
          </w:tcPr>
          <w:p w14:paraId="11D0E37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0.788</w:t>
            </w:r>
          </w:p>
        </w:tc>
        <w:tc>
          <w:tcPr>
            <w:tcW w:w="1167" w:type="dxa"/>
            <w:vMerge/>
            <w:tcBorders>
              <w:left w:val="nil"/>
              <w:bottom w:val="single" w:sz="4" w:space="0" w:color="auto"/>
              <w:right w:val="nil"/>
            </w:tcBorders>
            <w:vAlign w:val="center"/>
            <w:hideMark/>
          </w:tcPr>
          <w:p w14:paraId="15B3BA4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2AFE126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7014E6B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6CE4BB0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1DFDA6F3" w14:textId="77777777" w:rsidTr="000E48F1">
        <w:trPr>
          <w:trHeight w:val="235"/>
        </w:trPr>
        <w:tc>
          <w:tcPr>
            <w:tcW w:w="976" w:type="dxa"/>
            <w:noWrap/>
            <w:vAlign w:val="bottom"/>
            <w:hideMark/>
          </w:tcPr>
          <w:p w14:paraId="5C8E206C"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EC11</w:t>
            </w:r>
          </w:p>
        </w:tc>
        <w:tc>
          <w:tcPr>
            <w:tcW w:w="562" w:type="dxa"/>
            <w:noWrap/>
            <w:vAlign w:val="bottom"/>
            <w:hideMark/>
          </w:tcPr>
          <w:p w14:paraId="537EC52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415EFF1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3.388</w:t>
            </w:r>
          </w:p>
        </w:tc>
        <w:tc>
          <w:tcPr>
            <w:tcW w:w="735" w:type="dxa"/>
            <w:noWrap/>
            <w:vAlign w:val="bottom"/>
            <w:hideMark/>
          </w:tcPr>
          <w:p w14:paraId="746C70C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0.953</w:t>
            </w:r>
          </w:p>
        </w:tc>
        <w:tc>
          <w:tcPr>
            <w:tcW w:w="900" w:type="dxa"/>
            <w:noWrap/>
            <w:vAlign w:val="bottom"/>
            <w:hideMark/>
          </w:tcPr>
          <w:p w14:paraId="7F2FDD0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0.721</w:t>
            </w:r>
          </w:p>
        </w:tc>
        <w:tc>
          <w:tcPr>
            <w:tcW w:w="1167" w:type="dxa"/>
            <w:vMerge/>
            <w:tcBorders>
              <w:left w:val="nil"/>
              <w:bottom w:val="single" w:sz="4" w:space="0" w:color="auto"/>
              <w:right w:val="nil"/>
            </w:tcBorders>
            <w:vAlign w:val="center"/>
            <w:hideMark/>
          </w:tcPr>
          <w:p w14:paraId="6A3E77A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7981517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711EBEC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vAlign w:val="center"/>
          </w:tcPr>
          <w:p w14:paraId="4389F15F" w14:textId="77777777" w:rsidR="00936BB5" w:rsidRPr="00597FFB" w:rsidRDefault="00936BB5" w:rsidP="000E48F1">
            <w:pPr>
              <w:widowControl w:val="0"/>
              <w:spacing w:after="0"/>
              <w:jc w:val="center"/>
              <w:rPr>
                <w:rFonts w:ascii="Times New Roman" w:eastAsia="Times New Roman" w:hAnsi="Times New Roman" w:cs="Times New Roman"/>
                <w:color w:val="000000"/>
                <w:sz w:val="20"/>
                <w:szCs w:val="20"/>
              </w:rPr>
            </w:pPr>
          </w:p>
        </w:tc>
      </w:tr>
      <w:tr w:rsidR="00936BB5" w:rsidRPr="00597FFB" w14:paraId="260C17C9" w14:textId="77777777" w:rsidTr="000E48F1">
        <w:trPr>
          <w:trHeight w:val="216"/>
        </w:trPr>
        <w:tc>
          <w:tcPr>
            <w:tcW w:w="976" w:type="dxa"/>
            <w:noWrap/>
            <w:vAlign w:val="bottom"/>
            <w:hideMark/>
          </w:tcPr>
          <w:p w14:paraId="26FA7F29"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EC12</w:t>
            </w:r>
          </w:p>
        </w:tc>
        <w:tc>
          <w:tcPr>
            <w:tcW w:w="562" w:type="dxa"/>
            <w:noWrap/>
            <w:vAlign w:val="bottom"/>
            <w:hideMark/>
          </w:tcPr>
          <w:p w14:paraId="72ED1B4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0D3CC61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3.380</w:t>
            </w:r>
          </w:p>
        </w:tc>
        <w:tc>
          <w:tcPr>
            <w:tcW w:w="735" w:type="dxa"/>
            <w:noWrap/>
            <w:vAlign w:val="bottom"/>
            <w:hideMark/>
          </w:tcPr>
          <w:p w14:paraId="6F8842E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0.963</w:t>
            </w:r>
          </w:p>
        </w:tc>
        <w:tc>
          <w:tcPr>
            <w:tcW w:w="900" w:type="dxa"/>
            <w:noWrap/>
            <w:vAlign w:val="bottom"/>
            <w:hideMark/>
          </w:tcPr>
          <w:p w14:paraId="597AD2D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0.741</w:t>
            </w:r>
          </w:p>
        </w:tc>
        <w:tc>
          <w:tcPr>
            <w:tcW w:w="1167" w:type="dxa"/>
            <w:vMerge/>
            <w:tcBorders>
              <w:left w:val="nil"/>
              <w:bottom w:val="single" w:sz="4" w:space="0" w:color="auto"/>
              <w:right w:val="nil"/>
            </w:tcBorders>
            <w:vAlign w:val="center"/>
            <w:hideMark/>
          </w:tcPr>
          <w:p w14:paraId="57F7239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3F1D85D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6AA45A1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3E217ED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655A1C87" w14:textId="77777777" w:rsidTr="000E48F1">
        <w:trPr>
          <w:trHeight w:val="235"/>
        </w:trPr>
        <w:tc>
          <w:tcPr>
            <w:tcW w:w="976" w:type="dxa"/>
            <w:noWrap/>
            <w:vAlign w:val="bottom"/>
            <w:hideMark/>
          </w:tcPr>
          <w:p w14:paraId="38F94267"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EC13</w:t>
            </w:r>
          </w:p>
        </w:tc>
        <w:tc>
          <w:tcPr>
            <w:tcW w:w="562" w:type="dxa"/>
            <w:noWrap/>
            <w:vAlign w:val="bottom"/>
            <w:hideMark/>
          </w:tcPr>
          <w:p w14:paraId="4D752EB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238E701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3.394</w:t>
            </w:r>
          </w:p>
        </w:tc>
        <w:tc>
          <w:tcPr>
            <w:tcW w:w="735" w:type="dxa"/>
            <w:noWrap/>
            <w:vAlign w:val="bottom"/>
            <w:hideMark/>
          </w:tcPr>
          <w:p w14:paraId="2A6EBFA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0.960</w:t>
            </w:r>
          </w:p>
        </w:tc>
        <w:tc>
          <w:tcPr>
            <w:tcW w:w="900" w:type="dxa"/>
            <w:noWrap/>
            <w:vAlign w:val="bottom"/>
            <w:hideMark/>
          </w:tcPr>
          <w:p w14:paraId="75BB445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0.779</w:t>
            </w:r>
          </w:p>
        </w:tc>
        <w:tc>
          <w:tcPr>
            <w:tcW w:w="1167" w:type="dxa"/>
            <w:vMerge/>
            <w:tcBorders>
              <w:left w:val="nil"/>
              <w:bottom w:val="single" w:sz="4" w:space="0" w:color="auto"/>
              <w:right w:val="nil"/>
            </w:tcBorders>
            <w:vAlign w:val="center"/>
            <w:hideMark/>
          </w:tcPr>
          <w:p w14:paraId="2C39427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2BB814D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50036F3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ECF64C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7E2641C" w14:textId="77777777" w:rsidTr="000E48F1">
        <w:trPr>
          <w:trHeight w:val="235"/>
        </w:trPr>
        <w:tc>
          <w:tcPr>
            <w:tcW w:w="976" w:type="dxa"/>
            <w:noWrap/>
            <w:vAlign w:val="bottom"/>
            <w:hideMark/>
          </w:tcPr>
          <w:p w14:paraId="4D05590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EC14</w:t>
            </w:r>
          </w:p>
        </w:tc>
        <w:tc>
          <w:tcPr>
            <w:tcW w:w="562" w:type="dxa"/>
            <w:noWrap/>
            <w:vAlign w:val="bottom"/>
            <w:hideMark/>
          </w:tcPr>
          <w:p w14:paraId="6134862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370A891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3.358</w:t>
            </w:r>
          </w:p>
        </w:tc>
        <w:tc>
          <w:tcPr>
            <w:tcW w:w="735" w:type="dxa"/>
            <w:noWrap/>
            <w:vAlign w:val="bottom"/>
            <w:hideMark/>
          </w:tcPr>
          <w:p w14:paraId="2A3AF14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0.984</w:t>
            </w:r>
          </w:p>
        </w:tc>
        <w:tc>
          <w:tcPr>
            <w:tcW w:w="900" w:type="dxa"/>
            <w:noWrap/>
            <w:vAlign w:val="bottom"/>
            <w:hideMark/>
          </w:tcPr>
          <w:p w14:paraId="32481A0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0.831</w:t>
            </w:r>
          </w:p>
        </w:tc>
        <w:tc>
          <w:tcPr>
            <w:tcW w:w="1167" w:type="dxa"/>
            <w:vMerge/>
            <w:tcBorders>
              <w:left w:val="nil"/>
              <w:bottom w:val="single" w:sz="4" w:space="0" w:color="auto"/>
              <w:right w:val="nil"/>
            </w:tcBorders>
            <w:vAlign w:val="center"/>
            <w:hideMark/>
          </w:tcPr>
          <w:p w14:paraId="131B261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1391B00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571BBF2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5E824D7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2ACEE863" w14:textId="77777777" w:rsidTr="000E48F1">
        <w:trPr>
          <w:trHeight w:val="235"/>
        </w:trPr>
        <w:tc>
          <w:tcPr>
            <w:tcW w:w="976" w:type="dxa"/>
            <w:noWrap/>
            <w:vAlign w:val="bottom"/>
            <w:hideMark/>
          </w:tcPr>
          <w:p w14:paraId="5327618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EC15</w:t>
            </w:r>
          </w:p>
        </w:tc>
        <w:tc>
          <w:tcPr>
            <w:tcW w:w="562" w:type="dxa"/>
            <w:noWrap/>
            <w:vAlign w:val="bottom"/>
            <w:hideMark/>
          </w:tcPr>
          <w:p w14:paraId="28D4A22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005E6C0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3.376</w:t>
            </w:r>
          </w:p>
        </w:tc>
        <w:tc>
          <w:tcPr>
            <w:tcW w:w="735" w:type="dxa"/>
            <w:noWrap/>
            <w:vAlign w:val="bottom"/>
            <w:hideMark/>
          </w:tcPr>
          <w:p w14:paraId="4163B7B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0.983</w:t>
            </w:r>
          </w:p>
        </w:tc>
        <w:tc>
          <w:tcPr>
            <w:tcW w:w="900" w:type="dxa"/>
            <w:noWrap/>
            <w:vAlign w:val="bottom"/>
            <w:hideMark/>
          </w:tcPr>
          <w:p w14:paraId="298BB98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0.802</w:t>
            </w:r>
          </w:p>
        </w:tc>
        <w:tc>
          <w:tcPr>
            <w:tcW w:w="1167" w:type="dxa"/>
            <w:vMerge/>
            <w:tcBorders>
              <w:left w:val="nil"/>
              <w:bottom w:val="single" w:sz="4" w:space="0" w:color="auto"/>
              <w:right w:val="nil"/>
            </w:tcBorders>
            <w:vAlign w:val="center"/>
            <w:hideMark/>
          </w:tcPr>
          <w:p w14:paraId="7059544B"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2E03C2C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6154E83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115CA91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2329A5E3" w14:textId="77777777" w:rsidTr="000E48F1">
        <w:trPr>
          <w:trHeight w:val="235"/>
        </w:trPr>
        <w:tc>
          <w:tcPr>
            <w:tcW w:w="976" w:type="dxa"/>
            <w:noWrap/>
            <w:vAlign w:val="bottom"/>
            <w:hideMark/>
          </w:tcPr>
          <w:p w14:paraId="5EB5F76D"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EC16</w:t>
            </w:r>
          </w:p>
        </w:tc>
        <w:tc>
          <w:tcPr>
            <w:tcW w:w="562" w:type="dxa"/>
            <w:noWrap/>
            <w:vAlign w:val="bottom"/>
            <w:hideMark/>
          </w:tcPr>
          <w:p w14:paraId="05E20C2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4BF9222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3.356</w:t>
            </w:r>
          </w:p>
        </w:tc>
        <w:tc>
          <w:tcPr>
            <w:tcW w:w="735" w:type="dxa"/>
            <w:noWrap/>
            <w:vAlign w:val="bottom"/>
            <w:hideMark/>
          </w:tcPr>
          <w:p w14:paraId="2FA0719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0.994</w:t>
            </w:r>
          </w:p>
        </w:tc>
        <w:tc>
          <w:tcPr>
            <w:tcW w:w="900" w:type="dxa"/>
            <w:noWrap/>
            <w:vAlign w:val="bottom"/>
            <w:hideMark/>
          </w:tcPr>
          <w:p w14:paraId="39334B0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0.783</w:t>
            </w:r>
          </w:p>
        </w:tc>
        <w:tc>
          <w:tcPr>
            <w:tcW w:w="1167" w:type="dxa"/>
            <w:vMerge/>
            <w:tcBorders>
              <w:left w:val="nil"/>
              <w:bottom w:val="single" w:sz="4" w:space="0" w:color="auto"/>
              <w:right w:val="nil"/>
            </w:tcBorders>
            <w:vAlign w:val="center"/>
            <w:hideMark/>
          </w:tcPr>
          <w:p w14:paraId="7FD2582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438DDA9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3407B2B1"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65EEFF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73517AB2" w14:textId="77777777" w:rsidTr="000E48F1">
        <w:trPr>
          <w:trHeight w:val="235"/>
        </w:trPr>
        <w:tc>
          <w:tcPr>
            <w:tcW w:w="976" w:type="dxa"/>
            <w:noWrap/>
            <w:vAlign w:val="bottom"/>
            <w:hideMark/>
          </w:tcPr>
          <w:p w14:paraId="0FCDBB4D"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EC17</w:t>
            </w:r>
          </w:p>
        </w:tc>
        <w:tc>
          <w:tcPr>
            <w:tcW w:w="562" w:type="dxa"/>
            <w:noWrap/>
            <w:vAlign w:val="bottom"/>
            <w:hideMark/>
          </w:tcPr>
          <w:p w14:paraId="6297378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5E3A764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3.406</w:t>
            </w:r>
          </w:p>
        </w:tc>
        <w:tc>
          <w:tcPr>
            <w:tcW w:w="735" w:type="dxa"/>
            <w:noWrap/>
            <w:vAlign w:val="bottom"/>
            <w:hideMark/>
          </w:tcPr>
          <w:p w14:paraId="03D991F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0.976</w:t>
            </w:r>
          </w:p>
        </w:tc>
        <w:tc>
          <w:tcPr>
            <w:tcW w:w="900" w:type="dxa"/>
            <w:noWrap/>
            <w:vAlign w:val="bottom"/>
            <w:hideMark/>
          </w:tcPr>
          <w:p w14:paraId="4CC24FD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0.826</w:t>
            </w:r>
          </w:p>
        </w:tc>
        <w:tc>
          <w:tcPr>
            <w:tcW w:w="1167" w:type="dxa"/>
            <w:vMerge/>
            <w:tcBorders>
              <w:left w:val="nil"/>
              <w:bottom w:val="single" w:sz="4" w:space="0" w:color="auto"/>
              <w:right w:val="nil"/>
            </w:tcBorders>
            <w:vAlign w:val="center"/>
            <w:hideMark/>
          </w:tcPr>
          <w:p w14:paraId="557E603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6C3D3D9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0471E65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09E488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35CD9FD3" w14:textId="77777777" w:rsidTr="000E48F1">
        <w:trPr>
          <w:trHeight w:val="216"/>
        </w:trPr>
        <w:tc>
          <w:tcPr>
            <w:tcW w:w="976" w:type="dxa"/>
            <w:tcBorders>
              <w:top w:val="nil"/>
              <w:left w:val="nil"/>
              <w:bottom w:val="single" w:sz="4" w:space="0" w:color="auto"/>
              <w:right w:val="nil"/>
            </w:tcBorders>
            <w:noWrap/>
            <w:vAlign w:val="bottom"/>
            <w:hideMark/>
          </w:tcPr>
          <w:p w14:paraId="17DCF115"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EC18</w:t>
            </w:r>
          </w:p>
        </w:tc>
        <w:tc>
          <w:tcPr>
            <w:tcW w:w="562" w:type="dxa"/>
            <w:tcBorders>
              <w:top w:val="nil"/>
              <w:left w:val="nil"/>
              <w:bottom w:val="single" w:sz="4" w:space="0" w:color="auto"/>
              <w:right w:val="nil"/>
            </w:tcBorders>
            <w:noWrap/>
            <w:vAlign w:val="bottom"/>
            <w:hideMark/>
          </w:tcPr>
          <w:p w14:paraId="1219743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758B532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3.378</w:t>
            </w:r>
          </w:p>
        </w:tc>
        <w:tc>
          <w:tcPr>
            <w:tcW w:w="735" w:type="dxa"/>
            <w:tcBorders>
              <w:top w:val="nil"/>
              <w:left w:val="nil"/>
              <w:bottom w:val="single" w:sz="4" w:space="0" w:color="auto"/>
              <w:right w:val="nil"/>
            </w:tcBorders>
            <w:noWrap/>
            <w:vAlign w:val="bottom"/>
            <w:hideMark/>
          </w:tcPr>
          <w:p w14:paraId="7D026A8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1.003</w:t>
            </w:r>
          </w:p>
        </w:tc>
        <w:tc>
          <w:tcPr>
            <w:tcW w:w="900" w:type="dxa"/>
            <w:tcBorders>
              <w:top w:val="nil"/>
              <w:left w:val="nil"/>
              <w:bottom w:val="single" w:sz="4" w:space="0" w:color="auto"/>
              <w:right w:val="nil"/>
            </w:tcBorders>
            <w:noWrap/>
            <w:vAlign w:val="bottom"/>
            <w:hideMark/>
          </w:tcPr>
          <w:p w14:paraId="60BD385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0.825</w:t>
            </w:r>
          </w:p>
        </w:tc>
        <w:tc>
          <w:tcPr>
            <w:tcW w:w="1167" w:type="dxa"/>
            <w:vMerge/>
            <w:tcBorders>
              <w:left w:val="nil"/>
              <w:bottom w:val="single" w:sz="4" w:space="0" w:color="auto"/>
              <w:right w:val="nil"/>
            </w:tcBorders>
            <w:vAlign w:val="center"/>
            <w:hideMark/>
          </w:tcPr>
          <w:p w14:paraId="5626910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left w:val="nil"/>
              <w:bottom w:val="single" w:sz="4" w:space="0" w:color="auto"/>
              <w:right w:val="nil"/>
            </w:tcBorders>
            <w:vAlign w:val="center"/>
            <w:hideMark/>
          </w:tcPr>
          <w:p w14:paraId="2097BC2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left w:val="nil"/>
              <w:bottom w:val="single" w:sz="4" w:space="0" w:color="auto"/>
              <w:right w:val="nil"/>
            </w:tcBorders>
            <w:vAlign w:val="center"/>
            <w:hideMark/>
          </w:tcPr>
          <w:p w14:paraId="781AC80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367807B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3D03065" w14:textId="77777777" w:rsidTr="000E48F1">
        <w:trPr>
          <w:trHeight w:val="235"/>
        </w:trPr>
        <w:tc>
          <w:tcPr>
            <w:tcW w:w="976" w:type="dxa"/>
            <w:tcBorders>
              <w:top w:val="single" w:sz="4" w:space="0" w:color="auto"/>
              <w:left w:val="nil"/>
              <w:bottom w:val="nil"/>
              <w:right w:val="nil"/>
            </w:tcBorders>
            <w:noWrap/>
            <w:vAlign w:val="bottom"/>
            <w:hideMark/>
          </w:tcPr>
          <w:p w14:paraId="2C79240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EWRBI1</w:t>
            </w:r>
          </w:p>
        </w:tc>
        <w:tc>
          <w:tcPr>
            <w:tcW w:w="562" w:type="dxa"/>
            <w:tcBorders>
              <w:top w:val="single" w:sz="4" w:space="0" w:color="auto"/>
              <w:left w:val="nil"/>
              <w:bottom w:val="nil"/>
              <w:right w:val="nil"/>
            </w:tcBorders>
            <w:noWrap/>
            <w:vAlign w:val="bottom"/>
            <w:hideMark/>
          </w:tcPr>
          <w:p w14:paraId="3E686AE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46DAD10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3.347</w:t>
            </w:r>
          </w:p>
        </w:tc>
        <w:tc>
          <w:tcPr>
            <w:tcW w:w="735" w:type="dxa"/>
            <w:tcBorders>
              <w:top w:val="single" w:sz="4" w:space="0" w:color="auto"/>
              <w:left w:val="nil"/>
              <w:bottom w:val="nil"/>
              <w:right w:val="nil"/>
            </w:tcBorders>
            <w:noWrap/>
            <w:vAlign w:val="bottom"/>
            <w:hideMark/>
          </w:tcPr>
          <w:p w14:paraId="5391C59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0.982</w:t>
            </w:r>
          </w:p>
        </w:tc>
        <w:tc>
          <w:tcPr>
            <w:tcW w:w="900" w:type="dxa"/>
            <w:tcBorders>
              <w:top w:val="single" w:sz="4" w:space="0" w:color="auto"/>
              <w:left w:val="nil"/>
              <w:bottom w:val="nil"/>
              <w:right w:val="nil"/>
            </w:tcBorders>
            <w:noWrap/>
            <w:vAlign w:val="center"/>
            <w:hideMark/>
          </w:tcPr>
          <w:p w14:paraId="1A56401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0.659</w:t>
            </w:r>
          </w:p>
        </w:tc>
        <w:tc>
          <w:tcPr>
            <w:tcW w:w="1167" w:type="dxa"/>
            <w:vMerge w:val="restart"/>
            <w:tcBorders>
              <w:top w:val="single" w:sz="4" w:space="0" w:color="auto"/>
              <w:left w:val="nil"/>
              <w:bottom w:val="single" w:sz="4" w:space="0" w:color="auto"/>
              <w:right w:val="nil"/>
            </w:tcBorders>
            <w:noWrap/>
            <w:vAlign w:val="center"/>
            <w:hideMark/>
          </w:tcPr>
          <w:p w14:paraId="79E4C2EF"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0.933</w:t>
            </w:r>
          </w:p>
        </w:tc>
        <w:tc>
          <w:tcPr>
            <w:tcW w:w="1092" w:type="dxa"/>
            <w:vMerge w:val="restart"/>
            <w:tcBorders>
              <w:top w:val="single" w:sz="4" w:space="0" w:color="auto"/>
              <w:left w:val="nil"/>
              <w:bottom w:val="single" w:sz="4" w:space="0" w:color="auto"/>
              <w:right w:val="nil"/>
            </w:tcBorders>
            <w:noWrap/>
            <w:vAlign w:val="center"/>
            <w:hideMark/>
          </w:tcPr>
          <w:p w14:paraId="58174734"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0.638</w:t>
            </w:r>
          </w:p>
        </w:tc>
        <w:tc>
          <w:tcPr>
            <w:tcW w:w="766" w:type="dxa"/>
            <w:vMerge w:val="restart"/>
            <w:tcBorders>
              <w:top w:val="single" w:sz="4" w:space="0" w:color="auto"/>
              <w:left w:val="nil"/>
              <w:bottom w:val="single" w:sz="4" w:space="0" w:color="auto"/>
              <w:right w:val="nil"/>
            </w:tcBorders>
            <w:noWrap/>
            <w:vAlign w:val="center"/>
            <w:hideMark/>
          </w:tcPr>
          <w:p w14:paraId="101383D0"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0.933</w:t>
            </w:r>
          </w:p>
        </w:tc>
        <w:tc>
          <w:tcPr>
            <w:tcW w:w="717" w:type="dxa"/>
            <w:gridSpan w:val="2"/>
            <w:vMerge w:val="restart"/>
            <w:tcBorders>
              <w:top w:val="single" w:sz="4" w:space="0" w:color="auto"/>
              <w:left w:val="nil"/>
              <w:right w:val="nil"/>
            </w:tcBorders>
            <w:vAlign w:val="center"/>
          </w:tcPr>
          <w:p w14:paraId="57B487F2"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0.966</w:t>
            </w:r>
          </w:p>
        </w:tc>
      </w:tr>
      <w:tr w:rsidR="00936BB5" w:rsidRPr="00597FFB" w14:paraId="684D7F8D" w14:textId="77777777" w:rsidTr="000E48F1">
        <w:trPr>
          <w:trHeight w:val="235"/>
        </w:trPr>
        <w:tc>
          <w:tcPr>
            <w:tcW w:w="976" w:type="dxa"/>
            <w:noWrap/>
            <w:vAlign w:val="bottom"/>
            <w:hideMark/>
          </w:tcPr>
          <w:p w14:paraId="24DD7899"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EWRBI2</w:t>
            </w:r>
          </w:p>
        </w:tc>
        <w:tc>
          <w:tcPr>
            <w:tcW w:w="562" w:type="dxa"/>
            <w:noWrap/>
            <w:vAlign w:val="bottom"/>
            <w:hideMark/>
          </w:tcPr>
          <w:p w14:paraId="5F683A4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3C8FC40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3.382</w:t>
            </w:r>
          </w:p>
        </w:tc>
        <w:tc>
          <w:tcPr>
            <w:tcW w:w="735" w:type="dxa"/>
            <w:noWrap/>
            <w:vAlign w:val="bottom"/>
            <w:hideMark/>
          </w:tcPr>
          <w:p w14:paraId="72610AE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0.997</w:t>
            </w:r>
          </w:p>
        </w:tc>
        <w:tc>
          <w:tcPr>
            <w:tcW w:w="900" w:type="dxa"/>
            <w:noWrap/>
            <w:vAlign w:val="center"/>
            <w:hideMark/>
          </w:tcPr>
          <w:p w14:paraId="0FEC142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0.540</w:t>
            </w:r>
          </w:p>
        </w:tc>
        <w:tc>
          <w:tcPr>
            <w:tcW w:w="1167" w:type="dxa"/>
            <w:vMerge/>
            <w:tcBorders>
              <w:top w:val="single" w:sz="4" w:space="0" w:color="auto"/>
              <w:left w:val="nil"/>
              <w:bottom w:val="single" w:sz="4" w:space="0" w:color="auto"/>
              <w:right w:val="nil"/>
            </w:tcBorders>
            <w:vAlign w:val="center"/>
            <w:hideMark/>
          </w:tcPr>
          <w:p w14:paraId="6ECD62D8"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5855FA6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7573CD54"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6990B2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DC03CBC" w14:textId="77777777" w:rsidTr="000E48F1">
        <w:trPr>
          <w:trHeight w:val="235"/>
        </w:trPr>
        <w:tc>
          <w:tcPr>
            <w:tcW w:w="976" w:type="dxa"/>
            <w:noWrap/>
            <w:vAlign w:val="bottom"/>
            <w:hideMark/>
          </w:tcPr>
          <w:p w14:paraId="002340D5"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EWRBI3</w:t>
            </w:r>
          </w:p>
        </w:tc>
        <w:tc>
          <w:tcPr>
            <w:tcW w:w="562" w:type="dxa"/>
            <w:noWrap/>
            <w:vAlign w:val="bottom"/>
            <w:hideMark/>
          </w:tcPr>
          <w:p w14:paraId="637AE17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7C28E4B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3.351</w:t>
            </w:r>
          </w:p>
        </w:tc>
        <w:tc>
          <w:tcPr>
            <w:tcW w:w="735" w:type="dxa"/>
            <w:noWrap/>
            <w:vAlign w:val="bottom"/>
            <w:hideMark/>
          </w:tcPr>
          <w:p w14:paraId="47DABE6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1.015</w:t>
            </w:r>
          </w:p>
        </w:tc>
        <w:tc>
          <w:tcPr>
            <w:tcW w:w="900" w:type="dxa"/>
            <w:noWrap/>
            <w:vAlign w:val="center"/>
            <w:hideMark/>
          </w:tcPr>
          <w:p w14:paraId="2DC68C2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0.687</w:t>
            </w:r>
          </w:p>
        </w:tc>
        <w:tc>
          <w:tcPr>
            <w:tcW w:w="1167" w:type="dxa"/>
            <w:vMerge/>
            <w:tcBorders>
              <w:top w:val="single" w:sz="4" w:space="0" w:color="auto"/>
              <w:left w:val="nil"/>
              <w:bottom w:val="single" w:sz="4" w:space="0" w:color="auto"/>
              <w:right w:val="nil"/>
            </w:tcBorders>
            <w:vAlign w:val="center"/>
            <w:hideMark/>
          </w:tcPr>
          <w:p w14:paraId="34FB396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24D6666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502387E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7E20DCB6"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3F84B146" w14:textId="77777777" w:rsidTr="000E48F1">
        <w:trPr>
          <w:trHeight w:val="235"/>
        </w:trPr>
        <w:tc>
          <w:tcPr>
            <w:tcW w:w="976" w:type="dxa"/>
            <w:noWrap/>
            <w:vAlign w:val="bottom"/>
            <w:hideMark/>
          </w:tcPr>
          <w:p w14:paraId="62E6D3A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EWRBI4</w:t>
            </w:r>
          </w:p>
        </w:tc>
        <w:tc>
          <w:tcPr>
            <w:tcW w:w="562" w:type="dxa"/>
            <w:noWrap/>
            <w:vAlign w:val="bottom"/>
            <w:hideMark/>
          </w:tcPr>
          <w:p w14:paraId="4C51D7C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7AD0A72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1.667</w:t>
            </w:r>
          </w:p>
        </w:tc>
        <w:tc>
          <w:tcPr>
            <w:tcW w:w="735" w:type="dxa"/>
            <w:noWrap/>
            <w:vAlign w:val="bottom"/>
            <w:hideMark/>
          </w:tcPr>
          <w:p w14:paraId="31A9F25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0.630</w:t>
            </w:r>
          </w:p>
        </w:tc>
        <w:tc>
          <w:tcPr>
            <w:tcW w:w="900" w:type="dxa"/>
            <w:noWrap/>
            <w:vAlign w:val="center"/>
            <w:hideMark/>
          </w:tcPr>
          <w:p w14:paraId="5FC2C5A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0.688</w:t>
            </w:r>
          </w:p>
        </w:tc>
        <w:tc>
          <w:tcPr>
            <w:tcW w:w="1167" w:type="dxa"/>
            <w:vMerge/>
            <w:tcBorders>
              <w:top w:val="single" w:sz="4" w:space="0" w:color="auto"/>
              <w:left w:val="nil"/>
              <w:bottom w:val="single" w:sz="4" w:space="0" w:color="auto"/>
              <w:right w:val="nil"/>
            </w:tcBorders>
            <w:vAlign w:val="center"/>
            <w:hideMark/>
          </w:tcPr>
          <w:p w14:paraId="4E256D8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0CE800C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3B71B9B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14EF686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7ED8A409" w14:textId="77777777" w:rsidTr="000E48F1">
        <w:trPr>
          <w:trHeight w:val="235"/>
        </w:trPr>
        <w:tc>
          <w:tcPr>
            <w:tcW w:w="976" w:type="dxa"/>
            <w:noWrap/>
            <w:vAlign w:val="bottom"/>
            <w:hideMark/>
          </w:tcPr>
          <w:p w14:paraId="6091A850"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EWRBI5</w:t>
            </w:r>
          </w:p>
        </w:tc>
        <w:tc>
          <w:tcPr>
            <w:tcW w:w="562" w:type="dxa"/>
            <w:noWrap/>
            <w:vAlign w:val="bottom"/>
            <w:hideMark/>
          </w:tcPr>
          <w:p w14:paraId="4EF2F5C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59CACE2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1.687</w:t>
            </w:r>
          </w:p>
        </w:tc>
        <w:tc>
          <w:tcPr>
            <w:tcW w:w="735" w:type="dxa"/>
            <w:noWrap/>
            <w:vAlign w:val="bottom"/>
            <w:hideMark/>
          </w:tcPr>
          <w:p w14:paraId="545343E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0.643</w:t>
            </w:r>
          </w:p>
        </w:tc>
        <w:tc>
          <w:tcPr>
            <w:tcW w:w="900" w:type="dxa"/>
            <w:noWrap/>
            <w:vAlign w:val="center"/>
            <w:hideMark/>
          </w:tcPr>
          <w:p w14:paraId="19609BF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0.695</w:t>
            </w:r>
          </w:p>
        </w:tc>
        <w:tc>
          <w:tcPr>
            <w:tcW w:w="1167" w:type="dxa"/>
            <w:vMerge/>
            <w:tcBorders>
              <w:top w:val="single" w:sz="4" w:space="0" w:color="auto"/>
              <w:left w:val="nil"/>
              <w:bottom w:val="single" w:sz="4" w:space="0" w:color="auto"/>
              <w:right w:val="nil"/>
            </w:tcBorders>
            <w:vAlign w:val="center"/>
            <w:hideMark/>
          </w:tcPr>
          <w:p w14:paraId="2A4BD1D5"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39BDAB5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3C626BEA"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6D2C4E7"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8FEBCDD" w14:textId="77777777" w:rsidTr="000E48F1">
        <w:trPr>
          <w:trHeight w:val="216"/>
        </w:trPr>
        <w:tc>
          <w:tcPr>
            <w:tcW w:w="976" w:type="dxa"/>
            <w:noWrap/>
            <w:vAlign w:val="bottom"/>
            <w:hideMark/>
          </w:tcPr>
          <w:p w14:paraId="5819F078"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EWRBI6</w:t>
            </w:r>
          </w:p>
        </w:tc>
        <w:tc>
          <w:tcPr>
            <w:tcW w:w="562" w:type="dxa"/>
            <w:noWrap/>
            <w:vAlign w:val="bottom"/>
            <w:hideMark/>
          </w:tcPr>
          <w:p w14:paraId="762B078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6BCCC15F"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1.735</w:t>
            </w:r>
          </w:p>
        </w:tc>
        <w:tc>
          <w:tcPr>
            <w:tcW w:w="735" w:type="dxa"/>
            <w:noWrap/>
            <w:vAlign w:val="bottom"/>
            <w:hideMark/>
          </w:tcPr>
          <w:p w14:paraId="2923591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0.787</w:t>
            </w:r>
          </w:p>
        </w:tc>
        <w:tc>
          <w:tcPr>
            <w:tcW w:w="900" w:type="dxa"/>
            <w:noWrap/>
            <w:vAlign w:val="center"/>
            <w:hideMark/>
          </w:tcPr>
          <w:p w14:paraId="4C1E944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0.733</w:t>
            </w:r>
          </w:p>
        </w:tc>
        <w:tc>
          <w:tcPr>
            <w:tcW w:w="1167" w:type="dxa"/>
            <w:vMerge/>
            <w:tcBorders>
              <w:top w:val="single" w:sz="4" w:space="0" w:color="auto"/>
              <w:left w:val="nil"/>
              <w:bottom w:val="single" w:sz="4" w:space="0" w:color="auto"/>
              <w:right w:val="nil"/>
            </w:tcBorders>
            <w:vAlign w:val="center"/>
            <w:hideMark/>
          </w:tcPr>
          <w:p w14:paraId="4C2AA94D"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1BADDC7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77EEC35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1DC9278B"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50735FDA" w14:textId="77777777" w:rsidTr="000E48F1">
        <w:trPr>
          <w:trHeight w:val="235"/>
        </w:trPr>
        <w:tc>
          <w:tcPr>
            <w:tcW w:w="976" w:type="dxa"/>
            <w:noWrap/>
            <w:vAlign w:val="bottom"/>
            <w:hideMark/>
          </w:tcPr>
          <w:p w14:paraId="6FA03B0E"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EWRBI7</w:t>
            </w:r>
          </w:p>
        </w:tc>
        <w:tc>
          <w:tcPr>
            <w:tcW w:w="562" w:type="dxa"/>
            <w:noWrap/>
            <w:vAlign w:val="bottom"/>
            <w:hideMark/>
          </w:tcPr>
          <w:p w14:paraId="710680F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noWrap/>
            <w:vAlign w:val="bottom"/>
            <w:hideMark/>
          </w:tcPr>
          <w:p w14:paraId="218D9D4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1.578</w:t>
            </w:r>
          </w:p>
        </w:tc>
        <w:tc>
          <w:tcPr>
            <w:tcW w:w="735" w:type="dxa"/>
            <w:noWrap/>
            <w:vAlign w:val="bottom"/>
            <w:hideMark/>
          </w:tcPr>
          <w:p w14:paraId="50D887A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0.609</w:t>
            </w:r>
          </w:p>
        </w:tc>
        <w:tc>
          <w:tcPr>
            <w:tcW w:w="900" w:type="dxa"/>
            <w:noWrap/>
            <w:vAlign w:val="center"/>
            <w:hideMark/>
          </w:tcPr>
          <w:p w14:paraId="1DD84AF0"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0.738</w:t>
            </w:r>
          </w:p>
        </w:tc>
        <w:tc>
          <w:tcPr>
            <w:tcW w:w="1167" w:type="dxa"/>
            <w:vMerge/>
            <w:tcBorders>
              <w:top w:val="single" w:sz="4" w:space="0" w:color="auto"/>
              <w:left w:val="nil"/>
              <w:bottom w:val="single" w:sz="4" w:space="0" w:color="auto"/>
              <w:right w:val="nil"/>
            </w:tcBorders>
            <w:vAlign w:val="center"/>
            <w:hideMark/>
          </w:tcPr>
          <w:p w14:paraId="0DBFA10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0B920442"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7BBA029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right w:val="nil"/>
            </w:tcBorders>
          </w:tcPr>
          <w:p w14:paraId="2A03021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1B379271" w14:textId="77777777" w:rsidTr="000E48F1">
        <w:trPr>
          <w:trHeight w:val="235"/>
        </w:trPr>
        <w:tc>
          <w:tcPr>
            <w:tcW w:w="976" w:type="dxa"/>
            <w:tcBorders>
              <w:top w:val="nil"/>
              <w:left w:val="nil"/>
              <w:bottom w:val="single" w:sz="4" w:space="0" w:color="auto"/>
              <w:right w:val="nil"/>
            </w:tcBorders>
            <w:noWrap/>
            <w:vAlign w:val="bottom"/>
            <w:hideMark/>
          </w:tcPr>
          <w:p w14:paraId="75311CF0"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EWRBI8</w:t>
            </w:r>
          </w:p>
        </w:tc>
        <w:tc>
          <w:tcPr>
            <w:tcW w:w="562" w:type="dxa"/>
            <w:tcBorders>
              <w:top w:val="nil"/>
              <w:left w:val="nil"/>
              <w:bottom w:val="single" w:sz="4" w:space="0" w:color="auto"/>
              <w:right w:val="nil"/>
            </w:tcBorders>
            <w:noWrap/>
            <w:vAlign w:val="bottom"/>
            <w:hideMark/>
          </w:tcPr>
          <w:p w14:paraId="78300ED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66B6E88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1.574</w:t>
            </w:r>
          </w:p>
        </w:tc>
        <w:tc>
          <w:tcPr>
            <w:tcW w:w="735" w:type="dxa"/>
            <w:tcBorders>
              <w:top w:val="nil"/>
              <w:left w:val="nil"/>
              <w:bottom w:val="single" w:sz="4" w:space="0" w:color="auto"/>
              <w:right w:val="nil"/>
            </w:tcBorders>
            <w:noWrap/>
            <w:vAlign w:val="bottom"/>
            <w:hideMark/>
          </w:tcPr>
          <w:p w14:paraId="1202B44C"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0.742</w:t>
            </w:r>
          </w:p>
        </w:tc>
        <w:tc>
          <w:tcPr>
            <w:tcW w:w="900" w:type="dxa"/>
            <w:tcBorders>
              <w:top w:val="nil"/>
              <w:left w:val="nil"/>
              <w:bottom w:val="single" w:sz="4" w:space="0" w:color="auto"/>
              <w:right w:val="nil"/>
            </w:tcBorders>
            <w:noWrap/>
            <w:vAlign w:val="center"/>
            <w:hideMark/>
          </w:tcPr>
          <w:p w14:paraId="0CCB7EC3"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0.567</w:t>
            </w:r>
          </w:p>
        </w:tc>
        <w:tc>
          <w:tcPr>
            <w:tcW w:w="1167" w:type="dxa"/>
            <w:vMerge/>
            <w:tcBorders>
              <w:top w:val="single" w:sz="4" w:space="0" w:color="auto"/>
              <w:left w:val="nil"/>
              <w:bottom w:val="single" w:sz="4" w:space="0" w:color="auto"/>
              <w:right w:val="nil"/>
            </w:tcBorders>
            <w:vAlign w:val="center"/>
            <w:hideMark/>
          </w:tcPr>
          <w:p w14:paraId="75CAA65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7A5BB3C9"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2B0D2D1E"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33889E8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12302931" w14:textId="77777777" w:rsidTr="000E48F1">
        <w:trPr>
          <w:trHeight w:val="235"/>
        </w:trPr>
        <w:tc>
          <w:tcPr>
            <w:tcW w:w="976" w:type="dxa"/>
            <w:tcBorders>
              <w:top w:val="single" w:sz="4" w:space="0" w:color="auto"/>
              <w:left w:val="nil"/>
              <w:bottom w:val="nil"/>
              <w:right w:val="nil"/>
            </w:tcBorders>
            <w:noWrap/>
            <w:vAlign w:val="bottom"/>
            <w:hideMark/>
          </w:tcPr>
          <w:p w14:paraId="3DF9BF42"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AD1</w:t>
            </w:r>
          </w:p>
        </w:tc>
        <w:tc>
          <w:tcPr>
            <w:tcW w:w="562" w:type="dxa"/>
            <w:tcBorders>
              <w:top w:val="single" w:sz="4" w:space="0" w:color="auto"/>
              <w:left w:val="nil"/>
              <w:bottom w:val="nil"/>
              <w:right w:val="nil"/>
            </w:tcBorders>
            <w:noWrap/>
            <w:vAlign w:val="bottom"/>
            <w:hideMark/>
          </w:tcPr>
          <w:p w14:paraId="312B286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5FB9168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1.808</w:t>
            </w:r>
          </w:p>
        </w:tc>
        <w:tc>
          <w:tcPr>
            <w:tcW w:w="735" w:type="dxa"/>
            <w:tcBorders>
              <w:top w:val="single" w:sz="4" w:space="0" w:color="auto"/>
              <w:left w:val="nil"/>
              <w:bottom w:val="nil"/>
              <w:right w:val="nil"/>
            </w:tcBorders>
            <w:noWrap/>
            <w:vAlign w:val="bottom"/>
            <w:hideMark/>
          </w:tcPr>
          <w:p w14:paraId="5AA264ED"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0.550</w:t>
            </w:r>
          </w:p>
        </w:tc>
        <w:tc>
          <w:tcPr>
            <w:tcW w:w="900" w:type="dxa"/>
            <w:tcBorders>
              <w:top w:val="single" w:sz="4" w:space="0" w:color="auto"/>
              <w:left w:val="nil"/>
              <w:bottom w:val="nil"/>
              <w:right w:val="nil"/>
            </w:tcBorders>
            <w:noWrap/>
            <w:vAlign w:val="center"/>
            <w:hideMark/>
          </w:tcPr>
          <w:p w14:paraId="2306CC2A"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0.704</w:t>
            </w:r>
          </w:p>
        </w:tc>
        <w:tc>
          <w:tcPr>
            <w:tcW w:w="1167" w:type="dxa"/>
            <w:vMerge w:val="restart"/>
            <w:tcBorders>
              <w:top w:val="single" w:sz="4" w:space="0" w:color="auto"/>
              <w:left w:val="nil"/>
              <w:bottom w:val="single" w:sz="4" w:space="0" w:color="auto"/>
              <w:right w:val="nil"/>
            </w:tcBorders>
            <w:noWrap/>
            <w:vAlign w:val="center"/>
            <w:hideMark/>
          </w:tcPr>
          <w:p w14:paraId="56D32898"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0.872</w:t>
            </w:r>
          </w:p>
        </w:tc>
        <w:tc>
          <w:tcPr>
            <w:tcW w:w="1092" w:type="dxa"/>
            <w:vMerge w:val="restart"/>
            <w:tcBorders>
              <w:top w:val="single" w:sz="4" w:space="0" w:color="auto"/>
              <w:left w:val="nil"/>
              <w:bottom w:val="single" w:sz="4" w:space="0" w:color="auto"/>
              <w:right w:val="nil"/>
            </w:tcBorders>
            <w:noWrap/>
            <w:vAlign w:val="center"/>
            <w:hideMark/>
          </w:tcPr>
          <w:p w14:paraId="7DC9380A"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0.703</w:t>
            </w:r>
          </w:p>
        </w:tc>
        <w:tc>
          <w:tcPr>
            <w:tcW w:w="766" w:type="dxa"/>
            <w:vMerge w:val="restart"/>
            <w:tcBorders>
              <w:top w:val="single" w:sz="4" w:space="0" w:color="auto"/>
              <w:left w:val="nil"/>
              <w:bottom w:val="single" w:sz="4" w:space="0" w:color="auto"/>
              <w:right w:val="nil"/>
            </w:tcBorders>
            <w:noWrap/>
            <w:vAlign w:val="center"/>
            <w:hideMark/>
          </w:tcPr>
          <w:p w14:paraId="2B77DC42"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0.826</w:t>
            </w:r>
          </w:p>
        </w:tc>
        <w:tc>
          <w:tcPr>
            <w:tcW w:w="717" w:type="dxa"/>
            <w:gridSpan w:val="2"/>
            <w:vMerge w:val="restart"/>
            <w:tcBorders>
              <w:top w:val="single" w:sz="4" w:space="0" w:color="auto"/>
              <w:left w:val="nil"/>
              <w:right w:val="nil"/>
            </w:tcBorders>
            <w:vAlign w:val="center"/>
          </w:tcPr>
          <w:p w14:paraId="304996EF"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0.909</w:t>
            </w:r>
          </w:p>
        </w:tc>
      </w:tr>
      <w:tr w:rsidR="00936BB5" w:rsidRPr="00597FFB" w14:paraId="4654C59B" w14:textId="77777777" w:rsidTr="000E48F1">
        <w:trPr>
          <w:trHeight w:val="235"/>
        </w:trPr>
        <w:tc>
          <w:tcPr>
            <w:tcW w:w="976" w:type="dxa"/>
            <w:tcBorders>
              <w:top w:val="nil"/>
              <w:left w:val="nil"/>
              <w:bottom w:val="single" w:sz="4" w:space="0" w:color="auto"/>
              <w:right w:val="nil"/>
            </w:tcBorders>
            <w:noWrap/>
            <w:vAlign w:val="bottom"/>
            <w:hideMark/>
          </w:tcPr>
          <w:p w14:paraId="5CA8F286"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AD2</w:t>
            </w:r>
          </w:p>
        </w:tc>
        <w:tc>
          <w:tcPr>
            <w:tcW w:w="562" w:type="dxa"/>
            <w:tcBorders>
              <w:top w:val="nil"/>
              <w:left w:val="nil"/>
              <w:bottom w:val="single" w:sz="4" w:space="0" w:color="auto"/>
              <w:right w:val="nil"/>
            </w:tcBorders>
            <w:noWrap/>
            <w:vAlign w:val="bottom"/>
            <w:hideMark/>
          </w:tcPr>
          <w:p w14:paraId="586CE195"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nil"/>
              <w:left w:val="nil"/>
              <w:bottom w:val="single" w:sz="4" w:space="0" w:color="auto"/>
              <w:right w:val="nil"/>
            </w:tcBorders>
            <w:noWrap/>
            <w:vAlign w:val="bottom"/>
            <w:hideMark/>
          </w:tcPr>
          <w:p w14:paraId="64170857"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3.378</w:t>
            </w:r>
          </w:p>
        </w:tc>
        <w:tc>
          <w:tcPr>
            <w:tcW w:w="735" w:type="dxa"/>
            <w:tcBorders>
              <w:top w:val="nil"/>
              <w:left w:val="nil"/>
              <w:bottom w:val="single" w:sz="4" w:space="0" w:color="auto"/>
              <w:right w:val="nil"/>
            </w:tcBorders>
            <w:noWrap/>
            <w:vAlign w:val="bottom"/>
            <w:hideMark/>
          </w:tcPr>
          <w:p w14:paraId="62A7CB1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0.946</w:t>
            </w:r>
          </w:p>
        </w:tc>
        <w:tc>
          <w:tcPr>
            <w:tcW w:w="900" w:type="dxa"/>
            <w:tcBorders>
              <w:top w:val="nil"/>
              <w:left w:val="nil"/>
              <w:bottom w:val="single" w:sz="4" w:space="0" w:color="auto"/>
              <w:right w:val="nil"/>
            </w:tcBorders>
            <w:noWrap/>
            <w:vAlign w:val="center"/>
            <w:hideMark/>
          </w:tcPr>
          <w:p w14:paraId="5A2646BB"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0.704</w:t>
            </w:r>
          </w:p>
        </w:tc>
        <w:tc>
          <w:tcPr>
            <w:tcW w:w="1167" w:type="dxa"/>
            <w:vMerge/>
            <w:tcBorders>
              <w:top w:val="single" w:sz="4" w:space="0" w:color="auto"/>
              <w:left w:val="nil"/>
              <w:bottom w:val="single" w:sz="4" w:space="0" w:color="auto"/>
              <w:right w:val="nil"/>
            </w:tcBorders>
            <w:vAlign w:val="center"/>
            <w:hideMark/>
          </w:tcPr>
          <w:p w14:paraId="097461EF"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1092" w:type="dxa"/>
            <w:vMerge/>
            <w:tcBorders>
              <w:top w:val="single" w:sz="4" w:space="0" w:color="auto"/>
              <w:left w:val="nil"/>
              <w:bottom w:val="single" w:sz="4" w:space="0" w:color="auto"/>
              <w:right w:val="nil"/>
            </w:tcBorders>
            <w:vAlign w:val="center"/>
            <w:hideMark/>
          </w:tcPr>
          <w:p w14:paraId="50DDB3D0" w14:textId="77777777" w:rsidR="00936BB5" w:rsidRPr="00597FFB" w:rsidRDefault="00936BB5" w:rsidP="000E48F1">
            <w:pPr>
              <w:widowControl w:val="0"/>
              <w:spacing w:after="0"/>
              <w:jc w:val="center"/>
              <w:rPr>
                <w:rFonts w:ascii="Times New Roman" w:eastAsia="Times New Roman" w:hAnsi="Times New Roman" w:cs="Times New Roman"/>
                <w:color w:val="000000"/>
                <w:sz w:val="20"/>
                <w:szCs w:val="20"/>
              </w:rPr>
            </w:pPr>
          </w:p>
        </w:tc>
        <w:tc>
          <w:tcPr>
            <w:tcW w:w="766" w:type="dxa"/>
            <w:vMerge/>
            <w:tcBorders>
              <w:top w:val="single" w:sz="4" w:space="0" w:color="auto"/>
              <w:left w:val="nil"/>
              <w:bottom w:val="single" w:sz="4" w:space="0" w:color="auto"/>
              <w:right w:val="nil"/>
            </w:tcBorders>
            <w:vAlign w:val="center"/>
            <w:hideMark/>
          </w:tcPr>
          <w:p w14:paraId="64480FEC"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c>
          <w:tcPr>
            <w:tcW w:w="717" w:type="dxa"/>
            <w:gridSpan w:val="2"/>
            <w:vMerge/>
            <w:tcBorders>
              <w:left w:val="nil"/>
              <w:bottom w:val="single" w:sz="4" w:space="0" w:color="auto"/>
              <w:right w:val="nil"/>
            </w:tcBorders>
          </w:tcPr>
          <w:p w14:paraId="3B97B703" w14:textId="77777777" w:rsidR="00936BB5" w:rsidRPr="00597FFB" w:rsidRDefault="00936BB5" w:rsidP="000E48F1">
            <w:pPr>
              <w:widowControl w:val="0"/>
              <w:spacing w:after="0"/>
              <w:rPr>
                <w:rFonts w:ascii="Times New Roman" w:eastAsia="Times New Roman" w:hAnsi="Times New Roman" w:cs="Times New Roman"/>
                <w:color w:val="000000"/>
                <w:sz w:val="20"/>
                <w:szCs w:val="20"/>
              </w:rPr>
            </w:pPr>
          </w:p>
        </w:tc>
      </w:tr>
      <w:tr w:rsidR="00936BB5" w:rsidRPr="00597FFB" w14:paraId="47486E43" w14:textId="77777777" w:rsidTr="000E48F1">
        <w:trPr>
          <w:trHeight w:val="235"/>
        </w:trPr>
        <w:tc>
          <w:tcPr>
            <w:tcW w:w="976" w:type="dxa"/>
            <w:tcBorders>
              <w:top w:val="single" w:sz="4" w:space="0" w:color="auto"/>
              <w:left w:val="nil"/>
              <w:bottom w:val="nil"/>
              <w:right w:val="nil"/>
            </w:tcBorders>
            <w:noWrap/>
            <w:vAlign w:val="bottom"/>
            <w:hideMark/>
          </w:tcPr>
          <w:p w14:paraId="3D2DAB24"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IN1</w:t>
            </w:r>
          </w:p>
        </w:tc>
        <w:tc>
          <w:tcPr>
            <w:tcW w:w="562" w:type="dxa"/>
            <w:tcBorders>
              <w:top w:val="single" w:sz="4" w:space="0" w:color="auto"/>
              <w:left w:val="nil"/>
              <w:bottom w:val="nil"/>
              <w:right w:val="nil"/>
            </w:tcBorders>
            <w:noWrap/>
            <w:vAlign w:val="bottom"/>
            <w:hideMark/>
          </w:tcPr>
          <w:p w14:paraId="1C0B6A22"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35" w:type="dxa"/>
            <w:tcBorders>
              <w:top w:val="single" w:sz="4" w:space="0" w:color="auto"/>
              <w:left w:val="nil"/>
              <w:bottom w:val="nil"/>
              <w:right w:val="nil"/>
            </w:tcBorders>
            <w:noWrap/>
            <w:vAlign w:val="bottom"/>
            <w:hideMark/>
          </w:tcPr>
          <w:p w14:paraId="7CF35CF6"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3.351</w:t>
            </w:r>
          </w:p>
        </w:tc>
        <w:tc>
          <w:tcPr>
            <w:tcW w:w="735" w:type="dxa"/>
            <w:tcBorders>
              <w:top w:val="single" w:sz="4" w:space="0" w:color="auto"/>
              <w:left w:val="nil"/>
              <w:bottom w:val="nil"/>
              <w:right w:val="nil"/>
            </w:tcBorders>
            <w:noWrap/>
            <w:vAlign w:val="bottom"/>
            <w:hideMark/>
          </w:tcPr>
          <w:p w14:paraId="1F423591"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1.015</w:t>
            </w:r>
          </w:p>
        </w:tc>
        <w:tc>
          <w:tcPr>
            <w:tcW w:w="900" w:type="dxa"/>
            <w:tcBorders>
              <w:top w:val="single" w:sz="4" w:space="0" w:color="auto"/>
              <w:left w:val="nil"/>
              <w:bottom w:val="nil"/>
              <w:right w:val="nil"/>
            </w:tcBorders>
            <w:noWrap/>
            <w:vAlign w:val="center"/>
            <w:hideMark/>
          </w:tcPr>
          <w:p w14:paraId="4A0DBA3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0.676</w:t>
            </w:r>
          </w:p>
        </w:tc>
        <w:tc>
          <w:tcPr>
            <w:tcW w:w="1167" w:type="dxa"/>
            <w:vMerge w:val="restart"/>
            <w:tcBorders>
              <w:top w:val="single" w:sz="4" w:space="0" w:color="auto"/>
              <w:left w:val="nil"/>
              <w:bottom w:val="single" w:sz="4" w:space="0" w:color="auto"/>
              <w:right w:val="nil"/>
            </w:tcBorders>
            <w:noWrap/>
            <w:vAlign w:val="center"/>
            <w:hideMark/>
          </w:tcPr>
          <w:p w14:paraId="0BAEA9B4"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0.731</w:t>
            </w:r>
          </w:p>
        </w:tc>
        <w:tc>
          <w:tcPr>
            <w:tcW w:w="1092" w:type="dxa"/>
            <w:vMerge w:val="restart"/>
            <w:tcBorders>
              <w:top w:val="single" w:sz="4" w:space="0" w:color="auto"/>
              <w:left w:val="nil"/>
              <w:bottom w:val="single" w:sz="4" w:space="0" w:color="auto"/>
              <w:right w:val="nil"/>
            </w:tcBorders>
            <w:noWrap/>
            <w:vAlign w:val="center"/>
            <w:hideMark/>
          </w:tcPr>
          <w:p w14:paraId="46B11550"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0.276</w:t>
            </w:r>
          </w:p>
        </w:tc>
        <w:tc>
          <w:tcPr>
            <w:tcW w:w="766" w:type="dxa"/>
            <w:vMerge w:val="restart"/>
            <w:tcBorders>
              <w:top w:val="single" w:sz="4" w:space="0" w:color="auto"/>
              <w:left w:val="nil"/>
              <w:bottom w:val="single" w:sz="4" w:space="0" w:color="auto"/>
              <w:right w:val="nil"/>
            </w:tcBorders>
            <w:noWrap/>
            <w:vAlign w:val="center"/>
            <w:hideMark/>
          </w:tcPr>
          <w:p w14:paraId="128B7D60" w14:textId="77777777" w:rsidR="00936BB5" w:rsidRPr="00597FFB" w:rsidRDefault="00936BB5" w:rsidP="000E48F1">
            <w:pPr>
              <w:widowControl w:val="0"/>
              <w:spacing w:after="0" w:line="240" w:lineRule="auto"/>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0.433</w:t>
            </w:r>
          </w:p>
        </w:tc>
        <w:tc>
          <w:tcPr>
            <w:tcW w:w="717" w:type="dxa"/>
            <w:gridSpan w:val="2"/>
            <w:vMerge w:val="restart"/>
            <w:tcBorders>
              <w:top w:val="single" w:sz="4" w:space="0" w:color="auto"/>
              <w:left w:val="nil"/>
              <w:right w:val="nil"/>
            </w:tcBorders>
            <w:vAlign w:val="center"/>
          </w:tcPr>
          <w:p w14:paraId="0C558127" w14:textId="77777777" w:rsidR="00936BB5" w:rsidRPr="00597FFB" w:rsidRDefault="00936BB5"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0.658</w:t>
            </w:r>
          </w:p>
        </w:tc>
      </w:tr>
      <w:tr w:rsidR="00936BB5" w:rsidRPr="00597FFB" w14:paraId="65ADE8F9" w14:textId="77777777" w:rsidTr="000E48F1">
        <w:trPr>
          <w:trHeight w:val="276"/>
        </w:trPr>
        <w:tc>
          <w:tcPr>
            <w:tcW w:w="976" w:type="dxa"/>
            <w:tcBorders>
              <w:top w:val="nil"/>
              <w:left w:val="nil"/>
              <w:bottom w:val="single" w:sz="4" w:space="0" w:color="auto"/>
              <w:right w:val="nil"/>
            </w:tcBorders>
            <w:noWrap/>
            <w:vAlign w:val="bottom"/>
            <w:hideMark/>
          </w:tcPr>
          <w:p w14:paraId="40BAE9EA" w14:textId="77777777" w:rsidR="00936BB5" w:rsidRPr="00597FFB" w:rsidRDefault="00936BB5" w:rsidP="000E48F1">
            <w:pPr>
              <w:widowControl w:val="0"/>
              <w:spacing w:after="0" w:line="240" w:lineRule="auto"/>
              <w:rPr>
                <w:rFonts w:ascii="Times New Roman" w:eastAsia="Times New Roman" w:hAnsi="Times New Roman" w:cs="Times New Roman"/>
                <w:b/>
                <w:color w:val="000000"/>
                <w:sz w:val="24"/>
                <w:szCs w:val="24"/>
              </w:rPr>
            </w:pPr>
            <w:r w:rsidRPr="00597FFB">
              <w:rPr>
                <w:rFonts w:ascii="Times New Roman" w:eastAsia="Times New Roman" w:hAnsi="Times New Roman" w:cs="Times New Roman"/>
                <w:b/>
                <w:color w:val="000000"/>
                <w:sz w:val="24"/>
                <w:szCs w:val="24"/>
              </w:rPr>
              <w:t>IN2</w:t>
            </w:r>
          </w:p>
        </w:tc>
        <w:tc>
          <w:tcPr>
            <w:tcW w:w="562" w:type="dxa"/>
            <w:tcBorders>
              <w:top w:val="nil"/>
              <w:left w:val="nil"/>
              <w:bottom w:val="single" w:sz="4" w:space="0" w:color="auto"/>
              <w:right w:val="nil"/>
            </w:tcBorders>
            <w:noWrap/>
            <w:vAlign w:val="bottom"/>
            <w:hideMark/>
          </w:tcPr>
          <w:p w14:paraId="5DAC8D39"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4"/>
                <w:szCs w:val="24"/>
              </w:rPr>
            </w:pPr>
            <w:r w:rsidRPr="00597FFB">
              <w:rPr>
                <w:rFonts w:ascii="Times New Roman" w:eastAsia="Times New Roman" w:hAnsi="Times New Roman" w:cs="Times New Roman"/>
                <w:color w:val="000000"/>
                <w:sz w:val="24"/>
                <w:szCs w:val="24"/>
              </w:rPr>
              <w:t>505</w:t>
            </w:r>
          </w:p>
        </w:tc>
        <w:tc>
          <w:tcPr>
            <w:tcW w:w="735" w:type="dxa"/>
            <w:tcBorders>
              <w:top w:val="nil"/>
              <w:left w:val="nil"/>
              <w:bottom w:val="single" w:sz="4" w:space="0" w:color="auto"/>
              <w:right w:val="nil"/>
            </w:tcBorders>
            <w:noWrap/>
            <w:vAlign w:val="bottom"/>
            <w:hideMark/>
          </w:tcPr>
          <w:p w14:paraId="3FB2AE08"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4"/>
                <w:szCs w:val="24"/>
              </w:rPr>
            </w:pPr>
            <w:r w:rsidRPr="00597FFB">
              <w:rPr>
                <w:rFonts w:ascii="Times New Roman" w:eastAsia="Times New Roman" w:hAnsi="Times New Roman" w:cs="Times New Roman"/>
                <w:color w:val="000000"/>
                <w:sz w:val="24"/>
                <w:szCs w:val="24"/>
              </w:rPr>
              <w:t>1.776</w:t>
            </w:r>
          </w:p>
        </w:tc>
        <w:tc>
          <w:tcPr>
            <w:tcW w:w="735" w:type="dxa"/>
            <w:tcBorders>
              <w:top w:val="nil"/>
              <w:left w:val="nil"/>
              <w:bottom w:val="single" w:sz="4" w:space="0" w:color="auto"/>
              <w:right w:val="nil"/>
            </w:tcBorders>
            <w:noWrap/>
            <w:vAlign w:val="bottom"/>
            <w:hideMark/>
          </w:tcPr>
          <w:p w14:paraId="44CB3914"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4"/>
                <w:szCs w:val="24"/>
              </w:rPr>
            </w:pPr>
            <w:r w:rsidRPr="00597FFB">
              <w:rPr>
                <w:rFonts w:ascii="Times New Roman" w:eastAsia="Times New Roman" w:hAnsi="Times New Roman" w:cs="Times New Roman"/>
                <w:color w:val="000000"/>
                <w:sz w:val="24"/>
                <w:szCs w:val="24"/>
              </w:rPr>
              <w:t>0.779</w:t>
            </w:r>
          </w:p>
        </w:tc>
        <w:tc>
          <w:tcPr>
            <w:tcW w:w="900" w:type="dxa"/>
            <w:tcBorders>
              <w:top w:val="nil"/>
              <w:left w:val="nil"/>
              <w:bottom w:val="single" w:sz="4" w:space="0" w:color="auto"/>
              <w:right w:val="nil"/>
            </w:tcBorders>
            <w:noWrap/>
            <w:vAlign w:val="center"/>
            <w:hideMark/>
          </w:tcPr>
          <w:p w14:paraId="43599BBE" w14:textId="77777777" w:rsidR="00936BB5" w:rsidRPr="00597FFB" w:rsidRDefault="00936BB5" w:rsidP="000E48F1">
            <w:pPr>
              <w:widowControl w:val="0"/>
              <w:spacing w:after="0" w:line="240" w:lineRule="auto"/>
              <w:jc w:val="right"/>
              <w:rPr>
                <w:rFonts w:ascii="Times New Roman" w:eastAsia="Times New Roman" w:hAnsi="Times New Roman" w:cs="Times New Roman"/>
                <w:color w:val="000000"/>
                <w:sz w:val="24"/>
                <w:szCs w:val="24"/>
              </w:rPr>
            </w:pPr>
            <w:r w:rsidRPr="00597FFB">
              <w:rPr>
                <w:rFonts w:ascii="Times New Roman" w:eastAsia="Times New Roman" w:hAnsi="Times New Roman" w:cs="Times New Roman"/>
                <w:color w:val="000000"/>
                <w:sz w:val="24"/>
                <w:szCs w:val="24"/>
              </w:rPr>
              <w:t>0.676</w:t>
            </w:r>
          </w:p>
        </w:tc>
        <w:tc>
          <w:tcPr>
            <w:tcW w:w="1167" w:type="dxa"/>
            <w:vMerge/>
            <w:tcBorders>
              <w:top w:val="single" w:sz="4" w:space="0" w:color="auto"/>
              <w:left w:val="nil"/>
              <w:bottom w:val="single" w:sz="4" w:space="0" w:color="auto"/>
              <w:right w:val="nil"/>
            </w:tcBorders>
            <w:vAlign w:val="center"/>
            <w:hideMark/>
          </w:tcPr>
          <w:p w14:paraId="5FB89BF1" w14:textId="77777777" w:rsidR="00936BB5" w:rsidRPr="00597FFB" w:rsidRDefault="00936BB5" w:rsidP="000E48F1">
            <w:pPr>
              <w:widowControl w:val="0"/>
              <w:spacing w:after="0"/>
              <w:rPr>
                <w:rFonts w:ascii="Times New Roman" w:eastAsia="Times New Roman" w:hAnsi="Times New Roman" w:cs="Times New Roman"/>
                <w:color w:val="000000"/>
                <w:sz w:val="24"/>
                <w:szCs w:val="24"/>
              </w:rPr>
            </w:pPr>
          </w:p>
        </w:tc>
        <w:tc>
          <w:tcPr>
            <w:tcW w:w="1092" w:type="dxa"/>
            <w:vMerge/>
            <w:tcBorders>
              <w:top w:val="single" w:sz="4" w:space="0" w:color="auto"/>
              <w:left w:val="nil"/>
              <w:bottom w:val="single" w:sz="4" w:space="0" w:color="auto"/>
              <w:right w:val="nil"/>
            </w:tcBorders>
            <w:vAlign w:val="center"/>
            <w:hideMark/>
          </w:tcPr>
          <w:p w14:paraId="4843572C" w14:textId="77777777" w:rsidR="00936BB5" w:rsidRPr="00597FFB" w:rsidRDefault="00936BB5" w:rsidP="000E48F1">
            <w:pPr>
              <w:widowControl w:val="0"/>
              <w:spacing w:after="0"/>
              <w:rPr>
                <w:rFonts w:ascii="Times New Roman" w:eastAsia="Times New Roman" w:hAnsi="Times New Roman" w:cs="Times New Roman"/>
                <w:color w:val="000000"/>
                <w:sz w:val="24"/>
                <w:szCs w:val="24"/>
              </w:rPr>
            </w:pPr>
          </w:p>
        </w:tc>
        <w:tc>
          <w:tcPr>
            <w:tcW w:w="766" w:type="dxa"/>
            <w:vMerge/>
            <w:tcBorders>
              <w:top w:val="single" w:sz="4" w:space="0" w:color="auto"/>
              <w:left w:val="nil"/>
              <w:bottom w:val="single" w:sz="4" w:space="0" w:color="auto"/>
              <w:right w:val="nil"/>
            </w:tcBorders>
            <w:vAlign w:val="center"/>
            <w:hideMark/>
          </w:tcPr>
          <w:p w14:paraId="5A741F08" w14:textId="77777777" w:rsidR="00936BB5" w:rsidRPr="00597FFB" w:rsidRDefault="00936BB5" w:rsidP="000E48F1">
            <w:pPr>
              <w:widowControl w:val="0"/>
              <w:spacing w:after="0"/>
              <w:rPr>
                <w:rFonts w:ascii="Times New Roman" w:eastAsia="Times New Roman" w:hAnsi="Times New Roman" w:cs="Times New Roman"/>
                <w:color w:val="000000"/>
                <w:sz w:val="24"/>
                <w:szCs w:val="24"/>
              </w:rPr>
            </w:pPr>
          </w:p>
        </w:tc>
        <w:tc>
          <w:tcPr>
            <w:tcW w:w="717" w:type="dxa"/>
            <w:gridSpan w:val="2"/>
            <w:vMerge/>
            <w:tcBorders>
              <w:left w:val="nil"/>
              <w:bottom w:val="single" w:sz="4" w:space="0" w:color="auto"/>
              <w:right w:val="nil"/>
            </w:tcBorders>
          </w:tcPr>
          <w:p w14:paraId="33D74CE6" w14:textId="77777777" w:rsidR="00936BB5" w:rsidRPr="00597FFB" w:rsidRDefault="00936BB5" w:rsidP="000E48F1">
            <w:pPr>
              <w:widowControl w:val="0"/>
              <w:spacing w:after="0"/>
              <w:rPr>
                <w:rFonts w:ascii="Times New Roman" w:eastAsia="Times New Roman" w:hAnsi="Times New Roman" w:cs="Times New Roman"/>
                <w:color w:val="000000"/>
                <w:sz w:val="24"/>
                <w:szCs w:val="24"/>
              </w:rPr>
            </w:pPr>
          </w:p>
        </w:tc>
      </w:tr>
      <w:tr w:rsidR="00936BB5" w:rsidRPr="00597FFB" w14:paraId="40C81AA0" w14:textId="77777777" w:rsidTr="000E48F1">
        <w:trPr>
          <w:trHeight w:val="770"/>
        </w:trPr>
        <w:tc>
          <w:tcPr>
            <w:tcW w:w="7650" w:type="dxa"/>
            <w:gridSpan w:val="10"/>
            <w:tcBorders>
              <w:top w:val="single" w:sz="4" w:space="0" w:color="auto"/>
              <w:left w:val="nil"/>
              <w:bottom w:val="single" w:sz="4" w:space="0" w:color="auto"/>
              <w:right w:val="nil"/>
            </w:tcBorders>
            <w:noWrap/>
            <w:vAlign w:val="bottom"/>
          </w:tcPr>
          <w:p w14:paraId="5BCF74FE" w14:textId="77777777" w:rsidR="00936BB5" w:rsidRPr="00597FFB" w:rsidRDefault="00936BB5" w:rsidP="000E48F1">
            <w:pPr>
              <w:widowControl w:val="0"/>
              <w:spacing w:after="0"/>
              <w:rPr>
                <w:rFonts w:ascii="Times New Roman" w:eastAsia="Times New Roman" w:hAnsi="Times New Roman" w:cs="Times New Roman"/>
                <w:color w:val="000000"/>
                <w:sz w:val="24"/>
                <w:szCs w:val="24"/>
              </w:rPr>
            </w:pPr>
            <w:r w:rsidRPr="00597FFB">
              <w:rPr>
                <w:rFonts w:ascii="Times New Roman" w:hAnsi="Times New Roman" w:cs="Times New Roman"/>
                <w:b/>
                <w:bCs/>
                <w:sz w:val="20"/>
                <w:szCs w:val="20"/>
              </w:rPr>
              <w:t>Notes:</w:t>
            </w:r>
            <w:r w:rsidRPr="00597FFB">
              <w:rPr>
                <w:rFonts w:ascii="Times New Roman" w:hAnsi="Times New Roman" w:cs="Times New Roman"/>
                <w:sz w:val="20"/>
                <w:szCs w:val="20"/>
              </w:rPr>
              <w:t xml:space="preserve"> AT Attitude, SN Subjective Norm, PCB Perceived Behavioral Control, EC Environmental Concern, EWRBI e-waste recycling Behavioral Intentions, AD Adoption Of EWR Behavior, IN Incentives (Financial/Nonfinancial).</w:t>
            </w:r>
          </w:p>
        </w:tc>
      </w:tr>
    </w:tbl>
    <w:p w14:paraId="5CA3A581" w14:textId="77777777" w:rsidR="00107D45" w:rsidRPr="00597FFB" w:rsidRDefault="00107D45" w:rsidP="00411853">
      <w:pPr>
        <w:spacing w:line="480" w:lineRule="auto"/>
        <w:rPr>
          <w:rFonts w:asciiTheme="majorBidi" w:hAnsiTheme="majorBidi" w:cstheme="majorBidi"/>
          <w:b/>
          <w:bCs/>
          <w:color w:val="000000"/>
        </w:rPr>
      </w:pPr>
    </w:p>
    <w:p w14:paraId="5829BD89" w14:textId="77777777" w:rsidR="00F74AA8" w:rsidRPr="00597FFB" w:rsidRDefault="00F74AA8" w:rsidP="00F74AA8">
      <w:pPr>
        <w:pStyle w:val="Heading3"/>
        <w:widowControl w:val="0"/>
        <w:spacing w:line="480" w:lineRule="auto"/>
        <w:ind w:left="720" w:hanging="720"/>
        <w:rPr>
          <w:rFonts w:ascii="Times New Roman" w:hAnsi="Times New Roman"/>
          <w:color w:val="000000"/>
          <w:sz w:val="24"/>
          <w:szCs w:val="24"/>
        </w:rPr>
      </w:pPr>
      <w:bookmarkStart w:id="228" w:name="_Toc127170357"/>
      <w:r w:rsidRPr="00597FFB">
        <w:rPr>
          <w:rFonts w:ascii="Times New Roman" w:hAnsi="Times New Roman"/>
          <w:i/>
          <w:iCs/>
          <w:color w:val="000000"/>
          <w:sz w:val="24"/>
          <w:szCs w:val="24"/>
        </w:rPr>
        <w:t xml:space="preserve">5.2.2. </w:t>
      </w:r>
      <w:bookmarkStart w:id="229" w:name="_Hlk123626703"/>
      <w:r w:rsidRPr="00597FFB">
        <w:rPr>
          <w:rFonts w:ascii="Times New Roman" w:hAnsi="Times New Roman"/>
          <w:i/>
          <w:iCs/>
          <w:color w:val="000000"/>
          <w:sz w:val="24"/>
          <w:szCs w:val="24"/>
        </w:rPr>
        <w:t xml:space="preserve">The Structural Equation </w:t>
      </w:r>
      <w:bookmarkEnd w:id="229"/>
      <w:r w:rsidRPr="00597FFB">
        <w:rPr>
          <w:rFonts w:ascii="Times New Roman" w:hAnsi="Times New Roman"/>
          <w:color w:val="000000"/>
          <w:sz w:val="24"/>
          <w:szCs w:val="24"/>
        </w:rPr>
        <w:t>Model.</w:t>
      </w:r>
      <w:bookmarkEnd w:id="228"/>
    </w:p>
    <w:p w14:paraId="545926EE" w14:textId="13F4DDEF" w:rsidR="00F74AA8" w:rsidRPr="00597FFB" w:rsidRDefault="00F74AA8" w:rsidP="00F74AA8">
      <w:pPr>
        <w:spacing w:line="480" w:lineRule="auto"/>
        <w:ind w:firstLine="720"/>
        <w:jc w:val="both"/>
        <w:rPr>
          <w:rFonts w:cs="Times New Roman"/>
        </w:rPr>
      </w:pPr>
      <w:r w:rsidRPr="00597FFB">
        <w:rPr>
          <w:rFonts w:ascii="Times New Roman" w:hAnsi="Times New Roman" w:cs="Times New Roman"/>
          <w:color w:val="000000"/>
          <w:sz w:val="24"/>
          <w:szCs w:val="24"/>
        </w:rPr>
        <w:t xml:space="preserve"> structural equation model was formulated to test the research hypotheses and the constructs impact on Behavioral Intention to recycle e-waste based on the extended TPB model that was developed in this study. Figure 13 depicts the pathway analysis between the four independent variables (the exogenous variables) and the dependent variable (endogenous). There are four unidirectional arrows that point towards the Intention to recycle, indicating that the relationship is one way. This model tests the one-way relationship between environmental concern, incentives, attitude towards recycling, subjective norm, </w:t>
      </w:r>
      <w:r w:rsidR="00814C53" w:rsidRPr="00597FFB">
        <w:rPr>
          <w:rFonts w:ascii="Times New Roman" w:hAnsi="Times New Roman" w:cs="Times New Roman"/>
          <w:color w:val="000000"/>
          <w:sz w:val="24"/>
          <w:szCs w:val="24"/>
        </w:rPr>
        <w:t>PCB</w:t>
      </w:r>
      <w:r w:rsidRPr="00597FFB">
        <w:rPr>
          <w:rFonts w:ascii="Times New Roman" w:hAnsi="Times New Roman" w:cs="Times New Roman"/>
          <w:color w:val="000000"/>
          <w:sz w:val="24"/>
          <w:szCs w:val="24"/>
        </w:rPr>
        <w:t>, EWR behavioral intention, and adoption of EWR behavior. The numbers of the arrows represent the effect size or extent of influence, with a negative sign suggesting a negative relationship and vice versa.</w:t>
      </w:r>
      <w:r w:rsidRPr="00597FFB">
        <w:rPr>
          <w:rFonts w:cs="Times New Roman"/>
        </w:rPr>
        <w:t xml:space="preserve"> </w:t>
      </w:r>
      <w:bookmarkStart w:id="230" w:name="_Hlk114915154"/>
    </w:p>
    <w:p w14:paraId="19180B7B" w14:textId="77777777" w:rsidR="00F74AA8" w:rsidRPr="00597FFB" w:rsidRDefault="00F74AA8" w:rsidP="00F74AA8">
      <w:pPr>
        <w:pStyle w:val="Heading3"/>
        <w:widowControl w:val="0"/>
        <w:spacing w:line="480" w:lineRule="auto"/>
        <w:ind w:left="720" w:hanging="720"/>
        <w:rPr>
          <w:rFonts w:ascii="Times New Roman" w:hAnsi="Times New Roman"/>
          <w:color w:val="auto"/>
          <w:sz w:val="24"/>
          <w:szCs w:val="24"/>
        </w:rPr>
      </w:pPr>
      <w:bookmarkStart w:id="231" w:name="_Toc127170358"/>
      <w:bookmarkEnd w:id="230"/>
      <w:r w:rsidRPr="00597FFB">
        <w:rPr>
          <w:rFonts w:ascii="Times New Roman" w:hAnsi="Times New Roman"/>
          <w:i/>
          <w:iCs/>
          <w:color w:val="auto"/>
          <w:sz w:val="24"/>
          <w:szCs w:val="24"/>
        </w:rPr>
        <w:t xml:space="preserve">5.2.3. </w:t>
      </w:r>
      <w:bookmarkStart w:id="232" w:name="_Hlk123626758"/>
      <w:r w:rsidRPr="00597FFB">
        <w:rPr>
          <w:rFonts w:ascii="Times New Roman" w:hAnsi="Times New Roman"/>
          <w:i/>
          <w:iCs/>
          <w:color w:val="auto"/>
          <w:sz w:val="24"/>
          <w:szCs w:val="24"/>
        </w:rPr>
        <w:t>Hypotheses’ Testing</w:t>
      </w:r>
      <w:bookmarkEnd w:id="232"/>
      <w:r w:rsidRPr="00597FFB">
        <w:rPr>
          <w:rFonts w:ascii="Times New Roman" w:hAnsi="Times New Roman"/>
          <w:i/>
          <w:iCs/>
          <w:color w:val="auto"/>
          <w:sz w:val="24"/>
          <w:szCs w:val="24"/>
        </w:rPr>
        <w:t>.</w:t>
      </w:r>
      <w:bookmarkEnd w:id="231"/>
    </w:p>
    <w:p w14:paraId="63B005D3" w14:textId="758F37BE" w:rsidR="00F74AA8" w:rsidRPr="00597FFB" w:rsidRDefault="00F74AA8" w:rsidP="00F74AA8">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model recorded satisfactory fit indices (χ</w:t>
      </w:r>
      <w:r w:rsidRPr="00597FFB">
        <w:rPr>
          <w:rFonts w:ascii="Times New Roman" w:hAnsi="Times New Roman" w:cs="Times New Roman"/>
          <w:sz w:val="24"/>
          <w:szCs w:val="24"/>
          <w:vertAlign w:val="superscript"/>
        </w:rPr>
        <w:t xml:space="preserve">2 </w:t>
      </w:r>
      <w:r w:rsidRPr="00597FFB">
        <w:rPr>
          <w:rFonts w:ascii="Times New Roman" w:hAnsi="Times New Roman" w:cs="Times New Roman"/>
          <w:sz w:val="24"/>
          <w:szCs w:val="24"/>
        </w:rPr>
        <w:t>= 85.898; df = 112; AGFI = 0.936; TLI = 0.963; RMSEA = 0.028; SRMR = 0.052) to warrant continuation with the hypotheses’ testing. As shown in Table 1</w:t>
      </w:r>
      <w:r w:rsidR="00E50010" w:rsidRPr="00597FFB">
        <w:rPr>
          <w:rFonts w:ascii="Times New Roman" w:hAnsi="Times New Roman" w:cs="Times New Roman"/>
          <w:sz w:val="24"/>
          <w:szCs w:val="24"/>
        </w:rPr>
        <w:t>6</w:t>
      </w:r>
      <w:r w:rsidRPr="00597FFB">
        <w:rPr>
          <w:rFonts w:ascii="Times New Roman" w:hAnsi="Times New Roman" w:cs="Times New Roman"/>
          <w:sz w:val="24"/>
          <w:szCs w:val="24"/>
        </w:rPr>
        <w:t xml:space="preserve">, hypotheses H1, H2, and H3 were supported since recycling attitude (β = 0.073; t = 2.909, p &lt; 0.01), subjective norm (β = 0.083; t = 2.864, p &lt; 0.001), perceived behavioral intention (β = 0.098; t = 3.045, p &lt; 0.01) had significant and positive impact on EWR behavioral intention. Similarly, H4 was supported since incentives had significant, positive effect on EWRBI (β = 0.397; t = 14.921, p &lt; 0.001). The results also supported </w:t>
      </w:r>
      <w:r w:rsidRPr="00597FFB">
        <w:rPr>
          <w:rFonts w:ascii="Times New Roman" w:hAnsi="Times New Roman" w:cs="Times New Roman"/>
          <w:iCs/>
          <w:color w:val="000000"/>
          <w:sz w:val="24"/>
          <w:szCs w:val="24"/>
        </w:rPr>
        <w:t xml:space="preserve">H5, H6, H7, H8 and H9 given the positive, significant effect of attitude </w:t>
      </w:r>
      <w:r w:rsidRPr="00597FFB">
        <w:rPr>
          <w:rFonts w:ascii="Times New Roman" w:hAnsi="Times New Roman" w:cs="Times New Roman"/>
          <w:sz w:val="24"/>
          <w:szCs w:val="24"/>
        </w:rPr>
        <w:t>(β = 0.017; t = 3.517, p &lt; 0.01), subjective norm (β = 0.014; t = 3.391, p &lt; 0.01), perceived behavioral control (β = 0.014; t = 1.332, p &lt; 0.001), and incentives (β = 0.065; t = 5.582, p &lt; 0.001) had on adoption of EWR</w:t>
      </w:r>
      <w:r w:rsidRPr="00597FFB">
        <w:rPr>
          <w:rFonts w:ascii="Times New Roman" w:hAnsi="Times New Roman" w:cs="Times New Roman"/>
          <w:iCs/>
          <w:color w:val="000000"/>
          <w:sz w:val="24"/>
          <w:szCs w:val="24"/>
        </w:rPr>
        <w:t xml:space="preserve">. Additionally, the results revealed support for H9 about the positive, significant effect of EWR behavioral intention on adoption of EWR </w:t>
      </w:r>
      <w:r w:rsidRPr="00597FFB">
        <w:rPr>
          <w:rFonts w:ascii="Times New Roman" w:hAnsi="Times New Roman" w:cs="Times New Roman"/>
          <w:sz w:val="24"/>
          <w:szCs w:val="24"/>
        </w:rPr>
        <w:t>(β = 0.002; t = 6.037, p &lt; 0.01)</w:t>
      </w:r>
      <w:r w:rsidRPr="00597FFB">
        <w:rPr>
          <w:rFonts w:ascii="Times New Roman" w:hAnsi="Times New Roman" w:cs="Times New Roman"/>
          <w:iCs/>
          <w:color w:val="000000"/>
          <w:sz w:val="24"/>
          <w:szCs w:val="24"/>
        </w:rPr>
        <w:t xml:space="preserve">. A strong, direct and significant positive effect of environmental concern on adoption of EWR was also recorded in support of H10 </w:t>
      </w:r>
      <w:r w:rsidRPr="00597FFB">
        <w:rPr>
          <w:rFonts w:ascii="Times New Roman" w:hAnsi="Times New Roman" w:cs="Times New Roman"/>
          <w:sz w:val="24"/>
          <w:szCs w:val="24"/>
        </w:rPr>
        <w:t>(β = 0.313; t = 9.487, p &lt; 0.001).</w:t>
      </w:r>
    </w:p>
    <w:p w14:paraId="15DE0F90" w14:textId="0B65D4DC" w:rsidR="00411853" w:rsidRPr="00597FFB" w:rsidRDefault="00411853" w:rsidP="00411853">
      <w:pPr>
        <w:spacing w:line="480" w:lineRule="auto"/>
        <w:rPr>
          <w:rFonts w:asciiTheme="majorBidi" w:hAnsiTheme="majorBidi" w:cstheme="majorBidi"/>
          <w:i/>
          <w:iCs/>
          <w:color w:val="000000"/>
        </w:rPr>
      </w:pPr>
      <w:r w:rsidRPr="00597FFB">
        <w:rPr>
          <w:rFonts w:asciiTheme="majorBidi" w:hAnsiTheme="majorBidi" w:cstheme="majorBidi"/>
          <w:b/>
          <w:bCs/>
          <w:color w:val="000000"/>
        </w:rPr>
        <w:t>Figure 13:</w:t>
      </w:r>
      <w:r w:rsidRPr="00597FFB">
        <w:rPr>
          <w:rFonts w:asciiTheme="majorBidi" w:hAnsiTheme="majorBidi" w:cstheme="majorBidi"/>
          <w:i/>
          <w:iCs/>
          <w:color w:val="000000"/>
        </w:rPr>
        <w:t xml:space="preserve"> SEM Results Of The Extended TPB Model.</w:t>
      </w:r>
    </w:p>
    <w:p w14:paraId="79B85215" w14:textId="22D27754" w:rsidR="006E49F5" w:rsidRPr="00597FFB" w:rsidRDefault="00936BB5" w:rsidP="00936BB5">
      <w:pPr>
        <w:spacing w:line="480" w:lineRule="auto"/>
        <w:ind w:firstLine="720"/>
        <w:jc w:val="both"/>
        <w:rPr>
          <w:rFonts w:ascii="Times New Roman" w:hAnsi="Times New Roman" w:cs="Times New Roman"/>
          <w:b/>
          <w:noProof/>
        </w:rPr>
      </w:pPr>
      <w:r w:rsidRPr="00597FFB">
        <w:rPr>
          <w:rFonts w:ascii="Times New Roman" w:hAnsi="Times New Roman" w:cs="Times New Roman"/>
          <w:b/>
          <w:noProof/>
        </w:rPr>
        <w:drawing>
          <wp:inline distT="0" distB="0" distL="0" distR="0" wp14:anchorId="2197F339" wp14:editId="5D5AA1A7">
            <wp:extent cx="4619625" cy="2971800"/>
            <wp:effectExtent l="0" t="0" r="9525" b="0"/>
            <wp:docPr id="141" name="Picture 14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l="46001" t="29514" r="25589" b="34894"/>
                    <a:stretch>
                      <a:fillRect/>
                    </a:stretch>
                  </pic:blipFill>
                  <pic:spPr bwMode="auto">
                    <a:xfrm>
                      <a:off x="0" y="0"/>
                      <a:ext cx="4619625" cy="2971800"/>
                    </a:xfrm>
                    <a:prstGeom prst="rect">
                      <a:avLst/>
                    </a:prstGeom>
                    <a:noFill/>
                    <a:ln>
                      <a:noFill/>
                    </a:ln>
                  </pic:spPr>
                </pic:pic>
              </a:graphicData>
            </a:graphic>
          </wp:inline>
        </w:drawing>
      </w:r>
    </w:p>
    <w:p w14:paraId="3FE53F09" w14:textId="26FEADAC" w:rsidR="00CD015A" w:rsidRPr="00597FFB" w:rsidRDefault="006E49F5" w:rsidP="00E4590B">
      <w:pPr>
        <w:spacing w:line="480" w:lineRule="auto"/>
        <w:ind w:firstLine="720"/>
        <w:jc w:val="both"/>
        <w:rPr>
          <w:rFonts w:ascii="Times New Roman" w:hAnsi="Times New Roman" w:cs="Times New Roman"/>
          <w:sz w:val="24"/>
          <w:szCs w:val="24"/>
        </w:rPr>
      </w:pPr>
      <w:r w:rsidRPr="00597FFB">
        <w:rPr>
          <w:rFonts w:ascii="Times New Roman" w:hAnsi="Times New Roman" w:cs="Times New Roman"/>
          <w:bCs/>
          <w:iCs/>
          <w:sz w:val="24"/>
          <w:szCs w:val="24"/>
        </w:rPr>
        <w:t xml:space="preserve">Within the extended TPB model, it was postulated that EWR behavioral intention would mediate the effect of the independent variables (attitude, subjective norm, perceived behavioral control, and incentives) had positive effect on adoption of EWR. The findings of the SEM confirmed all four hypotheses in this regard (H11, H12, H13, and H14), given the indirect effects of attitude </w:t>
      </w:r>
      <w:r w:rsidRPr="00597FFB">
        <w:rPr>
          <w:rFonts w:ascii="Times New Roman" w:hAnsi="Times New Roman" w:cs="Times New Roman"/>
          <w:sz w:val="24"/>
          <w:szCs w:val="24"/>
        </w:rPr>
        <w:t>(β = 0.000; t = 1.989, p &lt; 0.001),</w:t>
      </w:r>
      <w:r w:rsidRPr="00597FFB">
        <w:rPr>
          <w:rFonts w:ascii="Times New Roman" w:hAnsi="Times New Roman" w:cs="Times New Roman"/>
          <w:bCs/>
          <w:iCs/>
          <w:sz w:val="24"/>
          <w:szCs w:val="24"/>
        </w:rPr>
        <w:t xml:space="preserve"> subjective norm </w:t>
      </w:r>
      <w:r w:rsidRPr="00597FFB">
        <w:rPr>
          <w:rFonts w:ascii="Times New Roman" w:hAnsi="Times New Roman" w:cs="Times New Roman"/>
          <w:sz w:val="24"/>
          <w:szCs w:val="24"/>
        </w:rPr>
        <w:t>(β = 0.000; t = 2.001, p &lt; 0.001), perceived behavioral control (β = 0.000; t = 2.120, p &lt; 0.001), and incentives (β = 0.001; t = 3.045, p &lt; 0.001) on adoption of EWR as mediated EWR behavioral intention (see Table 1</w:t>
      </w:r>
      <w:r w:rsidR="006C4008" w:rsidRPr="00597FFB">
        <w:rPr>
          <w:rFonts w:ascii="Times New Roman" w:hAnsi="Times New Roman" w:cs="Times New Roman"/>
          <w:sz w:val="24"/>
          <w:szCs w:val="24"/>
        </w:rPr>
        <w:t>7</w:t>
      </w:r>
      <w:r w:rsidRPr="00597FFB">
        <w:rPr>
          <w:rFonts w:ascii="Times New Roman" w:hAnsi="Times New Roman" w:cs="Times New Roman"/>
          <w:sz w:val="24"/>
          <w:szCs w:val="24"/>
        </w:rPr>
        <w:t>).</w:t>
      </w:r>
      <w:r w:rsidR="00CD015A" w:rsidRPr="00597FFB">
        <w:rPr>
          <w:rFonts w:ascii="Times New Roman" w:hAnsi="Times New Roman" w:cs="Times New Roman"/>
          <w:sz w:val="24"/>
          <w:szCs w:val="24"/>
        </w:rPr>
        <w:t xml:space="preserve"> </w:t>
      </w:r>
    </w:p>
    <w:p w14:paraId="5432AE3E" w14:textId="7C11721D" w:rsidR="00E52362" w:rsidRPr="00597FFB" w:rsidRDefault="00411853" w:rsidP="006E49F5">
      <w:pPr>
        <w:spacing w:line="480" w:lineRule="auto"/>
        <w:jc w:val="both"/>
        <w:rPr>
          <w:rFonts w:asciiTheme="majorBidi" w:hAnsiTheme="majorBidi" w:cstheme="majorBidi"/>
          <w:i/>
          <w:iCs/>
        </w:rPr>
      </w:pPr>
      <w:r w:rsidRPr="00597FFB">
        <w:rPr>
          <w:rFonts w:asciiTheme="majorBidi" w:hAnsiTheme="majorBidi" w:cstheme="majorBidi"/>
          <w:b/>
          <w:bCs/>
        </w:rPr>
        <w:t>Table 1</w:t>
      </w:r>
      <w:r w:rsidR="00607DF3" w:rsidRPr="00597FFB">
        <w:rPr>
          <w:rFonts w:asciiTheme="majorBidi" w:hAnsiTheme="majorBidi" w:cstheme="majorBidi"/>
          <w:b/>
          <w:bCs/>
        </w:rPr>
        <w:t>6</w:t>
      </w:r>
      <w:r w:rsidRPr="00597FFB">
        <w:rPr>
          <w:rFonts w:asciiTheme="majorBidi" w:hAnsiTheme="majorBidi" w:cstheme="majorBidi"/>
          <w:b/>
          <w:bCs/>
        </w:rPr>
        <w:t xml:space="preserve">: </w:t>
      </w:r>
      <w:r w:rsidRPr="00597FFB">
        <w:rPr>
          <w:rFonts w:asciiTheme="majorBidi" w:hAnsiTheme="majorBidi" w:cstheme="majorBidi"/>
          <w:i/>
          <w:iCs/>
        </w:rPr>
        <w:t xml:space="preserve">SEM Results </w:t>
      </w:r>
      <w:r w:rsidR="00CA01CC" w:rsidRPr="00597FFB">
        <w:rPr>
          <w:rFonts w:asciiTheme="majorBidi" w:hAnsiTheme="majorBidi" w:cstheme="majorBidi"/>
          <w:i/>
          <w:iCs/>
        </w:rPr>
        <w:t>o</w:t>
      </w:r>
      <w:r w:rsidRPr="00597FFB">
        <w:rPr>
          <w:rFonts w:asciiTheme="majorBidi" w:hAnsiTheme="majorBidi" w:cstheme="majorBidi"/>
          <w:i/>
          <w:iCs/>
        </w:rPr>
        <w:t xml:space="preserve">f </w:t>
      </w:r>
      <w:r w:rsidR="00CA01CC" w:rsidRPr="00597FFB">
        <w:rPr>
          <w:rFonts w:asciiTheme="majorBidi" w:hAnsiTheme="majorBidi" w:cstheme="majorBidi"/>
          <w:i/>
          <w:iCs/>
        </w:rPr>
        <w:t>t</w:t>
      </w:r>
      <w:r w:rsidRPr="00597FFB">
        <w:rPr>
          <w:rFonts w:asciiTheme="majorBidi" w:hAnsiTheme="majorBidi" w:cstheme="majorBidi"/>
          <w:i/>
          <w:iCs/>
        </w:rPr>
        <w:t>he Direct Effects' Hypotheses.</w:t>
      </w:r>
      <w:bookmarkStart w:id="233" w:name="_Hlk125796007"/>
    </w:p>
    <w:tbl>
      <w:tblPr>
        <w:tblW w:w="7904" w:type="dxa"/>
        <w:tblInd w:w="-5"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65"/>
        <w:gridCol w:w="390"/>
        <w:gridCol w:w="998"/>
        <w:gridCol w:w="772"/>
        <w:gridCol w:w="720"/>
        <w:gridCol w:w="900"/>
        <w:gridCol w:w="630"/>
        <w:gridCol w:w="990"/>
        <w:gridCol w:w="990"/>
        <w:gridCol w:w="249"/>
      </w:tblGrid>
      <w:tr w:rsidR="00CA01CC" w:rsidRPr="00597FFB" w14:paraId="126DC058" w14:textId="77777777" w:rsidTr="000E48F1">
        <w:trPr>
          <w:gridAfter w:val="1"/>
          <w:wAfter w:w="249" w:type="dxa"/>
          <w:trHeight w:val="123"/>
          <w:tblHeader/>
        </w:trPr>
        <w:tc>
          <w:tcPr>
            <w:tcW w:w="1265" w:type="dxa"/>
            <w:tcBorders>
              <w:top w:val="single" w:sz="4" w:space="0" w:color="auto"/>
              <w:bottom w:val="single" w:sz="4" w:space="0" w:color="auto"/>
            </w:tcBorders>
            <w:tcMar>
              <w:top w:w="15" w:type="dxa"/>
              <w:left w:w="140" w:type="dxa"/>
              <w:bottom w:w="15" w:type="dxa"/>
              <w:right w:w="140" w:type="dxa"/>
            </w:tcMar>
            <w:vAlign w:val="center"/>
            <w:hideMark/>
          </w:tcPr>
          <w:p w14:paraId="1D5B5C5A" w14:textId="77777777" w:rsidR="00CA01CC" w:rsidRPr="00597FFB" w:rsidRDefault="00CA01CC" w:rsidP="000E48F1">
            <w:pPr>
              <w:widowControl w:val="0"/>
              <w:spacing w:after="0" w:line="240" w:lineRule="auto"/>
              <w:jc w:val="both"/>
              <w:rPr>
                <w:rFonts w:ascii="Times New Roman" w:eastAsia="Times New Roman" w:hAnsi="Times New Roman" w:cs="Times New Roman"/>
                <w:b/>
                <w:bCs/>
              </w:rPr>
            </w:pPr>
            <w:r w:rsidRPr="00597FFB">
              <w:rPr>
                <w:rFonts w:ascii="Times New Roman" w:eastAsia="Times New Roman" w:hAnsi="Times New Roman" w:cs="Times New Roman"/>
                <w:b/>
                <w:bCs/>
              </w:rPr>
              <w:t>Direct Effects</w:t>
            </w:r>
          </w:p>
        </w:tc>
        <w:tc>
          <w:tcPr>
            <w:tcW w:w="390" w:type="dxa"/>
            <w:tcBorders>
              <w:top w:val="single" w:sz="4" w:space="0" w:color="auto"/>
              <w:bottom w:val="single" w:sz="4" w:space="0" w:color="auto"/>
            </w:tcBorders>
            <w:tcMar>
              <w:top w:w="15" w:type="dxa"/>
              <w:left w:w="140" w:type="dxa"/>
              <w:bottom w:w="15" w:type="dxa"/>
              <w:right w:w="140" w:type="dxa"/>
            </w:tcMar>
            <w:vAlign w:val="center"/>
            <w:hideMark/>
          </w:tcPr>
          <w:p w14:paraId="54F2A1F1"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p>
        </w:tc>
        <w:tc>
          <w:tcPr>
            <w:tcW w:w="998" w:type="dxa"/>
            <w:tcBorders>
              <w:top w:val="single" w:sz="4" w:space="0" w:color="auto"/>
              <w:bottom w:val="single" w:sz="4" w:space="0" w:color="auto"/>
            </w:tcBorders>
            <w:tcMar>
              <w:top w:w="15" w:type="dxa"/>
              <w:left w:w="140" w:type="dxa"/>
              <w:bottom w:w="15" w:type="dxa"/>
              <w:right w:w="140" w:type="dxa"/>
            </w:tcMar>
            <w:vAlign w:val="center"/>
            <w:hideMark/>
          </w:tcPr>
          <w:p w14:paraId="7B3B6BB2"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p>
        </w:tc>
        <w:tc>
          <w:tcPr>
            <w:tcW w:w="772" w:type="dxa"/>
            <w:tcBorders>
              <w:top w:val="single" w:sz="4" w:space="0" w:color="auto"/>
              <w:bottom w:val="single" w:sz="4" w:space="0" w:color="auto"/>
            </w:tcBorders>
            <w:tcMar>
              <w:top w:w="15" w:type="dxa"/>
              <w:left w:w="140" w:type="dxa"/>
              <w:bottom w:w="15" w:type="dxa"/>
              <w:right w:w="140" w:type="dxa"/>
            </w:tcMar>
            <w:vAlign w:val="center"/>
            <w:hideMark/>
          </w:tcPr>
          <w:p w14:paraId="319F8101"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720" w:type="dxa"/>
            <w:tcBorders>
              <w:top w:val="single" w:sz="4" w:space="0" w:color="auto"/>
              <w:bottom w:val="single" w:sz="4" w:space="0" w:color="auto"/>
            </w:tcBorders>
            <w:tcMar>
              <w:top w:w="15" w:type="dxa"/>
              <w:left w:w="140" w:type="dxa"/>
              <w:bottom w:w="15" w:type="dxa"/>
              <w:right w:w="140" w:type="dxa"/>
            </w:tcMar>
            <w:vAlign w:val="center"/>
            <w:hideMark/>
          </w:tcPr>
          <w:p w14:paraId="4F24C839"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SE</w:t>
            </w:r>
          </w:p>
        </w:tc>
        <w:tc>
          <w:tcPr>
            <w:tcW w:w="900" w:type="dxa"/>
            <w:tcBorders>
              <w:top w:val="single" w:sz="4" w:space="0" w:color="auto"/>
              <w:bottom w:val="single" w:sz="4" w:space="0" w:color="auto"/>
            </w:tcBorders>
            <w:tcMar>
              <w:top w:w="15" w:type="dxa"/>
              <w:left w:w="140" w:type="dxa"/>
              <w:bottom w:w="15" w:type="dxa"/>
              <w:right w:w="140" w:type="dxa"/>
            </w:tcMar>
            <w:vAlign w:val="center"/>
            <w:hideMark/>
          </w:tcPr>
          <w:p w14:paraId="512209C6" w14:textId="77777777" w:rsidR="00CA01CC" w:rsidRPr="00597FFB" w:rsidRDefault="00CA01CC" w:rsidP="000E48F1">
            <w:pPr>
              <w:widowControl w:val="0"/>
              <w:spacing w:after="0" w:line="240" w:lineRule="auto"/>
              <w:jc w:val="center"/>
              <w:rPr>
                <w:rFonts w:ascii="Times New Roman" w:eastAsia="Times New Roman" w:hAnsi="Times New Roman" w:cs="Times New Roman"/>
                <w:b/>
                <w:bCs/>
              </w:rPr>
            </w:pPr>
            <w:r w:rsidRPr="00597FFB">
              <w:rPr>
                <w:rFonts w:ascii="Times New Roman" w:eastAsia="Times New Roman" w:hAnsi="Times New Roman" w:cs="Times New Roman"/>
                <w:b/>
                <w:bCs/>
              </w:rPr>
              <w:t>t</w:t>
            </w:r>
          </w:p>
        </w:tc>
        <w:tc>
          <w:tcPr>
            <w:tcW w:w="630" w:type="dxa"/>
            <w:tcBorders>
              <w:top w:val="single" w:sz="4" w:space="0" w:color="auto"/>
              <w:bottom w:val="single" w:sz="4" w:space="0" w:color="auto"/>
            </w:tcBorders>
            <w:tcMar>
              <w:top w:w="15" w:type="dxa"/>
              <w:left w:w="140" w:type="dxa"/>
              <w:bottom w:w="15" w:type="dxa"/>
              <w:right w:w="140" w:type="dxa"/>
            </w:tcMar>
            <w:vAlign w:val="center"/>
            <w:hideMark/>
          </w:tcPr>
          <w:p w14:paraId="21DDCD52" w14:textId="77777777" w:rsidR="00CA01CC" w:rsidRPr="00597FFB" w:rsidRDefault="00CA01CC" w:rsidP="000E48F1">
            <w:pPr>
              <w:widowControl w:val="0"/>
              <w:spacing w:after="0" w:line="240" w:lineRule="auto"/>
              <w:jc w:val="right"/>
              <w:rPr>
                <w:rFonts w:ascii="Times New Roman" w:eastAsia="Times New Roman" w:hAnsi="Times New Roman" w:cs="Times New Roman"/>
                <w:b/>
                <w:bCs/>
                <w:i/>
                <w:iCs/>
              </w:rPr>
            </w:pPr>
            <w:r w:rsidRPr="00597FFB">
              <w:rPr>
                <w:rFonts w:ascii="Times New Roman" w:eastAsia="Times New Roman" w:hAnsi="Times New Roman" w:cs="Times New Roman"/>
                <w:b/>
                <w:bCs/>
                <w:i/>
                <w:iCs/>
              </w:rPr>
              <w:t>p</w:t>
            </w:r>
          </w:p>
        </w:tc>
        <w:tc>
          <w:tcPr>
            <w:tcW w:w="990" w:type="dxa"/>
            <w:tcBorders>
              <w:top w:val="single" w:sz="4" w:space="0" w:color="auto"/>
              <w:bottom w:val="single" w:sz="4" w:space="0" w:color="auto"/>
            </w:tcBorders>
            <w:tcMar>
              <w:top w:w="15" w:type="dxa"/>
              <w:left w:w="140" w:type="dxa"/>
              <w:bottom w:w="15" w:type="dxa"/>
              <w:right w:w="140" w:type="dxa"/>
            </w:tcMar>
            <w:vAlign w:val="center"/>
            <w:hideMark/>
          </w:tcPr>
          <w:p w14:paraId="551A74D7" w14:textId="77777777" w:rsidR="00CA01CC" w:rsidRPr="00597FFB" w:rsidRDefault="00CA01CC"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Label</w:t>
            </w:r>
          </w:p>
        </w:tc>
        <w:tc>
          <w:tcPr>
            <w:tcW w:w="990" w:type="dxa"/>
            <w:tcBorders>
              <w:top w:val="single" w:sz="4" w:space="0" w:color="auto"/>
              <w:bottom w:val="single" w:sz="4" w:space="0" w:color="auto"/>
            </w:tcBorders>
          </w:tcPr>
          <w:p w14:paraId="730142D4" w14:textId="77777777" w:rsidR="00CA01CC" w:rsidRPr="00597FFB" w:rsidRDefault="00CA01CC"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Decision</w:t>
            </w:r>
          </w:p>
        </w:tc>
      </w:tr>
      <w:tr w:rsidR="00CA01CC" w:rsidRPr="00597FFB" w14:paraId="7017007B" w14:textId="77777777" w:rsidTr="000E48F1">
        <w:trPr>
          <w:gridAfter w:val="1"/>
          <w:wAfter w:w="249" w:type="dxa"/>
          <w:trHeight w:val="149"/>
        </w:trPr>
        <w:tc>
          <w:tcPr>
            <w:tcW w:w="1265" w:type="dxa"/>
            <w:tcBorders>
              <w:top w:val="single" w:sz="4" w:space="0" w:color="auto"/>
            </w:tcBorders>
            <w:tcMar>
              <w:top w:w="15" w:type="dxa"/>
              <w:left w:w="57" w:type="dxa"/>
              <w:bottom w:w="15" w:type="dxa"/>
              <w:right w:w="57" w:type="dxa"/>
            </w:tcMar>
            <w:vAlign w:val="center"/>
            <w:hideMark/>
          </w:tcPr>
          <w:p w14:paraId="1778B73A"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 AT</w:t>
            </w:r>
          </w:p>
        </w:tc>
        <w:tc>
          <w:tcPr>
            <w:tcW w:w="390" w:type="dxa"/>
            <w:tcBorders>
              <w:top w:val="single" w:sz="4" w:space="0" w:color="auto"/>
            </w:tcBorders>
            <w:noWrap/>
            <w:tcMar>
              <w:top w:w="15" w:type="dxa"/>
              <w:left w:w="57" w:type="dxa"/>
              <w:bottom w:w="15" w:type="dxa"/>
              <w:right w:w="57" w:type="dxa"/>
            </w:tcMar>
            <w:vAlign w:val="center"/>
            <w:hideMark/>
          </w:tcPr>
          <w:p w14:paraId="0D19FBF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Borders>
              <w:top w:val="single" w:sz="4" w:space="0" w:color="auto"/>
            </w:tcBorders>
            <w:tcMar>
              <w:top w:w="15" w:type="dxa"/>
              <w:left w:w="140" w:type="dxa"/>
              <w:bottom w:w="15" w:type="dxa"/>
              <w:right w:w="140" w:type="dxa"/>
            </w:tcMar>
            <w:vAlign w:val="center"/>
            <w:hideMark/>
          </w:tcPr>
          <w:p w14:paraId="38E33E84"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772" w:type="dxa"/>
            <w:tcBorders>
              <w:top w:val="single" w:sz="4" w:space="0" w:color="auto"/>
            </w:tcBorders>
            <w:tcMar>
              <w:top w:w="15" w:type="dxa"/>
              <w:left w:w="140" w:type="dxa"/>
              <w:bottom w:w="15" w:type="dxa"/>
              <w:right w:w="140" w:type="dxa"/>
            </w:tcMar>
            <w:vAlign w:val="center"/>
            <w:hideMark/>
          </w:tcPr>
          <w:p w14:paraId="00E2325C"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.073</w:t>
            </w:r>
          </w:p>
        </w:tc>
        <w:tc>
          <w:tcPr>
            <w:tcW w:w="720" w:type="dxa"/>
            <w:tcBorders>
              <w:top w:val="single" w:sz="4" w:space="0" w:color="auto"/>
            </w:tcBorders>
            <w:tcMar>
              <w:top w:w="15" w:type="dxa"/>
              <w:left w:w="140" w:type="dxa"/>
              <w:bottom w:w="15" w:type="dxa"/>
              <w:right w:w="140" w:type="dxa"/>
            </w:tcMar>
            <w:vAlign w:val="center"/>
            <w:hideMark/>
          </w:tcPr>
          <w:p w14:paraId="00B2B63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.025</w:t>
            </w:r>
          </w:p>
        </w:tc>
        <w:tc>
          <w:tcPr>
            <w:tcW w:w="900" w:type="dxa"/>
            <w:tcBorders>
              <w:top w:val="single" w:sz="4" w:space="0" w:color="auto"/>
            </w:tcBorders>
            <w:tcMar>
              <w:top w:w="15" w:type="dxa"/>
              <w:left w:w="140" w:type="dxa"/>
              <w:bottom w:w="15" w:type="dxa"/>
              <w:right w:w="140" w:type="dxa"/>
            </w:tcMar>
            <w:vAlign w:val="center"/>
            <w:hideMark/>
          </w:tcPr>
          <w:p w14:paraId="6303FCD8"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2.909</w:t>
            </w:r>
          </w:p>
        </w:tc>
        <w:tc>
          <w:tcPr>
            <w:tcW w:w="630" w:type="dxa"/>
            <w:tcBorders>
              <w:top w:val="single" w:sz="4" w:space="0" w:color="auto"/>
            </w:tcBorders>
            <w:tcMar>
              <w:top w:w="15" w:type="dxa"/>
              <w:left w:w="140" w:type="dxa"/>
              <w:bottom w:w="15" w:type="dxa"/>
              <w:right w:w="140" w:type="dxa"/>
            </w:tcMar>
            <w:vAlign w:val="center"/>
            <w:hideMark/>
          </w:tcPr>
          <w:p w14:paraId="2B07D2A8"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Borders>
              <w:top w:val="single" w:sz="4" w:space="0" w:color="auto"/>
            </w:tcBorders>
            <w:tcMar>
              <w:top w:w="15" w:type="dxa"/>
              <w:left w:w="140" w:type="dxa"/>
              <w:bottom w:w="15" w:type="dxa"/>
              <w:right w:w="140" w:type="dxa"/>
            </w:tcMar>
            <w:vAlign w:val="center"/>
            <w:hideMark/>
          </w:tcPr>
          <w:p w14:paraId="66293CA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a_ path</w:t>
            </w:r>
          </w:p>
        </w:tc>
        <w:tc>
          <w:tcPr>
            <w:tcW w:w="990" w:type="dxa"/>
            <w:tcBorders>
              <w:top w:val="single" w:sz="4" w:space="0" w:color="auto"/>
            </w:tcBorders>
          </w:tcPr>
          <w:p w14:paraId="57082F9A"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6962200D" w14:textId="77777777" w:rsidTr="000E48F1">
        <w:trPr>
          <w:trHeight w:val="119"/>
        </w:trPr>
        <w:tc>
          <w:tcPr>
            <w:tcW w:w="1265" w:type="dxa"/>
            <w:tcMar>
              <w:top w:w="15" w:type="dxa"/>
              <w:left w:w="57" w:type="dxa"/>
              <w:bottom w:w="15" w:type="dxa"/>
              <w:right w:w="57" w:type="dxa"/>
            </w:tcMar>
            <w:vAlign w:val="center"/>
            <w:hideMark/>
          </w:tcPr>
          <w:p w14:paraId="3D7A713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 xml:space="preserve">H2. SN </w:t>
            </w:r>
          </w:p>
        </w:tc>
        <w:tc>
          <w:tcPr>
            <w:tcW w:w="390" w:type="dxa"/>
            <w:noWrap/>
            <w:tcMar>
              <w:top w:w="15" w:type="dxa"/>
              <w:left w:w="57" w:type="dxa"/>
              <w:bottom w:w="15" w:type="dxa"/>
              <w:right w:w="57" w:type="dxa"/>
            </w:tcMar>
            <w:vAlign w:val="center"/>
            <w:hideMark/>
          </w:tcPr>
          <w:p w14:paraId="1D55E848"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03BCC67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772" w:type="dxa"/>
            <w:tcMar>
              <w:top w:w="15" w:type="dxa"/>
              <w:left w:w="140" w:type="dxa"/>
              <w:bottom w:w="15" w:type="dxa"/>
              <w:right w:w="140" w:type="dxa"/>
            </w:tcMar>
            <w:vAlign w:val="center"/>
            <w:hideMark/>
          </w:tcPr>
          <w:p w14:paraId="7C164819"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.083</w:t>
            </w:r>
          </w:p>
        </w:tc>
        <w:tc>
          <w:tcPr>
            <w:tcW w:w="720" w:type="dxa"/>
            <w:tcMar>
              <w:top w:w="15" w:type="dxa"/>
              <w:left w:w="140" w:type="dxa"/>
              <w:bottom w:w="15" w:type="dxa"/>
              <w:right w:w="140" w:type="dxa"/>
            </w:tcMar>
            <w:vAlign w:val="center"/>
            <w:hideMark/>
          </w:tcPr>
          <w:p w14:paraId="7DD8DFDD"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.029</w:t>
            </w:r>
          </w:p>
        </w:tc>
        <w:tc>
          <w:tcPr>
            <w:tcW w:w="900" w:type="dxa"/>
            <w:tcMar>
              <w:top w:w="15" w:type="dxa"/>
              <w:left w:w="140" w:type="dxa"/>
              <w:bottom w:w="15" w:type="dxa"/>
              <w:right w:w="140" w:type="dxa"/>
            </w:tcMar>
            <w:vAlign w:val="center"/>
            <w:hideMark/>
          </w:tcPr>
          <w:p w14:paraId="04111A0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2.864</w:t>
            </w:r>
          </w:p>
        </w:tc>
        <w:tc>
          <w:tcPr>
            <w:tcW w:w="630" w:type="dxa"/>
            <w:tcMar>
              <w:top w:w="15" w:type="dxa"/>
              <w:left w:w="140" w:type="dxa"/>
              <w:bottom w:w="15" w:type="dxa"/>
              <w:right w:w="140" w:type="dxa"/>
            </w:tcMar>
            <w:vAlign w:val="center"/>
            <w:hideMark/>
          </w:tcPr>
          <w:p w14:paraId="1F1F1718"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06C5A3D4"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b_ path</w:t>
            </w:r>
          </w:p>
        </w:tc>
        <w:tc>
          <w:tcPr>
            <w:tcW w:w="1239" w:type="dxa"/>
            <w:gridSpan w:val="2"/>
          </w:tcPr>
          <w:p w14:paraId="672AA0A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6BB276F5" w14:textId="77777777" w:rsidTr="000E48F1">
        <w:trPr>
          <w:gridAfter w:val="1"/>
          <w:wAfter w:w="249" w:type="dxa"/>
          <w:trHeight w:val="119"/>
        </w:trPr>
        <w:tc>
          <w:tcPr>
            <w:tcW w:w="1265" w:type="dxa"/>
            <w:tcMar>
              <w:top w:w="15" w:type="dxa"/>
              <w:left w:w="57" w:type="dxa"/>
              <w:bottom w:w="15" w:type="dxa"/>
              <w:right w:w="57" w:type="dxa"/>
            </w:tcMar>
            <w:vAlign w:val="center"/>
            <w:hideMark/>
          </w:tcPr>
          <w:p w14:paraId="7474767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H3. PCB</w:t>
            </w:r>
          </w:p>
        </w:tc>
        <w:tc>
          <w:tcPr>
            <w:tcW w:w="390" w:type="dxa"/>
            <w:noWrap/>
            <w:tcMar>
              <w:top w:w="15" w:type="dxa"/>
              <w:left w:w="57" w:type="dxa"/>
              <w:bottom w:w="15" w:type="dxa"/>
              <w:right w:w="57" w:type="dxa"/>
            </w:tcMar>
            <w:vAlign w:val="center"/>
            <w:hideMark/>
          </w:tcPr>
          <w:p w14:paraId="32F110EA"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6522B3A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772" w:type="dxa"/>
            <w:tcMar>
              <w:top w:w="15" w:type="dxa"/>
              <w:left w:w="140" w:type="dxa"/>
              <w:bottom w:w="15" w:type="dxa"/>
              <w:right w:w="140" w:type="dxa"/>
            </w:tcMar>
            <w:vAlign w:val="center"/>
            <w:hideMark/>
          </w:tcPr>
          <w:p w14:paraId="7F52F4E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.098</w:t>
            </w:r>
          </w:p>
        </w:tc>
        <w:tc>
          <w:tcPr>
            <w:tcW w:w="720" w:type="dxa"/>
            <w:tcMar>
              <w:top w:w="15" w:type="dxa"/>
              <w:left w:w="140" w:type="dxa"/>
              <w:bottom w:w="15" w:type="dxa"/>
              <w:right w:w="140" w:type="dxa"/>
            </w:tcMar>
            <w:vAlign w:val="center"/>
            <w:hideMark/>
          </w:tcPr>
          <w:p w14:paraId="2C8AC0C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.032</w:t>
            </w:r>
          </w:p>
        </w:tc>
        <w:tc>
          <w:tcPr>
            <w:tcW w:w="900" w:type="dxa"/>
            <w:tcMar>
              <w:top w:w="15" w:type="dxa"/>
              <w:left w:w="140" w:type="dxa"/>
              <w:bottom w:w="15" w:type="dxa"/>
              <w:right w:w="140" w:type="dxa"/>
            </w:tcMar>
            <w:vAlign w:val="center"/>
            <w:hideMark/>
          </w:tcPr>
          <w:p w14:paraId="62115672"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3.045</w:t>
            </w:r>
          </w:p>
        </w:tc>
        <w:tc>
          <w:tcPr>
            <w:tcW w:w="630" w:type="dxa"/>
            <w:tcMar>
              <w:top w:w="15" w:type="dxa"/>
              <w:left w:w="140" w:type="dxa"/>
              <w:bottom w:w="15" w:type="dxa"/>
              <w:right w:w="140" w:type="dxa"/>
            </w:tcMar>
            <w:vAlign w:val="center"/>
            <w:hideMark/>
          </w:tcPr>
          <w:p w14:paraId="4E2E454E"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60259EC5"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c_ path</w:t>
            </w:r>
          </w:p>
        </w:tc>
        <w:tc>
          <w:tcPr>
            <w:tcW w:w="990" w:type="dxa"/>
          </w:tcPr>
          <w:p w14:paraId="1E48D8D0"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292FDB76" w14:textId="77777777" w:rsidTr="000E48F1">
        <w:trPr>
          <w:gridAfter w:val="1"/>
          <w:wAfter w:w="249" w:type="dxa"/>
          <w:trHeight w:val="399"/>
        </w:trPr>
        <w:tc>
          <w:tcPr>
            <w:tcW w:w="1265" w:type="dxa"/>
            <w:tcMar>
              <w:top w:w="15" w:type="dxa"/>
              <w:left w:w="57" w:type="dxa"/>
              <w:bottom w:w="15" w:type="dxa"/>
              <w:right w:w="57" w:type="dxa"/>
            </w:tcMar>
            <w:vAlign w:val="center"/>
            <w:hideMark/>
          </w:tcPr>
          <w:p w14:paraId="388A753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H4. IN</w:t>
            </w:r>
          </w:p>
        </w:tc>
        <w:tc>
          <w:tcPr>
            <w:tcW w:w="390" w:type="dxa"/>
            <w:noWrap/>
            <w:tcMar>
              <w:top w:w="15" w:type="dxa"/>
              <w:left w:w="57" w:type="dxa"/>
              <w:bottom w:w="15" w:type="dxa"/>
              <w:right w:w="57" w:type="dxa"/>
            </w:tcMar>
            <w:vAlign w:val="center"/>
            <w:hideMark/>
          </w:tcPr>
          <w:p w14:paraId="32BF7B2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76E4352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772" w:type="dxa"/>
            <w:tcMar>
              <w:top w:w="15" w:type="dxa"/>
              <w:left w:w="140" w:type="dxa"/>
              <w:bottom w:w="15" w:type="dxa"/>
              <w:right w:w="140" w:type="dxa"/>
            </w:tcMar>
            <w:vAlign w:val="center"/>
            <w:hideMark/>
          </w:tcPr>
          <w:p w14:paraId="2BD8C70E"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.397</w:t>
            </w:r>
          </w:p>
        </w:tc>
        <w:tc>
          <w:tcPr>
            <w:tcW w:w="720" w:type="dxa"/>
            <w:tcMar>
              <w:top w:w="15" w:type="dxa"/>
              <w:left w:w="140" w:type="dxa"/>
              <w:bottom w:w="15" w:type="dxa"/>
              <w:right w:w="140" w:type="dxa"/>
            </w:tcMar>
            <w:vAlign w:val="center"/>
            <w:hideMark/>
          </w:tcPr>
          <w:p w14:paraId="3659377B"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.027</w:t>
            </w:r>
          </w:p>
        </w:tc>
        <w:tc>
          <w:tcPr>
            <w:tcW w:w="900" w:type="dxa"/>
            <w:tcMar>
              <w:top w:w="15" w:type="dxa"/>
              <w:left w:w="140" w:type="dxa"/>
              <w:bottom w:w="15" w:type="dxa"/>
              <w:right w:w="140" w:type="dxa"/>
            </w:tcMar>
            <w:vAlign w:val="center"/>
            <w:hideMark/>
          </w:tcPr>
          <w:p w14:paraId="17B249E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14.921</w:t>
            </w:r>
          </w:p>
        </w:tc>
        <w:tc>
          <w:tcPr>
            <w:tcW w:w="630" w:type="dxa"/>
            <w:tcMar>
              <w:top w:w="15" w:type="dxa"/>
              <w:left w:w="140" w:type="dxa"/>
              <w:bottom w:w="15" w:type="dxa"/>
              <w:right w:w="140" w:type="dxa"/>
            </w:tcMar>
            <w:vAlign w:val="center"/>
            <w:hideMark/>
          </w:tcPr>
          <w:p w14:paraId="2DC9925C"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2900A7CB"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d_ path</w:t>
            </w:r>
          </w:p>
        </w:tc>
        <w:tc>
          <w:tcPr>
            <w:tcW w:w="990" w:type="dxa"/>
          </w:tcPr>
          <w:p w14:paraId="1931DE75"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7C5CFC40" w14:textId="77777777" w:rsidTr="000E48F1">
        <w:trPr>
          <w:gridAfter w:val="1"/>
          <w:wAfter w:w="249" w:type="dxa"/>
          <w:trHeight w:val="119"/>
        </w:trPr>
        <w:tc>
          <w:tcPr>
            <w:tcW w:w="1265" w:type="dxa"/>
            <w:tcMar>
              <w:top w:w="15" w:type="dxa"/>
              <w:left w:w="57" w:type="dxa"/>
              <w:bottom w:w="15" w:type="dxa"/>
              <w:right w:w="57" w:type="dxa"/>
            </w:tcMar>
            <w:vAlign w:val="center"/>
            <w:hideMark/>
          </w:tcPr>
          <w:p w14:paraId="2C03171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H5. AT</w:t>
            </w:r>
          </w:p>
        </w:tc>
        <w:tc>
          <w:tcPr>
            <w:tcW w:w="390" w:type="dxa"/>
            <w:noWrap/>
            <w:tcMar>
              <w:top w:w="15" w:type="dxa"/>
              <w:left w:w="57" w:type="dxa"/>
              <w:bottom w:w="15" w:type="dxa"/>
              <w:right w:w="57" w:type="dxa"/>
            </w:tcMar>
            <w:vAlign w:val="center"/>
            <w:hideMark/>
          </w:tcPr>
          <w:p w14:paraId="0D9A4D7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739A7BD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088E9884"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.017</w:t>
            </w:r>
          </w:p>
        </w:tc>
        <w:tc>
          <w:tcPr>
            <w:tcW w:w="720" w:type="dxa"/>
            <w:tcMar>
              <w:top w:w="15" w:type="dxa"/>
              <w:left w:w="140" w:type="dxa"/>
              <w:bottom w:w="15" w:type="dxa"/>
              <w:right w:w="140" w:type="dxa"/>
            </w:tcMar>
            <w:vAlign w:val="center"/>
            <w:hideMark/>
          </w:tcPr>
          <w:p w14:paraId="617DC183"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.032</w:t>
            </w:r>
          </w:p>
        </w:tc>
        <w:tc>
          <w:tcPr>
            <w:tcW w:w="900" w:type="dxa"/>
            <w:tcMar>
              <w:top w:w="15" w:type="dxa"/>
              <w:left w:w="140" w:type="dxa"/>
              <w:bottom w:w="15" w:type="dxa"/>
              <w:right w:w="140" w:type="dxa"/>
            </w:tcMar>
            <w:vAlign w:val="center"/>
            <w:hideMark/>
          </w:tcPr>
          <w:p w14:paraId="3075BC52"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3.517</w:t>
            </w:r>
          </w:p>
        </w:tc>
        <w:tc>
          <w:tcPr>
            <w:tcW w:w="630" w:type="dxa"/>
            <w:tcMar>
              <w:top w:w="15" w:type="dxa"/>
              <w:left w:w="140" w:type="dxa"/>
              <w:bottom w:w="15" w:type="dxa"/>
              <w:right w:w="140" w:type="dxa"/>
            </w:tcMar>
            <w:vAlign w:val="center"/>
            <w:hideMark/>
          </w:tcPr>
          <w:p w14:paraId="2FC667B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698492DE"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f_ path</w:t>
            </w:r>
          </w:p>
        </w:tc>
        <w:tc>
          <w:tcPr>
            <w:tcW w:w="990" w:type="dxa"/>
          </w:tcPr>
          <w:p w14:paraId="1E0336E0"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201EB5DF" w14:textId="77777777" w:rsidTr="000E48F1">
        <w:trPr>
          <w:gridAfter w:val="1"/>
          <w:wAfter w:w="249" w:type="dxa"/>
          <w:trHeight w:val="123"/>
        </w:trPr>
        <w:tc>
          <w:tcPr>
            <w:tcW w:w="1265" w:type="dxa"/>
            <w:tcMar>
              <w:top w:w="15" w:type="dxa"/>
              <w:left w:w="57" w:type="dxa"/>
              <w:bottom w:w="15" w:type="dxa"/>
              <w:right w:w="57" w:type="dxa"/>
            </w:tcMar>
            <w:vAlign w:val="center"/>
            <w:hideMark/>
          </w:tcPr>
          <w:p w14:paraId="16460B0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H6. SN</w:t>
            </w:r>
          </w:p>
        </w:tc>
        <w:tc>
          <w:tcPr>
            <w:tcW w:w="390" w:type="dxa"/>
            <w:noWrap/>
            <w:tcMar>
              <w:top w:w="15" w:type="dxa"/>
              <w:left w:w="57" w:type="dxa"/>
              <w:bottom w:w="15" w:type="dxa"/>
              <w:right w:w="57" w:type="dxa"/>
            </w:tcMar>
            <w:vAlign w:val="center"/>
            <w:hideMark/>
          </w:tcPr>
          <w:p w14:paraId="1821D50D"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64F70E7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74F2D4A7"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.052</w:t>
            </w:r>
          </w:p>
        </w:tc>
        <w:tc>
          <w:tcPr>
            <w:tcW w:w="720" w:type="dxa"/>
            <w:tcMar>
              <w:top w:w="15" w:type="dxa"/>
              <w:left w:w="140" w:type="dxa"/>
              <w:bottom w:w="15" w:type="dxa"/>
              <w:right w:w="140" w:type="dxa"/>
            </w:tcMar>
            <w:vAlign w:val="center"/>
            <w:hideMark/>
          </w:tcPr>
          <w:p w14:paraId="22D4FA5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.037</w:t>
            </w:r>
          </w:p>
        </w:tc>
        <w:tc>
          <w:tcPr>
            <w:tcW w:w="900" w:type="dxa"/>
            <w:tcMar>
              <w:top w:w="15" w:type="dxa"/>
              <w:left w:w="140" w:type="dxa"/>
              <w:bottom w:w="15" w:type="dxa"/>
              <w:right w:w="140" w:type="dxa"/>
            </w:tcMar>
            <w:vAlign w:val="center"/>
            <w:hideMark/>
          </w:tcPr>
          <w:p w14:paraId="5F939B6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3.391</w:t>
            </w:r>
          </w:p>
        </w:tc>
        <w:tc>
          <w:tcPr>
            <w:tcW w:w="630" w:type="dxa"/>
            <w:tcMar>
              <w:top w:w="15" w:type="dxa"/>
              <w:left w:w="140" w:type="dxa"/>
              <w:bottom w:w="15" w:type="dxa"/>
              <w:right w:w="140" w:type="dxa"/>
            </w:tcMar>
            <w:vAlign w:val="center"/>
            <w:hideMark/>
          </w:tcPr>
          <w:p w14:paraId="3CBE0EDE"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624D40E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g_ path</w:t>
            </w:r>
          </w:p>
        </w:tc>
        <w:tc>
          <w:tcPr>
            <w:tcW w:w="990" w:type="dxa"/>
          </w:tcPr>
          <w:p w14:paraId="48C09B9D"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3F9D212F" w14:textId="77777777" w:rsidTr="000E48F1">
        <w:trPr>
          <w:gridAfter w:val="1"/>
          <w:wAfter w:w="249" w:type="dxa"/>
          <w:trHeight w:val="119"/>
        </w:trPr>
        <w:tc>
          <w:tcPr>
            <w:tcW w:w="1265" w:type="dxa"/>
            <w:tcMar>
              <w:top w:w="15" w:type="dxa"/>
              <w:left w:w="57" w:type="dxa"/>
              <w:bottom w:w="15" w:type="dxa"/>
              <w:right w:w="57" w:type="dxa"/>
            </w:tcMar>
            <w:vAlign w:val="center"/>
            <w:hideMark/>
          </w:tcPr>
          <w:p w14:paraId="5533EBB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H7. PCB</w:t>
            </w:r>
          </w:p>
        </w:tc>
        <w:tc>
          <w:tcPr>
            <w:tcW w:w="390" w:type="dxa"/>
            <w:noWrap/>
            <w:tcMar>
              <w:top w:w="15" w:type="dxa"/>
              <w:left w:w="57" w:type="dxa"/>
              <w:bottom w:w="15" w:type="dxa"/>
              <w:right w:w="57" w:type="dxa"/>
            </w:tcMar>
            <w:vAlign w:val="center"/>
            <w:hideMark/>
          </w:tcPr>
          <w:p w14:paraId="43E61B01"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6DA6BB32"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30685218"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.014</w:t>
            </w:r>
          </w:p>
        </w:tc>
        <w:tc>
          <w:tcPr>
            <w:tcW w:w="720" w:type="dxa"/>
            <w:tcMar>
              <w:top w:w="15" w:type="dxa"/>
              <w:left w:w="140" w:type="dxa"/>
              <w:bottom w:w="15" w:type="dxa"/>
              <w:right w:w="140" w:type="dxa"/>
            </w:tcMar>
            <w:vAlign w:val="center"/>
            <w:hideMark/>
          </w:tcPr>
          <w:p w14:paraId="2D222FF9"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.041</w:t>
            </w:r>
          </w:p>
        </w:tc>
        <w:tc>
          <w:tcPr>
            <w:tcW w:w="900" w:type="dxa"/>
            <w:tcMar>
              <w:top w:w="15" w:type="dxa"/>
              <w:left w:w="140" w:type="dxa"/>
              <w:bottom w:w="15" w:type="dxa"/>
              <w:right w:w="140" w:type="dxa"/>
            </w:tcMar>
            <w:vAlign w:val="center"/>
            <w:hideMark/>
          </w:tcPr>
          <w:p w14:paraId="1397215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2.332</w:t>
            </w:r>
          </w:p>
        </w:tc>
        <w:tc>
          <w:tcPr>
            <w:tcW w:w="630" w:type="dxa"/>
            <w:tcMar>
              <w:top w:w="15" w:type="dxa"/>
              <w:left w:w="140" w:type="dxa"/>
              <w:bottom w:w="15" w:type="dxa"/>
              <w:right w:w="140" w:type="dxa"/>
            </w:tcMar>
            <w:vAlign w:val="center"/>
            <w:hideMark/>
          </w:tcPr>
          <w:p w14:paraId="27E72E86"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6AF0805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h_ path</w:t>
            </w:r>
          </w:p>
        </w:tc>
        <w:tc>
          <w:tcPr>
            <w:tcW w:w="990" w:type="dxa"/>
          </w:tcPr>
          <w:p w14:paraId="2777F274"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4C59BF43" w14:textId="77777777" w:rsidTr="000E48F1">
        <w:trPr>
          <w:gridAfter w:val="1"/>
          <w:wAfter w:w="249" w:type="dxa"/>
          <w:trHeight w:val="119"/>
        </w:trPr>
        <w:tc>
          <w:tcPr>
            <w:tcW w:w="1265" w:type="dxa"/>
            <w:tcMar>
              <w:top w:w="15" w:type="dxa"/>
              <w:left w:w="57" w:type="dxa"/>
              <w:bottom w:w="15" w:type="dxa"/>
              <w:right w:w="57" w:type="dxa"/>
            </w:tcMar>
            <w:vAlign w:val="center"/>
            <w:hideMark/>
          </w:tcPr>
          <w:p w14:paraId="0A0EE82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H8. IN</w:t>
            </w:r>
          </w:p>
        </w:tc>
        <w:tc>
          <w:tcPr>
            <w:tcW w:w="390" w:type="dxa"/>
            <w:noWrap/>
            <w:tcMar>
              <w:top w:w="15" w:type="dxa"/>
              <w:left w:w="57" w:type="dxa"/>
              <w:bottom w:w="15" w:type="dxa"/>
              <w:right w:w="57" w:type="dxa"/>
            </w:tcMar>
            <w:vAlign w:val="center"/>
            <w:hideMark/>
          </w:tcPr>
          <w:p w14:paraId="78EC34F1"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18B8048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669275FF"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.065</w:t>
            </w:r>
          </w:p>
        </w:tc>
        <w:tc>
          <w:tcPr>
            <w:tcW w:w="720" w:type="dxa"/>
            <w:tcMar>
              <w:top w:w="15" w:type="dxa"/>
              <w:left w:w="140" w:type="dxa"/>
              <w:bottom w:w="15" w:type="dxa"/>
              <w:right w:w="140" w:type="dxa"/>
            </w:tcMar>
            <w:vAlign w:val="center"/>
            <w:hideMark/>
          </w:tcPr>
          <w:p w14:paraId="1BC5B85E"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.041</w:t>
            </w:r>
          </w:p>
        </w:tc>
        <w:tc>
          <w:tcPr>
            <w:tcW w:w="900" w:type="dxa"/>
            <w:tcMar>
              <w:top w:w="15" w:type="dxa"/>
              <w:left w:w="140" w:type="dxa"/>
              <w:bottom w:w="15" w:type="dxa"/>
              <w:right w:w="140" w:type="dxa"/>
            </w:tcMar>
            <w:vAlign w:val="center"/>
            <w:hideMark/>
          </w:tcPr>
          <w:p w14:paraId="0B3EA3E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5.582</w:t>
            </w:r>
          </w:p>
        </w:tc>
        <w:tc>
          <w:tcPr>
            <w:tcW w:w="630" w:type="dxa"/>
            <w:tcMar>
              <w:top w:w="15" w:type="dxa"/>
              <w:left w:w="140" w:type="dxa"/>
              <w:bottom w:w="15" w:type="dxa"/>
              <w:right w:w="140" w:type="dxa"/>
            </w:tcMar>
            <w:vAlign w:val="center"/>
            <w:hideMark/>
          </w:tcPr>
          <w:p w14:paraId="7D2184E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09F4FC39"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i_ path</w:t>
            </w:r>
          </w:p>
        </w:tc>
        <w:tc>
          <w:tcPr>
            <w:tcW w:w="990" w:type="dxa"/>
          </w:tcPr>
          <w:p w14:paraId="167CC9E3"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112013B2" w14:textId="77777777" w:rsidTr="000E48F1">
        <w:trPr>
          <w:gridAfter w:val="1"/>
          <w:wAfter w:w="249" w:type="dxa"/>
          <w:trHeight w:val="119"/>
        </w:trPr>
        <w:tc>
          <w:tcPr>
            <w:tcW w:w="1265" w:type="dxa"/>
            <w:tcMar>
              <w:top w:w="15" w:type="dxa"/>
              <w:left w:w="57" w:type="dxa"/>
              <w:bottom w:w="15" w:type="dxa"/>
              <w:right w:w="57" w:type="dxa"/>
            </w:tcMar>
            <w:vAlign w:val="center"/>
            <w:hideMark/>
          </w:tcPr>
          <w:p w14:paraId="2A0B573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H9. EWRBI</w:t>
            </w:r>
          </w:p>
        </w:tc>
        <w:tc>
          <w:tcPr>
            <w:tcW w:w="390" w:type="dxa"/>
            <w:noWrap/>
            <w:tcMar>
              <w:top w:w="15" w:type="dxa"/>
              <w:left w:w="57" w:type="dxa"/>
              <w:bottom w:w="15" w:type="dxa"/>
              <w:right w:w="57" w:type="dxa"/>
            </w:tcMar>
            <w:vAlign w:val="center"/>
            <w:hideMark/>
          </w:tcPr>
          <w:p w14:paraId="101DA5B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5C6AEA9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0CB69AE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.002</w:t>
            </w:r>
          </w:p>
        </w:tc>
        <w:tc>
          <w:tcPr>
            <w:tcW w:w="720" w:type="dxa"/>
            <w:tcMar>
              <w:top w:w="15" w:type="dxa"/>
              <w:left w:w="140" w:type="dxa"/>
              <w:bottom w:w="15" w:type="dxa"/>
              <w:right w:w="140" w:type="dxa"/>
            </w:tcMar>
            <w:vAlign w:val="center"/>
            <w:hideMark/>
          </w:tcPr>
          <w:p w14:paraId="5460F637"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.057</w:t>
            </w:r>
          </w:p>
        </w:tc>
        <w:tc>
          <w:tcPr>
            <w:tcW w:w="900" w:type="dxa"/>
            <w:tcMar>
              <w:top w:w="15" w:type="dxa"/>
              <w:left w:w="140" w:type="dxa"/>
              <w:bottom w:w="15" w:type="dxa"/>
              <w:right w:w="140" w:type="dxa"/>
            </w:tcMar>
            <w:vAlign w:val="center"/>
            <w:hideMark/>
          </w:tcPr>
          <w:p w14:paraId="26D29092"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6.037</w:t>
            </w:r>
          </w:p>
        </w:tc>
        <w:tc>
          <w:tcPr>
            <w:tcW w:w="630" w:type="dxa"/>
            <w:tcMar>
              <w:top w:w="15" w:type="dxa"/>
              <w:left w:w="140" w:type="dxa"/>
              <w:bottom w:w="15" w:type="dxa"/>
              <w:right w:w="140" w:type="dxa"/>
            </w:tcMar>
            <w:vAlign w:val="center"/>
            <w:hideMark/>
          </w:tcPr>
          <w:p w14:paraId="7700FCC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7BEEC3B8"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 _path</w:t>
            </w:r>
          </w:p>
        </w:tc>
        <w:tc>
          <w:tcPr>
            <w:tcW w:w="990" w:type="dxa"/>
          </w:tcPr>
          <w:p w14:paraId="11D7713E"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187D228D" w14:textId="77777777" w:rsidTr="000E48F1">
        <w:trPr>
          <w:gridAfter w:val="1"/>
          <w:wAfter w:w="249" w:type="dxa"/>
          <w:trHeight w:val="123"/>
        </w:trPr>
        <w:tc>
          <w:tcPr>
            <w:tcW w:w="1265" w:type="dxa"/>
            <w:tcMar>
              <w:top w:w="15" w:type="dxa"/>
              <w:left w:w="57" w:type="dxa"/>
              <w:bottom w:w="15" w:type="dxa"/>
              <w:right w:w="57" w:type="dxa"/>
            </w:tcMar>
            <w:vAlign w:val="center"/>
            <w:hideMark/>
          </w:tcPr>
          <w:p w14:paraId="16A041A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H10. EC</w:t>
            </w:r>
          </w:p>
        </w:tc>
        <w:tc>
          <w:tcPr>
            <w:tcW w:w="390" w:type="dxa"/>
            <w:noWrap/>
            <w:tcMar>
              <w:top w:w="15" w:type="dxa"/>
              <w:left w:w="57" w:type="dxa"/>
              <w:bottom w:w="15" w:type="dxa"/>
              <w:right w:w="57" w:type="dxa"/>
            </w:tcMar>
            <w:vAlign w:val="center"/>
            <w:hideMark/>
          </w:tcPr>
          <w:p w14:paraId="1D042B31"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998" w:type="dxa"/>
            <w:tcMar>
              <w:top w:w="15" w:type="dxa"/>
              <w:left w:w="140" w:type="dxa"/>
              <w:bottom w:w="15" w:type="dxa"/>
              <w:right w:w="140" w:type="dxa"/>
            </w:tcMar>
            <w:vAlign w:val="center"/>
            <w:hideMark/>
          </w:tcPr>
          <w:p w14:paraId="43F9CA1F"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772" w:type="dxa"/>
            <w:tcMar>
              <w:top w:w="15" w:type="dxa"/>
              <w:left w:w="140" w:type="dxa"/>
              <w:bottom w:w="15" w:type="dxa"/>
              <w:right w:w="140" w:type="dxa"/>
            </w:tcMar>
            <w:vAlign w:val="center"/>
            <w:hideMark/>
          </w:tcPr>
          <w:p w14:paraId="60CBE08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.313</w:t>
            </w:r>
          </w:p>
        </w:tc>
        <w:tc>
          <w:tcPr>
            <w:tcW w:w="720" w:type="dxa"/>
            <w:tcMar>
              <w:top w:w="15" w:type="dxa"/>
              <w:left w:w="140" w:type="dxa"/>
              <w:bottom w:w="15" w:type="dxa"/>
              <w:right w:w="140" w:type="dxa"/>
            </w:tcMar>
            <w:vAlign w:val="center"/>
            <w:hideMark/>
          </w:tcPr>
          <w:p w14:paraId="08707528"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.033</w:t>
            </w:r>
          </w:p>
        </w:tc>
        <w:tc>
          <w:tcPr>
            <w:tcW w:w="900" w:type="dxa"/>
            <w:tcMar>
              <w:top w:w="15" w:type="dxa"/>
              <w:left w:w="140" w:type="dxa"/>
              <w:bottom w:w="15" w:type="dxa"/>
              <w:right w:w="140" w:type="dxa"/>
            </w:tcMar>
            <w:vAlign w:val="center"/>
            <w:hideMark/>
          </w:tcPr>
          <w:p w14:paraId="5D4B2D29"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9.487</w:t>
            </w:r>
          </w:p>
        </w:tc>
        <w:tc>
          <w:tcPr>
            <w:tcW w:w="630" w:type="dxa"/>
            <w:tcMar>
              <w:top w:w="15" w:type="dxa"/>
              <w:left w:w="140" w:type="dxa"/>
              <w:bottom w:w="15" w:type="dxa"/>
              <w:right w:w="140" w:type="dxa"/>
            </w:tcMar>
            <w:vAlign w:val="center"/>
            <w:hideMark/>
          </w:tcPr>
          <w:p w14:paraId="28106F7D"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990" w:type="dxa"/>
            <w:tcMar>
              <w:top w:w="15" w:type="dxa"/>
              <w:left w:w="140" w:type="dxa"/>
              <w:bottom w:w="15" w:type="dxa"/>
              <w:right w:w="140" w:type="dxa"/>
            </w:tcMar>
            <w:vAlign w:val="center"/>
            <w:hideMark/>
          </w:tcPr>
          <w:p w14:paraId="1991CFFA"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j_ path</w:t>
            </w:r>
          </w:p>
        </w:tc>
        <w:tc>
          <w:tcPr>
            <w:tcW w:w="990" w:type="dxa"/>
          </w:tcPr>
          <w:p w14:paraId="09E45AD4"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bookmarkEnd w:id="233"/>
    </w:tbl>
    <w:p w14:paraId="095A5C6E" w14:textId="77777777" w:rsidR="00752ACC" w:rsidRPr="00597FFB" w:rsidRDefault="00752ACC" w:rsidP="00CD015A">
      <w:pPr>
        <w:widowControl w:val="0"/>
        <w:spacing w:after="0" w:line="276" w:lineRule="auto"/>
        <w:jc w:val="both"/>
        <w:rPr>
          <w:rFonts w:ascii="Times New Roman" w:hAnsi="Times New Roman" w:cs="Times New Roman"/>
          <w:bCs/>
          <w:iCs/>
          <w:sz w:val="24"/>
          <w:szCs w:val="24"/>
        </w:rPr>
      </w:pPr>
    </w:p>
    <w:p w14:paraId="48929C9C" w14:textId="3C39D546" w:rsidR="00E52362" w:rsidRPr="00597FFB" w:rsidRDefault="00CD015A" w:rsidP="00752ACC">
      <w:pPr>
        <w:spacing w:line="276" w:lineRule="auto"/>
        <w:jc w:val="both"/>
        <w:rPr>
          <w:rFonts w:asciiTheme="majorBidi" w:hAnsiTheme="majorBidi" w:cstheme="majorBidi"/>
          <w:b/>
          <w:bCs/>
        </w:rPr>
      </w:pPr>
      <w:r w:rsidRPr="00597FFB">
        <w:rPr>
          <w:rFonts w:asciiTheme="majorBidi" w:hAnsiTheme="majorBidi" w:cstheme="majorBidi"/>
          <w:b/>
          <w:bCs/>
        </w:rPr>
        <w:t>Table 1</w:t>
      </w:r>
      <w:r w:rsidR="00607DF3" w:rsidRPr="00597FFB">
        <w:rPr>
          <w:rFonts w:asciiTheme="majorBidi" w:hAnsiTheme="majorBidi" w:cstheme="majorBidi"/>
          <w:b/>
          <w:bCs/>
        </w:rPr>
        <w:t>7</w:t>
      </w:r>
      <w:r w:rsidRPr="00597FFB">
        <w:rPr>
          <w:rFonts w:asciiTheme="majorBidi" w:hAnsiTheme="majorBidi" w:cstheme="majorBidi"/>
          <w:b/>
          <w:bCs/>
        </w:rPr>
        <w:t xml:space="preserve">: </w:t>
      </w:r>
      <w:r w:rsidRPr="00597FFB">
        <w:rPr>
          <w:rFonts w:asciiTheme="majorBidi" w:hAnsiTheme="majorBidi" w:cstheme="majorBidi"/>
          <w:i/>
          <w:iCs/>
        </w:rPr>
        <w:t xml:space="preserve">Mediation Effect </w:t>
      </w:r>
      <w:r w:rsidR="00CA01CC" w:rsidRPr="00597FFB">
        <w:rPr>
          <w:rFonts w:asciiTheme="majorBidi" w:hAnsiTheme="majorBidi" w:cstheme="majorBidi"/>
          <w:i/>
          <w:iCs/>
        </w:rPr>
        <w:t>o</w:t>
      </w:r>
      <w:r w:rsidRPr="00597FFB">
        <w:rPr>
          <w:rFonts w:asciiTheme="majorBidi" w:hAnsiTheme="majorBidi" w:cstheme="majorBidi"/>
          <w:i/>
          <w:iCs/>
        </w:rPr>
        <w:t xml:space="preserve">f EWR Behavioral Intention </w:t>
      </w:r>
      <w:r w:rsidR="00CA01CC" w:rsidRPr="00597FFB">
        <w:rPr>
          <w:rFonts w:asciiTheme="majorBidi" w:hAnsiTheme="majorBidi" w:cstheme="majorBidi"/>
          <w:i/>
          <w:iCs/>
        </w:rPr>
        <w:t>o</w:t>
      </w:r>
      <w:r w:rsidRPr="00597FFB">
        <w:rPr>
          <w:rFonts w:asciiTheme="majorBidi" w:hAnsiTheme="majorBidi" w:cstheme="majorBidi"/>
          <w:i/>
          <w:iCs/>
        </w:rPr>
        <w:t xml:space="preserve">n </w:t>
      </w:r>
      <w:r w:rsidR="00CA01CC" w:rsidRPr="00597FFB">
        <w:rPr>
          <w:rFonts w:asciiTheme="majorBidi" w:hAnsiTheme="majorBidi" w:cstheme="majorBidi"/>
          <w:i/>
          <w:iCs/>
        </w:rPr>
        <w:t>t</w:t>
      </w:r>
      <w:r w:rsidRPr="00597FFB">
        <w:rPr>
          <w:rFonts w:asciiTheme="majorBidi" w:hAnsiTheme="majorBidi" w:cstheme="majorBidi"/>
          <w:i/>
          <w:iCs/>
        </w:rPr>
        <w:t xml:space="preserve">he Effect </w:t>
      </w:r>
      <w:r w:rsidR="00CA01CC" w:rsidRPr="00597FFB">
        <w:rPr>
          <w:rFonts w:asciiTheme="majorBidi" w:hAnsiTheme="majorBidi" w:cstheme="majorBidi"/>
          <w:i/>
          <w:iCs/>
        </w:rPr>
        <w:t>o</w:t>
      </w:r>
      <w:r w:rsidRPr="00597FFB">
        <w:rPr>
          <w:rFonts w:asciiTheme="majorBidi" w:hAnsiTheme="majorBidi" w:cstheme="majorBidi"/>
          <w:i/>
          <w:iCs/>
        </w:rPr>
        <w:t xml:space="preserve">f Attitude, Subjective Norm, Perceived Behavioral Control, </w:t>
      </w:r>
      <w:r w:rsidR="00CA01CC" w:rsidRPr="00597FFB">
        <w:rPr>
          <w:rFonts w:asciiTheme="majorBidi" w:hAnsiTheme="majorBidi" w:cstheme="majorBidi"/>
          <w:i/>
          <w:iCs/>
        </w:rPr>
        <w:t>a</w:t>
      </w:r>
      <w:r w:rsidRPr="00597FFB">
        <w:rPr>
          <w:rFonts w:asciiTheme="majorBidi" w:hAnsiTheme="majorBidi" w:cstheme="majorBidi"/>
          <w:i/>
          <w:iCs/>
        </w:rPr>
        <w:t xml:space="preserve">nd Incentives </w:t>
      </w:r>
      <w:r w:rsidR="00CA01CC" w:rsidRPr="00597FFB">
        <w:rPr>
          <w:rFonts w:asciiTheme="majorBidi" w:hAnsiTheme="majorBidi" w:cstheme="majorBidi"/>
          <w:i/>
          <w:iCs/>
        </w:rPr>
        <w:t>o</w:t>
      </w:r>
      <w:r w:rsidRPr="00597FFB">
        <w:rPr>
          <w:rFonts w:asciiTheme="majorBidi" w:hAnsiTheme="majorBidi" w:cstheme="majorBidi"/>
          <w:i/>
          <w:iCs/>
        </w:rPr>
        <w:t xml:space="preserve">n Adoption </w:t>
      </w:r>
      <w:r w:rsidR="00CA01CC" w:rsidRPr="00597FFB">
        <w:rPr>
          <w:rFonts w:asciiTheme="majorBidi" w:hAnsiTheme="majorBidi" w:cstheme="majorBidi"/>
          <w:i/>
          <w:iCs/>
        </w:rPr>
        <w:t>o</w:t>
      </w:r>
      <w:r w:rsidRPr="00597FFB">
        <w:rPr>
          <w:rFonts w:asciiTheme="majorBidi" w:hAnsiTheme="majorBidi" w:cstheme="majorBidi"/>
          <w:i/>
          <w:iCs/>
        </w:rPr>
        <w:t>f EWR.</w:t>
      </w:r>
      <w:bookmarkStart w:id="234" w:name="_Hlk125796137"/>
    </w:p>
    <w:tbl>
      <w:tblPr>
        <w:tblW w:w="0" w:type="auto"/>
        <w:jc w:val="center"/>
        <w:tblCellMar>
          <w:top w:w="15" w:type="dxa"/>
          <w:left w:w="15" w:type="dxa"/>
          <w:bottom w:w="15" w:type="dxa"/>
          <w:right w:w="15" w:type="dxa"/>
        </w:tblCellMar>
        <w:tblLook w:val="04A0" w:firstRow="1" w:lastRow="0" w:firstColumn="1" w:lastColumn="0" w:noHBand="0" w:noVBand="1"/>
      </w:tblPr>
      <w:tblGrid>
        <w:gridCol w:w="2622"/>
        <w:gridCol w:w="1110"/>
        <w:gridCol w:w="1232"/>
        <w:gridCol w:w="775"/>
        <w:gridCol w:w="665"/>
        <w:gridCol w:w="1185"/>
      </w:tblGrid>
      <w:tr w:rsidR="00CA01CC" w:rsidRPr="00597FFB" w14:paraId="0F683B67" w14:textId="77777777" w:rsidTr="000E48F1">
        <w:trPr>
          <w:tblHeader/>
          <w:jc w:val="center"/>
        </w:trPr>
        <w:tc>
          <w:tcPr>
            <w:tcW w:w="0" w:type="auto"/>
            <w:tcBorders>
              <w:top w:val="single" w:sz="4" w:space="0" w:color="auto"/>
              <w:bottom w:val="single" w:sz="4" w:space="0" w:color="auto"/>
            </w:tcBorders>
            <w:tcMar>
              <w:top w:w="15" w:type="dxa"/>
              <w:left w:w="140" w:type="dxa"/>
              <w:bottom w:w="15" w:type="dxa"/>
              <w:right w:w="140" w:type="dxa"/>
            </w:tcMar>
            <w:vAlign w:val="center"/>
            <w:hideMark/>
          </w:tcPr>
          <w:bookmarkEnd w:id="234"/>
          <w:p w14:paraId="5E7E1278" w14:textId="77777777" w:rsidR="00CA01CC" w:rsidRPr="00597FFB" w:rsidRDefault="00CA01CC"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Indirect effects</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14:paraId="25976222"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14:paraId="3B9C7257"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Std. Error</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14:paraId="7BDB5216" w14:textId="77777777" w:rsidR="00CA01CC" w:rsidRPr="00597FFB" w:rsidRDefault="00CA01CC" w:rsidP="000E48F1">
            <w:pPr>
              <w:widowControl w:val="0"/>
              <w:spacing w:after="0" w:line="240" w:lineRule="auto"/>
              <w:jc w:val="right"/>
              <w:rPr>
                <w:rFonts w:ascii="Times New Roman" w:eastAsia="Times New Roman" w:hAnsi="Times New Roman" w:cs="Times New Roman"/>
                <w:b/>
                <w:bCs/>
                <w:i/>
                <w:iCs/>
              </w:rPr>
            </w:pPr>
            <w:r w:rsidRPr="00597FFB">
              <w:rPr>
                <w:rFonts w:ascii="Times New Roman" w:eastAsia="Times New Roman" w:hAnsi="Times New Roman" w:cs="Times New Roman"/>
                <w:b/>
                <w:bCs/>
                <w:i/>
                <w:iCs/>
              </w:rPr>
              <w:t>t</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14:paraId="27E91812" w14:textId="77777777" w:rsidR="00CA01CC" w:rsidRPr="00597FFB" w:rsidRDefault="00CA01CC" w:rsidP="000E48F1">
            <w:pPr>
              <w:widowControl w:val="0"/>
              <w:spacing w:after="0" w:line="240" w:lineRule="auto"/>
              <w:jc w:val="right"/>
              <w:rPr>
                <w:rFonts w:ascii="Times New Roman" w:eastAsia="Times New Roman" w:hAnsi="Times New Roman" w:cs="Times New Roman"/>
                <w:b/>
                <w:bCs/>
                <w:i/>
                <w:iCs/>
              </w:rPr>
            </w:pPr>
            <w:r w:rsidRPr="00597FFB">
              <w:rPr>
                <w:rFonts w:ascii="Times New Roman" w:eastAsia="Times New Roman" w:hAnsi="Times New Roman" w:cs="Times New Roman"/>
                <w:b/>
                <w:bCs/>
                <w:i/>
                <w:iCs/>
              </w:rPr>
              <w:t>p</w:t>
            </w:r>
          </w:p>
        </w:tc>
        <w:tc>
          <w:tcPr>
            <w:tcW w:w="0" w:type="auto"/>
            <w:tcBorders>
              <w:top w:val="single" w:sz="4" w:space="0" w:color="auto"/>
              <w:bottom w:val="single" w:sz="4" w:space="0" w:color="auto"/>
            </w:tcBorders>
            <w:tcMar>
              <w:top w:w="15" w:type="dxa"/>
              <w:left w:w="140" w:type="dxa"/>
              <w:bottom w:w="15" w:type="dxa"/>
              <w:right w:w="140" w:type="dxa"/>
            </w:tcMar>
            <w:vAlign w:val="center"/>
            <w:hideMark/>
          </w:tcPr>
          <w:p w14:paraId="344D2A9B" w14:textId="77777777" w:rsidR="00CA01CC" w:rsidRPr="00597FFB" w:rsidRDefault="00CA01CC"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Decision</w:t>
            </w:r>
          </w:p>
        </w:tc>
      </w:tr>
      <w:tr w:rsidR="00CA01CC" w:rsidRPr="00597FFB" w14:paraId="4C38D2FA" w14:textId="77777777" w:rsidTr="000E48F1">
        <w:trPr>
          <w:jc w:val="center"/>
        </w:trPr>
        <w:tc>
          <w:tcPr>
            <w:tcW w:w="0" w:type="auto"/>
            <w:tcBorders>
              <w:top w:val="single" w:sz="4" w:space="0" w:color="auto"/>
            </w:tcBorders>
            <w:tcMar>
              <w:top w:w="15" w:type="dxa"/>
              <w:left w:w="140" w:type="dxa"/>
              <w:bottom w:w="15" w:type="dxa"/>
              <w:right w:w="140" w:type="dxa"/>
            </w:tcMar>
            <w:vAlign w:val="center"/>
            <w:hideMark/>
          </w:tcPr>
          <w:p w14:paraId="2CBB8FA6"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H11. AT→EWRBI→AD</w:t>
            </w:r>
          </w:p>
        </w:tc>
        <w:tc>
          <w:tcPr>
            <w:tcW w:w="0" w:type="auto"/>
            <w:tcBorders>
              <w:top w:val="single" w:sz="4" w:space="0" w:color="auto"/>
            </w:tcBorders>
            <w:tcMar>
              <w:top w:w="15" w:type="dxa"/>
              <w:left w:w="140" w:type="dxa"/>
              <w:bottom w:w="15" w:type="dxa"/>
              <w:right w:w="140" w:type="dxa"/>
            </w:tcMar>
            <w:vAlign w:val="center"/>
            <w:hideMark/>
          </w:tcPr>
          <w:p w14:paraId="328293BF"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Borders>
              <w:top w:val="single" w:sz="4" w:space="0" w:color="auto"/>
            </w:tcBorders>
            <w:tcMar>
              <w:top w:w="15" w:type="dxa"/>
              <w:left w:w="140" w:type="dxa"/>
              <w:bottom w:w="15" w:type="dxa"/>
              <w:right w:w="140" w:type="dxa"/>
            </w:tcMar>
            <w:vAlign w:val="center"/>
            <w:hideMark/>
          </w:tcPr>
          <w:p w14:paraId="566AC1F4"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Borders>
              <w:top w:val="single" w:sz="4" w:space="0" w:color="auto"/>
            </w:tcBorders>
            <w:tcMar>
              <w:top w:w="15" w:type="dxa"/>
              <w:left w:w="140" w:type="dxa"/>
              <w:bottom w:w="15" w:type="dxa"/>
              <w:right w:w="140" w:type="dxa"/>
            </w:tcMar>
            <w:vAlign w:val="center"/>
            <w:hideMark/>
          </w:tcPr>
          <w:p w14:paraId="589F96FD"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1.989</w:t>
            </w:r>
          </w:p>
        </w:tc>
        <w:tc>
          <w:tcPr>
            <w:tcW w:w="0" w:type="auto"/>
            <w:tcBorders>
              <w:top w:val="single" w:sz="4" w:space="0" w:color="auto"/>
            </w:tcBorders>
            <w:tcMar>
              <w:top w:w="15" w:type="dxa"/>
              <w:left w:w="140" w:type="dxa"/>
              <w:bottom w:w="15" w:type="dxa"/>
              <w:right w:w="140" w:type="dxa"/>
            </w:tcMar>
            <w:vAlign w:val="center"/>
            <w:hideMark/>
          </w:tcPr>
          <w:p w14:paraId="7D70509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Borders>
              <w:top w:val="single" w:sz="4" w:space="0" w:color="auto"/>
            </w:tcBorders>
            <w:tcMar>
              <w:top w:w="15" w:type="dxa"/>
              <w:left w:w="140" w:type="dxa"/>
              <w:bottom w:w="15" w:type="dxa"/>
              <w:right w:w="140" w:type="dxa"/>
            </w:tcMar>
            <w:vAlign w:val="center"/>
            <w:hideMark/>
          </w:tcPr>
          <w:p w14:paraId="58D05AD0"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343E5560" w14:textId="77777777" w:rsidTr="000E48F1">
        <w:trPr>
          <w:jc w:val="center"/>
        </w:trPr>
        <w:tc>
          <w:tcPr>
            <w:tcW w:w="0" w:type="auto"/>
            <w:tcMar>
              <w:top w:w="15" w:type="dxa"/>
              <w:left w:w="140" w:type="dxa"/>
              <w:bottom w:w="15" w:type="dxa"/>
              <w:right w:w="140" w:type="dxa"/>
            </w:tcMar>
            <w:vAlign w:val="center"/>
            <w:hideMark/>
          </w:tcPr>
          <w:p w14:paraId="3B028C80"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H12. SN→EWRBI→AD</w:t>
            </w:r>
          </w:p>
        </w:tc>
        <w:tc>
          <w:tcPr>
            <w:tcW w:w="0" w:type="auto"/>
            <w:tcMar>
              <w:top w:w="15" w:type="dxa"/>
              <w:left w:w="140" w:type="dxa"/>
              <w:bottom w:w="15" w:type="dxa"/>
              <w:right w:w="140" w:type="dxa"/>
            </w:tcMar>
            <w:vAlign w:val="center"/>
            <w:hideMark/>
          </w:tcPr>
          <w:p w14:paraId="6BD4CF82"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hideMark/>
          </w:tcPr>
          <w:p w14:paraId="5E29933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hideMark/>
          </w:tcPr>
          <w:p w14:paraId="7C021293"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2.001</w:t>
            </w:r>
          </w:p>
        </w:tc>
        <w:tc>
          <w:tcPr>
            <w:tcW w:w="0" w:type="auto"/>
            <w:tcMar>
              <w:top w:w="15" w:type="dxa"/>
              <w:left w:w="140" w:type="dxa"/>
              <w:bottom w:w="15" w:type="dxa"/>
              <w:right w:w="140" w:type="dxa"/>
            </w:tcMar>
            <w:vAlign w:val="center"/>
            <w:hideMark/>
          </w:tcPr>
          <w:p w14:paraId="768F90ED"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hideMark/>
          </w:tcPr>
          <w:p w14:paraId="7CB7DA4A"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0105CDF6" w14:textId="77777777" w:rsidTr="000E48F1">
        <w:trPr>
          <w:jc w:val="center"/>
        </w:trPr>
        <w:tc>
          <w:tcPr>
            <w:tcW w:w="0" w:type="auto"/>
            <w:tcMar>
              <w:top w:w="15" w:type="dxa"/>
              <w:left w:w="140" w:type="dxa"/>
              <w:bottom w:w="15" w:type="dxa"/>
              <w:right w:w="140" w:type="dxa"/>
            </w:tcMar>
            <w:vAlign w:val="center"/>
          </w:tcPr>
          <w:p w14:paraId="565E0D87"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H13. PCB→EWRBI→AD</w:t>
            </w:r>
          </w:p>
        </w:tc>
        <w:tc>
          <w:tcPr>
            <w:tcW w:w="0" w:type="auto"/>
            <w:tcMar>
              <w:top w:w="15" w:type="dxa"/>
              <w:left w:w="140" w:type="dxa"/>
              <w:bottom w:w="15" w:type="dxa"/>
              <w:right w:w="140" w:type="dxa"/>
            </w:tcMar>
            <w:vAlign w:val="center"/>
          </w:tcPr>
          <w:p w14:paraId="7139E316"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tcPr>
          <w:p w14:paraId="54C9A42C"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tcPr>
          <w:p w14:paraId="56AC1C73"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2.120</w:t>
            </w:r>
          </w:p>
        </w:tc>
        <w:tc>
          <w:tcPr>
            <w:tcW w:w="0" w:type="auto"/>
            <w:tcMar>
              <w:top w:w="15" w:type="dxa"/>
              <w:left w:w="140" w:type="dxa"/>
              <w:bottom w:w="15" w:type="dxa"/>
              <w:right w:w="140" w:type="dxa"/>
            </w:tcMar>
            <w:vAlign w:val="center"/>
          </w:tcPr>
          <w:p w14:paraId="23CC5A4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Mar>
              <w:top w:w="15" w:type="dxa"/>
              <w:left w:w="140" w:type="dxa"/>
              <w:bottom w:w="15" w:type="dxa"/>
              <w:right w:w="140" w:type="dxa"/>
            </w:tcMar>
            <w:vAlign w:val="center"/>
          </w:tcPr>
          <w:p w14:paraId="71AFD18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Supported</w:t>
            </w:r>
          </w:p>
        </w:tc>
      </w:tr>
      <w:tr w:rsidR="00CA01CC" w:rsidRPr="00597FFB" w14:paraId="27DE2F00" w14:textId="77777777" w:rsidTr="000E48F1">
        <w:trPr>
          <w:jc w:val="center"/>
        </w:trPr>
        <w:tc>
          <w:tcPr>
            <w:tcW w:w="0" w:type="auto"/>
            <w:tcBorders>
              <w:bottom w:val="single" w:sz="4" w:space="0" w:color="auto"/>
            </w:tcBorders>
            <w:tcMar>
              <w:top w:w="15" w:type="dxa"/>
              <w:left w:w="140" w:type="dxa"/>
              <w:bottom w:w="15" w:type="dxa"/>
              <w:right w:w="140" w:type="dxa"/>
            </w:tcMar>
            <w:vAlign w:val="center"/>
          </w:tcPr>
          <w:p w14:paraId="56BB068C" w14:textId="77777777" w:rsidR="00CA01CC" w:rsidRPr="00597FFB" w:rsidRDefault="00CA01CC"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H14. IN→EWRBI→AD</w:t>
            </w:r>
          </w:p>
        </w:tc>
        <w:tc>
          <w:tcPr>
            <w:tcW w:w="0" w:type="auto"/>
            <w:tcBorders>
              <w:bottom w:val="single" w:sz="4" w:space="0" w:color="auto"/>
            </w:tcBorders>
            <w:tcMar>
              <w:top w:w="15" w:type="dxa"/>
              <w:left w:w="140" w:type="dxa"/>
              <w:bottom w:w="15" w:type="dxa"/>
              <w:right w:w="140" w:type="dxa"/>
            </w:tcMar>
            <w:vAlign w:val="center"/>
          </w:tcPr>
          <w:p w14:paraId="5FF6FAD5"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001</w:t>
            </w:r>
          </w:p>
        </w:tc>
        <w:tc>
          <w:tcPr>
            <w:tcW w:w="0" w:type="auto"/>
            <w:tcBorders>
              <w:bottom w:val="single" w:sz="4" w:space="0" w:color="auto"/>
            </w:tcBorders>
            <w:tcMar>
              <w:top w:w="15" w:type="dxa"/>
              <w:left w:w="140" w:type="dxa"/>
              <w:bottom w:w="15" w:type="dxa"/>
              <w:right w:w="140" w:type="dxa"/>
            </w:tcMar>
            <w:vAlign w:val="center"/>
          </w:tcPr>
          <w:p w14:paraId="210197BF"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Borders>
              <w:bottom w:val="single" w:sz="4" w:space="0" w:color="auto"/>
            </w:tcBorders>
            <w:tcMar>
              <w:top w:w="15" w:type="dxa"/>
              <w:left w:w="140" w:type="dxa"/>
              <w:bottom w:w="15" w:type="dxa"/>
              <w:right w:w="140" w:type="dxa"/>
            </w:tcMar>
            <w:vAlign w:val="center"/>
          </w:tcPr>
          <w:p w14:paraId="5527301C"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3.045</w:t>
            </w:r>
          </w:p>
        </w:tc>
        <w:tc>
          <w:tcPr>
            <w:tcW w:w="0" w:type="auto"/>
            <w:tcBorders>
              <w:bottom w:val="single" w:sz="4" w:space="0" w:color="auto"/>
            </w:tcBorders>
            <w:tcMar>
              <w:top w:w="15" w:type="dxa"/>
              <w:left w:w="140" w:type="dxa"/>
              <w:bottom w:w="15" w:type="dxa"/>
              <w:right w:w="140" w:type="dxa"/>
            </w:tcMar>
            <w:vAlign w:val="center"/>
          </w:tcPr>
          <w:p w14:paraId="5B6D8513"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.000</w:t>
            </w:r>
          </w:p>
        </w:tc>
        <w:tc>
          <w:tcPr>
            <w:tcW w:w="0" w:type="auto"/>
            <w:tcBorders>
              <w:bottom w:val="single" w:sz="4" w:space="0" w:color="auto"/>
            </w:tcBorders>
            <w:tcMar>
              <w:top w:w="15" w:type="dxa"/>
              <w:left w:w="140" w:type="dxa"/>
              <w:bottom w:w="15" w:type="dxa"/>
              <w:right w:w="140" w:type="dxa"/>
            </w:tcMar>
            <w:vAlign w:val="center"/>
          </w:tcPr>
          <w:p w14:paraId="1397211E" w14:textId="77777777" w:rsidR="00CA01CC" w:rsidRPr="00597FFB" w:rsidRDefault="00CA01CC"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Supported</w:t>
            </w:r>
          </w:p>
        </w:tc>
      </w:tr>
    </w:tbl>
    <w:p w14:paraId="7DE7E725" w14:textId="77777777" w:rsidR="00CA01CC" w:rsidRPr="00597FFB" w:rsidRDefault="00CA01CC" w:rsidP="00E52362">
      <w:pPr>
        <w:widowControl w:val="0"/>
        <w:spacing w:line="240" w:lineRule="auto"/>
        <w:jc w:val="both"/>
        <w:rPr>
          <w:rFonts w:ascii="Times New Roman" w:hAnsi="Times New Roman" w:cs="Times New Roman"/>
          <w:sz w:val="24"/>
          <w:szCs w:val="24"/>
        </w:rPr>
      </w:pPr>
    </w:p>
    <w:p w14:paraId="3323C4D1" w14:textId="2DA026B0" w:rsidR="00E52362" w:rsidRPr="00597FFB" w:rsidRDefault="00E52362" w:rsidP="00072848">
      <w:pPr>
        <w:widowControl w:val="0"/>
        <w:spacing w:after="0" w:line="480" w:lineRule="auto"/>
        <w:ind w:firstLine="720"/>
        <w:jc w:val="both"/>
        <w:rPr>
          <w:rFonts w:ascii="Times New Roman" w:hAnsi="Times New Roman" w:cs="Times New Roman"/>
          <w:sz w:val="24"/>
          <w:szCs w:val="24"/>
        </w:rPr>
      </w:pPr>
      <w:r w:rsidRPr="00597FFB">
        <w:rPr>
          <w:rFonts w:ascii="Times New Roman" w:hAnsi="Times New Roman" w:cs="Times New Roman"/>
          <w:bCs/>
          <w:iCs/>
          <w:sz w:val="24"/>
          <w:szCs w:val="24"/>
        </w:rPr>
        <w:t xml:space="preserve">The SEM results also confirmed the moderation effect of environmental concern in the effect of EWR behavioral intention on EWR adoption in consistency with H15 </w:t>
      </w:r>
      <w:r w:rsidRPr="00597FFB">
        <w:rPr>
          <w:rFonts w:ascii="Times New Roman" w:hAnsi="Times New Roman" w:cs="Times New Roman"/>
          <w:sz w:val="24"/>
          <w:szCs w:val="24"/>
        </w:rPr>
        <w:t xml:space="preserve">(β = 0.000, </w:t>
      </w:r>
      <w:r w:rsidRPr="00597FFB">
        <w:rPr>
          <w:rFonts w:ascii="Times New Roman" w:hAnsi="Times New Roman" w:cs="Times New Roman"/>
          <w:i/>
          <w:iCs/>
          <w:sz w:val="24"/>
          <w:szCs w:val="24"/>
        </w:rPr>
        <w:t>p</w:t>
      </w:r>
      <w:r w:rsidRPr="00597FFB">
        <w:rPr>
          <w:rFonts w:ascii="Times New Roman" w:hAnsi="Times New Roman" w:cs="Times New Roman"/>
          <w:sz w:val="24"/>
          <w:szCs w:val="24"/>
        </w:rPr>
        <w:t xml:space="preserve"> &lt; 0.001). However, it is noteworthy that moderation would be based on the presumption that the effect of EWR behavioral intention on adoption of EWR is not constant but depends on the values of environmental concern. Given that H9 was already confirmed indicating that EWR behavioral intention has a significant, positive effect on adoption of EWR, it was logical to infer that environmental concern as the significant moderator variable (H15) alters either the direction or the strength of the relationship between EWR behavioral intention and adoption of EWR (Hair Jr. et al., 2021).</w:t>
      </w:r>
    </w:p>
    <w:p w14:paraId="7E42508D" w14:textId="3DBCB7F3" w:rsidR="00E52362" w:rsidRPr="00597FFB" w:rsidRDefault="00E52362" w:rsidP="00E4590B">
      <w:pPr>
        <w:pStyle w:val="Heading2"/>
        <w:widowControl w:val="0"/>
        <w:spacing w:line="480" w:lineRule="auto"/>
        <w:ind w:left="576" w:hanging="576"/>
      </w:pPr>
      <w:bookmarkStart w:id="235" w:name="_Toc127170359"/>
      <w:bookmarkStart w:id="236" w:name="_Hlk123627946"/>
      <w:r w:rsidRPr="00597FFB">
        <w:rPr>
          <w:rFonts w:ascii="Times New Roman" w:hAnsi="Times New Roman"/>
          <w:b/>
          <w:bCs/>
          <w:color w:val="auto"/>
          <w:sz w:val="24"/>
          <w:szCs w:val="24"/>
        </w:rPr>
        <w:t>5.3. Section B: Extended Norm Activation Theory (N</w:t>
      </w:r>
      <w:r w:rsidR="00E4590B" w:rsidRPr="00597FFB">
        <w:rPr>
          <w:rFonts w:ascii="Times New Roman" w:hAnsi="Times New Roman"/>
          <w:b/>
          <w:bCs/>
          <w:color w:val="auto"/>
          <w:sz w:val="24"/>
          <w:szCs w:val="24"/>
        </w:rPr>
        <w:t>AT</w:t>
      </w:r>
      <w:r w:rsidRPr="00597FFB">
        <w:rPr>
          <w:rFonts w:ascii="Times New Roman" w:hAnsi="Times New Roman"/>
          <w:b/>
          <w:bCs/>
          <w:color w:val="auto"/>
          <w:sz w:val="24"/>
          <w:szCs w:val="24"/>
        </w:rPr>
        <w:t>)</w:t>
      </w:r>
      <w:r w:rsidR="00E4590B" w:rsidRPr="00597FFB">
        <w:rPr>
          <w:rFonts w:ascii="Times New Roman" w:hAnsi="Times New Roman"/>
          <w:b/>
          <w:bCs/>
          <w:color w:val="auto"/>
          <w:sz w:val="24"/>
          <w:szCs w:val="24"/>
        </w:rPr>
        <w:t>.</w:t>
      </w:r>
      <w:bookmarkEnd w:id="235"/>
    </w:p>
    <w:p w14:paraId="155F211D" w14:textId="1AE4F621" w:rsidR="003B2072" w:rsidRPr="00597FFB" w:rsidRDefault="00E52362" w:rsidP="00E4590B">
      <w:pPr>
        <w:pStyle w:val="Heading3"/>
        <w:widowControl w:val="0"/>
        <w:spacing w:line="480" w:lineRule="auto"/>
        <w:ind w:left="720" w:hanging="720"/>
        <w:rPr>
          <w:i/>
          <w:iCs/>
        </w:rPr>
      </w:pPr>
      <w:bookmarkStart w:id="237" w:name="_Toc127170360"/>
      <w:bookmarkEnd w:id="236"/>
      <w:r w:rsidRPr="00597FFB">
        <w:rPr>
          <w:rFonts w:ascii="Times New Roman" w:hAnsi="Times New Roman"/>
          <w:i/>
          <w:iCs/>
          <w:color w:val="auto"/>
          <w:sz w:val="24"/>
          <w:szCs w:val="24"/>
        </w:rPr>
        <w:t xml:space="preserve">5.3.1. The </w:t>
      </w:r>
      <w:r w:rsidR="00623AE3" w:rsidRPr="00623AE3">
        <w:rPr>
          <w:rFonts w:ascii="Times New Roman" w:hAnsi="Times New Roman"/>
          <w:i/>
          <w:iCs/>
          <w:color w:val="auto"/>
          <w:sz w:val="24"/>
          <w:szCs w:val="24"/>
        </w:rPr>
        <w:t>M</w:t>
      </w:r>
      <w:r w:rsidRPr="00623AE3">
        <w:rPr>
          <w:rFonts w:ascii="Times New Roman" w:hAnsi="Times New Roman"/>
          <w:i/>
          <w:iCs/>
          <w:color w:val="auto"/>
          <w:sz w:val="24"/>
          <w:szCs w:val="24"/>
        </w:rPr>
        <w:t xml:space="preserve">easurement </w:t>
      </w:r>
      <w:r w:rsidR="00623AE3" w:rsidRPr="00623AE3">
        <w:rPr>
          <w:rFonts w:ascii="Times New Roman" w:hAnsi="Times New Roman"/>
          <w:i/>
          <w:iCs/>
          <w:color w:val="auto"/>
          <w:sz w:val="24"/>
          <w:szCs w:val="24"/>
        </w:rPr>
        <w:t>M</w:t>
      </w:r>
      <w:r w:rsidRPr="00623AE3">
        <w:rPr>
          <w:rFonts w:ascii="Times New Roman" w:hAnsi="Times New Roman"/>
          <w:i/>
          <w:iCs/>
          <w:color w:val="auto"/>
          <w:sz w:val="24"/>
          <w:szCs w:val="24"/>
        </w:rPr>
        <w:t>odel.</w:t>
      </w:r>
      <w:bookmarkEnd w:id="237"/>
    </w:p>
    <w:p w14:paraId="44B78D44" w14:textId="620CC4D0" w:rsidR="00F51F1B" w:rsidRPr="00597FFB" w:rsidRDefault="00F51F1B" w:rsidP="00FF729C">
      <w:pPr>
        <w:widowControl w:val="0"/>
        <w:spacing w:after="0" w:line="480" w:lineRule="auto"/>
        <w:ind w:firstLine="720"/>
        <w:jc w:val="both"/>
        <w:rPr>
          <w:rFonts w:ascii="Times New Roman" w:hAnsi="Times New Roman" w:cs="Times New Roman"/>
        </w:rPr>
      </w:pPr>
      <w:r w:rsidRPr="00597FFB">
        <w:rPr>
          <w:rFonts w:ascii="Times New Roman" w:hAnsi="Times New Roman" w:cs="Times New Roman"/>
          <w:sz w:val="24"/>
          <w:szCs w:val="24"/>
        </w:rPr>
        <w:t>The convergent validity results showed that the results were likely to show high levels of reliability. Cronbach’s Alpha, SCR, and AVE all lay within the desired range for the instruments for employee performance management, radical innovation, and incremental innovation. Descriptive analysis of each variable measurement showed that participants have quite a high score by passing normative means of above 3 out of the maximum score of 5 based on the 5-point Likert point scale against which the respondents scored the questionnaire prompts. Awareness of consequence had a mean of 3.197 (SD = 1.057). Ascription of responsibility had a mean of 3.138 (SD = 1.317). Personal norm has the mean of 3.411 (SD = 1.072). The additional variables of the extended NAT model comprising moral norm (M = 3.182; SD = 1.001) and privacy concern (M = 3.279; SD = 1.236) recorded high means with acceptable standard deviation scores.</w:t>
      </w:r>
      <w:r w:rsidRPr="00597FFB">
        <w:rPr>
          <w:rFonts w:ascii="Times New Roman" w:hAnsi="Times New Roman" w:cs="Times New Roman"/>
        </w:rPr>
        <w:t xml:space="preserve"> </w:t>
      </w:r>
      <w:r w:rsidR="00455290" w:rsidRPr="00597FFB">
        <w:rPr>
          <w:rFonts w:ascii="Times New Roman" w:hAnsi="Times New Roman" w:cs="Times New Roman"/>
        </w:rPr>
        <w:t>The measurement model was based on the conceptual framework that is shown in Figure 14 below.</w:t>
      </w:r>
    </w:p>
    <w:p w14:paraId="70B53904" w14:textId="4B8EC3A9" w:rsidR="00F51F1B" w:rsidRPr="00597FFB" w:rsidRDefault="00E52362" w:rsidP="00E4590B">
      <w:pPr>
        <w:widowControl w:val="0"/>
        <w:spacing w:after="0" w:line="276" w:lineRule="auto"/>
        <w:rPr>
          <w:rFonts w:ascii="Times New Roman" w:hAnsi="Times New Roman" w:cs="Times New Roman"/>
          <w:i/>
          <w:iCs/>
        </w:rPr>
      </w:pPr>
      <w:r w:rsidRPr="00597FFB">
        <w:rPr>
          <w:rFonts w:ascii="Times New Roman" w:hAnsi="Times New Roman" w:cs="Times New Roman"/>
          <w:b/>
          <w:bCs/>
        </w:rPr>
        <w:t>Figure 14:</w:t>
      </w:r>
      <w:r w:rsidRPr="00597FFB">
        <w:rPr>
          <w:rFonts w:ascii="Times New Roman" w:hAnsi="Times New Roman" w:cs="Times New Roman"/>
          <w:i/>
          <w:iCs/>
        </w:rPr>
        <w:t xml:space="preserve"> Enhanced NAT Model</w:t>
      </w:r>
      <w:r w:rsidR="00072848" w:rsidRPr="00597FFB">
        <w:rPr>
          <w:rFonts w:ascii="Times New Roman" w:hAnsi="Times New Roman" w:cs="Times New Roman"/>
          <w:i/>
          <w:iCs/>
        </w:rPr>
        <w:t xml:space="preserve"> f</w:t>
      </w:r>
      <w:r w:rsidRPr="00597FFB">
        <w:rPr>
          <w:rFonts w:ascii="Times New Roman" w:hAnsi="Times New Roman" w:cs="Times New Roman"/>
          <w:i/>
          <w:iCs/>
        </w:rPr>
        <w:t xml:space="preserve">or EWR Intent </w:t>
      </w:r>
      <w:r w:rsidR="00072848" w:rsidRPr="00597FFB">
        <w:rPr>
          <w:rFonts w:ascii="Times New Roman" w:hAnsi="Times New Roman" w:cs="Times New Roman"/>
          <w:i/>
          <w:iCs/>
        </w:rPr>
        <w:t>o</w:t>
      </w:r>
      <w:r w:rsidRPr="00597FFB">
        <w:rPr>
          <w:rFonts w:ascii="Times New Roman" w:hAnsi="Times New Roman" w:cs="Times New Roman"/>
          <w:i/>
          <w:iCs/>
        </w:rPr>
        <w:t>f UAE Millennials With Additional Variables</w:t>
      </w:r>
      <w:r w:rsidR="00F51F1B" w:rsidRPr="00597FFB">
        <w:rPr>
          <w:rFonts w:ascii="Times New Roman" w:hAnsi="Times New Roman" w:cs="Times New Roman"/>
          <w:i/>
          <w:iCs/>
        </w:rPr>
        <w:t>.</w:t>
      </w:r>
      <w:r w:rsidR="00FF729C" w:rsidRPr="00597FFB">
        <w:rPr>
          <w:rFonts w:ascii="Times New Roman" w:hAnsi="Times New Roman" w:cs="Times New Roman"/>
          <w:noProof/>
          <w:sz w:val="24"/>
          <w:szCs w:val="24"/>
        </w:rPr>
        <w:t xml:space="preserve"> </w:t>
      </w:r>
    </w:p>
    <w:p w14:paraId="0BF9E4EC" w14:textId="193B271D" w:rsidR="00F51F1B" w:rsidRPr="00597FFB" w:rsidRDefault="00FF729C" w:rsidP="00E4590B">
      <w:pPr>
        <w:widowControl w:val="0"/>
        <w:spacing w:after="0" w:line="276" w:lineRule="auto"/>
        <w:rPr>
          <w:rFonts w:ascii="Times New Roman" w:hAnsi="Times New Roman" w:cs="Times New Roman"/>
          <w:i/>
          <w:iCs/>
        </w:rPr>
      </w:pPr>
      <w:r w:rsidRPr="00597FFB">
        <w:rPr>
          <w:rFonts w:ascii="Times New Roman" w:hAnsi="Times New Roman" w:cs="Times New Roman"/>
          <w:noProof/>
          <w:sz w:val="24"/>
          <w:szCs w:val="24"/>
        </w:rPr>
        <mc:AlternateContent>
          <mc:Choice Requires="wpg">
            <w:drawing>
              <wp:anchor distT="0" distB="0" distL="114300" distR="114300" simplePos="0" relativeHeight="251669504" behindDoc="1" locked="0" layoutInCell="1" allowOverlap="1" wp14:anchorId="0163980D" wp14:editId="16F2534C">
                <wp:simplePos x="0" y="0"/>
                <wp:positionH relativeFrom="margin">
                  <wp:align>left</wp:align>
                </wp:positionH>
                <wp:positionV relativeFrom="paragraph">
                  <wp:posOffset>132715</wp:posOffset>
                </wp:positionV>
                <wp:extent cx="4777740" cy="4555490"/>
                <wp:effectExtent l="19050" t="19050" r="3810" b="165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7740" cy="4555490"/>
                          <a:chOff x="-133914" y="0"/>
                          <a:chExt cx="6262266" cy="4777472"/>
                        </a:xfrm>
                      </wpg:grpSpPr>
                      <wps:wsp>
                        <wps:cNvPr id="20" name="Text Box 49"/>
                        <wps:cNvSpPr txBox="1">
                          <a:spLocks noChangeArrowheads="1"/>
                        </wps:cNvSpPr>
                        <wps:spPr bwMode="auto">
                          <a:xfrm>
                            <a:off x="1952624" y="1166734"/>
                            <a:ext cx="542925" cy="29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F68741"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9 </w:t>
                              </w:r>
                            </w:p>
                          </w:txbxContent>
                        </wps:txbx>
                        <wps:bodyPr rot="0" vert="horz" wrap="square" lIns="91440" tIns="45720" rIns="91440" bIns="45720" anchor="t" anchorCtr="0" upright="1">
                          <a:noAutofit/>
                        </wps:bodyPr>
                      </wps:wsp>
                      <wpg:grpSp>
                        <wpg:cNvPr id="21" name="Group 50"/>
                        <wpg:cNvGrpSpPr>
                          <a:grpSpLocks/>
                        </wpg:cNvGrpSpPr>
                        <wpg:grpSpPr bwMode="auto">
                          <a:xfrm>
                            <a:off x="-133914" y="0"/>
                            <a:ext cx="6262266" cy="4777472"/>
                            <a:chOff x="-133914" y="0"/>
                            <a:chExt cx="6262266" cy="4777472"/>
                          </a:xfrm>
                        </wpg:grpSpPr>
                        <wps:wsp>
                          <wps:cNvPr id="22" name="Text Box 51"/>
                          <wps:cNvSpPr txBox="1">
                            <a:spLocks noChangeArrowheads="1"/>
                          </wps:cNvSpPr>
                          <wps:spPr bwMode="auto">
                            <a:xfrm>
                              <a:off x="2661934" y="872795"/>
                              <a:ext cx="660334" cy="29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AF9DCF"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10 </w:t>
                                </w:r>
                              </w:p>
                            </w:txbxContent>
                          </wps:txbx>
                          <wps:bodyPr rot="0" vert="horz" wrap="square" lIns="91440" tIns="45720" rIns="91440" bIns="45720" anchor="t" anchorCtr="0" upright="1">
                            <a:noAutofit/>
                          </wps:bodyPr>
                        </wps:wsp>
                        <wpg:grpSp>
                          <wpg:cNvPr id="23" name="Group 52"/>
                          <wpg:cNvGrpSpPr>
                            <a:grpSpLocks/>
                          </wpg:cNvGrpSpPr>
                          <wpg:grpSpPr bwMode="auto">
                            <a:xfrm>
                              <a:off x="-133914" y="0"/>
                              <a:ext cx="6262266" cy="4777472"/>
                              <a:chOff x="-133914" y="0"/>
                              <a:chExt cx="6262266" cy="4777472"/>
                            </a:xfrm>
                          </wpg:grpSpPr>
                          <wpg:grpSp>
                            <wpg:cNvPr id="24" name="Group 54"/>
                            <wpg:cNvGrpSpPr>
                              <a:grpSpLocks/>
                            </wpg:cNvGrpSpPr>
                            <wpg:grpSpPr bwMode="auto">
                              <a:xfrm>
                                <a:off x="-133914" y="0"/>
                                <a:ext cx="6262266" cy="4777472"/>
                                <a:chOff x="-133920" y="-152404"/>
                                <a:chExt cx="6262527" cy="4777857"/>
                              </a:xfrm>
                            </wpg:grpSpPr>
                            <wpg:grpSp>
                              <wpg:cNvPr id="25" name="Group 55"/>
                              <wpg:cNvGrpSpPr>
                                <a:grpSpLocks/>
                              </wpg:cNvGrpSpPr>
                              <wpg:grpSpPr bwMode="auto">
                                <a:xfrm>
                                  <a:off x="-133920" y="139222"/>
                                  <a:ext cx="6262527" cy="4486231"/>
                                  <a:chOff x="-384657" y="-129038"/>
                                  <a:chExt cx="6263204" cy="4487087"/>
                                </a:xfrm>
                              </wpg:grpSpPr>
                              <wps:wsp>
                                <wps:cNvPr id="26" name="Text Box 2"/>
                                <wps:cNvSpPr txBox="1">
                                  <a:spLocks noChangeArrowheads="1"/>
                                </wps:cNvSpPr>
                                <wps:spPr bwMode="auto">
                                  <a:xfrm>
                                    <a:off x="4355362" y="2415379"/>
                                    <a:ext cx="1523185" cy="546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D5D4"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The Norm Activation Theory (NAT)</w:t>
                                      </w:r>
                                    </w:p>
                                  </w:txbxContent>
                                </wps:txbx>
                                <wps:bodyPr rot="0" vert="horz" wrap="square" lIns="91440" tIns="45720" rIns="91440" bIns="45720" anchor="t" anchorCtr="0" upright="1">
                                  <a:noAutofit/>
                                </wps:bodyPr>
                              </wps:wsp>
                              <wps:wsp>
                                <wps:cNvPr id="27" name="Rectangle: Rounded Corners 57"/>
                                <wps:cNvSpPr>
                                  <a:spLocks noChangeArrowheads="1"/>
                                </wps:cNvSpPr>
                                <wps:spPr bwMode="auto">
                                  <a:xfrm>
                                    <a:off x="3428845" y="2459703"/>
                                    <a:ext cx="950595" cy="400685"/>
                                  </a:xfrm>
                                  <a:prstGeom prst="roundRect">
                                    <a:avLst>
                                      <a:gd name="adj" fmla="val 16667"/>
                                    </a:avLst>
                                  </a:prstGeom>
                                  <a:noFill/>
                                  <a:ln w="285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28" name="Group 58"/>
                                <wpg:cNvGrpSpPr>
                                  <a:grpSpLocks/>
                                </wpg:cNvGrpSpPr>
                                <wpg:grpSpPr bwMode="auto">
                                  <a:xfrm>
                                    <a:off x="-384657" y="-129038"/>
                                    <a:ext cx="6225969" cy="4487087"/>
                                    <a:chOff x="-384657" y="-129038"/>
                                    <a:chExt cx="6225969" cy="4487087"/>
                                  </a:xfrm>
                                </wpg:grpSpPr>
                                <wpg:grpSp>
                                  <wpg:cNvPr id="29" name="Group 59"/>
                                  <wpg:cNvGrpSpPr>
                                    <a:grpSpLocks/>
                                  </wpg:cNvGrpSpPr>
                                  <wpg:grpSpPr bwMode="auto">
                                    <a:xfrm>
                                      <a:off x="-384657" y="-129038"/>
                                      <a:ext cx="6195461" cy="2267517"/>
                                      <a:chOff x="-384657" y="-129038"/>
                                      <a:chExt cx="6195461" cy="2267517"/>
                                    </a:xfrm>
                                  </wpg:grpSpPr>
                                  <wpg:grpSp>
                                    <wpg:cNvPr id="30" name="Group 60"/>
                                    <wpg:cNvGrpSpPr>
                                      <a:grpSpLocks/>
                                    </wpg:cNvGrpSpPr>
                                    <wpg:grpSpPr bwMode="auto">
                                      <a:xfrm>
                                        <a:off x="-384657" y="-129038"/>
                                        <a:ext cx="6195461" cy="1749637"/>
                                        <a:chOff x="-421274" y="809753"/>
                                        <a:chExt cx="6196123" cy="1749678"/>
                                      </a:xfrm>
                                    </wpg:grpSpPr>
                                    <wpg:grpSp>
                                      <wpg:cNvPr id="31" name="Group 61"/>
                                      <wpg:cNvGrpSpPr>
                                        <a:grpSpLocks/>
                                      </wpg:cNvGrpSpPr>
                                      <wpg:grpSpPr bwMode="auto">
                                        <a:xfrm>
                                          <a:off x="-421274" y="809837"/>
                                          <a:ext cx="6196123" cy="1749594"/>
                                          <a:chOff x="-640730" y="53933"/>
                                          <a:chExt cx="6196123" cy="1749594"/>
                                        </a:xfrm>
                                      </wpg:grpSpPr>
                                      <wpg:grpSp>
                                        <wpg:cNvPr id="32" name="Group 62"/>
                                        <wpg:cNvGrpSpPr>
                                          <a:grpSpLocks/>
                                        </wpg:cNvGrpSpPr>
                                        <wpg:grpSpPr bwMode="auto">
                                          <a:xfrm>
                                            <a:off x="-640730" y="53933"/>
                                            <a:ext cx="6196123" cy="1749594"/>
                                            <a:chOff x="-640730" y="53933"/>
                                            <a:chExt cx="6196123" cy="1749594"/>
                                          </a:xfrm>
                                        </wpg:grpSpPr>
                                        <wpg:grpSp>
                                          <wpg:cNvPr id="33" name="Group 63"/>
                                          <wpg:cNvGrpSpPr>
                                            <a:grpSpLocks/>
                                          </wpg:cNvGrpSpPr>
                                          <wpg:grpSpPr bwMode="auto">
                                            <a:xfrm>
                                              <a:off x="-640730" y="53933"/>
                                              <a:ext cx="3250258" cy="1749594"/>
                                              <a:chOff x="-880431" y="55652"/>
                                              <a:chExt cx="4466206" cy="1805293"/>
                                            </a:xfrm>
                                          </wpg:grpSpPr>
                                          <wps:wsp>
                                            <wps:cNvPr id="34" name="Straight Arrow Connector 64"/>
                                            <wps:cNvCnPr>
                                              <a:cxnSpLocks noChangeShapeType="1"/>
                                            </wps:cNvCnPr>
                                            <wps:spPr bwMode="auto">
                                              <a:xfrm flipV="1">
                                                <a:off x="1361535" y="1439908"/>
                                                <a:ext cx="1535215" cy="3737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 name="Straight Arrow Connector 65"/>
                                            <wps:cNvCnPr>
                                              <a:cxnSpLocks noChangeShapeType="1"/>
                                            </wps:cNvCnPr>
                                            <wps:spPr bwMode="auto">
                                              <a:xfrm flipH="1">
                                                <a:off x="2288545" y="55652"/>
                                                <a:ext cx="1297230" cy="843123"/>
                                              </a:xfrm>
                                              <a:prstGeom prst="straightConnector1">
                                                <a:avLst/>
                                              </a:prstGeom>
                                              <a:noFill/>
                                              <a:ln w="19050" algn="ctr">
                                                <a:solidFill>
                                                  <a:srgbClr val="000000"/>
                                                </a:solidFill>
                                                <a:prstDash val="lgDashDot"/>
                                                <a:miter lim="800000"/>
                                                <a:headEnd/>
                                                <a:tailEnd type="arrow" w="med" len="med"/>
                                              </a:ln>
                                              <a:extLst>
                                                <a:ext uri="{909E8E84-426E-40DD-AFC4-6F175D3DCCD1}">
                                                  <a14:hiddenFill xmlns:a14="http://schemas.microsoft.com/office/drawing/2010/main">
                                                    <a:noFill/>
                                                  </a14:hiddenFill>
                                                </a:ext>
                                              </a:extLst>
                                            </wps:spPr>
                                            <wps:bodyPr/>
                                          </wps:wsp>
                                          <wps:wsp>
                                            <wps:cNvPr id="36" name="Text Box 66"/>
                                            <wps:cNvSpPr txBox="1">
                                              <a:spLocks noChangeArrowheads="1"/>
                                            </wps:cNvSpPr>
                                            <wps:spPr bwMode="auto">
                                              <a:xfrm>
                                                <a:off x="-880431" y="1093623"/>
                                                <a:ext cx="2309006" cy="767322"/>
                                              </a:xfrm>
                                              <a:prstGeom prst="rect">
                                                <a:avLst/>
                                              </a:prstGeom>
                                              <a:solidFill>
                                                <a:srgbClr val="FFFFFF"/>
                                              </a:solidFill>
                                              <a:ln w="38100">
                                                <a:solidFill>
                                                  <a:srgbClr val="000000"/>
                                                </a:solidFill>
                                                <a:miter lim="800000"/>
                                                <a:headEnd/>
                                                <a:tailEnd/>
                                              </a:ln>
                                            </wps:spPr>
                                            <wps:txbx>
                                              <w:txbxContent>
                                                <w:p w14:paraId="5A2918BB"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Awareness</w:t>
                                                  </w:r>
                                                </w:p>
                                                <w:p w14:paraId="75A69B4B"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of Consequences (AC)</w:t>
                                                  </w:r>
                                                </w:p>
                                              </w:txbxContent>
                                            </wps:txbx>
                                            <wps:bodyPr rot="0" vert="horz" wrap="square" lIns="91440" tIns="45720" rIns="91440" bIns="45720" anchor="t" anchorCtr="0" upright="1">
                                              <a:noAutofit/>
                                            </wps:bodyPr>
                                          </wps:wsp>
                                        </wpg:grpSp>
                                        <wps:wsp>
                                          <wps:cNvPr id="37" name="Text Box 67"/>
                                          <wps:cNvSpPr txBox="1">
                                            <a:spLocks noChangeArrowheads="1"/>
                                          </wps:cNvSpPr>
                                          <wps:spPr bwMode="auto">
                                            <a:xfrm>
                                              <a:off x="2194161" y="999772"/>
                                              <a:ext cx="1264807" cy="694631"/>
                                            </a:xfrm>
                                            <a:prstGeom prst="rect">
                                              <a:avLst/>
                                            </a:prstGeom>
                                            <a:solidFill>
                                              <a:srgbClr val="FFFFFF"/>
                                            </a:solidFill>
                                            <a:ln w="38100">
                                              <a:solidFill>
                                                <a:srgbClr val="000000"/>
                                              </a:solidFill>
                                              <a:miter lim="800000"/>
                                              <a:headEnd/>
                                              <a:tailEnd/>
                                            </a:ln>
                                          </wps:spPr>
                                          <wps:txbx>
                                            <w:txbxContent>
                                              <w:p w14:paraId="13A07287" w14:textId="77777777" w:rsidR="00FF729C" w:rsidRPr="006107EF" w:rsidRDefault="00FF729C" w:rsidP="00FF729C">
                                                <w:pPr>
                                                  <w:spacing w:after="0" w:line="240" w:lineRule="auto"/>
                                                  <w:jc w:val="center"/>
                                                  <w:rPr>
                                                    <w:sz w:val="24"/>
                                                    <w:szCs w:val="24"/>
                                                  </w:rPr>
                                                </w:pPr>
                                                <w:r w:rsidRPr="009064AE">
                                                  <w:rPr>
                                                    <w:rFonts w:ascii="Times New Roman" w:hAnsi="Times New Roman" w:cs="Times New Roman"/>
                                                    <w:sz w:val="24"/>
                                                    <w:szCs w:val="24"/>
                                                  </w:rPr>
                                                  <w:t>Personal Norm</w:t>
                                                </w:r>
                                                <w:r>
                                                  <w:rPr>
                                                    <w:rFonts w:ascii="Times New Roman" w:hAnsi="Times New Roman" w:cs="Times New Roman"/>
                                                    <w:sz w:val="24"/>
                                                    <w:szCs w:val="24"/>
                                                  </w:rPr>
                                                  <w:t xml:space="preserve"> (PN)</w:t>
                                                </w:r>
                                              </w:p>
                                            </w:txbxContent>
                                          </wps:txbx>
                                          <wps:bodyPr rot="0" vert="horz" wrap="square" lIns="91440" tIns="45720" rIns="91440" bIns="45720" anchor="t" anchorCtr="0" upright="1">
                                            <a:noAutofit/>
                                          </wps:bodyPr>
                                        </wps:wsp>
                                        <wps:wsp>
                                          <wps:cNvPr id="38" name="Text Box 68"/>
                                          <wps:cNvSpPr txBox="1">
                                            <a:spLocks noChangeArrowheads="1"/>
                                          </wps:cNvSpPr>
                                          <wps:spPr bwMode="auto">
                                            <a:xfrm>
                                              <a:off x="4230021" y="938719"/>
                                              <a:ext cx="1325372" cy="834790"/>
                                            </a:xfrm>
                                            <a:prstGeom prst="rect">
                                              <a:avLst/>
                                            </a:prstGeom>
                                            <a:solidFill>
                                              <a:srgbClr val="FFFFFF"/>
                                            </a:solidFill>
                                            <a:ln w="38100">
                                              <a:solidFill>
                                                <a:srgbClr val="000000"/>
                                              </a:solidFill>
                                              <a:miter lim="800000"/>
                                              <a:headEnd/>
                                              <a:tailEnd/>
                                            </a:ln>
                                          </wps:spPr>
                                          <wps:txbx>
                                            <w:txbxContent>
                                              <w:p w14:paraId="0D565646"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 xml:space="preserve">Intentions Towards EWR behavior </w:t>
                                                </w:r>
                                                <w:r>
                                                  <w:rPr>
                                                    <w:rFonts w:ascii="Times New Roman" w:hAnsi="Times New Roman" w:cs="Times New Roman"/>
                                                    <w:sz w:val="24"/>
                                                    <w:szCs w:val="24"/>
                                                  </w:rPr>
                                                  <w:t>(AD)</w:t>
                                                </w:r>
                                              </w:p>
                                            </w:txbxContent>
                                          </wps:txbx>
                                          <wps:bodyPr rot="0" vert="horz" wrap="square" lIns="91440" tIns="45720" rIns="91440" bIns="45720" anchor="t" anchorCtr="0" upright="1">
                                            <a:noAutofit/>
                                          </wps:bodyPr>
                                        </wps:wsp>
                                      </wpg:grpSp>
                                      <wps:wsp>
                                        <wps:cNvPr id="39" name="Straight Arrow Connector 69"/>
                                        <wps:cNvCnPr>
                                          <a:cxnSpLocks noChangeShapeType="1"/>
                                        </wps:cNvCnPr>
                                        <wps:spPr bwMode="auto">
                                          <a:xfrm>
                                            <a:off x="3458968" y="1347087"/>
                                            <a:ext cx="771053" cy="9027"/>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s:wsp>
                                      <wps:cNvPr id="40" name="Text Box 70"/>
                                      <wps:cNvSpPr txBox="1">
                                        <a:spLocks noChangeArrowheads="1"/>
                                      </wps:cNvSpPr>
                                      <wps:spPr bwMode="auto">
                                        <a:xfrm>
                                          <a:off x="-421274" y="809753"/>
                                          <a:ext cx="1680162" cy="816993"/>
                                        </a:xfrm>
                                        <a:prstGeom prst="rect">
                                          <a:avLst/>
                                        </a:prstGeom>
                                        <a:solidFill>
                                          <a:srgbClr val="FFFFFF"/>
                                        </a:solidFill>
                                        <a:ln w="38100">
                                          <a:solidFill>
                                            <a:srgbClr val="000000"/>
                                          </a:solidFill>
                                          <a:miter lim="800000"/>
                                          <a:headEnd/>
                                          <a:tailEnd/>
                                        </a:ln>
                                      </wps:spPr>
                                      <wps:txbx>
                                        <w:txbxContent>
                                          <w:p w14:paraId="44387BDE"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 xml:space="preserve">Ascription </w:t>
                                            </w:r>
                                          </w:p>
                                          <w:p w14:paraId="45F4D594" w14:textId="77777777" w:rsidR="00FF729C" w:rsidRPr="008B724C" w:rsidRDefault="00FF729C" w:rsidP="00FF729C">
                                            <w:pPr>
                                              <w:spacing w:after="0" w:line="240" w:lineRule="auto"/>
                                              <w:jc w:val="center"/>
                                              <w:rPr>
                                                <w:sz w:val="24"/>
                                                <w:szCs w:val="24"/>
                                              </w:rPr>
                                            </w:pPr>
                                            <w:r w:rsidRPr="009064AE">
                                              <w:rPr>
                                                <w:rFonts w:ascii="Times New Roman" w:hAnsi="Times New Roman" w:cs="Times New Roman"/>
                                                <w:sz w:val="24"/>
                                                <w:szCs w:val="24"/>
                                              </w:rPr>
                                              <w:t>of Responsibility (AR)</w:t>
                                            </w:r>
                                          </w:p>
                                        </w:txbxContent>
                                      </wps:txbx>
                                      <wps:bodyPr rot="0" vert="horz" wrap="square" lIns="91440" tIns="45720" rIns="91440" bIns="45720" anchor="t" anchorCtr="0" upright="1">
                                        <a:noAutofit/>
                                      </wps:bodyPr>
                                    </wps:wsp>
                                    <wps:wsp>
                                      <wps:cNvPr id="41" name="Straight Arrow Connector 71"/>
                                      <wps:cNvCnPr>
                                        <a:cxnSpLocks/>
                                      </wps:cNvCnPr>
                                      <wps:spPr bwMode="auto">
                                        <a:xfrm>
                                          <a:off x="1259274" y="1258476"/>
                                          <a:ext cx="1068384" cy="673405"/>
                                        </a:xfrm>
                                        <a:prstGeom prst="straightConnector1">
                                          <a:avLst/>
                                        </a:prstGeom>
                                        <a:noFill/>
                                        <a:ln w="19050">
                                          <a:solidFill>
                                            <a:srgbClr val="181717"/>
                                          </a:solidFill>
                                          <a:miter lim="800000"/>
                                          <a:headEnd/>
                                          <a:tailEnd type="arrow" w="med" len="med"/>
                                        </a:ln>
                                        <a:extLst>
                                          <a:ext uri="{909E8E84-426E-40DD-AFC4-6F175D3DCCD1}">
                                            <a14:hiddenFill xmlns:a14="http://schemas.microsoft.com/office/drawing/2010/main">
                                              <a:noFill/>
                                            </a14:hiddenFill>
                                          </a:ext>
                                        </a:extLst>
                                      </wps:spPr>
                                      <wps:bodyPr/>
                                    </wps:wsp>
                                  </wpg:grpSp>
                                  <wps:wsp>
                                    <wps:cNvPr id="42" name="Text Box 72"/>
                                    <wps:cNvSpPr txBox="1">
                                      <a:spLocks noChangeArrowheads="1"/>
                                    </wps:cNvSpPr>
                                    <wps:spPr bwMode="auto">
                                      <a:xfrm>
                                        <a:off x="1312553" y="463196"/>
                                        <a:ext cx="561651" cy="29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B2781D"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w:t>
                                          </w:r>
                                        </w:p>
                                      </w:txbxContent>
                                    </wps:txbx>
                                    <wps:bodyPr rot="0" vert="horz" wrap="square" lIns="91440" tIns="45720" rIns="91440" bIns="45720" anchor="t" anchorCtr="0" upright="1">
                                      <a:noAutofit/>
                                    </wps:bodyPr>
                                  </wps:wsp>
                                  <wps:wsp>
                                    <wps:cNvPr id="43" name="Text Box 73"/>
                                    <wps:cNvSpPr txBox="1">
                                      <a:spLocks noChangeArrowheads="1"/>
                                    </wps:cNvSpPr>
                                    <wps:spPr bwMode="auto">
                                      <a:xfrm>
                                        <a:off x="1349719" y="1241274"/>
                                        <a:ext cx="571424" cy="349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B6D936"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2</w:t>
                                          </w:r>
                                        </w:p>
                                      </w:txbxContent>
                                    </wps:txbx>
                                    <wps:bodyPr rot="0" vert="horz" wrap="square" lIns="91440" tIns="45720" rIns="91440" bIns="45720" anchor="t" anchorCtr="0" upright="1">
                                      <a:noAutofit/>
                                    </wps:bodyPr>
                                  </wps:wsp>
                                  <wps:wsp>
                                    <wps:cNvPr id="44" name="Text Box 74"/>
                                    <wps:cNvSpPr txBox="1">
                                      <a:spLocks noChangeArrowheads="1"/>
                                    </wps:cNvSpPr>
                                    <wps:spPr bwMode="auto">
                                      <a:xfrm>
                                        <a:off x="1513700" y="1845863"/>
                                        <a:ext cx="582799" cy="29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B7BCF2"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3</w:t>
                                          </w:r>
                                        </w:p>
                                      </w:txbxContent>
                                    </wps:txbx>
                                    <wps:bodyPr rot="0" vert="horz" wrap="square" lIns="91440" tIns="45720" rIns="91440" bIns="45720" anchor="t" anchorCtr="0" upright="1">
                                      <a:noAutofit/>
                                    </wps:bodyPr>
                                  </wps:wsp>
                                  <wps:wsp>
                                    <wps:cNvPr id="45" name="Text Box 75"/>
                                    <wps:cNvSpPr txBox="1">
                                      <a:spLocks noChangeArrowheads="1"/>
                                    </wps:cNvSpPr>
                                    <wps:spPr bwMode="auto">
                                      <a:xfrm>
                                        <a:off x="3650681" y="1247496"/>
                                        <a:ext cx="914271" cy="513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D8389A"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 (5, 6, 7)</w:t>
                                          </w:r>
                                        </w:p>
                                        <w:p w14:paraId="5B00379F" w14:textId="77777777" w:rsidR="00FF729C" w:rsidRPr="00076E7C" w:rsidRDefault="00FF729C" w:rsidP="00FF729C">
                                          <w:pPr>
                                            <w:spacing w:after="0" w:line="240" w:lineRule="auto"/>
                                            <w:rPr>
                                              <w:rFonts w:ascii="Times New Roman" w:hAnsi="Times New Roman" w:cs="Times New Roman"/>
                                              <w:b/>
                                              <w:bCs/>
                                              <w:sz w:val="24"/>
                                              <w:szCs w:val="24"/>
                                            </w:rPr>
                                          </w:pPr>
                                        </w:p>
                                      </w:txbxContent>
                                    </wps:txbx>
                                    <wps:bodyPr rot="0" vert="horz" wrap="square" lIns="91440" tIns="45720" rIns="91440" bIns="45720" anchor="t" anchorCtr="0" upright="1">
                                      <a:noAutofit/>
                                    </wps:bodyPr>
                                  </wps:wsp>
                                  <wps:wsp>
                                    <wps:cNvPr id="46" name="Text Box 76"/>
                                    <wps:cNvSpPr txBox="1">
                                      <a:spLocks noChangeArrowheads="1"/>
                                    </wps:cNvSpPr>
                                    <wps:spPr bwMode="auto">
                                      <a:xfrm>
                                        <a:off x="2090359" y="144698"/>
                                        <a:ext cx="543006" cy="29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62BA23"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8 </w:t>
                                          </w:r>
                                        </w:p>
                                      </w:txbxContent>
                                    </wps:txbx>
                                    <wps:bodyPr rot="0" vert="horz" wrap="square" lIns="91440" tIns="45720" rIns="91440" bIns="45720" anchor="t" anchorCtr="0" upright="1">
                                      <a:noAutofit/>
                                    </wps:bodyPr>
                                  </wps:wsp>
                                </wpg:grpSp>
                                <wps:wsp>
                                  <wps:cNvPr id="47" name="Rectangle 77"/>
                                  <wps:cNvSpPr>
                                    <a:spLocks noChangeArrowheads="1"/>
                                  </wps:cNvSpPr>
                                  <wps:spPr bwMode="auto">
                                    <a:xfrm>
                                      <a:off x="3326214" y="2315795"/>
                                      <a:ext cx="2515098" cy="2042254"/>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48" name="Text Box 2"/>
                                <wps:cNvSpPr txBox="1">
                                  <a:spLocks noChangeArrowheads="1"/>
                                </wps:cNvSpPr>
                                <wps:spPr bwMode="auto">
                                  <a:xfrm>
                                    <a:off x="4362846" y="3612837"/>
                                    <a:ext cx="1478465" cy="714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B8F5C"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Additional stimulus included in the concept of E-waste recycling.</w:t>
                                      </w:r>
                                    </w:p>
                                  </w:txbxContent>
                                </wps:txbx>
                                <wps:bodyPr rot="0" vert="horz" wrap="square" lIns="91440" tIns="45720" rIns="91440" bIns="45720" anchor="t" anchorCtr="0" upright="1">
                                  <a:noAutofit/>
                                </wps:bodyPr>
                              </wps:wsp>
                              <wps:wsp>
                                <wps:cNvPr id="49" name="Rectangle: Rounded Corners 79"/>
                                <wps:cNvSpPr>
                                  <a:spLocks noChangeArrowheads="1"/>
                                </wps:cNvSpPr>
                                <wps:spPr bwMode="auto">
                                  <a:xfrm>
                                    <a:off x="3428262" y="3613005"/>
                                    <a:ext cx="927100" cy="434450"/>
                                  </a:xfrm>
                                  <a:prstGeom prst="roundRect">
                                    <a:avLst>
                                      <a:gd name="adj" fmla="val 16667"/>
                                    </a:avLst>
                                  </a:prstGeom>
                                  <a:noFill/>
                                  <a:ln w="38100" algn="ctr">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50" name="Text Box 80"/>
                              <wps:cNvSpPr txBox="1">
                                <a:spLocks noChangeArrowheads="1"/>
                              </wps:cNvSpPr>
                              <wps:spPr bwMode="auto">
                                <a:xfrm>
                                  <a:off x="3115379" y="-152404"/>
                                  <a:ext cx="1497818" cy="583420"/>
                                </a:xfrm>
                                <a:prstGeom prst="rect">
                                  <a:avLst/>
                                </a:prstGeom>
                                <a:solidFill>
                                  <a:srgbClr val="FFFFFF"/>
                                </a:solidFill>
                                <a:ln w="38100">
                                  <a:solidFill>
                                    <a:srgbClr val="000000"/>
                                  </a:solidFill>
                                  <a:prstDash val="sysDot"/>
                                  <a:miter lim="800000"/>
                                  <a:headEnd/>
                                  <a:tailEnd/>
                                </a:ln>
                              </wps:spPr>
                              <wps:txbx>
                                <w:txbxContent>
                                  <w:p w14:paraId="55076A34" w14:textId="77777777" w:rsidR="00FF729C" w:rsidRPr="009064AE" w:rsidRDefault="00FF729C" w:rsidP="00FF729C">
                                    <w:pPr>
                                      <w:jc w:val="center"/>
                                      <w:rPr>
                                        <w:sz w:val="24"/>
                                        <w:szCs w:val="24"/>
                                      </w:rPr>
                                    </w:pPr>
                                    <w:r w:rsidRPr="009064AE">
                                      <w:rPr>
                                        <w:rFonts w:ascii="Times New Roman" w:hAnsi="Times New Roman" w:cs="Times New Roman"/>
                                        <w:sz w:val="24"/>
                                        <w:szCs w:val="24"/>
                                      </w:rPr>
                                      <w:t>Privacy Concern (PN)</w:t>
                                    </w:r>
                                  </w:p>
                                </w:txbxContent>
                              </wps:txbx>
                              <wps:bodyPr rot="0" vert="horz" wrap="square" lIns="91440" tIns="45720" rIns="91440" bIns="45720" anchor="t" anchorCtr="0" upright="1">
                                <a:noAutofit/>
                              </wps:bodyPr>
                            </wps:wsp>
                            <wps:wsp>
                              <wps:cNvPr id="51" name="Text Box 85"/>
                              <wps:cNvSpPr txBox="1">
                                <a:spLocks noChangeArrowheads="1"/>
                              </wps:cNvSpPr>
                              <wps:spPr bwMode="auto">
                                <a:xfrm>
                                  <a:off x="-133920" y="2133201"/>
                                  <a:ext cx="1682060" cy="578534"/>
                                </a:xfrm>
                                <a:prstGeom prst="rect">
                                  <a:avLst/>
                                </a:prstGeom>
                                <a:solidFill>
                                  <a:srgbClr val="FFFFFF"/>
                                </a:solidFill>
                                <a:ln w="38100">
                                  <a:solidFill>
                                    <a:srgbClr val="000000"/>
                                  </a:solidFill>
                                  <a:prstDash val="lgDash"/>
                                  <a:miter lim="800000"/>
                                  <a:headEnd/>
                                  <a:tailEnd/>
                                </a:ln>
                              </wps:spPr>
                              <wps:txbx>
                                <w:txbxContent>
                                  <w:p w14:paraId="1882260F"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Moral Norm</w:t>
                                    </w:r>
                                  </w:p>
                                  <w:p w14:paraId="53FAC6C5"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(MN)</w:t>
                                    </w:r>
                                  </w:p>
                                </w:txbxContent>
                              </wps:txbx>
                              <wps:bodyPr rot="0" vert="horz" wrap="square" lIns="91440" tIns="45720" rIns="91440" bIns="45720" anchor="t" anchorCtr="0" upright="1">
                                <a:noAutofit/>
                              </wps:bodyPr>
                            </wps:wsp>
                            <wps:wsp>
                              <wps:cNvPr id="52" name="Straight Arrow Connector 92"/>
                              <wps:cNvCnPr>
                                <a:cxnSpLocks noChangeShapeType="1"/>
                              </wps:cNvCnPr>
                              <wps:spPr bwMode="auto">
                                <a:xfrm flipV="1">
                                  <a:off x="1590294" y="1677162"/>
                                  <a:ext cx="999744" cy="67005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3" name="Text Box 2"/>
                              <wps:cNvSpPr txBox="1">
                                <a:spLocks noChangeArrowheads="1"/>
                              </wps:cNvSpPr>
                              <wps:spPr bwMode="auto">
                                <a:xfrm>
                                  <a:off x="4510409" y="3246505"/>
                                  <a:ext cx="1580967" cy="633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84BAE"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 xml:space="preserve">Additional constructs of </w:t>
                                    </w:r>
                                    <w:r>
                                      <w:rPr>
                                        <w:rFonts w:ascii="Times New Roman" w:hAnsi="Times New Roman" w:cs="Times New Roman"/>
                                        <w:sz w:val="20"/>
                                        <w:szCs w:val="20"/>
                                      </w:rPr>
                                      <w:t>(NAT)</w:t>
                                    </w:r>
                                  </w:p>
                                </w:txbxContent>
                              </wps:txbx>
                              <wps:bodyPr rot="0" vert="horz" wrap="square" lIns="91440" tIns="45720" rIns="91440" bIns="45720" anchor="t" anchorCtr="0" upright="1">
                                <a:noAutofit/>
                              </wps:bodyPr>
                            </wps:wsp>
                            <wps:wsp>
                              <wps:cNvPr id="54" name="Rectangle: Rounded Corners 96"/>
                              <wps:cNvSpPr>
                                <a:spLocks noChangeArrowheads="1"/>
                              </wps:cNvSpPr>
                              <wps:spPr bwMode="auto">
                                <a:xfrm>
                                  <a:off x="3678585" y="3283458"/>
                                  <a:ext cx="934623" cy="375850"/>
                                </a:xfrm>
                                <a:prstGeom prst="roundRect">
                                  <a:avLst>
                                    <a:gd name="adj" fmla="val 16667"/>
                                  </a:avLst>
                                </a:prstGeom>
                                <a:noFill/>
                                <a:ln w="28575" algn="ctr">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55" name="Straight Arrow Connector 97"/>
                            <wps:cNvCnPr>
                              <a:cxnSpLocks noChangeShapeType="1"/>
                            </wps:cNvCnPr>
                            <wps:spPr bwMode="auto">
                              <a:xfrm flipH="1">
                                <a:off x="1952625" y="371475"/>
                                <a:ext cx="1095375" cy="1275996"/>
                              </a:xfrm>
                              <a:prstGeom prst="straightConnector1">
                                <a:avLst/>
                              </a:prstGeom>
                              <a:noFill/>
                              <a:ln w="19050" algn="ctr">
                                <a:solidFill>
                                  <a:srgbClr val="000000"/>
                                </a:solidFill>
                                <a:prstDash val="lgDashDot"/>
                                <a:miter lim="800000"/>
                                <a:headEnd/>
                                <a:tailEnd type="arrow" w="med" len="med"/>
                              </a:ln>
                              <a:extLst>
                                <a:ext uri="{909E8E84-426E-40DD-AFC4-6F175D3DCCD1}">
                                  <a14:hiddenFill xmlns:a14="http://schemas.microsoft.com/office/drawing/2010/main">
                                    <a:noFill/>
                                  </a14:hiddenFill>
                                </a:ext>
                              </a:extLst>
                            </wps:spPr>
                            <wps:bodyPr/>
                          </wps:wsp>
                          <wps:wsp>
                            <wps:cNvPr id="57" name="Straight Arrow Connector 98"/>
                            <wps:cNvCnPr>
                              <a:cxnSpLocks noChangeShapeType="1"/>
                            </wps:cNvCnPr>
                            <wps:spPr bwMode="auto">
                              <a:xfrm flipH="1">
                                <a:off x="2085975" y="333375"/>
                                <a:ext cx="1000125" cy="1847850"/>
                              </a:xfrm>
                              <a:prstGeom prst="straightConnector1">
                                <a:avLst/>
                              </a:prstGeom>
                              <a:noFill/>
                              <a:ln w="19050" algn="ctr">
                                <a:solidFill>
                                  <a:srgbClr val="000000"/>
                                </a:solidFill>
                                <a:prstDash val="lgDashDot"/>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0163980D" id="Group 19" o:spid="_x0000_s1131" style="position:absolute;margin-left:0;margin-top:10.45pt;width:376.2pt;height:358.7pt;z-index:-251646976;mso-position-horizontal:left;mso-position-horizontal-relative:margin;mso-position-vertical-relative:text" coordorigin="-1339" coordsize="62622,4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">
                <v:shape id="Text Box 49" o:spid="_x0000_s1132" type="#_x0000_t202" style="position:absolute;left:19526;top:11667;width:5429;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0F68741"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9 </w:t>
                        </w:r>
                      </w:p>
                    </w:txbxContent>
                  </v:textbox>
                </v:shape>
                <v:group id="Group 50" o:spid="_x0000_s1133" style="position:absolute;left:-1339;width:62622;height:47774" coordorigin="-1339" coordsize="62622,4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Text Box 51" o:spid="_x0000_s1134" type="#_x0000_t202" style="position:absolute;left:26619;top:8727;width:6603;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2CAF9DCF"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10 </w:t>
                          </w:r>
                        </w:p>
                      </w:txbxContent>
                    </v:textbox>
                  </v:shape>
                  <v:group id="Group 52" o:spid="_x0000_s1135" style="position:absolute;left:-1339;width:62622;height:47774" coordorigin="-1339" coordsize="62622,4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54" o:spid="_x0000_s1136" style="position:absolute;left:-1339;width:62622;height:47774" coordorigin="-1339,-1524" coordsize="62625,4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55" o:spid="_x0000_s1137" style="position:absolute;left:-1339;top:1392;width:62625;height:44862" coordorigin="-3846,-1290" coordsize="62632,4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2" o:spid="_x0000_s1138" type="#_x0000_t202" style="position:absolute;left:43553;top:24153;width:15232;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845D5D4"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The Norm Activation Theory (NAT)</w:t>
                                </w:r>
                              </w:p>
                            </w:txbxContent>
                          </v:textbox>
                        </v:shape>
                        <v:roundrect id="Rectangle: Rounded Corners 57" o:spid="_x0000_s1139" style="position:absolute;left:34288;top:24597;width:9506;height:4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" filled="f" strokeweight="2.25pt">
                          <v:stroke joinstyle="miter"/>
                        </v:roundrect>
                        <v:group id="Group 58" o:spid="_x0000_s1140" style="position:absolute;left:-3846;top:-1290;width:62259;height:44870" coordorigin="-3846,-1290" coordsize="62259,4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_x0000_s1141" style="position:absolute;left:-3846;top:-1290;width:61954;height:22674" coordorigin="-3846,-1290" coordsize="61954,2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60" o:spid="_x0000_s1142" style="position:absolute;left:-3846;top:-1290;width:61954;height:17495" coordorigin="-4212,8097" coordsize="61961,1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61" o:spid="_x0000_s1143" style="position:absolute;left:-4212;top:8098;width:61960;height:17496" coordorigin="-6407,539" coordsize="61961,1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62" o:spid="_x0000_s1144" style="position:absolute;left:-6407;top:539;width:61960;height:17496" coordorigin="-6407,539" coordsize="61961,1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63" o:spid="_x0000_s1145" style="position:absolute;left:-6407;top:539;width:32502;height:17496" coordorigin="-8804,556" coordsize="44662,1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Straight Arrow Connector 64" o:spid="_x0000_s1146" type="#_x0000_t32" style="position:absolute;left:13615;top:14399;width:15352;height: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" strokeweight="1.5pt">
                                      <v:stroke endarrow="open" joinstyle="miter"/>
                                    </v:shape>
                                    <v:shape id="Straight Arrow Connector 65" o:spid="_x0000_s1147" type="#_x0000_t32" style="position:absolute;left:22885;top:556;width:12972;height:84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" strokeweight="1.5pt">
                                      <v:stroke dashstyle="longDashDot" endarrow="open" joinstyle="miter"/>
                                    </v:shape>
                                    <v:shape id="Text Box 66" o:spid="_x0000_s1148" type="#_x0000_t202" style="position:absolute;left:-8804;top:10936;width:23089;height:7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" strokeweight="3pt">
                                      <v:textbox>
                                        <w:txbxContent>
                                          <w:p w14:paraId="5A2918BB"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Awareness</w:t>
                                            </w:r>
                                          </w:p>
                                          <w:p w14:paraId="75A69B4B"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of Consequences (AC)</w:t>
                                            </w:r>
                                          </w:p>
                                        </w:txbxContent>
                                      </v:textbox>
                                    </v:shape>
                                  </v:group>
                                  <v:shape id="Text Box 67" o:spid="_x0000_s1149" type="#_x0000_t202" style="position:absolute;left:21941;top:9997;width:12648;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CowwAAANsAAAAPAAAAZHJzL2Rvd25yZXYueG1sRI9Li8JA&#10;EITvC/6HoYW9LDpRwU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9EGwqMMAAADbAAAADwAA&#10;AAAAAAAAAAAAAAAHAgAAZHJzL2Rvd25yZXYueG1sUEsFBgAAAAADAAMAtwAAAPcCAAAAAA==&#10;" strokeweight="3pt">
                                    <v:textbox>
                                      <w:txbxContent>
                                        <w:p w14:paraId="13A07287" w14:textId="77777777" w:rsidR="00FF729C" w:rsidRPr="006107EF" w:rsidRDefault="00FF729C" w:rsidP="00FF729C">
                                          <w:pPr>
                                            <w:spacing w:after="0" w:line="240" w:lineRule="auto"/>
                                            <w:jc w:val="center"/>
                                            <w:rPr>
                                              <w:sz w:val="24"/>
                                              <w:szCs w:val="24"/>
                                            </w:rPr>
                                          </w:pPr>
                                          <w:r w:rsidRPr="009064AE">
                                            <w:rPr>
                                              <w:rFonts w:ascii="Times New Roman" w:hAnsi="Times New Roman" w:cs="Times New Roman"/>
                                              <w:sz w:val="24"/>
                                              <w:szCs w:val="24"/>
                                            </w:rPr>
                                            <w:t>Personal Norm</w:t>
                                          </w:r>
                                          <w:r>
                                            <w:rPr>
                                              <w:rFonts w:ascii="Times New Roman" w:hAnsi="Times New Roman" w:cs="Times New Roman"/>
                                              <w:sz w:val="24"/>
                                              <w:szCs w:val="24"/>
                                            </w:rPr>
                                            <w:t xml:space="preserve"> (PN)</w:t>
                                          </w:r>
                                        </w:p>
                                      </w:txbxContent>
                                    </v:textbox>
                                  </v:shape>
                                  <v:shape id="Text Box 68" o:spid="_x0000_s1150" type="#_x0000_t202" style="position:absolute;left:42300;top:9387;width:13253;height:8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TawQAAANsAAAAPAAAAZHJzL2Rvd25yZXYueG1sRE9NT8JA&#10;EL2T+B82Y8KF0K2S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IXeJNrBAAAA2wAAAA8AAAAA&#10;AAAAAAAAAAAABwIAAGRycy9kb3ducmV2LnhtbFBLBQYAAAAAAwADALcAAAD1AgAAAAA=&#10;" strokeweight="3pt">
                                    <v:textbox>
                                      <w:txbxContent>
                                        <w:p w14:paraId="0D565646"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 xml:space="preserve">Intentions Towards EWR behavior </w:t>
                                          </w:r>
                                          <w:r>
                                            <w:rPr>
                                              <w:rFonts w:ascii="Times New Roman" w:hAnsi="Times New Roman" w:cs="Times New Roman"/>
                                              <w:sz w:val="24"/>
                                              <w:szCs w:val="24"/>
                                            </w:rPr>
                                            <w:t>(AD)</w:t>
                                          </w:r>
                                        </w:p>
                                      </w:txbxContent>
                                    </v:textbox>
                                  </v:shape>
                                </v:group>
                                <v:shape id="Straight Arrow Connector 69" o:spid="_x0000_s1151" type="#_x0000_t32" style="position:absolute;left:34589;top:13470;width:7711;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" strokeweight="1.5pt">
                                  <v:stroke endarrow="open" joinstyle="miter"/>
                                </v:shape>
                              </v:group>
                              <v:shape id="Text Box 70" o:spid="_x0000_s1152" type="#_x0000_t202" style="position:absolute;left:-4212;top:8097;width:16800;height:8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" strokeweight="3pt">
                                <v:textbox>
                                  <w:txbxContent>
                                    <w:p w14:paraId="44387BDE"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 xml:space="preserve">Ascription </w:t>
                                      </w:r>
                                    </w:p>
                                    <w:p w14:paraId="45F4D594" w14:textId="77777777" w:rsidR="00FF729C" w:rsidRPr="008B724C" w:rsidRDefault="00FF729C" w:rsidP="00FF729C">
                                      <w:pPr>
                                        <w:spacing w:after="0" w:line="240" w:lineRule="auto"/>
                                        <w:jc w:val="center"/>
                                        <w:rPr>
                                          <w:sz w:val="24"/>
                                          <w:szCs w:val="24"/>
                                        </w:rPr>
                                      </w:pPr>
                                      <w:r w:rsidRPr="009064AE">
                                        <w:rPr>
                                          <w:rFonts w:ascii="Times New Roman" w:hAnsi="Times New Roman" w:cs="Times New Roman"/>
                                          <w:sz w:val="24"/>
                                          <w:szCs w:val="24"/>
                                        </w:rPr>
                                        <w:t>of Responsibility (AR)</w:t>
                                      </w:r>
                                    </w:p>
                                  </w:txbxContent>
                                </v:textbox>
                              </v:shape>
                              <v:shape id="Straight Arrow Connector 71" o:spid="_x0000_s1153" type="#_x0000_t32" style="position:absolute;left:12592;top:12584;width:10684;height:6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" strokecolor="#181717" strokeweight="1.5pt">
                                <v:stroke endarrow="open" joinstyle="miter"/>
                                <o:lock v:ext="edit" shapetype="f"/>
                              </v:shape>
                            </v:group>
                            <v:shape id="Text Box 72" o:spid="_x0000_s1154" type="#_x0000_t202" style="position:absolute;left:13125;top:4631;width:561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5CB2781D"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w:t>
                                    </w:r>
                                  </w:p>
                                </w:txbxContent>
                              </v:textbox>
                            </v:shape>
                            <v:shape id="Text Box 73" o:spid="_x0000_s1155" type="#_x0000_t202" style="position:absolute;left:13497;top:12412;width:5714;height:3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5B6D936"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2</w:t>
                                    </w:r>
                                  </w:p>
                                </w:txbxContent>
                              </v:textbox>
                            </v:shape>
                            <v:shape id="Text Box 74" o:spid="_x0000_s1156" type="#_x0000_t202" style="position:absolute;left:15137;top:18458;width:5827;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2B7BCF2"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3</w:t>
                                    </w:r>
                                  </w:p>
                                </w:txbxContent>
                              </v:textbox>
                            </v:shape>
                            <v:shape id="Text Box 75" o:spid="_x0000_s1157" type="#_x0000_t202" style="position:absolute;left:36506;top:12474;width:9143;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DD8389A"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 (5, 6, 7)</w:t>
                                    </w:r>
                                  </w:p>
                                  <w:p w14:paraId="5B00379F" w14:textId="77777777" w:rsidR="00FF729C" w:rsidRPr="00076E7C" w:rsidRDefault="00FF729C" w:rsidP="00FF729C">
                                    <w:pPr>
                                      <w:spacing w:after="0" w:line="240" w:lineRule="auto"/>
                                      <w:rPr>
                                        <w:rFonts w:ascii="Times New Roman" w:hAnsi="Times New Roman" w:cs="Times New Roman"/>
                                        <w:b/>
                                        <w:bCs/>
                                        <w:sz w:val="24"/>
                                        <w:szCs w:val="24"/>
                                      </w:rPr>
                                    </w:pPr>
                                  </w:p>
                                </w:txbxContent>
                              </v:textbox>
                            </v:shape>
                            <v:shape id="Text Box 76" o:spid="_x0000_s1158" type="#_x0000_t202" style="position:absolute;left:20903;top:1446;width:5430;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3262BA23" w14:textId="77777777" w:rsidR="00FF729C" w:rsidRPr="00076E7C" w:rsidRDefault="00FF729C" w:rsidP="00FF729C">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 xml:space="preserve">8 </w:t>
                                    </w:r>
                                  </w:p>
                                </w:txbxContent>
                              </v:textbox>
                            </v:shape>
                          </v:group>
                          <v:rect id="Rectangle 77" o:spid="_x0000_s1159" style="position:absolute;left:33262;top:23157;width:25151;height:20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" filled="f" strokeweight="1pt"/>
                        </v:group>
                        <v:shape id="Text Box 2" o:spid="_x0000_s1160" type="#_x0000_t202" style="position:absolute;left:43628;top:36128;width:14785;height:7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08B8F5C"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Additional stimulus included in the concept of E-waste recycling.</w:t>
                                </w:r>
                              </w:p>
                            </w:txbxContent>
                          </v:textbox>
                        </v:shape>
                        <v:roundrect id="Rectangle: Rounded Corners 79" o:spid="_x0000_s1161" style="position:absolute;left:34282;top:36130;width:9271;height:43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" filled="f" strokeweight="3pt">
                          <v:stroke dashstyle="1 1" joinstyle="miter"/>
                        </v:roundrect>
                      </v:group>
                      <v:shape id="Text Box 80" o:spid="_x0000_s1162" type="#_x0000_t202" style="position:absolute;left:31153;top:-1524;width:14978;height:5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" strokeweight="3pt">
                        <v:stroke dashstyle="1 1"/>
                        <v:textbox>
                          <w:txbxContent>
                            <w:p w14:paraId="55076A34" w14:textId="77777777" w:rsidR="00FF729C" w:rsidRPr="009064AE" w:rsidRDefault="00FF729C" w:rsidP="00FF729C">
                              <w:pPr>
                                <w:jc w:val="center"/>
                                <w:rPr>
                                  <w:sz w:val="24"/>
                                  <w:szCs w:val="24"/>
                                </w:rPr>
                              </w:pPr>
                              <w:r w:rsidRPr="009064AE">
                                <w:rPr>
                                  <w:rFonts w:ascii="Times New Roman" w:hAnsi="Times New Roman" w:cs="Times New Roman"/>
                                  <w:sz w:val="24"/>
                                  <w:szCs w:val="24"/>
                                </w:rPr>
                                <w:t>Privacy Concern (PN)</w:t>
                              </w:r>
                            </w:p>
                          </w:txbxContent>
                        </v:textbox>
                      </v:shape>
                      <v:shape id="Text Box 85" o:spid="_x0000_s1163" type="#_x0000_t202" style="position:absolute;left:-1339;top:21332;width:16820;height:5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" strokeweight="3pt">
                        <v:stroke dashstyle="longDash"/>
                        <v:textbox>
                          <w:txbxContent>
                            <w:p w14:paraId="1882260F" w14:textId="77777777" w:rsidR="00FF729C" w:rsidRDefault="00FF729C" w:rsidP="00FF729C">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Moral Norm</w:t>
                              </w:r>
                            </w:p>
                            <w:p w14:paraId="53FAC6C5" w14:textId="77777777" w:rsidR="00FF729C" w:rsidRPr="009064AE" w:rsidRDefault="00FF729C" w:rsidP="00FF729C">
                              <w:pPr>
                                <w:spacing w:after="0" w:line="240" w:lineRule="auto"/>
                                <w:jc w:val="center"/>
                                <w:rPr>
                                  <w:sz w:val="24"/>
                                  <w:szCs w:val="24"/>
                                </w:rPr>
                              </w:pPr>
                              <w:r w:rsidRPr="009064AE">
                                <w:rPr>
                                  <w:rFonts w:ascii="Times New Roman" w:hAnsi="Times New Roman" w:cs="Times New Roman"/>
                                  <w:sz w:val="24"/>
                                  <w:szCs w:val="24"/>
                                </w:rPr>
                                <w:t>(MN)</w:t>
                              </w:r>
                            </w:p>
                          </w:txbxContent>
                        </v:textbox>
                      </v:shape>
                      <v:shape id="Straight Arrow Connector 92" o:spid="_x0000_s1164" type="#_x0000_t32" style="position:absolute;left:15902;top:16771;width:9998;height:67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" strokeweight="1.5pt">
                        <v:stroke endarrow="open" joinstyle="miter"/>
                      </v:shape>
                      <v:shape id="Text Box 2" o:spid="_x0000_s1165" type="#_x0000_t202" style="position:absolute;left:45104;top:32465;width:15809;height:6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6A84BAE" w14:textId="77777777" w:rsidR="00FF729C" w:rsidRPr="00023E0F" w:rsidRDefault="00FF729C" w:rsidP="00FF729C">
                              <w:pPr>
                                <w:jc w:val="center"/>
                                <w:rPr>
                                  <w:rFonts w:ascii="Times New Roman" w:hAnsi="Times New Roman" w:cs="Times New Roman"/>
                                  <w:sz w:val="20"/>
                                  <w:szCs w:val="20"/>
                                </w:rPr>
                              </w:pPr>
                              <w:r w:rsidRPr="00023E0F">
                                <w:rPr>
                                  <w:rFonts w:ascii="Times New Roman" w:hAnsi="Times New Roman" w:cs="Times New Roman"/>
                                  <w:sz w:val="20"/>
                                  <w:szCs w:val="20"/>
                                </w:rPr>
                                <w:t xml:space="preserve">Additional constructs of </w:t>
                              </w:r>
                              <w:r>
                                <w:rPr>
                                  <w:rFonts w:ascii="Times New Roman" w:hAnsi="Times New Roman" w:cs="Times New Roman"/>
                                  <w:sz w:val="20"/>
                                  <w:szCs w:val="20"/>
                                </w:rPr>
                                <w:t>(NAT)</w:t>
                              </w:r>
                            </w:p>
                          </w:txbxContent>
                        </v:textbox>
                      </v:shape>
                      <v:roundrect id="Rectangle: Rounded Corners 96" o:spid="_x0000_s1166" style="position:absolute;left:36785;top:32834;width:9347;height:3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" filled="f" strokeweight="2.25pt">
                        <v:stroke dashstyle="3 1" joinstyle="miter"/>
                      </v:roundrect>
                    </v:group>
                    <v:shape id="Straight Arrow Connector 97" o:spid="_x0000_s1167" type="#_x0000_t32" style="position:absolute;left:19526;top:3714;width:10954;height:127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" strokeweight="1.5pt">
                      <v:stroke dashstyle="longDashDot" endarrow="open" joinstyle="miter"/>
                    </v:shape>
                    <v:shape id="Straight Arrow Connector 98" o:spid="_x0000_s1168" type="#_x0000_t32" style="position:absolute;left:20859;top:3333;width:10002;height:184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" strokeweight="1.5pt">
                      <v:stroke dashstyle="longDashDot" endarrow="open" joinstyle="miter"/>
                    </v:shape>
                  </v:group>
                </v:group>
                <w10:wrap anchorx="margin"/>
              </v:group>
            </w:pict>
          </mc:Fallback>
        </mc:AlternateContent>
      </w:r>
    </w:p>
    <w:p w14:paraId="11BF8706" w14:textId="1166363B" w:rsidR="00FF729C" w:rsidRPr="00597FFB" w:rsidRDefault="00FF729C" w:rsidP="00E4590B">
      <w:pPr>
        <w:widowControl w:val="0"/>
        <w:spacing w:after="0" w:line="276" w:lineRule="auto"/>
        <w:rPr>
          <w:rFonts w:ascii="Times New Roman" w:hAnsi="Times New Roman" w:cs="Times New Roman"/>
          <w:i/>
          <w:iCs/>
        </w:rPr>
      </w:pPr>
    </w:p>
    <w:p w14:paraId="231100BD" w14:textId="5871F1BE" w:rsidR="00FF729C" w:rsidRPr="00597FFB" w:rsidRDefault="00FF729C" w:rsidP="00E4590B">
      <w:pPr>
        <w:widowControl w:val="0"/>
        <w:spacing w:after="0" w:line="276" w:lineRule="auto"/>
        <w:rPr>
          <w:rFonts w:ascii="Times New Roman" w:hAnsi="Times New Roman" w:cs="Times New Roman"/>
          <w:i/>
          <w:iCs/>
        </w:rPr>
      </w:pPr>
    </w:p>
    <w:p w14:paraId="1B4383CA" w14:textId="6A1D13E3" w:rsidR="00FF729C" w:rsidRPr="00597FFB" w:rsidRDefault="00FF729C" w:rsidP="00E4590B">
      <w:pPr>
        <w:widowControl w:val="0"/>
        <w:spacing w:after="0" w:line="276" w:lineRule="auto"/>
        <w:rPr>
          <w:rFonts w:ascii="Times New Roman" w:hAnsi="Times New Roman" w:cs="Times New Roman"/>
          <w:i/>
          <w:iCs/>
        </w:rPr>
      </w:pPr>
    </w:p>
    <w:p w14:paraId="38BFA439" w14:textId="38860986" w:rsidR="00E52362" w:rsidRPr="00597FFB" w:rsidRDefault="00E52362" w:rsidP="00072848">
      <w:pPr>
        <w:widowControl w:val="0"/>
        <w:spacing w:after="0" w:line="276" w:lineRule="auto"/>
        <w:rPr>
          <w:rFonts w:ascii="Times New Roman" w:hAnsi="Times New Roman" w:cs="Times New Roman"/>
          <w:i/>
          <w:iCs/>
        </w:rPr>
      </w:pPr>
    </w:p>
    <w:p w14:paraId="09283A91" w14:textId="3464DB6F" w:rsidR="00FF729C" w:rsidRPr="00597FFB" w:rsidRDefault="00FF729C" w:rsidP="00072848">
      <w:pPr>
        <w:widowControl w:val="0"/>
        <w:spacing w:after="0" w:line="276" w:lineRule="auto"/>
        <w:rPr>
          <w:rFonts w:ascii="Times New Roman" w:hAnsi="Times New Roman" w:cs="Times New Roman"/>
          <w:i/>
          <w:iCs/>
        </w:rPr>
      </w:pPr>
    </w:p>
    <w:p w14:paraId="1C42FF07" w14:textId="773A8A12" w:rsidR="00FF729C" w:rsidRPr="00597FFB" w:rsidRDefault="00FF729C" w:rsidP="00072848">
      <w:pPr>
        <w:widowControl w:val="0"/>
        <w:spacing w:after="0" w:line="276" w:lineRule="auto"/>
        <w:rPr>
          <w:rFonts w:ascii="Times New Roman" w:hAnsi="Times New Roman" w:cs="Times New Roman"/>
          <w:i/>
          <w:iCs/>
        </w:rPr>
      </w:pPr>
    </w:p>
    <w:p w14:paraId="1BCFDD5C" w14:textId="191FD534" w:rsidR="00FF729C" w:rsidRPr="00597FFB" w:rsidRDefault="00FF729C" w:rsidP="00072848">
      <w:pPr>
        <w:widowControl w:val="0"/>
        <w:spacing w:after="0" w:line="276" w:lineRule="auto"/>
        <w:rPr>
          <w:rFonts w:ascii="Times New Roman" w:hAnsi="Times New Roman" w:cs="Times New Roman"/>
          <w:i/>
          <w:iCs/>
        </w:rPr>
      </w:pPr>
    </w:p>
    <w:p w14:paraId="7542E98E" w14:textId="38A77FBC" w:rsidR="00FF729C" w:rsidRPr="00597FFB" w:rsidRDefault="00FF729C" w:rsidP="00072848">
      <w:pPr>
        <w:widowControl w:val="0"/>
        <w:spacing w:after="0" w:line="276" w:lineRule="auto"/>
        <w:rPr>
          <w:rFonts w:ascii="Times New Roman" w:hAnsi="Times New Roman" w:cs="Times New Roman"/>
          <w:i/>
          <w:iCs/>
        </w:rPr>
      </w:pPr>
    </w:p>
    <w:p w14:paraId="0CDC2ADD" w14:textId="6142C85D" w:rsidR="00FF729C" w:rsidRPr="00597FFB" w:rsidRDefault="00FF729C" w:rsidP="00072848">
      <w:pPr>
        <w:widowControl w:val="0"/>
        <w:spacing w:after="0" w:line="276" w:lineRule="auto"/>
        <w:rPr>
          <w:rFonts w:ascii="Times New Roman" w:hAnsi="Times New Roman" w:cs="Times New Roman"/>
          <w:i/>
          <w:iCs/>
        </w:rPr>
      </w:pPr>
    </w:p>
    <w:p w14:paraId="5A0D8076" w14:textId="79EA7505" w:rsidR="00FF729C" w:rsidRPr="00597FFB" w:rsidRDefault="00FF729C" w:rsidP="00072848">
      <w:pPr>
        <w:widowControl w:val="0"/>
        <w:spacing w:after="0" w:line="276" w:lineRule="auto"/>
        <w:rPr>
          <w:rFonts w:ascii="Times New Roman" w:hAnsi="Times New Roman" w:cs="Times New Roman"/>
          <w:i/>
          <w:iCs/>
        </w:rPr>
      </w:pPr>
    </w:p>
    <w:p w14:paraId="3298363B" w14:textId="544F9199" w:rsidR="00FF729C" w:rsidRPr="00597FFB" w:rsidRDefault="00FF729C" w:rsidP="00072848">
      <w:pPr>
        <w:widowControl w:val="0"/>
        <w:spacing w:after="0" w:line="276" w:lineRule="auto"/>
        <w:rPr>
          <w:rFonts w:ascii="Times New Roman" w:hAnsi="Times New Roman" w:cs="Times New Roman"/>
          <w:i/>
          <w:iCs/>
        </w:rPr>
      </w:pPr>
    </w:p>
    <w:p w14:paraId="0B917C38" w14:textId="5309A662" w:rsidR="00FF729C" w:rsidRPr="00597FFB" w:rsidRDefault="00FF729C" w:rsidP="00072848">
      <w:pPr>
        <w:widowControl w:val="0"/>
        <w:spacing w:after="0" w:line="276" w:lineRule="auto"/>
        <w:rPr>
          <w:rFonts w:ascii="Times New Roman" w:hAnsi="Times New Roman" w:cs="Times New Roman"/>
          <w:i/>
          <w:iCs/>
        </w:rPr>
      </w:pPr>
    </w:p>
    <w:p w14:paraId="3440D126" w14:textId="7248F7D4" w:rsidR="00FF729C" w:rsidRPr="00597FFB" w:rsidRDefault="00FF729C" w:rsidP="00072848">
      <w:pPr>
        <w:widowControl w:val="0"/>
        <w:spacing w:after="0" w:line="276" w:lineRule="auto"/>
        <w:rPr>
          <w:rFonts w:ascii="Times New Roman" w:hAnsi="Times New Roman" w:cs="Times New Roman"/>
          <w:i/>
          <w:iCs/>
        </w:rPr>
      </w:pPr>
    </w:p>
    <w:p w14:paraId="74586863" w14:textId="585C3AC1" w:rsidR="00FF729C" w:rsidRPr="00597FFB" w:rsidRDefault="00FF729C" w:rsidP="00072848">
      <w:pPr>
        <w:widowControl w:val="0"/>
        <w:spacing w:after="0" w:line="276" w:lineRule="auto"/>
        <w:rPr>
          <w:rFonts w:ascii="Times New Roman" w:hAnsi="Times New Roman" w:cs="Times New Roman"/>
          <w:i/>
          <w:iCs/>
        </w:rPr>
      </w:pPr>
    </w:p>
    <w:p w14:paraId="6546D58D" w14:textId="782B89C1" w:rsidR="00FF729C" w:rsidRPr="00597FFB" w:rsidRDefault="00FF729C" w:rsidP="00072848">
      <w:pPr>
        <w:widowControl w:val="0"/>
        <w:spacing w:after="0" w:line="276" w:lineRule="auto"/>
        <w:rPr>
          <w:rFonts w:ascii="Times New Roman" w:hAnsi="Times New Roman" w:cs="Times New Roman"/>
          <w:i/>
          <w:iCs/>
        </w:rPr>
      </w:pPr>
    </w:p>
    <w:p w14:paraId="39509717" w14:textId="09E907C3" w:rsidR="00FF729C" w:rsidRPr="00597FFB" w:rsidRDefault="00FF729C" w:rsidP="00072848">
      <w:pPr>
        <w:widowControl w:val="0"/>
        <w:spacing w:after="0" w:line="276" w:lineRule="auto"/>
        <w:rPr>
          <w:rFonts w:ascii="Times New Roman" w:hAnsi="Times New Roman" w:cs="Times New Roman"/>
          <w:i/>
          <w:iCs/>
        </w:rPr>
      </w:pPr>
    </w:p>
    <w:p w14:paraId="4BDB6BB4" w14:textId="4E0F72DA" w:rsidR="00FF729C" w:rsidRPr="00597FFB" w:rsidRDefault="00FF729C" w:rsidP="00072848">
      <w:pPr>
        <w:widowControl w:val="0"/>
        <w:spacing w:after="0" w:line="276" w:lineRule="auto"/>
        <w:rPr>
          <w:rFonts w:ascii="Times New Roman" w:hAnsi="Times New Roman" w:cs="Times New Roman"/>
          <w:i/>
          <w:iCs/>
        </w:rPr>
      </w:pPr>
    </w:p>
    <w:p w14:paraId="41B5FA0D" w14:textId="520FECE4" w:rsidR="00FF729C" w:rsidRPr="00597FFB" w:rsidRDefault="00FF729C" w:rsidP="00072848">
      <w:pPr>
        <w:widowControl w:val="0"/>
        <w:spacing w:after="0" w:line="276" w:lineRule="auto"/>
        <w:rPr>
          <w:rFonts w:ascii="Times New Roman" w:hAnsi="Times New Roman" w:cs="Times New Roman"/>
          <w:i/>
          <w:iCs/>
        </w:rPr>
      </w:pPr>
    </w:p>
    <w:p w14:paraId="47FFD3B3" w14:textId="228C17CE" w:rsidR="00FF729C" w:rsidRPr="00597FFB" w:rsidRDefault="00FF729C" w:rsidP="00072848">
      <w:pPr>
        <w:widowControl w:val="0"/>
        <w:spacing w:after="0" w:line="276" w:lineRule="auto"/>
        <w:rPr>
          <w:rFonts w:ascii="Times New Roman" w:hAnsi="Times New Roman" w:cs="Times New Roman"/>
          <w:i/>
          <w:iCs/>
        </w:rPr>
      </w:pPr>
    </w:p>
    <w:p w14:paraId="7379F0D5" w14:textId="2D81BA85" w:rsidR="00FF729C" w:rsidRPr="00597FFB" w:rsidRDefault="00FF729C" w:rsidP="00072848">
      <w:pPr>
        <w:widowControl w:val="0"/>
        <w:spacing w:after="0" w:line="276" w:lineRule="auto"/>
        <w:rPr>
          <w:rFonts w:ascii="Times New Roman" w:hAnsi="Times New Roman" w:cs="Times New Roman"/>
          <w:i/>
          <w:iCs/>
        </w:rPr>
      </w:pPr>
    </w:p>
    <w:p w14:paraId="64DD597B" w14:textId="0790173A" w:rsidR="00FF729C" w:rsidRPr="00597FFB" w:rsidRDefault="00FF729C" w:rsidP="00072848">
      <w:pPr>
        <w:widowControl w:val="0"/>
        <w:spacing w:after="0" w:line="276" w:lineRule="auto"/>
        <w:rPr>
          <w:rFonts w:ascii="Times New Roman" w:hAnsi="Times New Roman" w:cs="Times New Roman"/>
          <w:i/>
          <w:iCs/>
        </w:rPr>
      </w:pPr>
    </w:p>
    <w:p w14:paraId="3DD7BA3A" w14:textId="77777777" w:rsidR="00FF729C" w:rsidRPr="00597FFB" w:rsidRDefault="00FF729C" w:rsidP="00072848">
      <w:pPr>
        <w:widowControl w:val="0"/>
        <w:spacing w:after="0" w:line="276" w:lineRule="auto"/>
        <w:rPr>
          <w:rFonts w:ascii="Times New Roman" w:hAnsi="Times New Roman" w:cs="Times New Roman"/>
          <w:i/>
          <w:iCs/>
        </w:rPr>
      </w:pPr>
    </w:p>
    <w:p w14:paraId="0226C96A" w14:textId="77777777" w:rsidR="00F74AA8" w:rsidRPr="00597FFB" w:rsidRDefault="00F74AA8" w:rsidP="00E52362">
      <w:pPr>
        <w:widowControl w:val="0"/>
        <w:spacing w:line="480" w:lineRule="auto"/>
        <w:ind w:firstLine="720"/>
        <w:jc w:val="both"/>
        <w:rPr>
          <w:rFonts w:ascii="Times New Roman" w:hAnsi="Times New Roman" w:cs="Times New Roman"/>
          <w:sz w:val="24"/>
          <w:szCs w:val="24"/>
        </w:rPr>
      </w:pPr>
    </w:p>
    <w:p w14:paraId="7473C6ED" w14:textId="77777777" w:rsidR="00F37F0C" w:rsidRPr="00597FFB" w:rsidRDefault="00F37F0C" w:rsidP="00E52362">
      <w:pPr>
        <w:widowControl w:val="0"/>
        <w:spacing w:line="480" w:lineRule="auto"/>
        <w:ind w:firstLine="720"/>
        <w:jc w:val="both"/>
        <w:rPr>
          <w:rFonts w:ascii="Times New Roman" w:hAnsi="Times New Roman" w:cs="Times New Roman"/>
          <w:sz w:val="24"/>
          <w:szCs w:val="24"/>
        </w:rPr>
      </w:pPr>
    </w:p>
    <w:p w14:paraId="2B0C012A" w14:textId="60F00EC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Next, based on SEM analysis we can see that the NAT model has an adequate goodness of fit (χ</w:t>
      </w:r>
      <w:r w:rsidRPr="00597FFB">
        <w:rPr>
          <w:rFonts w:ascii="Times New Roman" w:hAnsi="Times New Roman" w:cs="Times New Roman"/>
          <w:sz w:val="24"/>
          <w:szCs w:val="24"/>
          <w:vertAlign w:val="superscript"/>
        </w:rPr>
        <w:t>2</w:t>
      </w:r>
      <w:r w:rsidRPr="00597FFB">
        <w:rPr>
          <w:rFonts w:ascii="Times New Roman" w:hAnsi="Times New Roman" w:cs="Times New Roman"/>
          <w:sz w:val="24"/>
          <w:szCs w:val="24"/>
        </w:rPr>
        <w:t xml:space="preserve"> = 347.421; df = 4; RMSEA = 0.413; CFI = 0.881; TLI = 0.911; RMR = 0.071). It means that this model could be used to explain intentions and adoption of EWR behavior among millennials, specifically in UAE. There is also a notable difference compared to the original model, where moral norm (MN) could directly correlate to PN.</w:t>
      </w:r>
    </w:p>
    <w:p w14:paraId="069575AA" w14:textId="7C27BC11"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skewness and kurtosis values of the measurement model were satisfactory, ranging from -1 and +1. Moreover, the range of the variance inflation factor (VIF) fell between 1.050 and 3.830, which established a non-significant multicollinearity risk (Henseler et al., 2016). Appropriate internal consistency level as the Cronbach’s Alpha (a) values range from 0.75 to 0.94. The construct reliability and validity are acceptable as shown in Table 1</w:t>
      </w:r>
      <w:r w:rsidR="00D62A32" w:rsidRPr="00597FFB">
        <w:rPr>
          <w:rFonts w:ascii="Times New Roman" w:hAnsi="Times New Roman" w:cs="Times New Roman"/>
          <w:sz w:val="24"/>
          <w:szCs w:val="24"/>
        </w:rPr>
        <w:t>8</w:t>
      </w:r>
      <w:r w:rsidRPr="00597FFB">
        <w:rPr>
          <w:rFonts w:ascii="Times New Roman" w:hAnsi="Times New Roman" w:cs="Times New Roman"/>
          <w:sz w:val="24"/>
          <w:szCs w:val="24"/>
        </w:rPr>
        <w:t>, where all of the values were higher than 0.50 and the average variance extracted (AVE) is well above the threshold value of 0.50. Table 1</w:t>
      </w:r>
      <w:r w:rsidR="00D62A32" w:rsidRPr="00597FFB">
        <w:rPr>
          <w:rFonts w:ascii="Times New Roman" w:hAnsi="Times New Roman" w:cs="Times New Roman"/>
          <w:sz w:val="24"/>
          <w:szCs w:val="24"/>
        </w:rPr>
        <w:t xml:space="preserve">8 </w:t>
      </w:r>
      <w:r w:rsidRPr="00597FFB">
        <w:rPr>
          <w:rFonts w:ascii="Times New Roman" w:hAnsi="Times New Roman" w:cs="Times New Roman"/>
          <w:sz w:val="24"/>
          <w:szCs w:val="24"/>
        </w:rPr>
        <w:t>indicates that the minimum square root value of the AVE along the diagonal line (0.889) was higher than the maximum correlation value between latent constructs (0.859). The discriminant validity was examined using the Fornell-Larcker Criterion. The interitem correlation provides a precise measure of construct homogeneity and dimensionality that differs from the reliability statistic. The interitem correlations for the constructs ranged from 0.516 to 0.859, with more than 50% of the interitem correlations fell between 0.30 and 0.70, which met scale development criteria (Tabachnick and Fidell, 2001). The greatest correlation ratio in the measurement model was less than the cut-off point of 0.90 (Hair Jr. et al., 2017), which demonstrated an acceptable discriminant validity level in the measurement model.</w:t>
      </w:r>
    </w:p>
    <w:p w14:paraId="047903A1" w14:textId="77777777" w:rsidR="00F37F0C" w:rsidRPr="00597FFB" w:rsidRDefault="00F37F0C" w:rsidP="00F37F0C">
      <w:pPr>
        <w:pStyle w:val="Heading3"/>
        <w:widowControl w:val="0"/>
        <w:spacing w:line="480" w:lineRule="auto"/>
        <w:ind w:left="720" w:hanging="720"/>
        <w:rPr>
          <w:i/>
          <w:iCs/>
        </w:rPr>
      </w:pPr>
      <w:bookmarkStart w:id="238" w:name="_Toc127170361"/>
      <w:r w:rsidRPr="00597FFB">
        <w:rPr>
          <w:rFonts w:ascii="Times New Roman" w:hAnsi="Times New Roman"/>
          <w:i/>
          <w:iCs/>
          <w:color w:val="auto"/>
          <w:sz w:val="24"/>
          <w:szCs w:val="24"/>
        </w:rPr>
        <w:t>5.3.2. The Extended NAT Structural Model.</w:t>
      </w:r>
      <w:bookmarkEnd w:id="238"/>
    </w:p>
    <w:p w14:paraId="7487DFF3" w14:textId="158AAD9C" w:rsidR="00F37F0C" w:rsidRPr="00597FFB" w:rsidRDefault="00F37F0C" w:rsidP="00F37F0C">
      <w:pPr>
        <w:spacing w:line="480" w:lineRule="auto"/>
        <w:ind w:firstLine="720"/>
        <w:rPr>
          <w:rFonts w:ascii="Times New Roman" w:hAnsi="Times New Roman" w:cs="Times New Roman"/>
          <w:sz w:val="24"/>
          <w:szCs w:val="24"/>
        </w:rPr>
      </w:pPr>
      <w:r w:rsidRPr="00597FFB">
        <w:rPr>
          <w:rFonts w:ascii="Times New Roman" w:hAnsi="Times New Roman" w:cs="Times New Roman"/>
          <w:sz w:val="24"/>
          <w:szCs w:val="24"/>
        </w:rPr>
        <w:t>The results indicated that the structured model demonstrated an adequate fit since the model’s fit indices dULS and dG were less than 0.95, the Normed Fit Index was 0.880, and the SRMR was less than 0.08 (0.071) (Hair Jr. et al., 2017). The evaluation of the path or relationship significance was based on the estimated beta coefficients (b) as they relate changes in the dependent variable to changes in the independent variable. These relationship coefficients reflect the inferential engine behind the SEM approach. The path coefficients, t-statistics and p-values of the hypothesized relationships are portrayed shown in Figure 1</w:t>
      </w:r>
      <w:r w:rsidR="00B6021E" w:rsidRPr="00597FFB">
        <w:rPr>
          <w:rFonts w:ascii="Times New Roman" w:hAnsi="Times New Roman" w:cs="Times New Roman"/>
          <w:sz w:val="24"/>
          <w:szCs w:val="24"/>
        </w:rPr>
        <w:t>5</w:t>
      </w:r>
      <w:r w:rsidR="00A57FFD" w:rsidRPr="00597FFB">
        <w:rPr>
          <w:rFonts w:ascii="Times New Roman" w:hAnsi="Times New Roman" w:cs="Times New Roman"/>
          <w:sz w:val="24"/>
          <w:szCs w:val="24"/>
        </w:rPr>
        <w:t xml:space="preserve"> </w:t>
      </w:r>
      <w:r w:rsidRPr="00597FFB">
        <w:rPr>
          <w:rFonts w:ascii="Times New Roman" w:hAnsi="Times New Roman" w:cs="Times New Roman"/>
          <w:sz w:val="24"/>
          <w:szCs w:val="24"/>
        </w:rPr>
        <w:t xml:space="preserve">below. </w:t>
      </w:r>
    </w:p>
    <w:p w14:paraId="2ECFA039" w14:textId="66378C37" w:rsidR="00E52362" w:rsidRPr="00597FFB" w:rsidRDefault="00E52362" w:rsidP="00E52362">
      <w:pPr>
        <w:widowControl w:val="0"/>
        <w:tabs>
          <w:tab w:val="left" w:pos="3690"/>
        </w:tabs>
        <w:spacing w:after="0" w:line="240" w:lineRule="auto"/>
        <w:rPr>
          <w:rFonts w:ascii="Times New Roman" w:hAnsi="Times New Roman" w:cs="Times New Roman"/>
          <w:i/>
          <w:iCs/>
        </w:rPr>
      </w:pPr>
      <w:r w:rsidRPr="00597FFB">
        <w:rPr>
          <w:rFonts w:ascii="Times New Roman" w:hAnsi="Times New Roman" w:cs="Times New Roman"/>
          <w:b/>
          <w:bCs/>
        </w:rPr>
        <w:t>Table 1</w:t>
      </w:r>
      <w:r w:rsidR="00607DF3" w:rsidRPr="00597FFB">
        <w:rPr>
          <w:rFonts w:ascii="Times New Roman" w:hAnsi="Times New Roman" w:cs="Times New Roman"/>
          <w:b/>
          <w:bCs/>
        </w:rPr>
        <w:t>8</w:t>
      </w:r>
      <w:r w:rsidRPr="00597FFB">
        <w:rPr>
          <w:rFonts w:ascii="Times New Roman" w:hAnsi="Times New Roman" w:cs="Times New Roman"/>
        </w:rPr>
        <w:t>:</w:t>
      </w:r>
      <w:r w:rsidRPr="00597FFB">
        <w:rPr>
          <w:rFonts w:ascii="Times New Roman" w:hAnsi="Times New Roman" w:cs="Times New Roman"/>
          <w:b/>
          <w:bCs/>
        </w:rPr>
        <w:t xml:space="preserve"> </w:t>
      </w:r>
      <w:r w:rsidRPr="00597FFB">
        <w:rPr>
          <w:rFonts w:ascii="Times New Roman" w:hAnsi="Times New Roman" w:cs="Times New Roman"/>
          <w:i/>
          <w:iCs/>
        </w:rPr>
        <w:t xml:space="preserve">Descriptive Statistics, </w:t>
      </w:r>
      <w:r w:rsidR="00072848" w:rsidRPr="00597FFB">
        <w:rPr>
          <w:rFonts w:ascii="Times New Roman" w:hAnsi="Times New Roman" w:cs="Times New Roman"/>
          <w:i/>
          <w:iCs/>
        </w:rPr>
        <w:t>a</w:t>
      </w:r>
      <w:r w:rsidRPr="00597FFB">
        <w:rPr>
          <w:rFonts w:ascii="Times New Roman" w:hAnsi="Times New Roman" w:cs="Times New Roman"/>
          <w:i/>
          <w:iCs/>
        </w:rPr>
        <w:t xml:space="preserve">nd Reliability </w:t>
      </w:r>
      <w:r w:rsidR="00072848" w:rsidRPr="00597FFB">
        <w:rPr>
          <w:rFonts w:ascii="Times New Roman" w:hAnsi="Times New Roman" w:cs="Times New Roman"/>
          <w:i/>
          <w:iCs/>
        </w:rPr>
        <w:t>a</w:t>
      </w:r>
      <w:r w:rsidRPr="00597FFB">
        <w:rPr>
          <w:rFonts w:ascii="Times New Roman" w:hAnsi="Times New Roman" w:cs="Times New Roman"/>
          <w:i/>
          <w:iCs/>
        </w:rPr>
        <w:t>nd Validity Analysis (NAT)</w:t>
      </w:r>
      <w:r w:rsidR="007B7A91" w:rsidRPr="00597FFB">
        <w:rPr>
          <w:rFonts w:ascii="Times New Roman" w:hAnsi="Times New Roman" w:cs="Times New Roman"/>
          <w:i/>
          <w:iCs/>
        </w:rPr>
        <w:t>.</w:t>
      </w:r>
    </w:p>
    <w:p w14:paraId="5C4AFD03" w14:textId="77777777" w:rsidR="007B7A91" w:rsidRPr="00597FFB" w:rsidRDefault="007B7A91" w:rsidP="00E52362">
      <w:pPr>
        <w:widowControl w:val="0"/>
        <w:tabs>
          <w:tab w:val="left" w:pos="3690"/>
        </w:tabs>
        <w:spacing w:after="0" w:line="240" w:lineRule="auto"/>
        <w:rPr>
          <w:rFonts w:ascii="Times New Roman" w:hAnsi="Times New Roman" w:cs="Times New Roman"/>
          <w:i/>
          <w:iCs/>
        </w:rPr>
      </w:pPr>
    </w:p>
    <w:tbl>
      <w:tblPr>
        <w:tblW w:w="7549" w:type="dxa"/>
        <w:tblLayout w:type="fixed"/>
        <w:tblLook w:val="04A0" w:firstRow="1" w:lastRow="0" w:firstColumn="1" w:lastColumn="0" w:noHBand="0" w:noVBand="1"/>
      </w:tblPr>
      <w:tblGrid>
        <w:gridCol w:w="1170"/>
        <w:gridCol w:w="516"/>
        <w:gridCol w:w="754"/>
        <w:gridCol w:w="666"/>
        <w:gridCol w:w="999"/>
        <w:gridCol w:w="665"/>
        <w:gridCol w:w="630"/>
        <w:gridCol w:w="1260"/>
        <w:gridCol w:w="889"/>
      </w:tblGrid>
      <w:tr w:rsidR="00E95630" w:rsidRPr="00597FFB" w14:paraId="7278EBE2" w14:textId="77777777" w:rsidTr="000E48F1">
        <w:trPr>
          <w:trHeight w:val="1376"/>
        </w:trPr>
        <w:tc>
          <w:tcPr>
            <w:tcW w:w="1170" w:type="dxa"/>
            <w:tcBorders>
              <w:top w:val="single" w:sz="4" w:space="0" w:color="auto"/>
              <w:left w:val="nil"/>
              <w:bottom w:val="single" w:sz="4" w:space="0" w:color="auto"/>
              <w:right w:val="nil"/>
            </w:tcBorders>
            <w:noWrap/>
            <w:vAlign w:val="bottom"/>
            <w:hideMark/>
          </w:tcPr>
          <w:p w14:paraId="57E505D1" w14:textId="77777777" w:rsidR="00E95630" w:rsidRPr="00597FFB" w:rsidRDefault="00E95630" w:rsidP="000E48F1">
            <w:pPr>
              <w:widowControl w:val="0"/>
              <w:rPr>
                <w:rFonts w:ascii="Times New Roman" w:eastAsia="Times New Roman" w:hAnsi="Times New Roman" w:cs="Times New Roman"/>
                <w:b/>
                <w:sz w:val="20"/>
                <w:szCs w:val="20"/>
              </w:rPr>
            </w:pPr>
            <w:bookmarkStart w:id="239" w:name="_Hlk120893883"/>
          </w:p>
        </w:tc>
        <w:tc>
          <w:tcPr>
            <w:tcW w:w="516" w:type="dxa"/>
            <w:tcBorders>
              <w:top w:val="single" w:sz="4" w:space="0" w:color="auto"/>
              <w:left w:val="nil"/>
              <w:bottom w:val="single" w:sz="4" w:space="0" w:color="auto"/>
              <w:right w:val="nil"/>
            </w:tcBorders>
            <w:noWrap/>
            <w:vAlign w:val="bottom"/>
            <w:hideMark/>
          </w:tcPr>
          <w:p w14:paraId="081D1366"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N</w:t>
            </w:r>
          </w:p>
        </w:tc>
        <w:tc>
          <w:tcPr>
            <w:tcW w:w="754" w:type="dxa"/>
            <w:tcBorders>
              <w:top w:val="single" w:sz="4" w:space="0" w:color="auto"/>
              <w:left w:val="nil"/>
              <w:bottom w:val="single" w:sz="4" w:space="0" w:color="auto"/>
              <w:right w:val="nil"/>
            </w:tcBorders>
            <w:noWrap/>
            <w:vAlign w:val="bottom"/>
            <w:hideMark/>
          </w:tcPr>
          <w:p w14:paraId="5E7DECD2"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Mean</w:t>
            </w:r>
          </w:p>
        </w:tc>
        <w:tc>
          <w:tcPr>
            <w:tcW w:w="666" w:type="dxa"/>
            <w:tcBorders>
              <w:top w:val="single" w:sz="4" w:space="0" w:color="auto"/>
              <w:left w:val="nil"/>
              <w:bottom w:val="single" w:sz="4" w:space="0" w:color="auto"/>
              <w:right w:val="nil"/>
            </w:tcBorders>
            <w:noWrap/>
            <w:vAlign w:val="bottom"/>
            <w:hideMark/>
          </w:tcPr>
          <w:p w14:paraId="1FF31A0B"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Std. Dev.</w:t>
            </w:r>
          </w:p>
        </w:tc>
        <w:tc>
          <w:tcPr>
            <w:tcW w:w="999" w:type="dxa"/>
            <w:tcBorders>
              <w:top w:val="single" w:sz="4" w:space="0" w:color="auto"/>
              <w:left w:val="nil"/>
              <w:bottom w:val="single" w:sz="4" w:space="0" w:color="auto"/>
              <w:right w:val="nil"/>
            </w:tcBorders>
            <w:noWrap/>
            <w:vAlign w:val="bottom"/>
            <w:hideMark/>
          </w:tcPr>
          <w:p w14:paraId="4C3AE519"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Factor Loading</w:t>
            </w:r>
          </w:p>
        </w:tc>
        <w:tc>
          <w:tcPr>
            <w:tcW w:w="665" w:type="dxa"/>
            <w:tcBorders>
              <w:top w:val="single" w:sz="4" w:space="0" w:color="auto"/>
              <w:left w:val="nil"/>
              <w:bottom w:val="single" w:sz="4" w:space="0" w:color="auto"/>
              <w:right w:val="nil"/>
            </w:tcBorders>
            <w:noWrap/>
            <w:vAlign w:val="bottom"/>
            <w:hideMark/>
          </w:tcPr>
          <w:p w14:paraId="0A73C667"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Cronbach's Alpha</w:t>
            </w:r>
          </w:p>
        </w:tc>
        <w:tc>
          <w:tcPr>
            <w:tcW w:w="630" w:type="dxa"/>
            <w:tcBorders>
              <w:top w:val="single" w:sz="4" w:space="0" w:color="auto"/>
              <w:left w:val="nil"/>
              <w:bottom w:val="single" w:sz="4" w:space="0" w:color="auto"/>
              <w:right w:val="nil"/>
            </w:tcBorders>
            <w:noWrap/>
            <w:vAlign w:val="bottom"/>
            <w:hideMark/>
          </w:tcPr>
          <w:p w14:paraId="168F1A7D"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Composite Reliability </w:t>
            </w:r>
          </w:p>
        </w:tc>
        <w:tc>
          <w:tcPr>
            <w:tcW w:w="1260" w:type="dxa"/>
            <w:tcBorders>
              <w:top w:val="single" w:sz="4" w:space="0" w:color="auto"/>
              <w:left w:val="nil"/>
              <w:bottom w:val="single" w:sz="4" w:space="0" w:color="auto"/>
              <w:right w:val="nil"/>
            </w:tcBorders>
            <w:noWrap/>
            <w:vAlign w:val="bottom"/>
            <w:hideMark/>
          </w:tcPr>
          <w:p w14:paraId="0AF7E250"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Average Variance Extracted </w:t>
            </w:r>
          </w:p>
        </w:tc>
        <w:tc>
          <w:tcPr>
            <w:tcW w:w="889" w:type="dxa"/>
            <w:tcBorders>
              <w:top w:val="single" w:sz="4" w:space="0" w:color="auto"/>
              <w:left w:val="nil"/>
              <w:bottom w:val="single" w:sz="4" w:space="0" w:color="auto"/>
              <w:right w:val="nil"/>
            </w:tcBorders>
            <w:vAlign w:val="bottom"/>
          </w:tcPr>
          <w:p w14:paraId="62B1D3AD"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AVE Square</w:t>
            </w:r>
          </w:p>
          <w:p w14:paraId="5B129207" w14:textId="77777777" w:rsidR="00E95630" w:rsidRPr="00597FFB" w:rsidRDefault="00E95630" w:rsidP="000E48F1">
            <w:pPr>
              <w:widowControl w:val="0"/>
              <w:spacing w:after="0" w:line="240" w:lineRule="auto"/>
              <w:jc w:val="center"/>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Root</w:t>
            </w:r>
          </w:p>
        </w:tc>
      </w:tr>
      <w:tr w:rsidR="00E95630" w:rsidRPr="00597FFB" w14:paraId="5B88F756" w14:textId="77777777" w:rsidTr="000E48F1">
        <w:tc>
          <w:tcPr>
            <w:tcW w:w="1170" w:type="dxa"/>
            <w:tcBorders>
              <w:top w:val="single" w:sz="4" w:space="0" w:color="auto"/>
              <w:left w:val="nil"/>
              <w:bottom w:val="nil"/>
              <w:right w:val="nil"/>
            </w:tcBorders>
            <w:noWrap/>
            <w:vAlign w:val="bottom"/>
            <w:hideMark/>
          </w:tcPr>
          <w:p w14:paraId="23FE3909"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AR1</w:t>
            </w:r>
          </w:p>
        </w:tc>
        <w:tc>
          <w:tcPr>
            <w:tcW w:w="516" w:type="dxa"/>
            <w:tcBorders>
              <w:top w:val="single" w:sz="4" w:space="0" w:color="auto"/>
              <w:left w:val="nil"/>
              <w:bottom w:val="nil"/>
              <w:right w:val="nil"/>
            </w:tcBorders>
            <w:noWrap/>
            <w:vAlign w:val="bottom"/>
            <w:hideMark/>
          </w:tcPr>
          <w:p w14:paraId="6ADED28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single" w:sz="4" w:space="0" w:color="auto"/>
              <w:left w:val="nil"/>
              <w:bottom w:val="nil"/>
              <w:right w:val="nil"/>
            </w:tcBorders>
            <w:noWrap/>
            <w:vAlign w:val="center"/>
            <w:hideMark/>
          </w:tcPr>
          <w:p w14:paraId="013F711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3.101</w:t>
            </w:r>
          </w:p>
        </w:tc>
        <w:tc>
          <w:tcPr>
            <w:tcW w:w="666" w:type="dxa"/>
            <w:tcBorders>
              <w:top w:val="single" w:sz="4" w:space="0" w:color="auto"/>
              <w:left w:val="nil"/>
              <w:bottom w:val="nil"/>
              <w:right w:val="nil"/>
            </w:tcBorders>
            <w:noWrap/>
            <w:vAlign w:val="center"/>
            <w:hideMark/>
          </w:tcPr>
          <w:p w14:paraId="79E2567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1.263</w:t>
            </w:r>
          </w:p>
        </w:tc>
        <w:tc>
          <w:tcPr>
            <w:tcW w:w="999" w:type="dxa"/>
            <w:tcBorders>
              <w:top w:val="single" w:sz="4" w:space="0" w:color="auto"/>
              <w:left w:val="nil"/>
              <w:bottom w:val="nil"/>
              <w:right w:val="nil"/>
            </w:tcBorders>
            <w:noWrap/>
            <w:vAlign w:val="center"/>
            <w:hideMark/>
          </w:tcPr>
          <w:p w14:paraId="7B1D297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0.665</w:t>
            </w:r>
          </w:p>
        </w:tc>
        <w:tc>
          <w:tcPr>
            <w:tcW w:w="665" w:type="dxa"/>
            <w:vMerge w:val="restart"/>
            <w:tcBorders>
              <w:top w:val="single" w:sz="4" w:space="0" w:color="auto"/>
              <w:left w:val="nil"/>
              <w:right w:val="nil"/>
            </w:tcBorders>
            <w:noWrap/>
            <w:vAlign w:val="center"/>
            <w:hideMark/>
          </w:tcPr>
          <w:p w14:paraId="28CDA69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0.75</w:t>
            </w:r>
          </w:p>
        </w:tc>
        <w:tc>
          <w:tcPr>
            <w:tcW w:w="630" w:type="dxa"/>
            <w:vMerge w:val="restart"/>
            <w:tcBorders>
              <w:top w:val="single" w:sz="4" w:space="0" w:color="auto"/>
              <w:left w:val="nil"/>
              <w:right w:val="nil"/>
            </w:tcBorders>
            <w:noWrap/>
            <w:vAlign w:val="center"/>
            <w:hideMark/>
          </w:tcPr>
          <w:p w14:paraId="747D6E6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w:t>
            </w:r>
          </w:p>
        </w:tc>
        <w:tc>
          <w:tcPr>
            <w:tcW w:w="1260" w:type="dxa"/>
            <w:vMerge w:val="restart"/>
            <w:tcBorders>
              <w:top w:val="single" w:sz="4" w:space="0" w:color="auto"/>
              <w:left w:val="nil"/>
              <w:right w:val="nil"/>
            </w:tcBorders>
            <w:noWrap/>
            <w:vAlign w:val="center"/>
            <w:hideMark/>
          </w:tcPr>
          <w:p w14:paraId="0B02884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0.84</w:t>
            </w:r>
          </w:p>
        </w:tc>
        <w:tc>
          <w:tcPr>
            <w:tcW w:w="889" w:type="dxa"/>
            <w:vMerge w:val="restart"/>
            <w:tcBorders>
              <w:top w:val="single" w:sz="4" w:space="0" w:color="auto"/>
              <w:left w:val="nil"/>
              <w:right w:val="nil"/>
            </w:tcBorders>
            <w:vAlign w:val="center"/>
          </w:tcPr>
          <w:p w14:paraId="7B3280E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0.917</w:t>
            </w:r>
          </w:p>
        </w:tc>
      </w:tr>
      <w:tr w:rsidR="00E95630" w:rsidRPr="00597FFB" w14:paraId="3CD5439C" w14:textId="77777777" w:rsidTr="000E48F1">
        <w:tc>
          <w:tcPr>
            <w:tcW w:w="1170" w:type="dxa"/>
            <w:noWrap/>
            <w:vAlign w:val="bottom"/>
            <w:hideMark/>
          </w:tcPr>
          <w:p w14:paraId="3085862B"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AR2</w:t>
            </w:r>
          </w:p>
        </w:tc>
        <w:tc>
          <w:tcPr>
            <w:tcW w:w="516" w:type="dxa"/>
            <w:noWrap/>
            <w:vAlign w:val="bottom"/>
            <w:hideMark/>
          </w:tcPr>
          <w:p w14:paraId="0D78F6F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74A819C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3.174</w:t>
            </w:r>
          </w:p>
        </w:tc>
        <w:tc>
          <w:tcPr>
            <w:tcW w:w="666" w:type="dxa"/>
            <w:noWrap/>
            <w:vAlign w:val="center"/>
            <w:hideMark/>
          </w:tcPr>
          <w:p w14:paraId="6FF2E22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1.371</w:t>
            </w:r>
          </w:p>
        </w:tc>
        <w:tc>
          <w:tcPr>
            <w:tcW w:w="999" w:type="dxa"/>
            <w:noWrap/>
            <w:vAlign w:val="center"/>
            <w:hideMark/>
          </w:tcPr>
          <w:p w14:paraId="53D9F43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0.532</w:t>
            </w:r>
          </w:p>
        </w:tc>
        <w:tc>
          <w:tcPr>
            <w:tcW w:w="665" w:type="dxa"/>
            <w:vMerge/>
            <w:tcBorders>
              <w:left w:val="nil"/>
              <w:right w:val="nil"/>
            </w:tcBorders>
            <w:vAlign w:val="center"/>
            <w:hideMark/>
          </w:tcPr>
          <w:p w14:paraId="6B7AAEE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left w:val="nil"/>
              <w:right w:val="nil"/>
            </w:tcBorders>
            <w:vAlign w:val="center"/>
            <w:hideMark/>
          </w:tcPr>
          <w:p w14:paraId="5C95CF3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left w:val="nil"/>
              <w:right w:val="nil"/>
            </w:tcBorders>
            <w:vAlign w:val="center"/>
            <w:hideMark/>
          </w:tcPr>
          <w:p w14:paraId="7A3AE9B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4124D391"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00E23B62" w14:textId="77777777" w:rsidTr="000E48F1">
        <w:tc>
          <w:tcPr>
            <w:tcW w:w="1170" w:type="dxa"/>
            <w:noWrap/>
            <w:vAlign w:val="bottom"/>
            <w:hideMark/>
          </w:tcPr>
          <w:p w14:paraId="5C8F7AA8"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AC1</w:t>
            </w:r>
          </w:p>
        </w:tc>
        <w:tc>
          <w:tcPr>
            <w:tcW w:w="516" w:type="dxa"/>
            <w:noWrap/>
            <w:vAlign w:val="bottom"/>
            <w:hideMark/>
          </w:tcPr>
          <w:p w14:paraId="076167B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3ED45B1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3.232</w:t>
            </w:r>
          </w:p>
        </w:tc>
        <w:tc>
          <w:tcPr>
            <w:tcW w:w="666" w:type="dxa"/>
            <w:noWrap/>
            <w:vAlign w:val="center"/>
            <w:hideMark/>
          </w:tcPr>
          <w:p w14:paraId="73B6DD5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1.048</w:t>
            </w:r>
          </w:p>
        </w:tc>
        <w:tc>
          <w:tcPr>
            <w:tcW w:w="999" w:type="dxa"/>
            <w:noWrap/>
            <w:vAlign w:val="center"/>
            <w:hideMark/>
          </w:tcPr>
          <w:p w14:paraId="4955381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0.512</w:t>
            </w:r>
          </w:p>
        </w:tc>
        <w:tc>
          <w:tcPr>
            <w:tcW w:w="665" w:type="dxa"/>
            <w:vMerge/>
            <w:tcBorders>
              <w:left w:val="nil"/>
              <w:right w:val="nil"/>
            </w:tcBorders>
            <w:vAlign w:val="center"/>
            <w:hideMark/>
          </w:tcPr>
          <w:p w14:paraId="655628F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left w:val="nil"/>
              <w:right w:val="nil"/>
            </w:tcBorders>
            <w:vAlign w:val="center"/>
            <w:hideMark/>
          </w:tcPr>
          <w:p w14:paraId="356E7EA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left w:val="nil"/>
              <w:right w:val="nil"/>
            </w:tcBorders>
            <w:vAlign w:val="center"/>
            <w:hideMark/>
          </w:tcPr>
          <w:p w14:paraId="6AFE586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3A91A7E1"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D6D99B1" w14:textId="77777777" w:rsidTr="000E48F1">
        <w:tc>
          <w:tcPr>
            <w:tcW w:w="1170" w:type="dxa"/>
            <w:tcBorders>
              <w:top w:val="nil"/>
              <w:left w:val="nil"/>
              <w:bottom w:val="single" w:sz="4" w:space="0" w:color="auto"/>
              <w:right w:val="nil"/>
            </w:tcBorders>
            <w:noWrap/>
            <w:vAlign w:val="bottom"/>
            <w:hideMark/>
          </w:tcPr>
          <w:p w14:paraId="020CCD83"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AC2</w:t>
            </w:r>
          </w:p>
        </w:tc>
        <w:tc>
          <w:tcPr>
            <w:tcW w:w="516" w:type="dxa"/>
            <w:tcBorders>
              <w:top w:val="nil"/>
              <w:left w:val="nil"/>
              <w:bottom w:val="single" w:sz="4" w:space="0" w:color="auto"/>
              <w:right w:val="nil"/>
            </w:tcBorders>
            <w:noWrap/>
            <w:vAlign w:val="bottom"/>
            <w:hideMark/>
          </w:tcPr>
          <w:p w14:paraId="4034C2D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nil"/>
              <w:left w:val="nil"/>
              <w:bottom w:val="single" w:sz="4" w:space="0" w:color="auto"/>
              <w:right w:val="nil"/>
            </w:tcBorders>
            <w:noWrap/>
            <w:vAlign w:val="center"/>
            <w:hideMark/>
          </w:tcPr>
          <w:p w14:paraId="432312B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3.162</w:t>
            </w:r>
          </w:p>
        </w:tc>
        <w:tc>
          <w:tcPr>
            <w:tcW w:w="666" w:type="dxa"/>
            <w:tcBorders>
              <w:top w:val="nil"/>
              <w:left w:val="nil"/>
              <w:bottom w:val="single" w:sz="4" w:space="0" w:color="auto"/>
              <w:right w:val="nil"/>
            </w:tcBorders>
            <w:noWrap/>
            <w:vAlign w:val="center"/>
            <w:hideMark/>
          </w:tcPr>
          <w:p w14:paraId="3392FEC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1.066</w:t>
            </w:r>
          </w:p>
        </w:tc>
        <w:tc>
          <w:tcPr>
            <w:tcW w:w="999" w:type="dxa"/>
            <w:tcBorders>
              <w:top w:val="nil"/>
              <w:left w:val="nil"/>
              <w:bottom w:val="single" w:sz="4" w:space="0" w:color="auto"/>
              <w:right w:val="nil"/>
            </w:tcBorders>
            <w:noWrap/>
            <w:vAlign w:val="center"/>
            <w:hideMark/>
          </w:tcPr>
          <w:p w14:paraId="2946016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0.636</w:t>
            </w:r>
          </w:p>
        </w:tc>
        <w:tc>
          <w:tcPr>
            <w:tcW w:w="665" w:type="dxa"/>
            <w:vMerge/>
            <w:tcBorders>
              <w:left w:val="nil"/>
              <w:bottom w:val="single" w:sz="4" w:space="0" w:color="auto"/>
              <w:right w:val="nil"/>
            </w:tcBorders>
            <w:vAlign w:val="center"/>
            <w:hideMark/>
          </w:tcPr>
          <w:p w14:paraId="7DAF7FD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left w:val="nil"/>
              <w:bottom w:val="single" w:sz="4" w:space="0" w:color="auto"/>
              <w:right w:val="nil"/>
            </w:tcBorders>
            <w:vAlign w:val="center"/>
            <w:hideMark/>
          </w:tcPr>
          <w:p w14:paraId="50C91FC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left w:val="nil"/>
              <w:bottom w:val="single" w:sz="4" w:space="0" w:color="auto"/>
              <w:right w:val="nil"/>
            </w:tcBorders>
            <w:vAlign w:val="center"/>
            <w:hideMark/>
          </w:tcPr>
          <w:p w14:paraId="4ED4A45A"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bottom w:val="single" w:sz="4" w:space="0" w:color="auto"/>
              <w:right w:val="nil"/>
            </w:tcBorders>
          </w:tcPr>
          <w:p w14:paraId="4EB1FE1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3DAB4184" w14:textId="77777777" w:rsidTr="000E48F1">
        <w:tc>
          <w:tcPr>
            <w:tcW w:w="1170" w:type="dxa"/>
            <w:tcBorders>
              <w:top w:val="single" w:sz="4" w:space="0" w:color="auto"/>
              <w:left w:val="nil"/>
              <w:bottom w:val="nil"/>
              <w:right w:val="nil"/>
            </w:tcBorders>
            <w:noWrap/>
            <w:vAlign w:val="bottom"/>
            <w:hideMark/>
          </w:tcPr>
          <w:p w14:paraId="10ADCCE8"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MN1</w:t>
            </w:r>
          </w:p>
        </w:tc>
        <w:tc>
          <w:tcPr>
            <w:tcW w:w="516" w:type="dxa"/>
            <w:tcBorders>
              <w:top w:val="single" w:sz="4" w:space="0" w:color="auto"/>
              <w:left w:val="nil"/>
              <w:bottom w:val="nil"/>
              <w:right w:val="nil"/>
            </w:tcBorders>
            <w:noWrap/>
            <w:vAlign w:val="bottom"/>
            <w:hideMark/>
          </w:tcPr>
          <w:p w14:paraId="769A9D3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single" w:sz="4" w:space="0" w:color="auto"/>
              <w:left w:val="nil"/>
              <w:bottom w:val="nil"/>
              <w:right w:val="nil"/>
            </w:tcBorders>
            <w:noWrap/>
            <w:vAlign w:val="center"/>
            <w:hideMark/>
          </w:tcPr>
          <w:p w14:paraId="248D7AD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3.186</w:t>
            </w:r>
          </w:p>
        </w:tc>
        <w:tc>
          <w:tcPr>
            <w:tcW w:w="666" w:type="dxa"/>
            <w:tcBorders>
              <w:top w:val="single" w:sz="4" w:space="0" w:color="auto"/>
              <w:left w:val="nil"/>
              <w:bottom w:val="nil"/>
              <w:right w:val="nil"/>
            </w:tcBorders>
            <w:noWrap/>
            <w:vAlign w:val="center"/>
            <w:hideMark/>
          </w:tcPr>
          <w:p w14:paraId="62AEE86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1.024</w:t>
            </w:r>
          </w:p>
        </w:tc>
        <w:tc>
          <w:tcPr>
            <w:tcW w:w="999" w:type="dxa"/>
            <w:tcBorders>
              <w:top w:val="single" w:sz="4" w:space="0" w:color="auto"/>
              <w:left w:val="nil"/>
              <w:bottom w:val="nil"/>
              <w:right w:val="nil"/>
            </w:tcBorders>
            <w:noWrap/>
            <w:vAlign w:val="center"/>
            <w:hideMark/>
          </w:tcPr>
          <w:p w14:paraId="6B1727E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0.505</w:t>
            </w:r>
          </w:p>
        </w:tc>
        <w:tc>
          <w:tcPr>
            <w:tcW w:w="665" w:type="dxa"/>
            <w:vMerge w:val="restart"/>
            <w:tcBorders>
              <w:top w:val="single" w:sz="4" w:space="0" w:color="auto"/>
              <w:left w:val="nil"/>
              <w:bottom w:val="single" w:sz="4" w:space="0" w:color="auto"/>
              <w:right w:val="nil"/>
            </w:tcBorders>
            <w:noWrap/>
            <w:vAlign w:val="center"/>
            <w:hideMark/>
          </w:tcPr>
          <w:p w14:paraId="7263FE9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w:t>
            </w:r>
          </w:p>
        </w:tc>
        <w:tc>
          <w:tcPr>
            <w:tcW w:w="630" w:type="dxa"/>
            <w:vMerge w:val="restart"/>
            <w:tcBorders>
              <w:top w:val="single" w:sz="4" w:space="0" w:color="auto"/>
              <w:left w:val="nil"/>
              <w:bottom w:val="single" w:sz="4" w:space="0" w:color="auto"/>
              <w:right w:val="nil"/>
            </w:tcBorders>
            <w:noWrap/>
            <w:vAlign w:val="center"/>
            <w:hideMark/>
          </w:tcPr>
          <w:p w14:paraId="012A25E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0.76</w:t>
            </w:r>
          </w:p>
        </w:tc>
        <w:tc>
          <w:tcPr>
            <w:tcW w:w="1260" w:type="dxa"/>
            <w:vMerge w:val="restart"/>
            <w:tcBorders>
              <w:top w:val="single" w:sz="4" w:space="0" w:color="auto"/>
              <w:left w:val="nil"/>
              <w:bottom w:val="single" w:sz="4" w:space="0" w:color="auto"/>
              <w:right w:val="nil"/>
            </w:tcBorders>
            <w:noWrap/>
            <w:vAlign w:val="center"/>
            <w:hideMark/>
          </w:tcPr>
          <w:p w14:paraId="48FC899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w:t>
            </w:r>
          </w:p>
        </w:tc>
        <w:tc>
          <w:tcPr>
            <w:tcW w:w="889" w:type="dxa"/>
            <w:vMerge w:val="restart"/>
            <w:tcBorders>
              <w:top w:val="single" w:sz="4" w:space="0" w:color="auto"/>
              <w:left w:val="nil"/>
              <w:right w:val="nil"/>
            </w:tcBorders>
            <w:vAlign w:val="center"/>
          </w:tcPr>
          <w:p w14:paraId="1B37906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0.949</w:t>
            </w:r>
          </w:p>
        </w:tc>
      </w:tr>
      <w:tr w:rsidR="00E95630" w:rsidRPr="00597FFB" w14:paraId="0EBA8A74" w14:textId="77777777" w:rsidTr="000E48F1">
        <w:tc>
          <w:tcPr>
            <w:tcW w:w="1170" w:type="dxa"/>
            <w:noWrap/>
            <w:vAlign w:val="bottom"/>
            <w:hideMark/>
          </w:tcPr>
          <w:p w14:paraId="6DFD4216"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MN2</w:t>
            </w:r>
          </w:p>
        </w:tc>
        <w:tc>
          <w:tcPr>
            <w:tcW w:w="516" w:type="dxa"/>
            <w:noWrap/>
            <w:vAlign w:val="bottom"/>
            <w:hideMark/>
          </w:tcPr>
          <w:p w14:paraId="27DD3DB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6D95EC9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3.214</w:t>
            </w:r>
          </w:p>
        </w:tc>
        <w:tc>
          <w:tcPr>
            <w:tcW w:w="666" w:type="dxa"/>
            <w:noWrap/>
            <w:vAlign w:val="center"/>
            <w:hideMark/>
          </w:tcPr>
          <w:p w14:paraId="2BA2963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0.977</w:t>
            </w:r>
          </w:p>
        </w:tc>
        <w:tc>
          <w:tcPr>
            <w:tcW w:w="999" w:type="dxa"/>
            <w:noWrap/>
            <w:vAlign w:val="center"/>
            <w:hideMark/>
          </w:tcPr>
          <w:p w14:paraId="176A179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0.507</w:t>
            </w:r>
          </w:p>
        </w:tc>
        <w:tc>
          <w:tcPr>
            <w:tcW w:w="665" w:type="dxa"/>
            <w:vMerge/>
            <w:tcBorders>
              <w:top w:val="single" w:sz="4" w:space="0" w:color="auto"/>
              <w:left w:val="nil"/>
              <w:bottom w:val="single" w:sz="4" w:space="0" w:color="auto"/>
              <w:right w:val="nil"/>
            </w:tcBorders>
            <w:vAlign w:val="center"/>
            <w:hideMark/>
          </w:tcPr>
          <w:p w14:paraId="5C180AF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169A36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6CADD7E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6440383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45B9FE0" w14:textId="77777777" w:rsidTr="000E48F1">
        <w:tc>
          <w:tcPr>
            <w:tcW w:w="1170" w:type="dxa"/>
            <w:noWrap/>
            <w:vAlign w:val="bottom"/>
            <w:hideMark/>
          </w:tcPr>
          <w:p w14:paraId="255E3525"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MN3</w:t>
            </w:r>
          </w:p>
        </w:tc>
        <w:tc>
          <w:tcPr>
            <w:tcW w:w="516" w:type="dxa"/>
            <w:noWrap/>
            <w:vAlign w:val="bottom"/>
            <w:hideMark/>
          </w:tcPr>
          <w:p w14:paraId="2A299E5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19AC378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3.156</w:t>
            </w:r>
          </w:p>
        </w:tc>
        <w:tc>
          <w:tcPr>
            <w:tcW w:w="666" w:type="dxa"/>
            <w:noWrap/>
            <w:vAlign w:val="center"/>
            <w:hideMark/>
          </w:tcPr>
          <w:p w14:paraId="7EDB6AF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1.068</w:t>
            </w:r>
          </w:p>
        </w:tc>
        <w:tc>
          <w:tcPr>
            <w:tcW w:w="999" w:type="dxa"/>
            <w:noWrap/>
            <w:vAlign w:val="center"/>
            <w:hideMark/>
          </w:tcPr>
          <w:p w14:paraId="42A4858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0.595</w:t>
            </w:r>
          </w:p>
        </w:tc>
        <w:tc>
          <w:tcPr>
            <w:tcW w:w="665" w:type="dxa"/>
            <w:vMerge/>
            <w:tcBorders>
              <w:top w:val="single" w:sz="4" w:space="0" w:color="auto"/>
              <w:left w:val="nil"/>
              <w:bottom w:val="single" w:sz="4" w:space="0" w:color="auto"/>
              <w:right w:val="nil"/>
            </w:tcBorders>
            <w:vAlign w:val="center"/>
            <w:hideMark/>
          </w:tcPr>
          <w:p w14:paraId="3CA2DA8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4EA5D15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A5C08A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47C60FD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45065F6F" w14:textId="77777777" w:rsidTr="000E48F1">
        <w:tc>
          <w:tcPr>
            <w:tcW w:w="1170" w:type="dxa"/>
            <w:noWrap/>
            <w:vAlign w:val="bottom"/>
            <w:hideMark/>
          </w:tcPr>
          <w:p w14:paraId="1A112141"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MN4</w:t>
            </w:r>
          </w:p>
        </w:tc>
        <w:tc>
          <w:tcPr>
            <w:tcW w:w="516" w:type="dxa"/>
            <w:noWrap/>
            <w:vAlign w:val="bottom"/>
            <w:hideMark/>
          </w:tcPr>
          <w:p w14:paraId="1E357C0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04E3E1F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3.115</w:t>
            </w:r>
          </w:p>
        </w:tc>
        <w:tc>
          <w:tcPr>
            <w:tcW w:w="666" w:type="dxa"/>
            <w:noWrap/>
            <w:vAlign w:val="center"/>
            <w:hideMark/>
          </w:tcPr>
          <w:p w14:paraId="3560E79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1.083</w:t>
            </w:r>
          </w:p>
        </w:tc>
        <w:tc>
          <w:tcPr>
            <w:tcW w:w="999" w:type="dxa"/>
            <w:noWrap/>
            <w:vAlign w:val="center"/>
            <w:hideMark/>
          </w:tcPr>
          <w:p w14:paraId="61A19FC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0.672</w:t>
            </w:r>
          </w:p>
        </w:tc>
        <w:tc>
          <w:tcPr>
            <w:tcW w:w="665" w:type="dxa"/>
            <w:vMerge/>
            <w:tcBorders>
              <w:top w:val="single" w:sz="4" w:space="0" w:color="auto"/>
              <w:left w:val="nil"/>
              <w:bottom w:val="single" w:sz="4" w:space="0" w:color="auto"/>
              <w:right w:val="nil"/>
            </w:tcBorders>
            <w:vAlign w:val="center"/>
            <w:hideMark/>
          </w:tcPr>
          <w:p w14:paraId="107AEB1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569A60E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7B84153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152EF1F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637D1EFE" w14:textId="77777777" w:rsidTr="000E48F1">
        <w:tc>
          <w:tcPr>
            <w:tcW w:w="1170" w:type="dxa"/>
            <w:noWrap/>
            <w:vAlign w:val="bottom"/>
            <w:hideMark/>
          </w:tcPr>
          <w:p w14:paraId="20880E14"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MN5</w:t>
            </w:r>
          </w:p>
        </w:tc>
        <w:tc>
          <w:tcPr>
            <w:tcW w:w="516" w:type="dxa"/>
            <w:noWrap/>
            <w:vAlign w:val="bottom"/>
            <w:hideMark/>
          </w:tcPr>
          <w:p w14:paraId="1E90C63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504</w:t>
            </w:r>
          </w:p>
        </w:tc>
        <w:tc>
          <w:tcPr>
            <w:tcW w:w="754" w:type="dxa"/>
            <w:noWrap/>
            <w:vAlign w:val="center"/>
            <w:hideMark/>
          </w:tcPr>
          <w:p w14:paraId="3310371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3.214</w:t>
            </w:r>
          </w:p>
        </w:tc>
        <w:tc>
          <w:tcPr>
            <w:tcW w:w="666" w:type="dxa"/>
            <w:noWrap/>
            <w:vAlign w:val="center"/>
            <w:hideMark/>
          </w:tcPr>
          <w:p w14:paraId="101E5FC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0.955</w:t>
            </w:r>
          </w:p>
        </w:tc>
        <w:tc>
          <w:tcPr>
            <w:tcW w:w="999" w:type="dxa"/>
            <w:noWrap/>
            <w:vAlign w:val="center"/>
            <w:hideMark/>
          </w:tcPr>
          <w:p w14:paraId="784CF06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0.530</w:t>
            </w:r>
          </w:p>
        </w:tc>
        <w:tc>
          <w:tcPr>
            <w:tcW w:w="665" w:type="dxa"/>
            <w:vMerge/>
            <w:tcBorders>
              <w:top w:val="single" w:sz="4" w:space="0" w:color="auto"/>
              <w:left w:val="nil"/>
              <w:bottom w:val="single" w:sz="4" w:space="0" w:color="auto"/>
              <w:right w:val="nil"/>
            </w:tcBorders>
            <w:vAlign w:val="center"/>
            <w:hideMark/>
          </w:tcPr>
          <w:p w14:paraId="3AB0094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0E60722A"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25085D6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4CF4B97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FBBF931" w14:textId="77777777" w:rsidTr="000E48F1">
        <w:tc>
          <w:tcPr>
            <w:tcW w:w="1170" w:type="dxa"/>
            <w:noWrap/>
            <w:vAlign w:val="bottom"/>
            <w:hideMark/>
          </w:tcPr>
          <w:p w14:paraId="521AD8A7"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MN6</w:t>
            </w:r>
          </w:p>
        </w:tc>
        <w:tc>
          <w:tcPr>
            <w:tcW w:w="516" w:type="dxa"/>
            <w:noWrap/>
            <w:vAlign w:val="bottom"/>
            <w:hideMark/>
          </w:tcPr>
          <w:p w14:paraId="6AF66B7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0A85842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3.151</w:t>
            </w:r>
          </w:p>
        </w:tc>
        <w:tc>
          <w:tcPr>
            <w:tcW w:w="666" w:type="dxa"/>
            <w:noWrap/>
            <w:vAlign w:val="center"/>
            <w:hideMark/>
          </w:tcPr>
          <w:p w14:paraId="3F2CAB5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0.935</w:t>
            </w:r>
          </w:p>
        </w:tc>
        <w:tc>
          <w:tcPr>
            <w:tcW w:w="999" w:type="dxa"/>
            <w:noWrap/>
            <w:vAlign w:val="center"/>
            <w:hideMark/>
          </w:tcPr>
          <w:p w14:paraId="2FB6A95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0.520</w:t>
            </w:r>
          </w:p>
        </w:tc>
        <w:tc>
          <w:tcPr>
            <w:tcW w:w="665" w:type="dxa"/>
            <w:vMerge/>
            <w:tcBorders>
              <w:top w:val="single" w:sz="4" w:space="0" w:color="auto"/>
              <w:left w:val="nil"/>
              <w:bottom w:val="single" w:sz="4" w:space="0" w:color="auto"/>
              <w:right w:val="nil"/>
            </w:tcBorders>
            <w:vAlign w:val="center"/>
            <w:hideMark/>
          </w:tcPr>
          <w:p w14:paraId="0D8A211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0723CCE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03780B6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F59B68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6296C517" w14:textId="77777777" w:rsidTr="000E48F1">
        <w:tc>
          <w:tcPr>
            <w:tcW w:w="1170" w:type="dxa"/>
            <w:tcBorders>
              <w:top w:val="nil"/>
              <w:left w:val="nil"/>
              <w:bottom w:val="single" w:sz="4" w:space="0" w:color="auto"/>
              <w:right w:val="nil"/>
            </w:tcBorders>
            <w:noWrap/>
            <w:vAlign w:val="bottom"/>
            <w:hideMark/>
          </w:tcPr>
          <w:p w14:paraId="09537D5C"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MN7</w:t>
            </w:r>
          </w:p>
        </w:tc>
        <w:tc>
          <w:tcPr>
            <w:tcW w:w="516" w:type="dxa"/>
            <w:tcBorders>
              <w:top w:val="nil"/>
              <w:left w:val="nil"/>
              <w:bottom w:val="single" w:sz="4" w:space="0" w:color="auto"/>
              <w:right w:val="nil"/>
            </w:tcBorders>
            <w:noWrap/>
            <w:vAlign w:val="bottom"/>
            <w:hideMark/>
          </w:tcPr>
          <w:p w14:paraId="62FCDA8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nil"/>
              <w:left w:val="nil"/>
              <w:bottom w:val="single" w:sz="4" w:space="0" w:color="auto"/>
              <w:right w:val="nil"/>
            </w:tcBorders>
            <w:noWrap/>
            <w:vAlign w:val="center"/>
            <w:hideMark/>
          </w:tcPr>
          <w:p w14:paraId="19578DE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3.238</w:t>
            </w:r>
          </w:p>
        </w:tc>
        <w:tc>
          <w:tcPr>
            <w:tcW w:w="666" w:type="dxa"/>
            <w:tcBorders>
              <w:top w:val="nil"/>
              <w:left w:val="nil"/>
              <w:bottom w:val="single" w:sz="4" w:space="0" w:color="auto"/>
              <w:right w:val="nil"/>
            </w:tcBorders>
            <w:noWrap/>
            <w:vAlign w:val="center"/>
            <w:hideMark/>
          </w:tcPr>
          <w:p w14:paraId="4EEAFD1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0.963</w:t>
            </w:r>
          </w:p>
        </w:tc>
        <w:tc>
          <w:tcPr>
            <w:tcW w:w="999" w:type="dxa"/>
            <w:tcBorders>
              <w:top w:val="nil"/>
              <w:left w:val="nil"/>
              <w:bottom w:val="single" w:sz="4" w:space="0" w:color="auto"/>
              <w:right w:val="nil"/>
            </w:tcBorders>
            <w:noWrap/>
            <w:vAlign w:val="center"/>
            <w:hideMark/>
          </w:tcPr>
          <w:p w14:paraId="27FBCA4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0.594</w:t>
            </w:r>
          </w:p>
        </w:tc>
        <w:tc>
          <w:tcPr>
            <w:tcW w:w="665" w:type="dxa"/>
            <w:vMerge/>
            <w:tcBorders>
              <w:top w:val="single" w:sz="4" w:space="0" w:color="auto"/>
              <w:left w:val="nil"/>
              <w:bottom w:val="single" w:sz="4" w:space="0" w:color="auto"/>
              <w:right w:val="nil"/>
            </w:tcBorders>
            <w:vAlign w:val="center"/>
            <w:hideMark/>
          </w:tcPr>
          <w:p w14:paraId="018BA96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65EDF92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757C443A"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bottom w:val="single" w:sz="4" w:space="0" w:color="auto"/>
              <w:right w:val="nil"/>
            </w:tcBorders>
          </w:tcPr>
          <w:p w14:paraId="3B52626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368F0F6B" w14:textId="77777777" w:rsidTr="000E48F1">
        <w:tc>
          <w:tcPr>
            <w:tcW w:w="1170" w:type="dxa"/>
            <w:tcBorders>
              <w:top w:val="single" w:sz="4" w:space="0" w:color="auto"/>
              <w:left w:val="nil"/>
              <w:bottom w:val="nil"/>
              <w:right w:val="nil"/>
            </w:tcBorders>
            <w:noWrap/>
            <w:vAlign w:val="bottom"/>
            <w:hideMark/>
          </w:tcPr>
          <w:p w14:paraId="4D13E6DC"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PN1</w:t>
            </w:r>
          </w:p>
        </w:tc>
        <w:tc>
          <w:tcPr>
            <w:tcW w:w="516" w:type="dxa"/>
            <w:tcBorders>
              <w:top w:val="single" w:sz="4" w:space="0" w:color="auto"/>
              <w:left w:val="nil"/>
              <w:bottom w:val="nil"/>
              <w:right w:val="nil"/>
            </w:tcBorders>
            <w:noWrap/>
            <w:vAlign w:val="bottom"/>
            <w:hideMark/>
          </w:tcPr>
          <w:p w14:paraId="0F8C682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single" w:sz="4" w:space="0" w:color="auto"/>
              <w:left w:val="nil"/>
              <w:bottom w:val="nil"/>
              <w:right w:val="nil"/>
            </w:tcBorders>
            <w:noWrap/>
            <w:vAlign w:val="center"/>
            <w:hideMark/>
          </w:tcPr>
          <w:p w14:paraId="18847F0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3.238</w:t>
            </w:r>
          </w:p>
        </w:tc>
        <w:tc>
          <w:tcPr>
            <w:tcW w:w="666" w:type="dxa"/>
            <w:tcBorders>
              <w:top w:val="single" w:sz="4" w:space="0" w:color="auto"/>
              <w:left w:val="nil"/>
              <w:bottom w:val="nil"/>
              <w:right w:val="nil"/>
            </w:tcBorders>
            <w:noWrap/>
            <w:vAlign w:val="center"/>
            <w:hideMark/>
          </w:tcPr>
          <w:p w14:paraId="2E0A07B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1.009</w:t>
            </w:r>
          </w:p>
        </w:tc>
        <w:tc>
          <w:tcPr>
            <w:tcW w:w="999" w:type="dxa"/>
            <w:tcBorders>
              <w:top w:val="single" w:sz="4" w:space="0" w:color="auto"/>
              <w:left w:val="nil"/>
              <w:bottom w:val="nil"/>
              <w:right w:val="nil"/>
            </w:tcBorders>
            <w:noWrap/>
            <w:vAlign w:val="center"/>
            <w:hideMark/>
          </w:tcPr>
          <w:p w14:paraId="51D7891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0.602</w:t>
            </w:r>
          </w:p>
        </w:tc>
        <w:tc>
          <w:tcPr>
            <w:tcW w:w="665" w:type="dxa"/>
            <w:vMerge w:val="restart"/>
            <w:tcBorders>
              <w:top w:val="single" w:sz="4" w:space="0" w:color="auto"/>
              <w:left w:val="nil"/>
              <w:bottom w:val="single" w:sz="4" w:space="0" w:color="auto"/>
              <w:right w:val="nil"/>
            </w:tcBorders>
            <w:noWrap/>
            <w:vAlign w:val="center"/>
            <w:hideMark/>
          </w:tcPr>
          <w:p w14:paraId="54B42B3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0.85</w:t>
            </w:r>
          </w:p>
        </w:tc>
        <w:tc>
          <w:tcPr>
            <w:tcW w:w="630" w:type="dxa"/>
            <w:vMerge w:val="restart"/>
            <w:tcBorders>
              <w:top w:val="single" w:sz="4" w:space="0" w:color="auto"/>
              <w:left w:val="nil"/>
              <w:bottom w:val="single" w:sz="4" w:space="0" w:color="auto"/>
              <w:right w:val="nil"/>
            </w:tcBorders>
            <w:noWrap/>
            <w:vAlign w:val="center"/>
            <w:hideMark/>
          </w:tcPr>
          <w:p w14:paraId="1EEB160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0.57</w:t>
            </w:r>
          </w:p>
        </w:tc>
        <w:tc>
          <w:tcPr>
            <w:tcW w:w="1260" w:type="dxa"/>
            <w:vMerge w:val="restart"/>
            <w:tcBorders>
              <w:top w:val="single" w:sz="4" w:space="0" w:color="auto"/>
              <w:left w:val="nil"/>
              <w:bottom w:val="single" w:sz="4" w:space="0" w:color="auto"/>
              <w:right w:val="nil"/>
            </w:tcBorders>
            <w:noWrap/>
            <w:vAlign w:val="center"/>
            <w:hideMark/>
          </w:tcPr>
          <w:p w14:paraId="3BB9E39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0.79</w:t>
            </w:r>
          </w:p>
        </w:tc>
        <w:tc>
          <w:tcPr>
            <w:tcW w:w="889" w:type="dxa"/>
            <w:vMerge w:val="restart"/>
            <w:tcBorders>
              <w:top w:val="single" w:sz="4" w:space="0" w:color="auto"/>
              <w:left w:val="nil"/>
              <w:right w:val="nil"/>
            </w:tcBorders>
            <w:vAlign w:val="center"/>
          </w:tcPr>
          <w:p w14:paraId="655CDCC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0.889</w:t>
            </w:r>
          </w:p>
        </w:tc>
      </w:tr>
      <w:tr w:rsidR="00E95630" w:rsidRPr="00597FFB" w14:paraId="01097890" w14:textId="77777777" w:rsidTr="000E48F1">
        <w:tc>
          <w:tcPr>
            <w:tcW w:w="1170" w:type="dxa"/>
            <w:noWrap/>
            <w:vAlign w:val="bottom"/>
            <w:hideMark/>
          </w:tcPr>
          <w:p w14:paraId="294F5423"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PN2</w:t>
            </w:r>
          </w:p>
        </w:tc>
        <w:tc>
          <w:tcPr>
            <w:tcW w:w="516" w:type="dxa"/>
            <w:noWrap/>
            <w:vAlign w:val="bottom"/>
            <w:hideMark/>
          </w:tcPr>
          <w:p w14:paraId="635B9B8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4C69871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3.463</w:t>
            </w:r>
          </w:p>
        </w:tc>
        <w:tc>
          <w:tcPr>
            <w:tcW w:w="666" w:type="dxa"/>
            <w:noWrap/>
            <w:vAlign w:val="center"/>
            <w:hideMark/>
          </w:tcPr>
          <w:p w14:paraId="076F83E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1.096</w:t>
            </w:r>
          </w:p>
        </w:tc>
        <w:tc>
          <w:tcPr>
            <w:tcW w:w="999" w:type="dxa"/>
            <w:noWrap/>
            <w:vAlign w:val="center"/>
            <w:hideMark/>
          </w:tcPr>
          <w:p w14:paraId="5C23D78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0.676</w:t>
            </w:r>
          </w:p>
        </w:tc>
        <w:tc>
          <w:tcPr>
            <w:tcW w:w="665" w:type="dxa"/>
            <w:vMerge/>
            <w:tcBorders>
              <w:top w:val="single" w:sz="4" w:space="0" w:color="auto"/>
              <w:left w:val="nil"/>
              <w:bottom w:val="single" w:sz="4" w:space="0" w:color="auto"/>
              <w:right w:val="nil"/>
            </w:tcBorders>
            <w:vAlign w:val="center"/>
            <w:hideMark/>
          </w:tcPr>
          <w:p w14:paraId="6610797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11083C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119C2FF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FE8622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5B8F4F4D" w14:textId="77777777" w:rsidTr="000E48F1">
        <w:tc>
          <w:tcPr>
            <w:tcW w:w="1170" w:type="dxa"/>
            <w:tcBorders>
              <w:top w:val="nil"/>
              <w:left w:val="nil"/>
              <w:bottom w:val="single" w:sz="4" w:space="0" w:color="auto"/>
              <w:right w:val="nil"/>
            </w:tcBorders>
            <w:noWrap/>
            <w:vAlign w:val="bottom"/>
            <w:hideMark/>
          </w:tcPr>
          <w:p w14:paraId="6362E75B"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PN3</w:t>
            </w:r>
          </w:p>
        </w:tc>
        <w:tc>
          <w:tcPr>
            <w:tcW w:w="516" w:type="dxa"/>
            <w:tcBorders>
              <w:top w:val="nil"/>
              <w:left w:val="nil"/>
              <w:bottom w:val="single" w:sz="4" w:space="0" w:color="auto"/>
              <w:right w:val="nil"/>
            </w:tcBorders>
            <w:noWrap/>
            <w:vAlign w:val="bottom"/>
            <w:hideMark/>
          </w:tcPr>
          <w:p w14:paraId="64526CF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nil"/>
              <w:left w:val="nil"/>
              <w:bottom w:val="single" w:sz="4" w:space="0" w:color="auto"/>
              <w:right w:val="nil"/>
            </w:tcBorders>
            <w:noWrap/>
            <w:vAlign w:val="center"/>
            <w:hideMark/>
          </w:tcPr>
          <w:p w14:paraId="492C36E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3.531</w:t>
            </w:r>
          </w:p>
        </w:tc>
        <w:tc>
          <w:tcPr>
            <w:tcW w:w="666" w:type="dxa"/>
            <w:tcBorders>
              <w:top w:val="nil"/>
              <w:left w:val="nil"/>
              <w:bottom w:val="single" w:sz="4" w:space="0" w:color="auto"/>
              <w:right w:val="nil"/>
            </w:tcBorders>
            <w:noWrap/>
            <w:vAlign w:val="center"/>
            <w:hideMark/>
          </w:tcPr>
          <w:p w14:paraId="4042DB3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1.111</w:t>
            </w:r>
          </w:p>
        </w:tc>
        <w:tc>
          <w:tcPr>
            <w:tcW w:w="999" w:type="dxa"/>
            <w:tcBorders>
              <w:top w:val="nil"/>
              <w:left w:val="nil"/>
              <w:bottom w:val="single" w:sz="4" w:space="0" w:color="auto"/>
              <w:right w:val="nil"/>
            </w:tcBorders>
            <w:noWrap/>
            <w:vAlign w:val="center"/>
            <w:hideMark/>
          </w:tcPr>
          <w:p w14:paraId="5FE18A2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0.694</w:t>
            </w:r>
          </w:p>
        </w:tc>
        <w:tc>
          <w:tcPr>
            <w:tcW w:w="665" w:type="dxa"/>
            <w:vMerge/>
            <w:tcBorders>
              <w:top w:val="single" w:sz="4" w:space="0" w:color="auto"/>
              <w:left w:val="nil"/>
              <w:bottom w:val="single" w:sz="4" w:space="0" w:color="auto"/>
              <w:right w:val="nil"/>
            </w:tcBorders>
            <w:vAlign w:val="center"/>
            <w:hideMark/>
          </w:tcPr>
          <w:p w14:paraId="6A7DCF9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77918A0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256914E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bottom w:val="single" w:sz="4" w:space="0" w:color="auto"/>
              <w:right w:val="nil"/>
            </w:tcBorders>
          </w:tcPr>
          <w:p w14:paraId="4B5373D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0F38A8FF" w14:textId="77777777" w:rsidTr="000E48F1">
        <w:tc>
          <w:tcPr>
            <w:tcW w:w="1170" w:type="dxa"/>
            <w:tcBorders>
              <w:top w:val="single" w:sz="4" w:space="0" w:color="auto"/>
              <w:left w:val="nil"/>
              <w:bottom w:val="nil"/>
              <w:right w:val="nil"/>
            </w:tcBorders>
            <w:noWrap/>
            <w:vAlign w:val="bottom"/>
            <w:hideMark/>
          </w:tcPr>
          <w:p w14:paraId="23E21B29"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EWRBI1</w:t>
            </w:r>
          </w:p>
        </w:tc>
        <w:tc>
          <w:tcPr>
            <w:tcW w:w="516" w:type="dxa"/>
            <w:tcBorders>
              <w:top w:val="single" w:sz="4" w:space="0" w:color="auto"/>
              <w:left w:val="nil"/>
              <w:bottom w:val="nil"/>
              <w:right w:val="nil"/>
            </w:tcBorders>
            <w:noWrap/>
            <w:vAlign w:val="bottom"/>
            <w:hideMark/>
          </w:tcPr>
          <w:p w14:paraId="3438B3B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single" w:sz="4" w:space="0" w:color="auto"/>
              <w:left w:val="nil"/>
              <w:bottom w:val="nil"/>
              <w:right w:val="nil"/>
            </w:tcBorders>
            <w:noWrap/>
            <w:vAlign w:val="center"/>
            <w:hideMark/>
          </w:tcPr>
          <w:p w14:paraId="7E5403D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3.574</w:t>
            </w:r>
          </w:p>
        </w:tc>
        <w:tc>
          <w:tcPr>
            <w:tcW w:w="666" w:type="dxa"/>
            <w:tcBorders>
              <w:top w:val="single" w:sz="4" w:space="0" w:color="auto"/>
              <w:left w:val="nil"/>
              <w:bottom w:val="nil"/>
              <w:right w:val="nil"/>
            </w:tcBorders>
            <w:noWrap/>
            <w:vAlign w:val="center"/>
            <w:hideMark/>
          </w:tcPr>
          <w:p w14:paraId="7824596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1.110</w:t>
            </w:r>
          </w:p>
        </w:tc>
        <w:tc>
          <w:tcPr>
            <w:tcW w:w="999" w:type="dxa"/>
            <w:tcBorders>
              <w:top w:val="single" w:sz="4" w:space="0" w:color="auto"/>
              <w:left w:val="nil"/>
              <w:bottom w:val="nil"/>
              <w:right w:val="nil"/>
            </w:tcBorders>
            <w:noWrap/>
            <w:vAlign w:val="center"/>
            <w:hideMark/>
          </w:tcPr>
          <w:p w14:paraId="25876A1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0.459</w:t>
            </w:r>
          </w:p>
        </w:tc>
        <w:tc>
          <w:tcPr>
            <w:tcW w:w="665" w:type="dxa"/>
            <w:vMerge w:val="restart"/>
            <w:tcBorders>
              <w:top w:val="single" w:sz="4" w:space="0" w:color="auto"/>
              <w:left w:val="nil"/>
              <w:bottom w:val="single" w:sz="4" w:space="0" w:color="auto"/>
              <w:right w:val="nil"/>
            </w:tcBorders>
            <w:noWrap/>
            <w:vAlign w:val="center"/>
            <w:hideMark/>
          </w:tcPr>
          <w:p w14:paraId="56FCBBF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w:t>
            </w:r>
          </w:p>
        </w:tc>
        <w:tc>
          <w:tcPr>
            <w:tcW w:w="630" w:type="dxa"/>
            <w:vMerge w:val="restart"/>
            <w:tcBorders>
              <w:top w:val="single" w:sz="4" w:space="0" w:color="auto"/>
              <w:left w:val="nil"/>
              <w:bottom w:val="single" w:sz="4" w:space="0" w:color="auto"/>
              <w:right w:val="nil"/>
            </w:tcBorders>
            <w:noWrap/>
            <w:vAlign w:val="center"/>
            <w:hideMark/>
          </w:tcPr>
          <w:p w14:paraId="38C37F2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0.64</w:t>
            </w:r>
          </w:p>
        </w:tc>
        <w:tc>
          <w:tcPr>
            <w:tcW w:w="1260" w:type="dxa"/>
            <w:vMerge w:val="restart"/>
            <w:tcBorders>
              <w:top w:val="single" w:sz="4" w:space="0" w:color="auto"/>
              <w:left w:val="nil"/>
              <w:bottom w:val="single" w:sz="4" w:space="0" w:color="auto"/>
              <w:right w:val="nil"/>
            </w:tcBorders>
            <w:noWrap/>
            <w:vAlign w:val="center"/>
            <w:hideMark/>
          </w:tcPr>
          <w:p w14:paraId="3EF2744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w:t>
            </w:r>
          </w:p>
        </w:tc>
        <w:tc>
          <w:tcPr>
            <w:tcW w:w="889" w:type="dxa"/>
            <w:vMerge w:val="restart"/>
            <w:tcBorders>
              <w:top w:val="single" w:sz="4" w:space="0" w:color="auto"/>
              <w:left w:val="nil"/>
              <w:right w:val="nil"/>
            </w:tcBorders>
            <w:vAlign w:val="center"/>
          </w:tcPr>
          <w:p w14:paraId="7664AC7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0.964</w:t>
            </w:r>
          </w:p>
        </w:tc>
      </w:tr>
      <w:tr w:rsidR="00E95630" w:rsidRPr="00597FFB" w14:paraId="0D96AEED" w14:textId="77777777" w:rsidTr="000E48F1">
        <w:tc>
          <w:tcPr>
            <w:tcW w:w="1170" w:type="dxa"/>
            <w:noWrap/>
            <w:vAlign w:val="bottom"/>
            <w:hideMark/>
          </w:tcPr>
          <w:p w14:paraId="0BB803CD"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EWRBI2</w:t>
            </w:r>
          </w:p>
        </w:tc>
        <w:tc>
          <w:tcPr>
            <w:tcW w:w="516" w:type="dxa"/>
            <w:noWrap/>
            <w:vAlign w:val="bottom"/>
            <w:hideMark/>
          </w:tcPr>
          <w:p w14:paraId="2D7675B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348DACD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3.511</w:t>
            </w:r>
          </w:p>
        </w:tc>
        <w:tc>
          <w:tcPr>
            <w:tcW w:w="666" w:type="dxa"/>
            <w:noWrap/>
            <w:vAlign w:val="center"/>
            <w:hideMark/>
          </w:tcPr>
          <w:p w14:paraId="3A2C8E0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1.190</w:t>
            </w:r>
          </w:p>
        </w:tc>
        <w:tc>
          <w:tcPr>
            <w:tcW w:w="999" w:type="dxa"/>
            <w:noWrap/>
            <w:vAlign w:val="center"/>
            <w:hideMark/>
          </w:tcPr>
          <w:p w14:paraId="5A512E7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0.540</w:t>
            </w:r>
          </w:p>
        </w:tc>
        <w:tc>
          <w:tcPr>
            <w:tcW w:w="665" w:type="dxa"/>
            <w:vMerge/>
            <w:tcBorders>
              <w:top w:val="single" w:sz="4" w:space="0" w:color="auto"/>
              <w:left w:val="nil"/>
              <w:bottom w:val="single" w:sz="4" w:space="0" w:color="auto"/>
              <w:right w:val="nil"/>
            </w:tcBorders>
            <w:vAlign w:val="center"/>
            <w:hideMark/>
          </w:tcPr>
          <w:p w14:paraId="777013C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1B3618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79B166B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5BE38D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679C5480" w14:textId="77777777" w:rsidTr="000E48F1">
        <w:tc>
          <w:tcPr>
            <w:tcW w:w="1170" w:type="dxa"/>
            <w:noWrap/>
            <w:vAlign w:val="bottom"/>
            <w:hideMark/>
          </w:tcPr>
          <w:p w14:paraId="68C17D62"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EWRBI3</w:t>
            </w:r>
          </w:p>
        </w:tc>
        <w:tc>
          <w:tcPr>
            <w:tcW w:w="516" w:type="dxa"/>
            <w:noWrap/>
            <w:vAlign w:val="bottom"/>
            <w:hideMark/>
          </w:tcPr>
          <w:p w14:paraId="61F3F6C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674F633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3.521</w:t>
            </w:r>
          </w:p>
        </w:tc>
        <w:tc>
          <w:tcPr>
            <w:tcW w:w="666" w:type="dxa"/>
            <w:noWrap/>
            <w:vAlign w:val="center"/>
            <w:hideMark/>
          </w:tcPr>
          <w:p w14:paraId="6B9E524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1.172</w:t>
            </w:r>
          </w:p>
        </w:tc>
        <w:tc>
          <w:tcPr>
            <w:tcW w:w="999" w:type="dxa"/>
            <w:noWrap/>
            <w:vAlign w:val="center"/>
            <w:hideMark/>
          </w:tcPr>
          <w:p w14:paraId="33C66B9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0.687</w:t>
            </w:r>
          </w:p>
        </w:tc>
        <w:tc>
          <w:tcPr>
            <w:tcW w:w="665" w:type="dxa"/>
            <w:vMerge/>
            <w:tcBorders>
              <w:top w:val="single" w:sz="4" w:space="0" w:color="auto"/>
              <w:left w:val="nil"/>
              <w:bottom w:val="single" w:sz="4" w:space="0" w:color="auto"/>
              <w:right w:val="nil"/>
            </w:tcBorders>
            <w:vAlign w:val="center"/>
            <w:hideMark/>
          </w:tcPr>
          <w:p w14:paraId="5E197F8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133D4BF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3196E20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0469BDA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4B79C61F" w14:textId="77777777" w:rsidTr="000E48F1">
        <w:tc>
          <w:tcPr>
            <w:tcW w:w="1170" w:type="dxa"/>
            <w:noWrap/>
            <w:vAlign w:val="bottom"/>
            <w:hideMark/>
          </w:tcPr>
          <w:p w14:paraId="7362A73C"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EWRBI4</w:t>
            </w:r>
          </w:p>
        </w:tc>
        <w:tc>
          <w:tcPr>
            <w:tcW w:w="516" w:type="dxa"/>
            <w:noWrap/>
            <w:vAlign w:val="bottom"/>
            <w:hideMark/>
          </w:tcPr>
          <w:p w14:paraId="2AB6A8D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3C78770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3.533</w:t>
            </w:r>
          </w:p>
        </w:tc>
        <w:tc>
          <w:tcPr>
            <w:tcW w:w="666" w:type="dxa"/>
            <w:noWrap/>
            <w:vAlign w:val="center"/>
            <w:hideMark/>
          </w:tcPr>
          <w:p w14:paraId="747A49F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1.205</w:t>
            </w:r>
          </w:p>
        </w:tc>
        <w:tc>
          <w:tcPr>
            <w:tcW w:w="999" w:type="dxa"/>
            <w:noWrap/>
            <w:vAlign w:val="center"/>
            <w:hideMark/>
          </w:tcPr>
          <w:p w14:paraId="1274521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0.688</w:t>
            </w:r>
          </w:p>
        </w:tc>
        <w:tc>
          <w:tcPr>
            <w:tcW w:w="665" w:type="dxa"/>
            <w:vMerge/>
            <w:tcBorders>
              <w:top w:val="single" w:sz="4" w:space="0" w:color="auto"/>
              <w:left w:val="nil"/>
              <w:bottom w:val="single" w:sz="4" w:space="0" w:color="auto"/>
              <w:right w:val="nil"/>
            </w:tcBorders>
            <w:vAlign w:val="center"/>
            <w:hideMark/>
          </w:tcPr>
          <w:p w14:paraId="137DE93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60699B6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E7CB5B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154C0EB"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B93C6F3" w14:textId="77777777" w:rsidTr="000E48F1">
        <w:tc>
          <w:tcPr>
            <w:tcW w:w="1170" w:type="dxa"/>
            <w:noWrap/>
            <w:vAlign w:val="bottom"/>
            <w:hideMark/>
          </w:tcPr>
          <w:p w14:paraId="19B2696F"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EWRBI5</w:t>
            </w:r>
          </w:p>
        </w:tc>
        <w:tc>
          <w:tcPr>
            <w:tcW w:w="516" w:type="dxa"/>
            <w:noWrap/>
            <w:vAlign w:val="bottom"/>
            <w:hideMark/>
          </w:tcPr>
          <w:p w14:paraId="6C83767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0A6423A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3.537</w:t>
            </w:r>
          </w:p>
        </w:tc>
        <w:tc>
          <w:tcPr>
            <w:tcW w:w="666" w:type="dxa"/>
            <w:noWrap/>
            <w:vAlign w:val="center"/>
            <w:hideMark/>
          </w:tcPr>
          <w:p w14:paraId="3EB8532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1.224</w:t>
            </w:r>
          </w:p>
        </w:tc>
        <w:tc>
          <w:tcPr>
            <w:tcW w:w="999" w:type="dxa"/>
            <w:noWrap/>
            <w:vAlign w:val="center"/>
            <w:hideMark/>
          </w:tcPr>
          <w:p w14:paraId="405B9DD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0.695</w:t>
            </w:r>
          </w:p>
        </w:tc>
        <w:tc>
          <w:tcPr>
            <w:tcW w:w="665" w:type="dxa"/>
            <w:vMerge/>
            <w:tcBorders>
              <w:top w:val="single" w:sz="4" w:space="0" w:color="auto"/>
              <w:left w:val="nil"/>
              <w:bottom w:val="single" w:sz="4" w:space="0" w:color="auto"/>
              <w:right w:val="nil"/>
            </w:tcBorders>
            <w:vAlign w:val="center"/>
            <w:hideMark/>
          </w:tcPr>
          <w:p w14:paraId="15C33FAA"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7E6E083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5E3E0D4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0D9155C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43379647" w14:textId="77777777" w:rsidTr="000E48F1">
        <w:tc>
          <w:tcPr>
            <w:tcW w:w="1170" w:type="dxa"/>
            <w:noWrap/>
            <w:vAlign w:val="bottom"/>
            <w:hideMark/>
          </w:tcPr>
          <w:p w14:paraId="0F441918"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EWRBI6</w:t>
            </w:r>
          </w:p>
        </w:tc>
        <w:tc>
          <w:tcPr>
            <w:tcW w:w="516" w:type="dxa"/>
            <w:noWrap/>
            <w:vAlign w:val="bottom"/>
            <w:hideMark/>
          </w:tcPr>
          <w:p w14:paraId="428365C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45E3E4F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3.545</w:t>
            </w:r>
          </w:p>
        </w:tc>
        <w:tc>
          <w:tcPr>
            <w:tcW w:w="666" w:type="dxa"/>
            <w:noWrap/>
            <w:vAlign w:val="center"/>
            <w:hideMark/>
          </w:tcPr>
          <w:p w14:paraId="52D3027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1.149</w:t>
            </w:r>
          </w:p>
        </w:tc>
        <w:tc>
          <w:tcPr>
            <w:tcW w:w="999" w:type="dxa"/>
            <w:noWrap/>
            <w:vAlign w:val="center"/>
            <w:hideMark/>
          </w:tcPr>
          <w:p w14:paraId="04124DF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0.733</w:t>
            </w:r>
          </w:p>
        </w:tc>
        <w:tc>
          <w:tcPr>
            <w:tcW w:w="665" w:type="dxa"/>
            <w:vMerge/>
            <w:tcBorders>
              <w:top w:val="single" w:sz="4" w:space="0" w:color="auto"/>
              <w:left w:val="nil"/>
              <w:bottom w:val="single" w:sz="4" w:space="0" w:color="auto"/>
              <w:right w:val="nil"/>
            </w:tcBorders>
            <w:vAlign w:val="center"/>
            <w:hideMark/>
          </w:tcPr>
          <w:p w14:paraId="4D45180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6EB7999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148BEF8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5771C8F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749D3216" w14:textId="77777777" w:rsidTr="000E48F1">
        <w:tc>
          <w:tcPr>
            <w:tcW w:w="1170" w:type="dxa"/>
            <w:noWrap/>
            <w:vAlign w:val="bottom"/>
            <w:hideMark/>
          </w:tcPr>
          <w:p w14:paraId="468D06DF"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EWRBI7</w:t>
            </w:r>
          </w:p>
        </w:tc>
        <w:tc>
          <w:tcPr>
            <w:tcW w:w="516" w:type="dxa"/>
            <w:noWrap/>
            <w:vAlign w:val="bottom"/>
            <w:hideMark/>
          </w:tcPr>
          <w:p w14:paraId="2B4D742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504</w:t>
            </w:r>
          </w:p>
        </w:tc>
        <w:tc>
          <w:tcPr>
            <w:tcW w:w="754" w:type="dxa"/>
            <w:noWrap/>
            <w:vAlign w:val="center"/>
            <w:hideMark/>
          </w:tcPr>
          <w:p w14:paraId="556CC4A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3.478</w:t>
            </w:r>
          </w:p>
        </w:tc>
        <w:tc>
          <w:tcPr>
            <w:tcW w:w="666" w:type="dxa"/>
            <w:noWrap/>
            <w:vAlign w:val="center"/>
            <w:hideMark/>
          </w:tcPr>
          <w:p w14:paraId="48C1B42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1.171</w:t>
            </w:r>
          </w:p>
        </w:tc>
        <w:tc>
          <w:tcPr>
            <w:tcW w:w="999" w:type="dxa"/>
            <w:noWrap/>
            <w:vAlign w:val="center"/>
            <w:hideMark/>
          </w:tcPr>
          <w:p w14:paraId="4A2A1D4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0.738</w:t>
            </w:r>
          </w:p>
        </w:tc>
        <w:tc>
          <w:tcPr>
            <w:tcW w:w="665" w:type="dxa"/>
            <w:vMerge/>
            <w:tcBorders>
              <w:top w:val="single" w:sz="4" w:space="0" w:color="auto"/>
              <w:left w:val="nil"/>
              <w:bottom w:val="single" w:sz="4" w:space="0" w:color="auto"/>
              <w:right w:val="nil"/>
            </w:tcBorders>
            <w:vAlign w:val="center"/>
            <w:hideMark/>
          </w:tcPr>
          <w:p w14:paraId="4CB315F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0D5DD23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6357222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0C65AF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243BC7D7" w14:textId="77777777" w:rsidTr="000E48F1">
        <w:tc>
          <w:tcPr>
            <w:tcW w:w="1170" w:type="dxa"/>
            <w:tcBorders>
              <w:top w:val="nil"/>
              <w:left w:val="nil"/>
              <w:bottom w:val="single" w:sz="4" w:space="0" w:color="auto"/>
              <w:right w:val="nil"/>
            </w:tcBorders>
            <w:noWrap/>
            <w:vAlign w:val="bottom"/>
            <w:hideMark/>
          </w:tcPr>
          <w:p w14:paraId="4D976D34"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EWRBI8</w:t>
            </w:r>
          </w:p>
        </w:tc>
        <w:tc>
          <w:tcPr>
            <w:tcW w:w="516" w:type="dxa"/>
            <w:tcBorders>
              <w:top w:val="nil"/>
              <w:left w:val="nil"/>
              <w:bottom w:val="single" w:sz="4" w:space="0" w:color="auto"/>
              <w:right w:val="nil"/>
            </w:tcBorders>
            <w:noWrap/>
            <w:vAlign w:val="bottom"/>
            <w:hideMark/>
          </w:tcPr>
          <w:p w14:paraId="45453D6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nil"/>
              <w:left w:val="nil"/>
              <w:bottom w:val="single" w:sz="4" w:space="0" w:color="auto"/>
              <w:right w:val="nil"/>
            </w:tcBorders>
            <w:noWrap/>
            <w:vAlign w:val="center"/>
            <w:hideMark/>
          </w:tcPr>
          <w:p w14:paraId="0C52812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3.448</w:t>
            </w:r>
          </w:p>
        </w:tc>
        <w:tc>
          <w:tcPr>
            <w:tcW w:w="666" w:type="dxa"/>
            <w:tcBorders>
              <w:top w:val="nil"/>
              <w:left w:val="nil"/>
              <w:bottom w:val="single" w:sz="4" w:space="0" w:color="auto"/>
              <w:right w:val="nil"/>
            </w:tcBorders>
            <w:noWrap/>
            <w:vAlign w:val="center"/>
            <w:hideMark/>
          </w:tcPr>
          <w:p w14:paraId="54306C2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1.086</w:t>
            </w:r>
          </w:p>
        </w:tc>
        <w:tc>
          <w:tcPr>
            <w:tcW w:w="999" w:type="dxa"/>
            <w:tcBorders>
              <w:top w:val="nil"/>
              <w:left w:val="nil"/>
              <w:bottom w:val="single" w:sz="4" w:space="0" w:color="auto"/>
              <w:right w:val="nil"/>
            </w:tcBorders>
            <w:noWrap/>
            <w:vAlign w:val="center"/>
            <w:hideMark/>
          </w:tcPr>
          <w:p w14:paraId="60B1477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0.567</w:t>
            </w:r>
          </w:p>
        </w:tc>
        <w:tc>
          <w:tcPr>
            <w:tcW w:w="665" w:type="dxa"/>
            <w:vMerge/>
            <w:tcBorders>
              <w:top w:val="single" w:sz="4" w:space="0" w:color="auto"/>
              <w:left w:val="nil"/>
              <w:bottom w:val="single" w:sz="4" w:space="0" w:color="auto"/>
              <w:right w:val="nil"/>
            </w:tcBorders>
            <w:vAlign w:val="center"/>
            <w:hideMark/>
          </w:tcPr>
          <w:p w14:paraId="0C0E93E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64C638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5B91FEE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bottom w:val="single" w:sz="4" w:space="0" w:color="auto"/>
              <w:right w:val="nil"/>
            </w:tcBorders>
          </w:tcPr>
          <w:p w14:paraId="0AEC3F0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2B40A2E4" w14:textId="77777777" w:rsidTr="000E48F1">
        <w:tc>
          <w:tcPr>
            <w:tcW w:w="1170" w:type="dxa"/>
            <w:tcBorders>
              <w:top w:val="single" w:sz="4" w:space="0" w:color="auto"/>
              <w:left w:val="nil"/>
              <w:bottom w:val="nil"/>
              <w:right w:val="nil"/>
            </w:tcBorders>
            <w:noWrap/>
            <w:vAlign w:val="bottom"/>
            <w:hideMark/>
          </w:tcPr>
          <w:p w14:paraId="246E4F16"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w:t>
            </w:r>
          </w:p>
        </w:tc>
        <w:tc>
          <w:tcPr>
            <w:tcW w:w="516" w:type="dxa"/>
            <w:tcBorders>
              <w:top w:val="single" w:sz="4" w:space="0" w:color="auto"/>
              <w:left w:val="nil"/>
              <w:bottom w:val="nil"/>
              <w:right w:val="nil"/>
            </w:tcBorders>
            <w:noWrap/>
            <w:vAlign w:val="bottom"/>
            <w:hideMark/>
          </w:tcPr>
          <w:p w14:paraId="36DCB98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single" w:sz="4" w:space="0" w:color="auto"/>
              <w:left w:val="nil"/>
              <w:bottom w:val="nil"/>
              <w:right w:val="nil"/>
            </w:tcBorders>
            <w:noWrap/>
            <w:vAlign w:val="center"/>
            <w:hideMark/>
          </w:tcPr>
          <w:p w14:paraId="4CC5AB1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3.495</w:t>
            </w:r>
          </w:p>
        </w:tc>
        <w:tc>
          <w:tcPr>
            <w:tcW w:w="666" w:type="dxa"/>
            <w:tcBorders>
              <w:top w:val="single" w:sz="4" w:space="0" w:color="auto"/>
              <w:left w:val="nil"/>
              <w:bottom w:val="nil"/>
              <w:right w:val="nil"/>
            </w:tcBorders>
            <w:noWrap/>
            <w:vAlign w:val="center"/>
            <w:hideMark/>
          </w:tcPr>
          <w:p w14:paraId="564226D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1.104</w:t>
            </w:r>
          </w:p>
        </w:tc>
        <w:tc>
          <w:tcPr>
            <w:tcW w:w="999" w:type="dxa"/>
            <w:tcBorders>
              <w:top w:val="single" w:sz="4" w:space="0" w:color="auto"/>
              <w:left w:val="nil"/>
              <w:bottom w:val="nil"/>
              <w:right w:val="nil"/>
            </w:tcBorders>
            <w:noWrap/>
            <w:vAlign w:val="center"/>
            <w:hideMark/>
          </w:tcPr>
          <w:p w14:paraId="42D7EB0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0.684</w:t>
            </w:r>
          </w:p>
        </w:tc>
        <w:tc>
          <w:tcPr>
            <w:tcW w:w="665" w:type="dxa"/>
            <w:vMerge w:val="restart"/>
            <w:tcBorders>
              <w:top w:val="single" w:sz="4" w:space="0" w:color="auto"/>
              <w:left w:val="nil"/>
              <w:bottom w:val="single" w:sz="4" w:space="0" w:color="auto"/>
              <w:right w:val="nil"/>
            </w:tcBorders>
            <w:noWrap/>
            <w:vAlign w:val="center"/>
            <w:hideMark/>
          </w:tcPr>
          <w:p w14:paraId="705F5F5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w:t>
            </w:r>
          </w:p>
        </w:tc>
        <w:tc>
          <w:tcPr>
            <w:tcW w:w="630" w:type="dxa"/>
            <w:vMerge w:val="restart"/>
            <w:tcBorders>
              <w:top w:val="single" w:sz="4" w:space="0" w:color="auto"/>
              <w:left w:val="nil"/>
              <w:bottom w:val="single" w:sz="4" w:space="0" w:color="auto"/>
              <w:right w:val="nil"/>
            </w:tcBorders>
            <w:noWrap/>
            <w:vAlign w:val="center"/>
            <w:hideMark/>
          </w:tcPr>
          <w:p w14:paraId="15D9DF4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0.55</w:t>
            </w:r>
          </w:p>
        </w:tc>
        <w:tc>
          <w:tcPr>
            <w:tcW w:w="1260" w:type="dxa"/>
            <w:vMerge w:val="restart"/>
            <w:tcBorders>
              <w:top w:val="single" w:sz="4" w:space="0" w:color="auto"/>
              <w:left w:val="nil"/>
              <w:bottom w:val="single" w:sz="4" w:space="0" w:color="auto"/>
              <w:right w:val="nil"/>
            </w:tcBorders>
            <w:noWrap/>
            <w:vAlign w:val="center"/>
            <w:hideMark/>
          </w:tcPr>
          <w:p w14:paraId="6258847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0.95</w:t>
            </w:r>
          </w:p>
        </w:tc>
        <w:tc>
          <w:tcPr>
            <w:tcW w:w="889" w:type="dxa"/>
            <w:vMerge w:val="restart"/>
            <w:tcBorders>
              <w:top w:val="single" w:sz="4" w:space="0" w:color="auto"/>
              <w:left w:val="nil"/>
              <w:right w:val="nil"/>
            </w:tcBorders>
            <w:vAlign w:val="center"/>
          </w:tcPr>
          <w:p w14:paraId="78DF580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0.975</w:t>
            </w:r>
          </w:p>
        </w:tc>
      </w:tr>
      <w:tr w:rsidR="00E95630" w:rsidRPr="00597FFB" w14:paraId="179A47B2" w14:textId="77777777" w:rsidTr="000E48F1">
        <w:tc>
          <w:tcPr>
            <w:tcW w:w="1170" w:type="dxa"/>
            <w:noWrap/>
            <w:vAlign w:val="bottom"/>
            <w:hideMark/>
          </w:tcPr>
          <w:p w14:paraId="69B5CE08"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PC2</w:t>
            </w:r>
          </w:p>
        </w:tc>
        <w:tc>
          <w:tcPr>
            <w:tcW w:w="516" w:type="dxa"/>
            <w:noWrap/>
            <w:vAlign w:val="bottom"/>
            <w:hideMark/>
          </w:tcPr>
          <w:p w14:paraId="7EADF48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7289CC6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3.549</w:t>
            </w:r>
          </w:p>
        </w:tc>
        <w:tc>
          <w:tcPr>
            <w:tcW w:w="666" w:type="dxa"/>
            <w:noWrap/>
            <w:vAlign w:val="center"/>
            <w:hideMark/>
          </w:tcPr>
          <w:p w14:paraId="2B73A00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1.135</w:t>
            </w:r>
          </w:p>
        </w:tc>
        <w:tc>
          <w:tcPr>
            <w:tcW w:w="999" w:type="dxa"/>
            <w:noWrap/>
            <w:vAlign w:val="center"/>
            <w:hideMark/>
          </w:tcPr>
          <w:p w14:paraId="0DCE015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0.672</w:t>
            </w:r>
          </w:p>
        </w:tc>
        <w:tc>
          <w:tcPr>
            <w:tcW w:w="665" w:type="dxa"/>
            <w:vMerge/>
            <w:tcBorders>
              <w:top w:val="single" w:sz="4" w:space="0" w:color="auto"/>
              <w:left w:val="nil"/>
              <w:bottom w:val="single" w:sz="4" w:space="0" w:color="auto"/>
              <w:right w:val="nil"/>
            </w:tcBorders>
            <w:vAlign w:val="center"/>
            <w:hideMark/>
          </w:tcPr>
          <w:p w14:paraId="3315F1D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6BEBCEB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5067691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A36E92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CD6ED6C" w14:textId="77777777" w:rsidTr="000E48F1">
        <w:tc>
          <w:tcPr>
            <w:tcW w:w="1170" w:type="dxa"/>
            <w:noWrap/>
            <w:vAlign w:val="bottom"/>
            <w:hideMark/>
          </w:tcPr>
          <w:p w14:paraId="14BD2DB1"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PC3</w:t>
            </w:r>
          </w:p>
        </w:tc>
        <w:tc>
          <w:tcPr>
            <w:tcW w:w="516" w:type="dxa"/>
            <w:noWrap/>
            <w:vAlign w:val="bottom"/>
            <w:hideMark/>
          </w:tcPr>
          <w:p w14:paraId="388E915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506B106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3.507</w:t>
            </w:r>
          </w:p>
        </w:tc>
        <w:tc>
          <w:tcPr>
            <w:tcW w:w="666" w:type="dxa"/>
            <w:noWrap/>
            <w:vAlign w:val="center"/>
            <w:hideMark/>
          </w:tcPr>
          <w:p w14:paraId="3661DA3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1.143</w:t>
            </w:r>
          </w:p>
        </w:tc>
        <w:tc>
          <w:tcPr>
            <w:tcW w:w="999" w:type="dxa"/>
            <w:noWrap/>
            <w:vAlign w:val="center"/>
            <w:hideMark/>
          </w:tcPr>
          <w:p w14:paraId="62FC9DA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0.700</w:t>
            </w:r>
          </w:p>
        </w:tc>
        <w:tc>
          <w:tcPr>
            <w:tcW w:w="665" w:type="dxa"/>
            <w:vMerge/>
            <w:tcBorders>
              <w:top w:val="single" w:sz="4" w:space="0" w:color="auto"/>
              <w:left w:val="nil"/>
              <w:bottom w:val="single" w:sz="4" w:space="0" w:color="auto"/>
              <w:right w:val="nil"/>
            </w:tcBorders>
            <w:vAlign w:val="center"/>
            <w:hideMark/>
          </w:tcPr>
          <w:p w14:paraId="1038382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57CF040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3BD9CAB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D43CB31"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551710AF" w14:textId="77777777" w:rsidTr="000E48F1">
        <w:tc>
          <w:tcPr>
            <w:tcW w:w="1170" w:type="dxa"/>
            <w:noWrap/>
            <w:vAlign w:val="bottom"/>
            <w:hideMark/>
          </w:tcPr>
          <w:p w14:paraId="7C5EFACF"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PC4</w:t>
            </w:r>
          </w:p>
        </w:tc>
        <w:tc>
          <w:tcPr>
            <w:tcW w:w="516" w:type="dxa"/>
            <w:noWrap/>
            <w:vAlign w:val="bottom"/>
            <w:hideMark/>
          </w:tcPr>
          <w:p w14:paraId="62C8C857"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4BBA963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3.533</w:t>
            </w:r>
          </w:p>
        </w:tc>
        <w:tc>
          <w:tcPr>
            <w:tcW w:w="666" w:type="dxa"/>
            <w:noWrap/>
            <w:vAlign w:val="center"/>
            <w:hideMark/>
          </w:tcPr>
          <w:p w14:paraId="5022537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1.153</w:t>
            </w:r>
          </w:p>
        </w:tc>
        <w:tc>
          <w:tcPr>
            <w:tcW w:w="999" w:type="dxa"/>
            <w:noWrap/>
            <w:vAlign w:val="center"/>
            <w:hideMark/>
          </w:tcPr>
          <w:p w14:paraId="4FE8C3A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0.691</w:t>
            </w:r>
          </w:p>
        </w:tc>
        <w:tc>
          <w:tcPr>
            <w:tcW w:w="665" w:type="dxa"/>
            <w:vMerge/>
            <w:tcBorders>
              <w:top w:val="single" w:sz="4" w:space="0" w:color="auto"/>
              <w:left w:val="nil"/>
              <w:bottom w:val="single" w:sz="4" w:space="0" w:color="auto"/>
              <w:right w:val="nil"/>
            </w:tcBorders>
            <w:vAlign w:val="center"/>
            <w:hideMark/>
          </w:tcPr>
          <w:p w14:paraId="2FA6220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137429E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6A78681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83D5C9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571AF31D" w14:textId="77777777" w:rsidTr="000E48F1">
        <w:tc>
          <w:tcPr>
            <w:tcW w:w="1170" w:type="dxa"/>
            <w:noWrap/>
            <w:vAlign w:val="bottom"/>
            <w:hideMark/>
          </w:tcPr>
          <w:p w14:paraId="70E7EA01"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PC5</w:t>
            </w:r>
          </w:p>
        </w:tc>
        <w:tc>
          <w:tcPr>
            <w:tcW w:w="516" w:type="dxa"/>
            <w:noWrap/>
            <w:vAlign w:val="bottom"/>
            <w:hideMark/>
          </w:tcPr>
          <w:p w14:paraId="0C091FC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5515C3A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3.556</w:t>
            </w:r>
          </w:p>
        </w:tc>
        <w:tc>
          <w:tcPr>
            <w:tcW w:w="666" w:type="dxa"/>
            <w:noWrap/>
            <w:vAlign w:val="center"/>
            <w:hideMark/>
          </w:tcPr>
          <w:p w14:paraId="3EFECE4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1.160</w:t>
            </w:r>
          </w:p>
        </w:tc>
        <w:tc>
          <w:tcPr>
            <w:tcW w:w="999" w:type="dxa"/>
            <w:noWrap/>
            <w:vAlign w:val="center"/>
            <w:hideMark/>
          </w:tcPr>
          <w:p w14:paraId="503B7A7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0.711</w:t>
            </w:r>
          </w:p>
        </w:tc>
        <w:tc>
          <w:tcPr>
            <w:tcW w:w="665" w:type="dxa"/>
            <w:vMerge/>
            <w:tcBorders>
              <w:top w:val="single" w:sz="4" w:space="0" w:color="auto"/>
              <w:left w:val="nil"/>
              <w:bottom w:val="single" w:sz="4" w:space="0" w:color="auto"/>
              <w:right w:val="nil"/>
            </w:tcBorders>
            <w:vAlign w:val="center"/>
            <w:hideMark/>
          </w:tcPr>
          <w:p w14:paraId="14D6F650"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15B419E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3953822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53B4B89B"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430D8E12" w14:textId="77777777" w:rsidTr="000E48F1">
        <w:tc>
          <w:tcPr>
            <w:tcW w:w="1170" w:type="dxa"/>
            <w:noWrap/>
            <w:vAlign w:val="bottom"/>
            <w:hideMark/>
          </w:tcPr>
          <w:p w14:paraId="3FED9373"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PC6</w:t>
            </w:r>
          </w:p>
        </w:tc>
        <w:tc>
          <w:tcPr>
            <w:tcW w:w="516" w:type="dxa"/>
            <w:noWrap/>
            <w:vAlign w:val="bottom"/>
            <w:hideMark/>
          </w:tcPr>
          <w:p w14:paraId="183E7C8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303CAB3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3.549</w:t>
            </w:r>
          </w:p>
        </w:tc>
        <w:tc>
          <w:tcPr>
            <w:tcW w:w="666" w:type="dxa"/>
            <w:noWrap/>
            <w:vAlign w:val="center"/>
            <w:hideMark/>
          </w:tcPr>
          <w:p w14:paraId="2280A10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1.130</w:t>
            </w:r>
          </w:p>
        </w:tc>
        <w:tc>
          <w:tcPr>
            <w:tcW w:w="999" w:type="dxa"/>
            <w:noWrap/>
            <w:vAlign w:val="center"/>
            <w:hideMark/>
          </w:tcPr>
          <w:p w14:paraId="3BAECA7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0.713</w:t>
            </w:r>
          </w:p>
        </w:tc>
        <w:tc>
          <w:tcPr>
            <w:tcW w:w="665" w:type="dxa"/>
            <w:vMerge/>
            <w:tcBorders>
              <w:top w:val="single" w:sz="4" w:space="0" w:color="auto"/>
              <w:left w:val="nil"/>
              <w:bottom w:val="single" w:sz="4" w:space="0" w:color="auto"/>
              <w:right w:val="nil"/>
            </w:tcBorders>
            <w:vAlign w:val="center"/>
            <w:hideMark/>
          </w:tcPr>
          <w:p w14:paraId="3B9AC65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3BB7185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7A2ED38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71757B71"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5EB0F37D" w14:textId="77777777" w:rsidTr="000E48F1">
        <w:tc>
          <w:tcPr>
            <w:tcW w:w="1170" w:type="dxa"/>
            <w:noWrap/>
            <w:vAlign w:val="bottom"/>
            <w:hideMark/>
          </w:tcPr>
          <w:p w14:paraId="7A10114B"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PC7</w:t>
            </w:r>
          </w:p>
        </w:tc>
        <w:tc>
          <w:tcPr>
            <w:tcW w:w="516" w:type="dxa"/>
            <w:noWrap/>
            <w:vAlign w:val="bottom"/>
            <w:hideMark/>
          </w:tcPr>
          <w:p w14:paraId="5574526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6A89D91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3.521</w:t>
            </w:r>
          </w:p>
        </w:tc>
        <w:tc>
          <w:tcPr>
            <w:tcW w:w="666" w:type="dxa"/>
            <w:noWrap/>
            <w:vAlign w:val="center"/>
            <w:hideMark/>
          </w:tcPr>
          <w:p w14:paraId="455B010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1.160</w:t>
            </w:r>
          </w:p>
        </w:tc>
        <w:tc>
          <w:tcPr>
            <w:tcW w:w="999" w:type="dxa"/>
            <w:noWrap/>
            <w:vAlign w:val="center"/>
            <w:hideMark/>
          </w:tcPr>
          <w:p w14:paraId="4F426A8A"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0.703</w:t>
            </w:r>
          </w:p>
        </w:tc>
        <w:tc>
          <w:tcPr>
            <w:tcW w:w="665" w:type="dxa"/>
            <w:vMerge/>
            <w:tcBorders>
              <w:top w:val="single" w:sz="4" w:space="0" w:color="auto"/>
              <w:left w:val="nil"/>
              <w:bottom w:val="single" w:sz="4" w:space="0" w:color="auto"/>
              <w:right w:val="nil"/>
            </w:tcBorders>
            <w:vAlign w:val="center"/>
            <w:hideMark/>
          </w:tcPr>
          <w:p w14:paraId="41FE0E8B"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4A80BF3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83571B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455811D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7DF7511" w14:textId="77777777" w:rsidTr="000E48F1">
        <w:tc>
          <w:tcPr>
            <w:tcW w:w="1170" w:type="dxa"/>
            <w:noWrap/>
            <w:vAlign w:val="bottom"/>
            <w:hideMark/>
          </w:tcPr>
          <w:p w14:paraId="4579FDD1"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PC8</w:t>
            </w:r>
          </w:p>
        </w:tc>
        <w:tc>
          <w:tcPr>
            <w:tcW w:w="516" w:type="dxa"/>
            <w:noWrap/>
            <w:vAlign w:val="bottom"/>
            <w:hideMark/>
          </w:tcPr>
          <w:p w14:paraId="740B1AFB"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69170A2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3.556</w:t>
            </w:r>
          </w:p>
        </w:tc>
        <w:tc>
          <w:tcPr>
            <w:tcW w:w="666" w:type="dxa"/>
            <w:noWrap/>
            <w:vAlign w:val="center"/>
            <w:hideMark/>
          </w:tcPr>
          <w:p w14:paraId="33ECE3C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1.159</w:t>
            </w:r>
          </w:p>
        </w:tc>
        <w:tc>
          <w:tcPr>
            <w:tcW w:w="999" w:type="dxa"/>
            <w:noWrap/>
            <w:vAlign w:val="center"/>
            <w:hideMark/>
          </w:tcPr>
          <w:p w14:paraId="21EAA42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0.730</w:t>
            </w:r>
          </w:p>
        </w:tc>
        <w:tc>
          <w:tcPr>
            <w:tcW w:w="665" w:type="dxa"/>
            <w:vMerge/>
            <w:tcBorders>
              <w:top w:val="single" w:sz="4" w:space="0" w:color="auto"/>
              <w:left w:val="nil"/>
              <w:bottom w:val="single" w:sz="4" w:space="0" w:color="auto"/>
              <w:right w:val="nil"/>
            </w:tcBorders>
            <w:vAlign w:val="center"/>
            <w:hideMark/>
          </w:tcPr>
          <w:p w14:paraId="41A75C3B"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4C8A1FE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69F6739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2EBCB10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6226F55A" w14:textId="77777777" w:rsidTr="000E48F1">
        <w:tc>
          <w:tcPr>
            <w:tcW w:w="1170" w:type="dxa"/>
            <w:noWrap/>
            <w:vAlign w:val="bottom"/>
            <w:hideMark/>
          </w:tcPr>
          <w:p w14:paraId="729AD0C2"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PC9</w:t>
            </w:r>
          </w:p>
        </w:tc>
        <w:tc>
          <w:tcPr>
            <w:tcW w:w="516" w:type="dxa"/>
            <w:noWrap/>
            <w:vAlign w:val="bottom"/>
            <w:hideMark/>
          </w:tcPr>
          <w:p w14:paraId="38479C8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2E4D099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3.545</w:t>
            </w:r>
          </w:p>
        </w:tc>
        <w:tc>
          <w:tcPr>
            <w:tcW w:w="666" w:type="dxa"/>
            <w:noWrap/>
            <w:vAlign w:val="center"/>
            <w:hideMark/>
          </w:tcPr>
          <w:p w14:paraId="5C74B25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1.163</w:t>
            </w:r>
          </w:p>
        </w:tc>
        <w:tc>
          <w:tcPr>
            <w:tcW w:w="999" w:type="dxa"/>
            <w:noWrap/>
            <w:vAlign w:val="center"/>
            <w:hideMark/>
          </w:tcPr>
          <w:p w14:paraId="03EA124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0.704</w:t>
            </w:r>
          </w:p>
        </w:tc>
        <w:tc>
          <w:tcPr>
            <w:tcW w:w="665" w:type="dxa"/>
            <w:vMerge/>
            <w:tcBorders>
              <w:top w:val="single" w:sz="4" w:space="0" w:color="auto"/>
              <w:left w:val="nil"/>
              <w:bottom w:val="single" w:sz="4" w:space="0" w:color="auto"/>
              <w:right w:val="nil"/>
            </w:tcBorders>
            <w:vAlign w:val="center"/>
            <w:hideMark/>
          </w:tcPr>
          <w:p w14:paraId="45CB74B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948C12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6726017A"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3813942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7454CE25" w14:textId="77777777" w:rsidTr="000E48F1">
        <w:tc>
          <w:tcPr>
            <w:tcW w:w="1170" w:type="dxa"/>
            <w:noWrap/>
            <w:vAlign w:val="bottom"/>
            <w:hideMark/>
          </w:tcPr>
          <w:p w14:paraId="0B9F7A74"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PC10</w:t>
            </w:r>
          </w:p>
        </w:tc>
        <w:tc>
          <w:tcPr>
            <w:tcW w:w="516" w:type="dxa"/>
            <w:noWrap/>
            <w:vAlign w:val="bottom"/>
            <w:hideMark/>
          </w:tcPr>
          <w:p w14:paraId="0029782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51F42D7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3.501</w:t>
            </w:r>
          </w:p>
        </w:tc>
        <w:tc>
          <w:tcPr>
            <w:tcW w:w="666" w:type="dxa"/>
            <w:noWrap/>
            <w:vAlign w:val="center"/>
            <w:hideMark/>
          </w:tcPr>
          <w:p w14:paraId="1F81F7C5"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1.163</w:t>
            </w:r>
          </w:p>
        </w:tc>
        <w:tc>
          <w:tcPr>
            <w:tcW w:w="999" w:type="dxa"/>
            <w:noWrap/>
            <w:vAlign w:val="center"/>
            <w:hideMark/>
          </w:tcPr>
          <w:p w14:paraId="580AFCE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0.685</w:t>
            </w:r>
          </w:p>
        </w:tc>
        <w:tc>
          <w:tcPr>
            <w:tcW w:w="665" w:type="dxa"/>
            <w:vMerge/>
            <w:tcBorders>
              <w:top w:val="single" w:sz="4" w:space="0" w:color="auto"/>
              <w:left w:val="nil"/>
              <w:bottom w:val="single" w:sz="4" w:space="0" w:color="auto"/>
              <w:right w:val="nil"/>
            </w:tcBorders>
            <w:vAlign w:val="center"/>
            <w:hideMark/>
          </w:tcPr>
          <w:p w14:paraId="38944C6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C44179C"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B4A8FB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06793E3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706EB589" w14:textId="77777777" w:rsidTr="000E48F1">
        <w:tc>
          <w:tcPr>
            <w:tcW w:w="1170" w:type="dxa"/>
            <w:noWrap/>
            <w:vAlign w:val="bottom"/>
            <w:hideMark/>
          </w:tcPr>
          <w:p w14:paraId="74755F8B"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PC11</w:t>
            </w:r>
          </w:p>
        </w:tc>
        <w:tc>
          <w:tcPr>
            <w:tcW w:w="516" w:type="dxa"/>
            <w:noWrap/>
            <w:vAlign w:val="bottom"/>
            <w:hideMark/>
          </w:tcPr>
          <w:p w14:paraId="55DF4C4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727F536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2.955</w:t>
            </w:r>
          </w:p>
        </w:tc>
        <w:tc>
          <w:tcPr>
            <w:tcW w:w="666" w:type="dxa"/>
            <w:noWrap/>
            <w:vAlign w:val="center"/>
            <w:hideMark/>
          </w:tcPr>
          <w:p w14:paraId="19B08FE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1.442</w:t>
            </w:r>
          </w:p>
        </w:tc>
        <w:tc>
          <w:tcPr>
            <w:tcW w:w="999" w:type="dxa"/>
            <w:noWrap/>
            <w:vAlign w:val="center"/>
            <w:hideMark/>
          </w:tcPr>
          <w:p w14:paraId="258D955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0.745</w:t>
            </w:r>
          </w:p>
        </w:tc>
        <w:tc>
          <w:tcPr>
            <w:tcW w:w="665" w:type="dxa"/>
            <w:vMerge/>
            <w:tcBorders>
              <w:top w:val="single" w:sz="4" w:space="0" w:color="auto"/>
              <w:left w:val="nil"/>
              <w:bottom w:val="single" w:sz="4" w:space="0" w:color="auto"/>
              <w:right w:val="nil"/>
            </w:tcBorders>
            <w:vAlign w:val="center"/>
            <w:hideMark/>
          </w:tcPr>
          <w:p w14:paraId="43A61CB1"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56A78B1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748FD48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4CDA5EAB"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090D669" w14:textId="77777777" w:rsidTr="000E48F1">
        <w:tc>
          <w:tcPr>
            <w:tcW w:w="1170" w:type="dxa"/>
            <w:noWrap/>
            <w:vAlign w:val="bottom"/>
            <w:hideMark/>
          </w:tcPr>
          <w:p w14:paraId="62374CCB"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PC12</w:t>
            </w:r>
          </w:p>
        </w:tc>
        <w:tc>
          <w:tcPr>
            <w:tcW w:w="516" w:type="dxa"/>
            <w:noWrap/>
            <w:vAlign w:val="bottom"/>
            <w:hideMark/>
          </w:tcPr>
          <w:p w14:paraId="7E89E3A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0AF0858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2.909</w:t>
            </w:r>
          </w:p>
        </w:tc>
        <w:tc>
          <w:tcPr>
            <w:tcW w:w="666" w:type="dxa"/>
            <w:noWrap/>
            <w:vAlign w:val="center"/>
            <w:hideMark/>
          </w:tcPr>
          <w:p w14:paraId="483FFEB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1.404</w:t>
            </w:r>
          </w:p>
        </w:tc>
        <w:tc>
          <w:tcPr>
            <w:tcW w:w="999" w:type="dxa"/>
            <w:noWrap/>
            <w:vAlign w:val="center"/>
            <w:hideMark/>
          </w:tcPr>
          <w:p w14:paraId="5A1C58F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0.710</w:t>
            </w:r>
          </w:p>
        </w:tc>
        <w:tc>
          <w:tcPr>
            <w:tcW w:w="665" w:type="dxa"/>
            <w:vMerge/>
            <w:tcBorders>
              <w:top w:val="single" w:sz="4" w:space="0" w:color="auto"/>
              <w:left w:val="nil"/>
              <w:bottom w:val="single" w:sz="4" w:space="0" w:color="auto"/>
              <w:right w:val="nil"/>
            </w:tcBorders>
            <w:vAlign w:val="center"/>
            <w:hideMark/>
          </w:tcPr>
          <w:p w14:paraId="0C8D364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2067E6A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D08A2F5"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5F60685E"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3B15402" w14:textId="77777777" w:rsidTr="000E48F1">
        <w:tc>
          <w:tcPr>
            <w:tcW w:w="1170" w:type="dxa"/>
            <w:noWrap/>
            <w:vAlign w:val="bottom"/>
            <w:hideMark/>
          </w:tcPr>
          <w:p w14:paraId="1F7E4214"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PC13</w:t>
            </w:r>
          </w:p>
        </w:tc>
        <w:tc>
          <w:tcPr>
            <w:tcW w:w="516" w:type="dxa"/>
            <w:noWrap/>
            <w:vAlign w:val="bottom"/>
            <w:hideMark/>
          </w:tcPr>
          <w:p w14:paraId="49B9BB21"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754CADDD"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2.711</w:t>
            </w:r>
          </w:p>
        </w:tc>
        <w:tc>
          <w:tcPr>
            <w:tcW w:w="666" w:type="dxa"/>
            <w:noWrap/>
            <w:vAlign w:val="center"/>
            <w:hideMark/>
          </w:tcPr>
          <w:p w14:paraId="19B6DF1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1.237</w:t>
            </w:r>
          </w:p>
        </w:tc>
        <w:tc>
          <w:tcPr>
            <w:tcW w:w="999" w:type="dxa"/>
            <w:noWrap/>
            <w:vAlign w:val="center"/>
            <w:hideMark/>
          </w:tcPr>
          <w:p w14:paraId="17983252"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0.617</w:t>
            </w:r>
          </w:p>
        </w:tc>
        <w:tc>
          <w:tcPr>
            <w:tcW w:w="665" w:type="dxa"/>
            <w:vMerge/>
            <w:tcBorders>
              <w:top w:val="single" w:sz="4" w:space="0" w:color="auto"/>
              <w:left w:val="nil"/>
              <w:bottom w:val="single" w:sz="4" w:space="0" w:color="auto"/>
              <w:right w:val="nil"/>
            </w:tcBorders>
            <w:vAlign w:val="center"/>
            <w:hideMark/>
          </w:tcPr>
          <w:p w14:paraId="44CF2E8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5B3900D4"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34E1B4A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51DC8399"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1FE6A917" w14:textId="77777777" w:rsidTr="000E48F1">
        <w:tc>
          <w:tcPr>
            <w:tcW w:w="1170" w:type="dxa"/>
            <w:noWrap/>
            <w:vAlign w:val="bottom"/>
            <w:hideMark/>
          </w:tcPr>
          <w:p w14:paraId="14F098E3"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PC14</w:t>
            </w:r>
          </w:p>
        </w:tc>
        <w:tc>
          <w:tcPr>
            <w:tcW w:w="516" w:type="dxa"/>
            <w:noWrap/>
            <w:vAlign w:val="bottom"/>
            <w:hideMark/>
          </w:tcPr>
          <w:p w14:paraId="6D25ECD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noWrap/>
            <w:vAlign w:val="center"/>
            <w:hideMark/>
          </w:tcPr>
          <w:p w14:paraId="62FCE786"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2.564</w:t>
            </w:r>
          </w:p>
        </w:tc>
        <w:tc>
          <w:tcPr>
            <w:tcW w:w="666" w:type="dxa"/>
            <w:noWrap/>
            <w:vAlign w:val="center"/>
            <w:hideMark/>
          </w:tcPr>
          <w:p w14:paraId="1B4AE8A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1.197</w:t>
            </w:r>
          </w:p>
        </w:tc>
        <w:tc>
          <w:tcPr>
            <w:tcW w:w="999" w:type="dxa"/>
            <w:noWrap/>
            <w:vAlign w:val="center"/>
            <w:hideMark/>
          </w:tcPr>
          <w:p w14:paraId="23CC3ADE"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0.688</w:t>
            </w:r>
          </w:p>
        </w:tc>
        <w:tc>
          <w:tcPr>
            <w:tcW w:w="665" w:type="dxa"/>
            <w:vMerge/>
            <w:tcBorders>
              <w:top w:val="single" w:sz="4" w:space="0" w:color="auto"/>
              <w:left w:val="nil"/>
              <w:bottom w:val="single" w:sz="4" w:space="0" w:color="auto"/>
              <w:right w:val="nil"/>
            </w:tcBorders>
            <w:vAlign w:val="center"/>
            <w:hideMark/>
          </w:tcPr>
          <w:p w14:paraId="6CFB153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7769AC2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2BFE57F8"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57818C0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01774102" w14:textId="77777777" w:rsidTr="000E48F1">
        <w:tc>
          <w:tcPr>
            <w:tcW w:w="1170" w:type="dxa"/>
            <w:noWrap/>
            <w:vAlign w:val="bottom"/>
            <w:hideMark/>
          </w:tcPr>
          <w:p w14:paraId="6EF18D14"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PC15</w:t>
            </w:r>
          </w:p>
        </w:tc>
        <w:tc>
          <w:tcPr>
            <w:tcW w:w="516" w:type="dxa"/>
            <w:noWrap/>
            <w:vAlign w:val="bottom"/>
            <w:hideMark/>
          </w:tcPr>
          <w:p w14:paraId="43BE1B2C"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504</w:t>
            </w:r>
          </w:p>
        </w:tc>
        <w:tc>
          <w:tcPr>
            <w:tcW w:w="754" w:type="dxa"/>
            <w:noWrap/>
            <w:vAlign w:val="center"/>
            <w:hideMark/>
          </w:tcPr>
          <w:p w14:paraId="6F2537D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2.954</w:t>
            </w:r>
          </w:p>
        </w:tc>
        <w:tc>
          <w:tcPr>
            <w:tcW w:w="666" w:type="dxa"/>
            <w:noWrap/>
            <w:vAlign w:val="center"/>
            <w:hideMark/>
          </w:tcPr>
          <w:p w14:paraId="01DBBFD9"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1.568</w:t>
            </w:r>
          </w:p>
        </w:tc>
        <w:tc>
          <w:tcPr>
            <w:tcW w:w="999" w:type="dxa"/>
            <w:noWrap/>
            <w:vAlign w:val="center"/>
            <w:hideMark/>
          </w:tcPr>
          <w:p w14:paraId="665B96CF"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0.502</w:t>
            </w:r>
          </w:p>
        </w:tc>
        <w:tc>
          <w:tcPr>
            <w:tcW w:w="665" w:type="dxa"/>
            <w:vMerge/>
            <w:tcBorders>
              <w:top w:val="single" w:sz="4" w:space="0" w:color="auto"/>
              <w:left w:val="nil"/>
              <w:bottom w:val="single" w:sz="4" w:space="0" w:color="auto"/>
              <w:right w:val="nil"/>
            </w:tcBorders>
            <w:vAlign w:val="center"/>
            <w:hideMark/>
          </w:tcPr>
          <w:p w14:paraId="62B57F22"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67DB167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5AF9A84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right w:val="nil"/>
            </w:tcBorders>
          </w:tcPr>
          <w:p w14:paraId="36B9657D"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r w:rsidR="00E95630" w:rsidRPr="00597FFB" w14:paraId="4891DDE4" w14:textId="77777777" w:rsidTr="000E48F1">
        <w:tc>
          <w:tcPr>
            <w:tcW w:w="1170" w:type="dxa"/>
            <w:tcBorders>
              <w:top w:val="nil"/>
              <w:left w:val="nil"/>
              <w:bottom w:val="single" w:sz="4" w:space="0" w:color="auto"/>
              <w:right w:val="nil"/>
            </w:tcBorders>
            <w:noWrap/>
            <w:vAlign w:val="bottom"/>
            <w:hideMark/>
          </w:tcPr>
          <w:p w14:paraId="57059FF9" w14:textId="77777777" w:rsidR="00E95630" w:rsidRPr="00597FFB" w:rsidRDefault="00E95630"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PC16</w:t>
            </w:r>
          </w:p>
        </w:tc>
        <w:tc>
          <w:tcPr>
            <w:tcW w:w="516" w:type="dxa"/>
            <w:tcBorders>
              <w:top w:val="nil"/>
              <w:left w:val="nil"/>
              <w:bottom w:val="single" w:sz="4" w:space="0" w:color="auto"/>
              <w:right w:val="nil"/>
            </w:tcBorders>
            <w:noWrap/>
            <w:vAlign w:val="bottom"/>
            <w:hideMark/>
          </w:tcPr>
          <w:p w14:paraId="0DD700C8"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54" w:type="dxa"/>
            <w:tcBorders>
              <w:top w:val="nil"/>
              <w:left w:val="nil"/>
              <w:bottom w:val="single" w:sz="4" w:space="0" w:color="auto"/>
              <w:right w:val="nil"/>
            </w:tcBorders>
            <w:noWrap/>
            <w:vAlign w:val="center"/>
            <w:hideMark/>
          </w:tcPr>
          <w:p w14:paraId="0C45B820"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3.054</w:t>
            </w:r>
          </w:p>
        </w:tc>
        <w:tc>
          <w:tcPr>
            <w:tcW w:w="666" w:type="dxa"/>
            <w:tcBorders>
              <w:top w:val="nil"/>
              <w:left w:val="nil"/>
              <w:bottom w:val="single" w:sz="4" w:space="0" w:color="auto"/>
              <w:right w:val="nil"/>
            </w:tcBorders>
            <w:noWrap/>
            <w:vAlign w:val="center"/>
            <w:hideMark/>
          </w:tcPr>
          <w:p w14:paraId="69B55154"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1.464</w:t>
            </w:r>
          </w:p>
        </w:tc>
        <w:tc>
          <w:tcPr>
            <w:tcW w:w="999" w:type="dxa"/>
            <w:tcBorders>
              <w:top w:val="nil"/>
              <w:left w:val="nil"/>
              <w:bottom w:val="single" w:sz="4" w:space="0" w:color="auto"/>
              <w:right w:val="nil"/>
            </w:tcBorders>
            <w:noWrap/>
            <w:vAlign w:val="center"/>
            <w:hideMark/>
          </w:tcPr>
          <w:p w14:paraId="6BFDFC13" w14:textId="77777777" w:rsidR="00E95630" w:rsidRPr="00597FFB" w:rsidRDefault="00E95630"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0.493</w:t>
            </w:r>
          </w:p>
        </w:tc>
        <w:tc>
          <w:tcPr>
            <w:tcW w:w="665" w:type="dxa"/>
            <w:vMerge/>
            <w:tcBorders>
              <w:top w:val="single" w:sz="4" w:space="0" w:color="auto"/>
              <w:left w:val="nil"/>
              <w:bottom w:val="single" w:sz="4" w:space="0" w:color="auto"/>
              <w:right w:val="nil"/>
            </w:tcBorders>
            <w:vAlign w:val="center"/>
            <w:hideMark/>
          </w:tcPr>
          <w:p w14:paraId="09BC48B6"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630" w:type="dxa"/>
            <w:vMerge/>
            <w:tcBorders>
              <w:top w:val="single" w:sz="4" w:space="0" w:color="auto"/>
              <w:left w:val="nil"/>
              <w:bottom w:val="single" w:sz="4" w:space="0" w:color="auto"/>
              <w:right w:val="nil"/>
            </w:tcBorders>
            <w:vAlign w:val="center"/>
            <w:hideMark/>
          </w:tcPr>
          <w:p w14:paraId="173E1F7F"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1260" w:type="dxa"/>
            <w:vMerge/>
            <w:tcBorders>
              <w:top w:val="single" w:sz="4" w:space="0" w:color="auto"/>
              <w:left w:val="nil"/>
              <w:bottom w:val="single" w:sz="4" w:space="0" w:color="auto"/>
              <w:right w:val="nil"/>
            </w:tcBorders>
            <w:vAlign w:val="center"/>
            <w:hideMark/>
          </w:tcPr>
          <w:p w14:paraId="454B1983"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c>
          <w:tcPr>
            <w:tcW w:w="889" w:type="dxa"/>
            <w:vMerge/>
            <w:tcBorders>
              <w:left w:val="nil"/>
              <w:bottom w:val="single" w:sz="4" w:space="0" w:color="auto"/>
              <w:right w:val="nil"/>
            </w:tcBorders>
          </w:tcPr>
          <w:p w14:paraId="6D1E9047" w14:textId="77777777" w:rsidR="00E95630" w:rsidRPr="00597FFB" w:rsidRDefault="00E95630" w:rsidP="000E48F1">
            <w:pPr>
              <w:widowControl w:val="0"/>
              <w:spacing w:after="0"/>
              <w:rPr>
                <w:rFonts w:ascii="Times New Roman" w:eastAsia="Times New Roman" w:hAnsi="Times New Roman" w:cs="Times New Roman"/>
                <w:color w:val="000000"/>
                <w:sz w:val="20"/>
                <w:szCs w:val="20"/>
              </w:rPr>
            </w:pPr>
          </w:p>
        </w:tc>
      </w:tr>
    </w:tbl>
    <w:bookmarkEnd w:id="239"/>
    <w:p w14:paraId="0E8F75B6" w14:textId="4F8A2362" w:rsidR="007B7A91" w:rsidRPr="00597FFB" w:rsidRDefault="00E52362" w:rsidP="000360AA">
      <w:pPr>
        <w:widowControl w:val="0"/>
        <w:tabs>
          <w:tab w:val="left" w:pos="3690"/>
        </w:tabs>
        <w:spacing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Notes:</w:t>
      </w:r>
      <w:r w:rsidRPr="00597FFB">
        <w:rPr>
          <w:rFonts w:ascii="Times New Roman" w:hAnsi="Times New Roman" w:cs="Times New Roman"/>
          <w:sz w:val="20"/>
          <w:szCs w:val="20"/>
        </w:rPr>
        <w:t xml:space="preserve"> AR Ascription of Responsibility, AC Awareness of Consequences, MN Moral Norm, PC Privacy Concern, EWRBI e-waste recycling Behavioral Intentions, AD Adoption Of EWR Behavior.</w:t>
      </w:r>
    </w:p>
    <w:p w14:paraId="3C61FEB2" w14:textId="77777777" w:rsidR="00F37F0C" w:rsidRPr="00597FFB" w:rsidRDefault="00F37F0C" w:rsidP="000360AA">
      <w:pPr>
        <w:widowControl w:val="0"/>
        <w:tabs>
          <w:tab w:val="left" w:pos="3690"/>
        </w:tabs>
        <w:spacing w:line="240" w:lineRule="auto"/>
        <w:jc w:val="both"/>
        <w:rPr>
          <w:rFonts w:ascii="Times New Roman" w:hAnsi="Times New Roman" w:cs="Times New Roman"/>
          <w:sz w:val="20"/>
          <w:szCs w:val="20"/>
        </w:rPr>
      </w:pPr>
    </w:p>
    <w:p w14:paraId="28D43421" w14:textId="2ECA5584" w:rsidR="004355C7" w:rsidRPr="00597FFB" w:rsidRDefault="004355C7" w:rsidP="004355C7">
      <w:pPr>
        <w:spacing w:line="480" w:lineRule="auto"/>
        <w:rPr>
          <w:rFonts w:asciiTheme="majorBidi" w:hAnsiTheme="majorBidi" w:cstheme="majorBidi"/>
          <w:b/>
          <w:bCs/>
        </w:rPr>
      </w:pPr>
      <w:r w:rsidRPr="00597FFB">
        <w:rPr>
          <w:rFonts w:asciiTheme="majorBidi" w:hAnsiTheme="majorBidi" w:cstheme="majorBidi"/>
          <w:b/>
          <w:bCs/>
        </w:rPr>
        <w:t xml:space="preserve">Figure 15: </w:t>
      </w:r>
      <w:r w:rsidRPr="00597FFB">
        <w:rPr>
          <w:rFonts w:asciiTheme="majorBidi" w:hAnsiTheme="majorBidi" w:cstheme="majorBidi"/>
          <w:i/>
          <w:iCs/>
        </w:rPr>
        <w:t>The Extended NAT Path Model.</w:t>
      </w:r>
    </w:p>
    <w:p w14:paraId="20547D6D" w14:textId="26D78048" w:rsidR="00E52362" w:rsidRPr="00597FFB" w:rsidRDefault="000360AA" w:rsidP="00072848">
      <w:pPr>
        <w:widowControl w:val="0"/>
        <w:spacing w:line="480" w:lineRule="auto"/>
        <w:jc w:val="both"/>
        <w:rPr>
          <w:noProof/>
        </w:rPr>
      </w:pPr>
      <w:r w:rsidRPr="00597FFB">
        <w:rPr>
          <w:noProof/>
        </w:rPr>
        <w:drawing>
          <wp:anchor distT="0" distB="0" distL="114300" distR="114300" simplePos="0" relativeHeight="251671552" behindDoc="0" locked="0" layoutInCell="1" allowOverlap="1" wp14:anchorId="346122B9" wp14:editId="0D7DE183">
            <wp:simplePos x="0" y="0"/>
            <wp:positionH relativeFrom="margin">
              <wp:posOffset>0</wp:posOffset>
            </wp:positionH>
            <wp:positionV relativeFrom="paragraph">
              <wp:posOffset>434340</wp:posOffset>
            </wp:positionV>
            <wp:extent cx="4819015" cy="3331210"/>
            <wp:effectExtent l="0" t="0" r="635" b="2540"/>
            <wp:wrapSquare wrapText="bothSides"/>
            <wp:docPr id="140" name="Picture 1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b="26747"/>
                    <a:stretch>
                      <a:fillRect/>
                    </a:stretch>
                  </pic:blipFill>
                  <pic:spPr bwMode="auto">
                    <a:xfrm>
                      <a:off x="0" y="0"/>
                      <a:ext cx="4819015" cy="3331210"/>
                    </a:xfrm>
                    <a:prstGeom prst="rect">
                      <a:avLst/>
                    </a:prstGeom>
                    <a:noFill/>
                    <a:ln>
                      <a:noFill/>
                    </a:ln>
                  </pic:spPr>
                </pic:pic>
              </a:graphicData>
            </a:graphic>
          </wp:anchor>
        </w:drawing>
      </w:r>
    </w:p>
    <w:p w14:paraId="0DB71485" w14:textId="77777777" w:rsidR="000360AA" w:rsidRDefault="000360AA" w:rsidP="00CC748C">
      <w:pPr>
        <w:widowControl w:val="0"/>
        <w:spacing w:line="480" w:lineRule="auto"/>
        <w:jc w:val="both"/>
        <w:rPr>
          <w:rFonts w:ascii="Times New Roman" w:hAnsi="Times New Roman" w:cs="Times New Roman"/>
          <w:sz w:val="24"/>
          <w:szCs w:val="24"/>
        </w:rPr>
      </w:pPr>
    </w:p>
    <w:p w14:paraId="0E102565" w14:textId="72FF907B" w:rsidR="00CC748C" w:rsidRPr="00B64DF8" w:rsidRDefault="00CC748C" w:rsidP="00CC748C">
      <w:pPr>
        <w:pStyle w:val="Heading3"/>
        <w:widowControl w:val="0"/>
        <w:spacing w:line="480" w:lineRule="auto"/>
        <w:rPr>
          <w:rFonts w:asciiTheme="majorBidi" w:hAnsiTheme="majorBidi"/>
          <w:i/>
          <w:iCs/>
          <w:color w:val="auto"/>
          <w:sz w:val="24"/>
          <w:szCs w:val="24"/>
        </w:rPr>
      </w:pPr>
      <w:bookmarkStart w:id="240" w:name="_Toc123722272"/>
      <w:bookmarkStart w:id="241" w:name="_Toc127170362"/>
      <w:r>
        <w:rPr>
          <w:rFonts w:asciiTheme="majorBidi" w:hAnsiTheme="majorBidi"/>
          <w:i/>
          <w:iCs/>
          <w:color w:val="auto"/>
          <w:sz w:val="24"/>
          <w:szCs w:val="24"/>
        </w:rPr>
        <w:t xml:space="preserve">5.3.3. </w:t>
      </w:r>
      <w:r w:rsidRPr="00523382">
        <w:rPr>
          <w:rFonts w:asciiTheme="majorBidi" w:hAnsiTheme="majorBidi"/>
          <w:i/>
          <w:iCs/>
          <w:color w:val="auto"/>
          <w:sz w:val="24"/>
          <w:szCs w:val="24"/>
        </w:rPr>
        <w:t xml:space="preserve">Hypotheses </w:t>
      </w:r>
      <w:r w:rsidR="007B387B">
        <w:rPr>
          <w:rFonts w:asciiTheme="majorBidi" w:hAnsiTheme="majorBidi"/>
          <w:i/>
          <w:iCs/>
          <w:color w:val="auto"/>
          <w:sz w:val="24"/>
          <w:szCs w:val="24"/>
        </w:rPr>
        <w:t>T</w:t>
      </w:r>
      <w:r w:rsidRPr="00523382">
        <w:rPr>
          <w:rFonts w:asciiTheme="majorBidi" w:hAnsiTheme="majorBidi"/>
          <w:i/>
          <w:iCs/>
          <w:color w:val="auto"/>
          <w:sz w:val="24"/>
          <w:szCs w:val="24"/>
        </w:rPr>
        <w:t>esting</w:t>
      </w:r>
      <w:bookmarkEnd w:id="240"/>
      <w:bookmarkEnd w:id="241"/>
    </w:p>
    <w:p w14:paraId="42894D9B" w14:textId="1798AB67" w:rsidR="00C21A3D" w:rsidRDefault="00C21A3D" w:rsidP="00627533">
      <w:pPr>
        <w:widowControl w:val="0"/>
        <w:spacing w:line="480" w:lineRule="auto"/>
        <w:ind w:firstLine="720"/>
        <w:jc w:val="both"/>
        <w:rPr>
          <w:rFonts w:ascii="Times New Roman" w:hAnsi="Times New Roman" w:cs="Times New Roman"/>
          <w:sz w:val="24"/>
          <w:szCs w:val="24"/>
        </w:rPr>
      </w:pPr>
      <w:r w:rsidRPr="00475298">
        <w:rPr>
          <w:rFonts w:ascii="Times New Roman" w:hAnsi="Times New Roman" w:cs="Times New Roman"/>
          <w:sz w:val="24"/>
          <w:szCs w:val="24"/>
        </w:rPr>
        <w:t xml:space="preserve">The hypotheses were based on the conceptual framework shown in Figure </w:t>
      </w:r>
      <w:r>
        <w:rPr>
          <w:rFonts w:ascii="Times New Roman" w:hAnsi="Times New Roman" w:cs="Times New Roman"/>
          <w:sz w:val="24"/>
          <w:szCs w:val="24"/>
        </w:rPr>
        <w:t>14</w:t>
      </w:r>
      <w:r w:rsidRPr="00475298">
        <w:rPr>
          <w:rFonts w:ascii="Times New Roman" w:hAnsi="Times New Roman" w:cs="Times New Roman"/>
          <w:sz w:val="24"/>
          <w:szCs w:val="24"/>
        </w:rPr>
        <w:t xml:space="preserve">. </w:t>
      </w:r>
      <w:r w:rsidRPr="00BD5BEF">
        <w:rPr>
          <w:rFonts w:ascii="Times New Roman" w:hAnsi="Times New Roman" w:cs="Times New Roman"/>
          <w:sz w:val="24"/>
          <w:szCs w:val="24"/>
        </w:rPr>
        <w:t xml:space="preserve">Table </w:t>
      </w:r>
      <w:r w:rsidR="00627533">
        <w:rPr>
          <w:rFonts w:ascii="Times New Roman" w:hAnsi="Times New Roman" w:cs="Times New Roman"/>
          <w:sz w:val="24"/>
          <w:szCs w:val="24"/>
        </w:rPr>
        <w:t>19</w:t>
      </w:r>
      <w:r w:rsidRPr="00475298">
        <w:rPr>
          <w:rFonts w:ascii="Times New Roman" w:hAnsi="Times New Roman" w:cs="Times New Roman"/>
          <w:sz w:val="24"/>
          <w:szCs w:val="24"/>
        </w:rPr>
        <w:t xml:space="preserve"> presents shows the results of the hypothesis testing. Pertaining to the effect on the personal norm in the NAT, the results revealed significant effect of </w:t>
      </w:r>
      <w:r>
        <w:rPr>
          <w:rFonts w:ascii="Times New Roman" w:hAnsi="Times New Roman" w:cs="Times New Roman"/>
          <w:sz w:val="24"/>
          <w:szCs w:val="24"/>
        </w:rPr>
        <w:t>ascription of responsibility</w:t>
      </w:r>
      <w:r w:rsidRPr="00475298">
        <w:rPr>
          <w:rFonts w:ascii="Times New Roman" w:hAnsi="Times New Roman" w:cs="Times New Roman"/>
          <w:sz w:val="24"/>
          <w:szCs w:val="24"/>
        </w:rPr>
        <w:t xml:space="preserve"> (β = -.016; t = 2.657,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0.01), awareness of consequences (β = .078; t = 1.978,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0.01), and moral norm (β = .649; t = 14.460,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0.001)</w:t>
      </w:r>
      <w:r w:rsidRPr="00475298" w:rsidDel="009B4392">
        <w:rPr>
          <w:rFonts w:ascii="Times New Roman" w:hAnsi="Times New Roman" w:cs="Times New Roman"/>
          <w:sz w:val="24"/>
          <w:szCs w:val="24"/>
        </w:rPr>
        <w:t xml:space="preserve"> </w:t>
      </w:r>
      <w:r w:rsidRPr="00475298">
        <w:rPr>
          <w:rFonts w:ascii="Times New Roman" w:hAnsi="Times New Roman" w:cs="Times New Roman"/>
          <w:sz w:val="24"/>
          <w:szCs w:val="24"/>
        </w:rPr>
        <w:t xml:space="preserve">on personal norm. This led to the confirmation of H1, H2, and H3. Further confirmation of H4, H5, H6, H7, and H8 was obtained on the effect of personal norm (β = .309; t = 12.184,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0.001), privacy concern (β = .317; t = 9.378,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0.001), </w:t>
      </w:r>
      <w:r>
        <w:rPr>
          <w:rFonts w:ascii="Times New Roman" w:hAnsi="Times New Roman" w:cs="Times New Roman"/>
          <w:sz w:val="24"/>
          <w:szCs w:val="24"/>
        </w:rPr>
        <w:t>ascription of responsibility</w:t>
      </w:r>
      <w:r w:rsidRPr="00475298">
        <w:rPr>
          <w:rFonts w:ascii="Times New Roman" w:hAnsi="Times New Roman" w:cs="Times New Roman"/>
          <w:sz w:val="24"/>
          <w:szCs w:val="24"/>
        </w:rPr>
        <w:t xml:space="preserve"> (β = .024; t = 1.992,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0.01), awareness of consequences (β = .152; t = 4.223,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0.001), and moral norm (β = .322; t = 6.951, </w:t>
      </w:r>
      <w:r w:rsidRPr="00475298">
        <w:rPr>
          <w:rFonts w:ascii="Times New Roman" w:hAnsi="Times New Roman" w:cs="Times New Roman"/>
          <w:i/>
          <w:iCs/>
          <w:sz w:val="24"/>
          <w:szCs w:val="24"/>
        </w:rPr>
        <w:t>p</w:t>
      </w:r>
      <w:r w:rsidRPr="00475298">
        <w:rPr>
          <w:rFonts w:ascii="Times New Roman" w:hAnsi="Times New Roman" w:cs="Times New Roman"/>
          <w:sz w:val="24"/>
          <w:szCs w:val="24"/>
        </w:rPr>
        <w:t xml:space="preserve"> &lt; 0.001).</w:t>
      </w:r>
    </w:p>
    <w:p w14:paraId="694A8590" w14:textId="196D2563" w:rsidR="00CC748C" w:rsidRPr="00597FFB" w:rsidRDefault="00CC748C" w:rsidP="00CC748C">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Before adding the interaction items to the hierarchical regression model, the independent and moderating variables are centered and the interactions of these variables are calculated. The results show that millennials’ personal norm positively mediate the relationship between ascription of responsibility and EWR behavioral intention (β = .198, </w:t>
      </w:r>
      <w:r w:rsidRPr="00597FFB">
        <w:rPr>
          <w:rFonts w:ascii="Times New Roman" w:hAnsi="Times New Roman" w:cs="Times New Roman"/>
          <w:i/>
          <w:iCs/>
          <w:sz w:val="24"/>
          <w:szCs w:val="24"/>
        </w:rPr>
        <w:t xml:space="preserve">p </w:t>
      </w:r>
      <w:r w:rsidRPr="00597FFB">
        <w:rPr>
          <w:rFonts w:ascii="Times New Roman" w:hAnsi="Times New Roman" w:cs="Times New Roman"/>
          <w:sz w:val="24"/>
          <w:szCs w:val="24"/>
        </w:rPr>
        <w:t xml:space="preserve">&lt; 0.001) as postulated in H9. Similarly, personal norm was a significant mediator of the relationship between awareness of consequences and EWR behavioral intention (β = .206, </w:t>
      </w:r>
      <w:r w:rsidRPr="00597FFB">
        <w:rPr>
          <w:rFonts w:ascii="Times New Roman" w:hAnsi="Times New Roman" w:cs="Times New Roman"/>
          <w:i/>
          <w:iCs/>
          <w:sz w:val="24"/>
          <w:szCs w:val="24"/>
        </w:rPr>
        <w:t xml:space="preserve">p </w:t>
      </w:r>
      <w:r w:rsidRPr="00597FFB">
        <w:rPr>
          <w:rFonts w:ascii="Times New Roman" w:hAnsi="Times New Roman" w:cs="Times New Roman"/>
          <w:sz w:val="24"/>
          <w:szCs w:val="24"/>
        </w:rPr>
        <w:t xml:space="preserve">&lt; 0.001) and between moral norm and EWR behavioral intention (β = .025, </w:t>
      </w:r>
      <w:r w:rsidRPr="00597FFB">
        <w:rPr>
          <w:rFonts w:ascii="Times New Roman" w:hAnsi="Times New Roman" w:cs="Times New Roman"/>
          <w:i/>
          <w:iCs/>
          <w:sz w:val="24"/>
          <w:szCs w:val="24"/>
        </w:rPr>
        <w:t xml:space="preserve">p </w:t>
      </w:r>
      <w:r w:rsidRPr="00597FFB">
        <w:rPr>
          <w:rFonts w:ascii="Times New Roman" w:hAnsi="Times New Roman" w:cs="Times New Roman"/>
          <w:sz w:val="24"/>
          <w:szCs w:val="24"/>
        </w:rPr>
        <w:t xml:space="preserve">&lt; 0.001), as shown in Table </w:t>
      </w:r>
      <w:r w:rsidR="00627533">
        <w:rPr>
          <w:rFonts w:ascii="Times New Roman" w:hAnsi="Times New Roman" w:cs="Times New Roman"/>
          <w:sz w:val="24"/>
          <w:szCs w:val="24"/>
        </w:rPr>
        <w:t>20</w:t>
      </w:r>
      <w:r w:rsidRPr="00597FFB">
        <w:rPr>
          <w:rFonts w:ascii="Times New Roman" w:hAnsi="Times New Roman" w:cs="Times New Roman"/>
          <w:sz w:val="24"/>
          <w:szCs w:val="24"/>
        </w:rPr>
        <w:t xml:space="preserve">. </w:t>
      </w:r>
    </w:p>
    <w:p w14:paraId="3A5BF893" w14:textId="782C1BFF" w:rsidR="00E52362" w:rsidRPr="00597FFB" w:rsidRDefault="0068406B" w:rsidP="0068406B">
      <w:pPr>
        <w:spacing w:line="480" w:lineRule="auto"/>
        <w:jc w:val="both"/>
        <w:rPr>
          <w:rFonts w:asciiTheme="majorBidi" w:hAnsiTheme="majorBidi" w:cstheme="majorBidi"/>
          <w:i/>
          <w:iCs/>
        </w:rPr>
      </w:pPr>
      <w:r w:rsidRPr="00597FFB">
        <w:rPr>
          <w:rFonts w:asciiTheme="majorBidi" w:hAnsiTheme="majorBidi" w:cstheme="majorBidi"/>
          <w:b/>
          <w:bCs/>
        </w:rPr>
        <w:t>Table 1</w:t>
      </w:r>
      <w:r w:rsidR="00607DF3" w:rsidRPr="00597FFB">
        <w:rPr>
          <w:rFonts w:asciiTheme="majorBidi" w:hAnsiTheme="majorBidi" w:cstheme="majorBidi"/>
          <w:b/>
          <w:bCs/>
        </w:rPr>
        <w:t>9</w:t>
      </w:r>
      <w:r w:rsidRPr="00597FFB">
        <w:rPr>
          <w:rFonts w:asciiTheme="majorBidi" w:hAnsiTheme="majorBidi" w:cstheme="majorBidi"/>
          <w:b/>
          <w:bCs/>
        </w:rPr>
        <w:t xml:space="preserve">: </w:t>
      </w:r>
      <w:r w:rsidRPr="00597FFB">
        <w:rPr>
          <w:rFonts w:asciiTheme="majorBidi" w:hAnsiTheme="majorBidi" w:cstheme="majorBidi"/>
          <w:i/>
          <w:iCs/>
        </w:rPr>
        <w:t xml:space="preserve">Results </w:t>
      </w:r>
      <w:r w:rsidR="00072848" w:rsidRPr="00597FFB">
        <w:rPr>
          <w:rFonts w:asciiTheme="majorBidi" w:hAnsiTheme="majorBidi" w:cstheme="majorBidi"/>
          <w:i/>
          <w:iCs/>
        </w:rPr>
        <w:t>o</w:t>
      </w:r>
      <w:r w:rsidRPr="00597FFB">
        <w:rPr>
          <w:rFonts w:asciiTheme="majorBidi" w:hAnsiTheme="majorBidi" w:cstheme="majorBidi"/>
          <w:i/>
          <w:iCs/>
        </w:rPr>
        <w:t xml:space="preserve">f Direct Effects’ Hypotheses Related </w:t>
      </w:r>
      <w:r w:rsidR="00072848" w:rsidRPr="00597FFB">
        <w:rPr>
          <w:rFonts w:asciiTheme="majorBidi" w:hAnsiTheme="majorBidi" w:cstheme="majorBidi"/>
          <w:i/>
          <w:iCs/>
        </w:rPr>
        <w:t>t</w:t>
      </w:r>
      <w:r w:rsidRPr="00597FFB">
        <w:rPr>
          <w:rFonts w:asciiTheme="majorBidi" w:hAnsiTheme="majorBidi" w:cstheme="majorBidi"/>
          <w:i/>
          <w:iCs/>
        </w:rPr>
        <w:t xml:space="preserve">o </w:t>
      </w:r>
      <w:r w:rsidR="00072848" w:rsidRPr="00597FFB">
        <w:rPr>
          <w:rFonts w:asciiTheme="majorBidi" w:hAnsiTheme="majorBidi" w:cstheme="majorBidi"/>
          <w:i/>
          <w:iCs/>
        </w:rPr>
        <w:t>t</w:t>
      </w:r>
      <w:r w:rsidRPr="00597FFB">
        <w:rPr>
          <w:rFonts w:asciiTheme="majorBidi" w:hAnsiTheme="majorBidi" w:cstheme="majorBidi"/>
          <w:i/>
          <w:iCs/>
        </w:rPr>
        <w:t>he Extended NAT Model.</w:t>
      </w:r>
      <w:bookmarkStart w:id="242" w:name="_Hlk125796623"/>
    </w:p>
    <w:tbl>
      <w:tblPr>
        <w:tblW w:w="7142" w:type="dxa"/>
        <w:tblBorders>
          <w:top w:val="single" w:sz="4" w:space="0" w:color="auto"/>
          <w:bottom w:val="single" w:sz="4" w:space="0" w:color="auto"/>
        </w:tblBorders>
        <w:tblLook w:val="04A0" w:firstRow="1" w:lastRow="0" w:firstColumn="1" w:lastColumn="0" w:noHBand="0" w:noVBand="1"/>
      </w:tblPr>
      <w:tblGrid>
        <w:gridCol w:w="793"/>
        <w:gridCol w:w="512"/>
        <w:gridCol w:w="1085"/>
        <w:gridCol w:w="909"/>
        <w:gridCol w:w="661"/>
        <w:gridCol w:w="642"/>
        <w:gridCol w:w="977"/>
        <w:gridCol w:w="617"/>
        <w:gridCol w:w="946"/>
      </w:tblGrid>
      <w:tr w:rsidR="000360AA" w:rsidRPr="00597FFB" w14:paraId="41A95D18" w14:textId="77777777" w:rsidTr="000E48F1">
        <w:trPr>
          <w:tblHeader/>
        </w:trPr>
        <w:tc>
          <w:tcPr>
            <w:tcW w:w="2390" w:type="dxa"/>
            <w:gridSpan w:val="3"/>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2EEF930F" w14:textId="77777777" w:rsidR="000360AA" w:rsidRPr="00597FFB" w:rsidRDefault="000360AA" w:rsidP="000E48F1">
            <w:pPr>
              <w:widowControl w:val="0"/>
              <w:spacing w:after="0" w:line="240" w:lineRule="auto"/>
              <w:rPr>
                <w:rFonts w:ascii="Times New Roman" w:eastAsia="Times New Roman" w:hAnsi="Times New Roman" w:cs="Times New Roman"/>
                <w:b/>
                <w:bCs/>
              </w:rPr>
            </w:pPr>
            <w:bookmarkStart w:id="243" w:name="_Hlk120894558"/>
            <w:bookmarkEnd w:id="242"/>
            <w:r w:rsidRPr="00597FFB">
              <w:rPr>
                <w:rFonts w:ascii="Times New Roman" w:eastAsia="Times New Roman" w:hAnsi="Times New Roman" w:cs="Times New Roman"/>
                <w:b/>
                <w:bCs/>
              </w:rPr>
              <w:t>Direct Effects</w:t>
            </w:r>
          </w:p>
        </w:tc>
        <w:tc>
          <w:tcPr>
            <w:tcW w:w="909" w:type="dxa"/>
            <w:tcBorders>
              <w:top w:val="single" w:sz="4" w:space="0" w:color="auto"/>
              <w:left w:val="nil"/>
              <w:bottom w:val="single" w:sz="4" w:space="0" w:color="auto"/>
              <w:right w:val="nil"/>
            </w:tcBorders>
            <w:tcMar>
              <w:top w:w="15" w:type="dxa"/>
              <w:left w:w="15" w:type="dxa"/>
              <w:bottom w:w="15" w:type="dxa"/>
              <w:right w:w="15" w:type="dxa"/>
            </w:tcMar>
            <w:hideMark/>
          </w:tcPr>
          <w:p w14:paraId="37E9775F" w14:textId="77777777" w:rsidR="000360AA" w:rsidRPr="00597FFB" w:rsidRDefault="000360AA"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661" w:type="dxa"/>
            <w:tcBorders>
              <w:top w:val="single" w:sz="4" w:space="0" w:color="auto"/>
              <w:left w:val="nil"/>
              <w:bottom w:val="single" w:sz="4" w:space="0" w:color="auto"/>
              <w:right w:val="nil"/>
            </w:tcBorders>
            <w:tcMar>
              <w:top w:w="15" w:type="dxa"/>
              <w:left w:w="15" w:type="dxa"/>
              <w:bottom w:w="15" w:type="dxa"/>
              <w:right w:w="15" w:type="dxa"/>
            </w:tcMar>
            <w:hideMark/>
          </w:tcPr>
          <w:p w14:paraId="129557F3" w14:textId="77777777" w:rsidR="000360AA" w:rsidRPr="00597FFB" w:rsidRDefault="000360AA"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Std Error</w:t>
            </w:r>
          </w:p>
        </w:tc>
        <w:tc>
          <w:tcPr>
            <w:tcW w:w="642" w:type="dxa"/>
            <w:tcBorders>
              <w:top w:val="single" w:sz="4" w:space="0" w:color="auto"/>
              <w:left w:val="nil"/>
              <w:bottom w:val="single" w:sz="4" w:space="0" w:color="auto"/>
              <w:right w:val="nil"/>
            </w:tcBorders>
            <w:tcMar>
              <w:top w:w="15" w:type="dxa"/>
              <w:left w:w="15" w:type="dxa"/>
              <w:bottom w:w="15" w:type="dxa"/>
              <w:right w:w="15" w:type="dxa"/>
            </w:tcMar>
            <w:hideMark/>
          </w:tcPr>
          <w:p w14:paraId="065BAFFE" w14:textId="77777777" w:rsidR="000360AA" w:rsidRPr="00597FFB" w:rsidRDefault="000360AA" w:rsidP="000E48F1">
            <w:pPr>
              <w:widowControl w:val="0"/>
              <w:spacing w:after="0" w:line="240" w:lineRule="auto"/>
              <w:jc w:val="center"/>
              <w:rPr>
                <w:rFonts w:ascii="Times New Roman" w:eastAsia="Times New Roman" w:hAnsi="Times New Roman" w:cs="Times New Roman"/>
                <w:b/>
                <w:bCs/>
              </w:rPr>
            </w:pPr>
            <w:r w:rsidRPr="00597FFB">
              <w:rPr>
                <w:rFonts w:ascii="Times New Roman" w:eastAsia="Times New Roman" w:hAnsi="Times New Roman" w:cs="Times New Roman"/>
                <w:b/>
                <w:bCs/>
              </w:rPr>
              <w:t>t- values</w:t>
            </w:r>
          </w:p>
        </w:tc>
        <w:tc>
          <w:tcPr>
            <w:tcW w:w="977" w:type="dxa"/>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067B44EC" w14:textId="77777777" w:rsidR="000360AA" w:rsidRPr="00597FFB" w:rsidRDefault="000360AA"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Label</w:t>
            </w:r>
          </w:p>
        </w:tc>
        <w:tc>
          <w:tcPr>
            <w:tcW w:w="617" w:type="dxa"/>
            <w:tcBorders>
              <w:top w:val="single" w:sz="4" w:space="0" w:color="auto"/>
              <w:left w:val="nil"/>
              <w:bottom w:val="single" w:sz="4" w:space="0" w:color="auto"/>
              <w:right w:val="nil"/>
            </w:tcBorders>
            <w:tcMar>
              <w:top w:w="15" w:type="dxa"/>
              <w:left w:w="15" w:type="dxa"/>
              <w:bottom w:w="15" w:type="dxa"/>
              <w:right w:w="15" w:type="dxa"/>
            </w:tcMar>
            <w:hideMark/>
          </w:tcPr>
          <w:p w14:paraId="420FB434" w14:textId="77777777" w:rsidR="000360AA" w:rsidRPr="00597FFB" w:rsidRDefault="000360AA"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p-values</w:t>
            </w:r>
          </w:p>
        </w:tc>
        <w:tc>
          <w:tcPr>
            <w:tcW w:w="946" w:type="dxa"/>
            <w:tcBorders>
              <w:top w:val="single" w:sz="4" w:space="0" w:color="auto"/>
              <w:left w:val="nil"/>
              <w:bottom w:val="single" w:sz="4" w:space="0" w:color="auto"/>
              <w:right w:val="nil"/>
            </w:tcBorders>
            <w:tcMar>
              <w:top w:w="15" w:type="dxa"/>
              <w:left w:w="15" w:type="dxa"/>
              <w:bottom w:w="15" w:type="dxa"/>
              <w:right w:w="15" w:type="dxa"/>
            </w:tcMar>
            <w:hideMark/>
          </w:tcPr>
          <w:p w14:paraId="6F80F7A5" w14:textId="77777777" w:rsidR="000360AA" w:rsidRPr="00597FFB" w:rsidRDefault="000360AA"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Decision</w:t>
            </w:r>
          </w:p>
        </w:tc>
      </w:tr>
      <w:tr w:rsidR="000360AA" w:rsidRPr="00597FFB" w14:paraId="46A37411" w14:textId="77777777" w:rsidTr="000E48F1">
        <w:tc>
          <w:tcPr>
            <w:tcW w:w="0" w:type="auto"/>
            <w:tcBorders>
              <w:top w:val="single" w:sz="4" w:space="0" w:color="auto"/>
              <w:left w:val="nil"/>
              <w:bottom w:val="nil"/>
              <w:right w:val="nil"/>
            </w:tcBorders>
            <w:tcMar>
              <w:top w:w="15" w:type="dxa"/>
              <w:left w:w="57" w:type="dxa"/>
              <w:bottom w:w="15" w:type="dxa"/>
              <w:right w:w="57" w:type="dxa"/>
            </w:tcMar>
            <w:vAlign w:val="center"/>
            <w:hideMark/>
          </w:tcPr>
          <w:p w14:paraId="196527C8"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H1.AR</w:t>
            </w:r>
          </w:p>
        </w:tc>
        <w:tc>
          <w:tcPr>
            <w:tcW w:w="512" w:type="dxa"/>
            <w:tcBorders>
              <w:top w:val="single" w:sz="4" w:space="0" w:color="auto"/>
              <w:left w:val="nil"/>
              <w:bottom w:val="nil"/>
              <w:right w:val="nil"/>
            </w:tcBorders>
            <w:noWrap/>
            <w:tcMar>
              <w:top w:w="15" w:type="dxa"/>
              <w:left w:w="57" w:type="dxa"/>
              <w:bottom w:w="15" w:type="dxa"/>
              <w:right w:w="57" w:type="dxa"/>
            </w:tcMar>
            <w:vAlign w:val="center"/>
            <w:hideMark/>
          </w:tcPr>
          <w:p w14:paraId="58B3D0C3"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single" w:sz="4" w:space="0" w:color="auto"/>
              <w:left w:val="nil"/>
              <w:bottom w:val="nil"/>
              <w:right w:val="nil"/>
            </w:tcBorders>
            <w:tcMar>
              <w:top w:w="15" w:type="dxa"/>
              <w:left w:w="140" w:type="dxa"/>
              <w:bottom w:w="15" w:type="dxa"/>
              <w:right w:w="140" w:type="dxa"/>
            </w:tcMar>
            <w:vAlign w:val="center"/>
            <w:hideMark/>
          </w:tcPr>
          <w:p w14:paraId="055CB005"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PN</w:t>
            </w:r>
          </w:p>
        </w:tc>
        <w:tc>
          <w:tcPr>
            <w:tcW w:w="909" w:type="dxa"/>
            <w:tcBorders>
              <w:top w:val="single" w:sz="4" w:space="0" w:color="auto"/>
              <w:left w:val="nil"/>
              <w:bottom w:val="nil"/>
              <w:right w:val="nil"/>
            </w:tcBorders>
            <w:tcMar>
              <w:top w:w="15" w:type="dxa"/>
              <w:left w:w="15" w:type="dxa"/>
              <w:bottom w:w="15" w:type="dxa"/>
              <w:right w:w="15" w:type="dxa"/>
            </w:tcMar>
            <w:hideMark/>
          </w:tcPr>
          <w:p w14:paraId="4FD967DD"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-.016</w:t>
            </w:r>
          </w:p>
        </w:tc>
        <w:tc>
          <w:tcPr>
            <w:tcW w:w="661" w:type="dxa"/>
            <w:tcBorders>
              <w:top w:val="single" w:sz="4" w:space="0" w:color="auto"/>
              <w:left w:val="nil"/>
              <w:bottom w:val="nil"/>
              <w:right w:val="nil"/>
            </w:tcBorders>
            <w:tcMar>
              <w:top w:w="15" w:type="dxa"/>
              <w:left w:w="15" w:type="dxa"/>
              <w:bottom w:w="15" w:type="dxa"/>
              <w:right w:w="15" w:type="dxa"/>
            </w:tcMar>
            <w:hideMark/>
          </w:tcPr>
          <w:p w14:paraId="62725E07"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.025</w:t>
            </w:r>
          </w:p>
        </w:tc>
        <w:tc>
          <w:tcPr>
            <w:tcW w:w="642" w:type="dxa"/>
            <w:tcBorders>
              <w:top w:val="single" w:sz="4" w:space="0" w:color="auto"/>
              <w:left w:val="nil"/>
              <w:bottom w:val="nil"/>
              <w:right w:val="nil"/>
            </w:tcBorders>
            <w:tcMar>
              <w:top w:w="15" w:type="dxa"/>
              <w:left w:w="15" w:type="dxa"/>
              <w:bottom w:w="15" w:type="dxa"/>
              <w:right w:w="15" w:type="dxa"/>
            </w:tcMar>
            <w:hideMark/>
          </w:tcPr>
          <w:p w14:paraId="588E1D17"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2.657</w:t>
            </w:r>
          </w:p>
        </w:tc>
        <w:tc>
          <w:tcPr>
            <w:tcW w:w="977" w:type="dxa"/>
            <w:tcBorders>
              <w:top w:val="single" w:sz="4" w:space="0" w:color="auto"/>
              <w:left w:val="nil"/>
              <w:bottom w:val="nil"/>
              <w:right w:val="nil"/>
            </w:tcBorders>
            <w:tcMar>
              <w:top w:w="15" w:type="dxa"/>
              <w:left w:w="140" w:type="dxa"/>
              <w:bottom w:w="15" w:type="dxa"/>
              <w:right w:w="140" w:type="dxa"/>
            </w:tcMar>
            <w:vAlign w:val="center"/>
            <w:hideMark/>
          </w:tcPr>
          <w:p w14:paraId="5EFEE06F"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a_path</w:t>
            </w:r>
          </w:p>
        </w:tc>
        <w:tc>
          <w:tcPr>
            <w:tcW w:w="617" w:type="dxa"/>
            <w:tcBorders>
              <w:top w:val="single" w:sz="4" w:space="0" w:color="auto"/>
              <w:left w:val="nil"/>
              <w:bottom w:val="nil"/>
              <w:right w:val="nil"/>
            </w:tcBorders>
            <w:tcMar>
              <w:top w:w="15" w:type="dxa"/>
              <w:left w:w="15" w:type="dxa"/>
              <w:bottom w:w="15" w:type="dxa"/>
              <w:right w:w="15" w:type="dxa"/>
            </w:tcMar>
            <w:hideMark/>
          </w:tcPr>
          <w:p w14:paraId="72F4DD6F"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.001</w:t>
            </w:r>
          </w:p>
        </w:tc>
        <w:tc>
          <w:tcPr>
            <w:tcW w:w="946" w:type="dxa"/>
            <w:tcBorders>
              <w:top w:val="single" w:sz="4" w:space="0" w:color="auto"/>
              <w:left w:val="nil"/>
              <w:bottom w:val="nil"/>
              <w:right w:val="nil"/>
            </w:tcBorders>
            <w:tcMar>
              <w:top w:w="15" w:type="dxa"/>
              <w:left w:w="15" w:type="dxa"/>
              <w:bottom w:w="15" w:type="dxa"/>
              <w:right w:w="15" w:type="dxa"/>
            </w:tcMar>
            <w:hideMark/>
          </w:tcPr>
          <w:p w14:paraId="36DFE6BB"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0E93C7C5"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07A88BBE"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H2.AC</w:t>
            </w:r>
          </w:p>
        </w:tc>
        <w:tc>
          <w:tcPr>
            <w:tcW w:w="512" w:type="dxa"/>
            <w:tcBorders>
              <w:top w:val="nil"/>
              <w:left w:val="nil"/>
              <w:bottom w:val="nil"/>
              <w:right w:val="nil"/>
            </w:tcBorders>
            <w:noWrap/>
            <w:tcMar>
              <w:top w:w="15" w:type="dxa"/>
              <w:left w:w="57" w:type="dxa"/>
              <w:bottom w:w="15" w:type="dxa"/>
              <w:right w:w="57" w:type="dxa"/>
            </w:tcMar>
            <w:vAlign w:val="center"/>
            <w:hideMark/>
          </w:tcPr>
          <w:p w14:paraId="6805AA26"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3C5D6180"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PN</w:t>
            </w:r>
          </w:p>
        </w:tc>
        <w:tc>
          <w:tcPr>
            <w:tcW w:w="909" w:type="dxa"/>
            <w:tcBorders>
              <w:top w:val="nil"/>
              <w:left w:val="nil"/>
              <w:bottom w:val="nil"/>
              <w:right w:val="nil"/>
            </w:tcBorders>
            <w:tcMar>
              <w:top w:w="15" w:type="dxa"/>
              <w:left w:w="15" w:type="dxa"/>
              <w:bottom w:w="15" w:type="dxa"/>
              <w:right w:w="15" w:type="dxa"/>
            </w:tcMar>
            <w:hideMark/>
          </w:tcPr>
          <w:p w14:paraId="65724257"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.078</w:t>
            </w:r>
          </w:p>
        </w:tc>
        <w:tc>
          <w:tcPr>
            <w:tcW w:w="661" w:type="dxa"/>
            <w:tcBorders>
              <w:top w:val="nil"/>
              <w:left w:val="nil"/>
              <w:bottom w:val="nil"/>
              <w:right w:val="nil"/>
            </w:tcBorders>
            <w:tcMar>
              <w:top w:w="15" w:type="dxa"/>
              <w:left w:w="15" w:type="dxa"/>
              <w:bottom w:w="15" w:type="dxa"/>
              <w:right w:w="15" w:type="dxa"/>
            </w:tcMar>
            <w:hideMark/>
          </w:tcPr>
          <w:p w14:paraId="6B67F173"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.042</w:t>
            </w:r>
          </w:p>
        </w:tc>
        <w:tc>
          <w:tcPr>
            <w:tcW w:w="642" w:type="dxa"/>
            <w:tcBorders>
              <w:top w:val="nil"/>
              <w:left w:val="nil"/>
              <w:bottom w:val="nil"/>
              <w:right w:val="nil"/>
            </w:tcBorders>
            <w:tcMar>
              <w:top w:w="15" w:type="dxa"/>
              <w:left w:w="15" w:type="dxa"/>
              <w:bottom w:w="15" w:type="dxa"/>
              <w:right w:w="15" w:type="dxa"/>
            </w:tcMar>
            <w:hideMark/>
          </w:tcPr>
          <w:p w14:paraId="0DA6AD8F"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1.978</w:t>
            </w:r>
          </w:p>
        </w:tc>
        <w:tc>
          <w:tcPr>
            <w:tcW w:w="977" w:type="dxa"/>
            <w:tcBorders>
              <w:top w:val="nil"/>
              <w:left w:val="nil"/>
              <w:bottom w:val="nil"/>
              <w:right w:val="nil"/>
            </w:tcBorders>
            <w:tcMar>
              <w:top w:w="15" w:type="dxa"/>
              <w:left w:w="140" w:type="dxa"/>
              <w:bottom w:w="15" w:type="dxa"/>
              <w:right w:w="140" w:type="dxa"/>
            </w:tcMar>
            <w:vAlign w:val="center"/>
            <w:hideMark/>
          </w:tcPr>
          <w:p w14:paraId="4E5D0643"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b_path</w:t>
            </w:r>
          </w:p>
        </w:tc>
        <w:tc>
          <w:tcPr>
            <w:tcW w:w="617" w:type="dxa"/>
            <w:tcBorders>
              <w:top w:val="nil"/>
              <w:left w:val="nil"/>
              <w:bottom w:val="nil"/>
              <w:right w:val="nil"/>
            </w:tcBorders>
            <w:tcMar>
              <w:top w:w="15" w:type="dxa"/>
              <w:left w:w="15" w:type="dxa"/>
              <w:bottom w:w="15" w:type="dxa"/>
              <w:right w:w="15" w:type="dxa"/>
            </w:tcMar>
            <w:hideMark/>
          </w:tcPr>
          <w:p w14:paraId="61C624D6"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.002</w:t>
            </w:r>
          </w:p>
        </w:tc>
        <w:tc>
          <w:tcPr>
            <w:tcW w:w="946" w:type="dxa"/>
            <w:tcBorders>
              <w:top w:val="nil"/>
              <w:left w:val="nil"/>
              <w:bottom w:val="nil"/>
              <w:right w:val="nil"/>
            </w:tcBorders>
            <w:tcMar>
              <w:top w:w="15" w:type="dxa"/>
              <w:left w:w="15" w:type="dxa"/>
              <w:bottom w:w="15" w:type="dxa"/>
              <w:right w:w="15" w:type="dxa"/>
            </w:tcMar>
            <w:hideMark/>
          </w:tcPr>
          <w:p w14:paraId="0980002F"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636D34FE"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566388FD"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H3.MN</w:t>
            </w:r>
          </w:p>
        </w:tc>
        <w:tc>
          <w:tcPr>
            <w:tcW w:w="512" w:type="dxa"/>
            <w:tcBorders>
              <w:top w:val="nil"/>
              <w:left w:val="nil"/>
              <w:bottom w:val="nil"/>
              <w:right w:val="nil"/>
            </w:tcBorders>
            <w:noWrap/>
            <w:tcMar>
              <w:top w:w="15" w:type="dxa"/>
              <w:left w:w="57" w:type="dxa"/>
              <w:bottom w:w="15" w:type="dxa"/>
              <w:right w:w="57" w:type="dxa"/>
            </w:tcMar>
            <w:vAlign w:val="center"/>
            <w:hideMark/>
          </w:tcPr>
          <w:p w14:paraId="438B2322"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4BCFA54B"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PN</w:t>
            </w:r>
          </w:p>
        </w:tc>
        <w:tc>
          <w:tcPr>
            <w:tcW w:w="909" w:type="dxa"/>
            <w:tcBorders>
              <w:top w:val="nil"/>
              <w:left w:val="nil"/>
              <w:bottom w:val="nil"/>
              <w:right w:val="nil"/>
            </w:tcBorders>
            <w:tcMar>
              <w:top w:w="15" w:type="dxa"/>
              <w:left w:w="15" w:type="dxa"/>
              <w:bottom w:w="15" w:type="dxa"/>
              <w:right w:w="15" w:type="dxa"/>
            </w:tcMar>
            <w:hideMark/>
          </w:tcPr>
          <w:p w14:paraId="78051532"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.649</w:t>
            </w:r>
          </w:p>
        </w:tc>
        <w:tc>
          <w:tcPr>
            <w:tcW w:w="661" w:type="dxa"/>
            <w:tcBorders>
              <w:top w:val="nil"/>
              <w:left w:val="nil"/>
              <w:bottom w:val="nil"/>
              <w:right w:val="nil"/>
            </w:tcBorders>
            <w:tcMar>
              <w:top w:w="15" w:type="dxa"/>
              <w:left w:w="15" w:type="dxa"/>
              <w:bottom w:w="15" w:type="dxa"/>
              <w:right w:w="15" w:type="dxa"/>
            </w:tcMar>
            <w:hideMark/>
          </w:tcPr>
          <w:p w14:paraId="760B0F07"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.045</w:t>
            </w:r>
          </w:p>
        </w:tc>
        <w:tc>
          <w:tcPr>
            <w:tcW w:w="642" w:type="dxa"/>
            <w:tcBorders>
              <w:top w:val="nil"/>
              <w:left w:val="nil"/>
              <w:bottom w:val="nil"/>
              <w:right w:val="nil"/>
            </w:tcBorders>
            <w:tcMar>
              <w:top w:w="15" w:type="dxa"/>
              <w:left w:w="15" w:type="dxa"/>
              <w:bottom w:w="15" w:type="dxa"/>
              <w:right w:w="15" w:type="dxa"/>
            </w:tcMar>
            <w:hideMark/>
          </w:tcPr>
          <w:p w14:paraId="214C8717"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14.460</w:t>
            </w:r>
          </w:p>
        </w:tc>
        <w:tc>
          <w:tcPr>
            <w:tcW w:w="977" w:type="dxa"/>
            <w:tcBorders>
              <w:top w:val="nil"/>
              <w:left w:val="nil"/>
              <w:bottom w:val="nil"/>
              <w:right w:val="nil"/>
            </w:tcBorders>
            <w:tcMar>
              <w:top w:w="15" w:type="dxa"/>
              <w:left w:w="140" w:type="dxa"/>
              <w:bottom w:w="15" w:type="dxa"/>
              <w:right w:w="140" w:type="dxa"/>
            </w:tcMar>
            <w:vAlign w:val="center"/>
            <w:hideMark/>
          </w:tcPr>
          <w:p w14:paraId="0FE74776"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c_path</w:t>
            </w:r>
          </w:p>
        </w:tc>
        <w:tc>
          <w:tcPr>
            <w:tcW w:w="617" w:type="dxa"/>
            <w:tcBorders>
              <w:top w:val="nil"/>
              <w:left w:val="nil"/>
              <w:bottom w:val="nil"/>
              <w:right w:val="nil"/>
            </w:tcBorders>
            <w:tcMar>
              <w:top w:w="15" w:type="dxa"/>
              <w:left w:w="15" w:type="dxa"/>
              <w:bottom w:w="15" w:type="dxa"/>
              <w:right w:w="15" w:type="dxa"/>
            </w:tcMar>
            <w:hideMark/>
          </w:tcPr>
          <w:p w14:paraId="36AD45FF"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946" w:type="dxa"/>
            <w:tcBorders>
              <w:top w:val="nil"/>
              <w:left w:val="nil"/>
              <w:bottom w:val="nil"/>
              <w:right w:val="nil"/>
            </w:tcBorders>
            <w:tcMar>
              <w:top w:w="15" w:type="dxa"/>
              <w:left w:w="15" w:type="dxa"/>
              <w:bottom w:w="15" w:type="dxa"/>
              <w:right w:w="15" w:type="dxa"/>
            </w:tcMar>
            <w:hideMark/>
          </w:tcPr>
          <w:p w14:paraId="30631018"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1FAC62D0"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6F96F107"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H4.PN</w:t>
            </w:r>
          </w:p>
        </w:tc>
        <w:tc>
          <w:tcPr>
            <w:tcW w:w="512" w:type="dxa"/>
            <w:tcBorders>
              <w:top w:val="nil"/>
              <w:left w:val="nil"/>
              <w:bottom w:val="nil"/>
              <w:right w:val="nil"/>
            </w:tcBorders>
            <w:noWrap/>
            <w:tcMar>
              <w:top w:w="15" w:type="dxa"/>
              <w:left w:w="57" w:type="dxa"/>
              <w:bottom w:w="15" w:type="dxa"/>
              <w:right w:w="57" w:type="dxa"/>
            </w:tcMar>
            <w:vAlign w:val="center"/>
            <w:hideMark/>
          </w:tcPr>
          <w:p w14:paraId="0CA983F2"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5E378BB1"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909" w:type="dxa"/>
            <w:tcBorders>
              <w:top w:val="nil"/>
              <w:left w:val="nil"/>
              <w:bottom w:val="nil"/>
              <w:right w:val="nil"/>
            </w:tcBorders>
            <w:tcMar>
              <w:top w:w="15" w:type="dxa"/>
              <w:left w:w="15" w:type="dxa"/>
              <w:bottom w:w="15" w:type="dxa"/>
              <w:right w:w="15" w:type="dxa"/>
            </w:tcMar>
            <w:hideMark/>
          </w:tcPr>
          <w:p w14:paraId="13F6E8A9"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.309</w:t>
            </w:r>
          </w:p>
        </w:tc>
        <w:tc>
          <w:tcPr>
            <w:tcW w:w="661" w:type="dxa"/>
            <w:tcBorders>
              <w:top w:val="nil"/>
              <w:left w:val="nil"/>
              <w:bottom w:val="nil"/>
              <w:right w:val="nil"/>
            </w:tcBorders>
            <w:tcMar>
              <w:top w:w="15" w:type="dxa"/>
              <w:left w:w="15" w:type="dxa"/>
              <w:bottom w:w="15" w:type="dxa"/>
              <w:right w:w="15" w:type="dxa"/>
            </w:tcMar>
            <w:hideMark/>
          </w:tcPr>
          <w:p w14:paraId="02484954"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.025</w:t>
            </w:r>
          </w:p>
        </w:tc>
        <w:tc>
          <w:tcPr>
            <w:tcW w:w="642" w:type="dxa"/>
            <w:tcBorders>
              <w:top w:val="nil"/>
              <w:left w:val="nil"/>
              <w:bottom w:val="nil"/>
              <w:right w:val="nil"/>
            </w:tcBorders>
            <w:tcMar>
              <w:top w:w="15" w:type="dxa"/>
              <w:left w:w="15" w:type="dxa"/>
              <w:bottom w:w="15" w:type="dxa"/>
              <w:right w:w="15" w:type="dxa"/>
            </w:tcMar>
            <w:hideMark/>
          </w:tcPr>
          <w:p w14:paraId="2A31DC41"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12.184</w:t>
            </w:r>
          </w:p>
        </w:tc>
        <w:tc>
          <w:tcPr>
            <w:tcW w:w="977" w:type="dxa"/>
            <w:tcBorders>
              <w:top w:val="nil"/>
              <w:left w:val="nil"/>
              <w:bottom w:val="nil"/>
              <w:right w:val="nil"/>
            </w:tcBorders>
            <w:tcMar>
              <w:top w:w="15" w:type="dxa"/>
              <w:left w:w="140" w:type="dxa"/>
              <w:bottom w:w="15" w:type="dxa"/>
              <w:right w:w="140" w:type="dxa"/>
            </w:tcMar>
            <w:vAlign w:val="center"/>
            <w:hideMark/>
          </w:tcPr>
          <w:p w14:paraId="55DB810E"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d_path</w:t>
            </w:r>
          </w:p>
        </w:tc>
        <w:tc>
          <w:tcPr>
            <w:tcW w:w="617" w:type="dxa"/>
            <w:tcBorders>
              <w:top w:val="nil"/>
              <w:left w:val="nil"/>
              <w:bottom w:val="nil"/>
              <w:right w:val="nil"/>
            </w:tcBorders>
            <w:tcMar>
              <w:top w:w="15" w:type="dxa"/>
              <w:left w:w="15" w:type="dxa"/>
              <w:bottom w:w="15" w:type="dxa"/>
              <w:right w:w="15" w:type="dxa"/>
            </w:tcMar>
            <w:hideMark/>
          </w:tcPr>
          <w:p w14:paraId="60F2E5F4"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946" w:type="dxa"/>
            <w:tcBorders>
              <w:top w:val="nil"/>
              <w:left w:val="nil"/>
              <w:bottom w:val="nil"/>
              <w:right w:val="nil"/>
            </w:tcBorders>
            <w:tcMar>
              <w:top w:w="15" w:type="dxa"/>
              <w:left w:w="15" w:type="dxa"/>
              <w:bottom w:w="15" w:type="dxa"/>
              <w:right w:w="15" w:type="dxa"/>
            </w:tcMar>
            <w:hideMark/>
          </w:tcPr>
          <w:p w14:paraId="616CA2BF"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2779CCE8"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33578ED8"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H5. PC</w:t>
            </w:r>
          </w:p>
        </w:tc>
        <w:tc>
          <w:tcPr>
            <w:tcW w:w="512" w:type="dxa"/>
            <w:tcBorders>
              <w:top w:val="nil"/>
              <w:left w:val="nil"/>
              <w:bottom w:val="nil"/>
              <w:right w:val="nil"/>
            </w:tcBorders>
            <w:noWrap/>
            <w:tcMar>
              <w:top w:w="15" w:type="dxa"/>
              <w:left w:w="57" w:type="dxa"/>
              <w:bottom w:w="15" w:type="dxa"/>
              <w:right w:w="57" w:type="dxa"/>
            </w:tcMar>
            <w:vAlign w:val="center"/>
            <w:hideMark/>
          </w:tcPr>
          <w:p w14:paraId="410FC0AC"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145F55E9"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909" w:type="dxa"/>
            <w:tcBorders>
              <w:top w:val="nil"/>
              <w:left w:val="nil"/>
              <w:bottom w:val="nil"/>
              <w:right w:val="nil"/>
            </w:tcBorders>
            <w:tcMar>
              <w:top w:w="15" w:type="dxa"/>
              <w:left w:w="15" w:type="dxa"/>
              <w:bottom w:w="15" w:type="dxa"/>
              <w:right w:w="15" w:type="dxa"/>
            </w:tcMar>
            <w:hideMark/>
          </w:tcPr>
          <w:p w14:paraId="286F93CD"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.317</w:t>
            </w:r>
          </w:p>
        </w:tc>
        <w:tc>
          <w:tcPr>
            <w:tcW w:w="661" w:type="dxa"/>
            <w:tcBorders>
              <w:top w:val="nil"/>
              <w:left w:val="nil"/>
              <w:bottom w:val="nil"/>
              <w:right w:val="nil"/>
            </w:tcBorders>
            <w:tcMar>
              <w:top w:w="15" w:type="dxa"/>
              <w:left w:w="15" w:type="dxa"/>
              <w:bottom w:w="15" w:type="dxa"/>
              <w:right w:w="15" w:type="dxa"/>
            </w:tcMar>
            <w:hideMark/>
          </w:tcPr>
          <w:p w14:paraId="5B85F63D"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.034</w:t>
            </w:r>
          </w:p>
        </w:tc>
        <w:tc>
          <w:tcPr>
            <w:tcW w:w="642" w:type="dxa"/>
            <w:tcBorders>
              <w:top w:val="nil"/>
              <w:left w:val="nil"/>
              <w:bottom w:val="nil"/>
              <w:right w:val="nil"/>
            </w:tcBorders>
            <w:tcMar>
              <w:top w:w="15" w:type="dxa"/>
              <w:left w:w="15" w:type="dxa"/>
              <w:bottom w:w="15" w:type="dxa"/>
              <w:right w:w="15" w:type="dxa"/>
            </w:tcMar>
            <w:hideMark/>
          </w:tcPr>
          <w:p w14:paraId="3D44690A"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9.378</w:t>
            </w:r>
          </w:p>
        </w:tc>
        <w:tc>
          <w:tcPr>
            <w:tcW w:w="977" w:type="dxa"/>
            <w:tcBorders>
              <w:top w:val="nil"/>
              <w:left w:val="nil"/>
              <w:bottom w:val="nil"/>
              <w:right w:val="nil"/>
            </w:tcBorders>
            <w:tcMar>
              <w:top w:w="15" w:type="dxa"/>
              <w:left w:w="140" w:type="dxa"/>
              <w:bottom w:w="15" w:type="dxa"/>
              <w:right w:w="140" w:type="dxa"/>
            </w:tcMar>
            <w:vAlign w:val="center"/>
            <w:hideMark/>
          </w:tcPr>
          <w:p w14:paraId="047E672C"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e_path</w:t>
            </w:r>
          </w:p>
        </w:tc>
        <w:tc>
          <w:tcPr>
            <w:tcW w:w="617" w:type="dxa"/>
            <w:tcBorders>
              <w:top w:val="nil"/>
              <w:left w:val="nil"/>
              <w:bottom w:val="nil"/>
              <w:right w:val="nil"/>
            </w:tcBorders>
            <w:tcMar>
              <w:top w:w="15" w:type="dxa"/>
              <w:left w:w="15" w:type="dxa"/>
              <w:bottom w:w="15" w:type="dxa"/>
              <w:right w:w="15" w:type="dxa"/>
            </w:tcMar>
            <w:hideMark/>
          </w:tcPr>
          <w:p w14:paraId="0048C1DA"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946" w:type="dxa"/>
            <w:tcBorders>
              <w:top w:val="nil"/>
              <w:left w:val="nil"/>
              <w:bottom w:val="nil"/>
              <w:right w:val="nil"/>
            </w:tcBorders>
            <w:tcMar>
              <w:top w:w="15" w:type="dxa"/>
              <w:left w:w="15" w:type="dxa"/>
              <w:bottom w:w="15" w:type="dxa"/>
              <w:right w:w="15" w:type="dxa"/>
            </w:tcMar>
            <w:hideMark/>
          </w:tcPr>
          <w:p w14:paraId="02418AE3"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61A35581"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06B6A91B"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H6.AR</w:t>
            </w:r>
          </w:p>
        </w:tc>
        <w:tc>
          <w:tcPr>
            <w:tcW w:w="512" w:type="dxa"/>
            <w:tcBorders>
              <w:top w:val="nil"/>
              <w:left w:val="nil"/>
              <w:bottom w:val="nil"/>
              <w:right w:val="nil"/>
            </w:tcBorders>
            <w:noWrap/>
            <w:tcMar>
              <w:top w:w="15" w:type="dxa"/>
              <w:left w:w="57" w:type="dxa"/>
              <w:bottom w:w="15" w:type="dxa"/>
              <w:right w:w="57" w:type="dxa"/>
            </w:tcMar>
            <w:vAlign w:val="center"/>
            <w:hideMark/>
          </w:tcPr>
          <w:p w14:paraId="28821351"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212BC37C"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909" w:type="dxa"/>
            <w:tcBorders>
              <w:top w:val="nil"/>
              <w:left w:val="nil"/>
              <w:bottom w:val="nil"/>
              <w:right w:val="nil"/>
            </w:tcBorders>
            <w:tcMar>
              <w:top w:w="15" w:type="dxa"/>
              <w:left w:w="15" w:type="dxa"/>
              <w:bottom w:w="15" w:type="dxa"/>
              <w:right w:w="15" w:type="dxa"/>
            </w:tcMar>
            <w:hideMark/>
          </w:tcPr>
          <w:p w14:paraId="26F73EF5"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.024</w:t>
            </w:r>
          </w:p>
        </w:tc>
        <w:tc>
          <w:tcPr>
            <w:tcW w:w="661" w:type="dxa"/>
            <w:tcBorders>
              <w:top w:val="nil"/>
              <w:left w:val="nil"/>
              <w:bottom w:val="nil"/>
              <w:right w:val="nil"/>
            </w:tcBorders>
            <w:tcMar>
              <w:top w:w="15" w:type="dxa"/>
              <w:left w:w="15" w:type="dxa"/>
              <w:bottom w:w="15" w:type="dxa"/>
              <w:right w:w="15" w:type="dxa"/>
            </w:tcMar>
            <w:hideMark/>
          </w:tcPr>
          <w:p w14:paraId="76370319"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.021</w:t>
            </w:r>
          </w:p>
        </w:tc>
        <w:tc>
          <w:tcPr>
            <w:tcW w:w="642" w:type="dxa"/>
            <w:tcBorders>
              <w:top w:val="nil"/>
              <w:left w:val="nil"/>
              <w:bottom w:val="nil"/>
              <w:right w:val="nil"/>
            </w:tcBorders>
            <w:tcMar>
              <w:top w:w="15" w:type="dxa"/>
              <w:left w:w="15" w:type="dxa"/>
              <w:bottom w:w="15" w:type="dxa"/>
              <w:right w:w="15" w:type="dxa"/>
            </w:tcMar>
            <w:hideMark/>
          </w:tcPr>
          <w:p w14:paraId="377EC038"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1.992</w:t>
            </w:r>
          </w:p>
        </w:tc>
        <w:tc>
          <w:tcPr>
            <w:tcW w:w="977" w:type="dxa"/>
            <w:tcBorders>
              <w:top w:val="nil"/>
              <w:left w:val="nil"/>
              <w:bottom w:val="nil"/>
              <w:right w:val="nil"/>
            </w:tcBorders>
            <w:tcMar>
              <w:top w:w="15" w:type="dxa"/>
              <w:left w:w="140" w:type="dxa"/>
              <w:bottom w:w="15" w:type="dxa"/>
              <w:right w:w="140" w:type="dxa"/>
            </w:tcMar>
            <w:vAlign w:val="center"/>
            <w:hideMark/>
          </w:tcPr>
          <w:p w14:paraId="14A0F665"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g_path</w:t>
            </w:r>
          </w:p>
        </w:tc>
        <w:tc>
          <w:tcPr>
            <w:tcW w:w="617" w:type="dxa"/>
            <w:tcBorders>
              <w:top w:val="nil"/>
              <w:left w:val="nil"/>
              <w:bottom w:val="nil"/>
              <w:right w:val="nil"/>
            </w:tcBorders>
            <w:tcMar>
              <w:top w:w="15" w:type="dxa"/>
              <w:left w:w="15" w:type="dxa"/>
              <w:bottom w:w="15" w:type="dxa"/>
              <w:right w:w="15" w:type="dxa"/>
            </w:tcMar>
            <w:hideMark/>
          </w:tcPr>
          <w:p w14:paraId="7E193031"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.003</w:t>
            </w:r>
          </w:p>
        </w:tc>
        <w:tc>
          <w:tcPr>
            <w:tcW w:w="946" w:type="dxa"/>
            <w:tcBorders>
              <w:top w:val="nil"/>
              <w:left w:val="nil"/>
              <w:bottom w:val="nil"/>
              <w:right w:val="nil"/>
            </w:tcBorders>
            <w:tcMar>
              <w:top w:w="15" w:type="dxa"/>
              <w:left w:w="15" w:type="dxa"/>
              <w:bottom w:w="15" w:type="dxa"/>
              <w:right w:w="15" w:type="dxa"/>
            </w:tcMar>
            <w:hideMark/>
          </w:tcPr>
          <w:p w14:paraId="275ACE26"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1CCFA385"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52141D90"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H7.AC</w:t>
            </w:r>
          </w:p>
        </w:tc>
        <w:tc>
          <w:tcPr>
            <w:tcW w:w="512" w:type="dxa"/>
            <w:tcBorders>
              <w:top w:val="nil"/>
              <w:left w:val="nil"/>
              <w:bottom w:val="nil"/>
              <w:right w:val="nil"/>
            </w:tcBorders>
            <w:noWrap/>
            <w:tcMar>
              <w:top w:w="15" w:type="dxa"/>
              <w:left w:w="57" w:type="dxa"/>
              <w:bottom w:w="15" w:type="dxa"/>
              <w:right w:w="57" w:type="dxa"/>
            </w:tcMar>
            <w:vAlign w:val="center"/>
            <w:hideMark/>
          </w:tcPr>
          <w:p w14:paraId="68BF0623"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nil"/>
              <w:right w:val="nil"/>
            </w:tcBorders>
            <w:tcMar>
              <w:top w:w="15" w:type="dxa"/>
              <w:left w:w="140" w:type="dxa"/>
              <w:bottom w:w="15" w:type="dxa"/>
              <w:right w:w="140" w:type="dxa"/>
            </w:tcMar>
            <w:vAlign w:val="center"/>
            <w:hideMark/>
          </w:tcPr>
          <w:p w14:paraId="035B4AFB"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909" w:type="dxa"/>
            <w:tcBorders>
              <w:top w:val="nil"/>
              <w:left w:val="nil"/>
              <w:bottom w:val="nil"/>
              <w:right w:val="nil"/>
            </w:tcBorders>
            <w:tcMar>
              <w:top w:w="15" w:type="dxa"/>
              <w:left w:w="15" w:type="dxa"/>
              <w:bottom w:w="15" w:type="dxa"/>
              <w:right w:w="15" w:type="dxa"/>
            </w:tcMar>
            <w:hideMark/>
          </w:tcPr>
          <w:p w14:paraId="60581FA0"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.152</w:t>
            </w:r>
          </w:p>
        </w:tc>
        <w:tc>
          <w:tcPr>
            <w:tcW w:w="661" w:type="dxa"/>
            <w:tcBorders>
              <w:top w:val="nil"/>
              <w:left w:val="nil"/>
              <w:bottom w:val="nil"/>
              <w:right w:val="nil"/>
            </w:tcBorders>
            <w:tcMar>
              <w:top w:w="15" w:type="dxa"/>
              <w:left w:w="15" w:type="dxa"/>
              <w:bottom w:w="15" w:type="dxa"/>
              <w:right w:w="15" w:type="dxa"/>
            </w:tcMar>
            <w:hideMark/>
          </w:tcPr>
          <w:p w14:paraId="2FC22FEB"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.036</w:t>
            </w:r>
          </w:p>
        </w:tc>
        <w:tc>
          <w:tcPr>
            <w:tcW w:w="642" w:type="dxa"/>
            <w:tcBorders>
              <w:top w:val="nil"/>
              <w:left w:val="nil"/>
              <w:bottom w:val="nil"/>
              <w:right w:val="nil"/>
            </w:tcBorders>
            <w:tcMar>
              <w:top w:w="15" w:type="dxa"/>
              <w:left w:w="15" w:type="dxa"/>
              <w:bottom w:w="15" w:type="dxa"/>
              <w:right w:w="15" w:type="dxa"/>
            </w:tcMar>
            <w:hideMark/>
          </w:tcPr>
          <w:p w14:paraId="47B50856"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4.223</w:t>
            </w:r>
          </w:p>
        </w:tc>
        <w:tc>
          <w:tcPr>
            <w:tcW w:w="977" w:type="dxa"/>
            <w:tcBorders>
              <w:top w:val="nil"/>
              <w:left w:val="nil"/>
              <w:bottom w:val="nil"/>
              <w:right w:val="nil"/>
            </w:tcBorders>
            <w:tcMar>
              <w:top w:w="15" w:type="dxa"/>
              <w:left w:w="140" w:type="dxa"/>
              <w:bottom w:w="15" w:type="dxa"/>
              <w:right w:w="140" w:type="dxa"/>
            </w:tcMar>
            <w:vAlign w:val="center"/>
            <w:hideMark/>
          </w:tcPr>
          <w:p w14:paraId="070DAD67"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h_path</w:t>
            </w:r>
          </w:p>
        </w:tc>
        <w:tc>
          <w:tcPr>
            <w:tcW w:w="617" w:type="dxa"/>
            <w:tcBorders>
              <w:top w:val="nil"/>
              <w:left w:val="nil"/>
              <w:bottom w:val="nil"/>
              <w:right w:val="nil"/>
            </w:tcBorders>
            <w:tcMar>
              <w:top w:w="15" w:type="dxa"/>
              <w:left w:w="15" w:type="dxa"/>
              <w:bottom w:w="15" w:type="dxa"/>
              <w:right w:w="15" w:type="dxa"/>
            </w:tcMar>
            <w:hideMark/>
          </w:tcPr>
          <w:p w14:paraId="32C1F9F2"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946" w:type="dxa"/>
            <w:tcBorders>
              <w:top w:val="nil"/>
              <w:left w:val="nil"/>
              <w:bottom w:val="nil"/>
              <w:right w:val="nil"/>
            </w:tcBorders>
            <w:tcMar>
              <w:top w:w="15" w:type="dxa"/>
              <w:left w:w="15" w:type="dxa"/>
              <w:bottom w:w="15" w:type="dxa"/>
              <w:right w:w="15" w:type="dxa"/>
            </w:tcMar>
            <w:hideMark/>
          </w:tcPr>
          <w:p w14:paraId="569E953A"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48E007B7" w14:textId="77777777" w:rsidTr="000E48F1">
        <w:tc>
          <w:tcPr>
            <w:tcW w:w="0" w:type="auto"/>
            <w:tcBorders>
              <w:top w:val="nil"/>
              <w:left w:val="nil"/>
              <w:bottom w:val="single" w:sz="4" w:space="0" w:color="auto"/>
              <w:right w:val="nil"/>
            </w:tcBorders>
            <w:tcMar>
              <w:top w:w="15" w:type="dxa"/>
              <w:left w:w="57" w:type="dxa"/>
              <w:bottom w:w="15" w:type="dxa"/>
              <w:right w:w="57" w:type="dxa"/>
            </w:tcMar>
            <w:vAlign w:val="center"/>
            <w:hideMark/>
          </w:tcPr>
          <w:p w14:paraId="64C0E9CD"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H8.MN</w:t>
            </w:r>
          </w:p>
        </w:tc>
        <w:tc>
          <w:tcPr>
            <w:tcW w:w="512" w:type="dxa"/>
            <w:tcBorders>
              <w:top w:val="nil"/>
              <w:left w:val="nil"/>
              <w:bottom w:val="single" w:sz="4" w:space="0" w:color="auto"/>
              <w:right w:val="nil"/>
            </w:tcBorders>
            <w:noWrap/>
            <w:tcMar>
              <w:top w:w="15" w:type="dxa"/>
              <w:left w:w="57" w:type="dxa"/>
              <w:bottom w:w="15" w:type="dxa"/>
              <w:right w:w="57" w:type="dxa"/>
            </w:tcMar>
            <w:vAlign w:val="center"/>
            <w:hideMark/>
          </w:tcPr>
          <w:p w14:paraId="57D6380F"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1085" w:type="dxa"/>
            <w:tcBorders>
              <w:top w:val="nil"/>
              <w:left w:val="nil"/>
              <w:bottom w:val="single" w:sz="4" w:space="0" w:color="auto"/>
              <w:right w:val="nil"/>
            </w:tcBorders>
            <w:tcMar>
              <w:top w:w="15" w:type="dxa"/>
              <w:left w:w="140" w:type="dxa"/>
              <w:bottom w:w="15" w:type="dxa"/>
              <w:right w:w="140" w:type="dxa"/>
            </w:tcMar>
            <w:vAlign w:val="center"/>
            <w:hideMark/>
          </w:tcPr>
          <w:p w14:paraId="50318871"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EWRBI</w:t>
            </w:r>
          </w:p>
        </w:tc>
        <w:tc>
          <w:tcPr>
            <w:tcW w:w="909" w:type="dxa"/>
            <w:tcBorders>
              <w:top w:val="nil"/>
              <w:left w:val="nil"/>
              <w:bottom w:val="single" w:sz="4" w:space="0" w:color="auto"/>
              <w:right w:val="nil"/>
            </w:tcBorders>
            <w:tcMar>
              <w:top w:w="15" w:type="dxa"/>
              <w:left w:w="15" w:type="dxa"/>
              <w:bottom w:w="15" w:type="dxa"/>
              <w:right w:w="15" w:type="dxa"/>
            </w:tcMar>
            <w:hideMark/>
          </w:tcPr>
          <w:p w14:paraId="174C2D99"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.322</w:t>
            </w:r>
          </w:p>
        </w:tc>
        <w:tc>
          <w:tcPr>
            <w:tcW w:w="661" w:type="dxa"/>
            <w:tcBorders>
              <w:top w:val="nil"/>
              <w:left w:val="nil"/>
              <w:bottom w:val="single" w:sz="4" w:space="0" w:color="auto"/>
              <w:right w:val="nil"/>
            </w:tcBorders>
            <w:tcMar>
              <w:top w:w="15" w:type="dxa"/>
              <w:left w:w="15" w:type="dxa"/>
              <w:bottom w:w="15" w:type="dxa"/>
              <w:right w:w="15" w:type="dxa"/>
            </w:tcMar>
            <w:hideMark/>
          </w:tcPr>
          <w:p w14:paraId="607DF230"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.046</w:t>
            </w:r>
          </w:p>
        </w:tc>
        <w:tc>
          <w:tcPr>
            <w:tcW w:w="642" w:type="dxa"/>
            <w:tcBorders>
              <w:top w:val="nil"/>
              <w:left w:val="nil"/>
              <w:bottom w:val="single" w:sz="4" w:space="0" w:color="auto"/>
              <w:right w:val="nil"/>
            </w:tcBorders>
            <w:tcMar>
              <w:top w:w="15" w:type="dxa"/>
              <w:left w:w="15" w:type="dxa"/>
              <w:bottom w:w="15" w:type="dxa"/>
              <w:right w:w="15" w:type="dxa"/>
            </w:tcMar>
            <w:hideMark/>
          </w:tcPr>
          <w:p w14:paraId="5AC110B3"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6.951</w:t>
            </w:r>
          </w:p>
        </w:tc>
        <w:tc>
          <w:tcPr>
            <w:tcW w:w="977" w:type="dxa"/>
            <w:tcBorders>
              <w:top w:val="nil"/>
              <w:left w:val="nil"/>
              <w:bottom w:val="single" w:sz="4" w:space="0" w:color="auto"/>
              <w:right w:val="nil"/>
            </w:tcBorders>
            <w:tcMar>
              <w:top w:w="15" w:type="dxa"/>
              <w:left w:w="140" w:type="dxa"/>
              <w:bottom w:w="15" w:type="dxa"/>
              <w:right w:w="140" w:type="dxa"/>
            </w:tcMar>
            <w:vAlign w:val="center"/>
            <w:hideMark/>
          </w:tcPr>
          <w:p w14:paraId="3BAA8722"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i_path</w:t>
            </w:r>
          </w:p>
        </w:tc>
        <w:tc>
          <w:tcPr>
            <w:tcW w:w="617" w:type="dxa"/>
            <w:tcBorders>
              <w:top w:val="nil"/>
              <w:left w:val="nil"/>
              <w:bottom w:val="single" w:sz="4" w:space="0" w:color="auto"/>
              <w:right w:val="nil"/>
            </w:tcBorders>
            <w:tcMar>
              <w:top w:w="15" w:type="dxa"/>
              <w:left w:w="15" w:type="dxa"/>
              <w:bottom w:w="15" w:type="dxa"/>
              <w:right w:w="15" w:type="dxa"/>
            </w:tcMar>
            <w:hideMark/>
          </w:tcPr>
          <w:p w14:paraId="180EF09B" w14:textId="77777777" w:rsidR="000360AA" w:rsidRPr="00597FFB" w:rsidRDefault="000360AA" w:rsidP="000E48F1">
            <w:pPr>
              <w:widowControl w:val="0"/>
              <w:spacing w:after="0" w:line="240" w:lineRule="auto"/>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946" w:type="dxa"/>
            <w:tcBorders>
              <w:top w:val="nil"/>
              <w:left w:val="nil"/>
              <w:bottom w:val="single" w:sz="4" w:space="0" w:color="auto"/>
              <w:right w:val="nil"/>
            </w:tcBorders>
            <w:tcMar>
              <w:top w:w="15" w:type="dxa"/>
              <w:left w:w="15" w:type="dxa"/>
              <w:bottom w:w="15" w:type="dxa"/>
              <w:right w:w="15" w:type="dxa"/>
            </w:tcMar>
            <w:hideMark/>
          </w:tcPr>
          <w:p w14:paraId="10312834" w14:textId="77777777" w:rsidR="000360AA" w:rsidRPr="00597FFB" w:rsidRDefault="000360AA"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bookmarkEnd w:id="243"/>
    </w:tbl>
    <w:p w14:paraId="5D95C6C3" w14:textId="77777777" w:rsidR="000360AA" w:rsidRPr="00597FFB" w:rsidRDefault="000360AA" w:rsidP="000360AA">
      <w:pPr>
        <w:spacing w:line="480" w:lineRule="auto"/>
        <w:jc w:val="both"/>
        <w:rPr>
          <w:rFonts w:ascii="Times New Roman" w:hAnsi="Times New Roman" w:cs="Times New Roman"/>
          <w:sz w:val="24"/>
          <w:szCs w:val="24"/>
        </w:rPr>
      </w:pPr>
    </w:p>
    <w:p w14:paraId="3C9E15CA" w14:textId="63E3FDD6" w:rsidR="0068406B" w:rsidRPr="00597FFB" w:rsidRDefault="00E161C2" w:rsidP="00E161C2">
      <w:pPr>
        <w:spacing w:line="276" w:lineRule="auto"/>
        <w:jc w:val="both"/>
        <w:rPr>
          <w:rFonts w:asciiTheme="majorBidi" w:hAnsiTheme="majorBidi" w:cstheme="majorBidi"/>
          <w:i/>
          <w:iCs/>
        </w:rPr>
      </w:pPr>
      <w:r w:rsidRPr="00597FFB">
        <w:rPr>
          <w:rFonts w:asciiTheme="majorBidi" w:hAnsiTheme="majorBidi" w:cstheme="majorBidi"/>
          <w:b/>
          <w:bCs/>
        </w:rPr>
        <w:t xml:space="preserve">Table </w:t>
      </w:r>
      <w:r w:rsidR="00607DF3" w:rsidRPr="00597FFB">
        <w:rPr>
          <w:rFonts w:asciiTheme="majorBidi" w:hAnsiTheme="majorBidi" w:cstheme="majorBidi"/>
          <w:b/>
          <w:bCs/>
        </w:rPr>
        <w:t>20</w:t>
      </w:r>
      <w:r w:rsidRPr="00597FFB">
        <w:rPr>
          <w:rFonts w:asciiTheme="majorBidi" w:hAnsiTheme="majorBidi" w:cstheme="majorBidi"/>
          <w:b/>
          <w:bCs/>
        </w:rPr>
        <w:t xml:space="preserve">: </w:t>
      </w:r>
      <w:r w:rsidRPr="00597FFB">
        <w:rPr>
          <w:rFonts w:asciiTheme="majorBidi" w:hAnsiTheme="majorBidi" w:cstheme="majorBidi"/>
          <w:i/>
          <w:iCs/>
        </w:rPr>
        <w:t xml:space="preserve">Results </w:t>
      </w:r>
      <w:r w:rsidR="00072848" w:rsidRPr="00597FFB">
        <w:rPr>
          <w:rFonts w:asciiTheme="majorBidi" w:hAnsiTheme="majorBidi" w:cstheme="majorBidi"/>
          <w:i/>
          <w:iCs/>
        </w:rPr>
        <w:t>o</w:t>
      </w:r>
      <w:r w:rsidRPr="00597FFB">
        <w:rPr>
          <w:rFonts w:asciiTheme="majorBidi" w:hAnsiTheme="majorBidi" w:cstheme="majorBidi"/>
          <w:i/>
          <w:iCs/>
        </w:rPr>
        <w:t xml:space="preserve">f </w:t>
      </w:r>
      <w:r w:rsidR="00072848" w:rsidRPr="00597FFB">
        <w:rPr>
          <w:rFonts w:asciiTheme="majorBidi" w:hAnsiTheme="majorBidi" w:cstheme="majorBidi"/>
          <w:i/>
          <w:iCs/>
        </w:rPr>
        <w:t>t</w:t>
      </w:r>
      <w:r w:rsidRPr="00597FFB">
        <w:rPr>
          <w:rFonts w:asciiTheme="majorBidi" w:hAnsiTheme="majorBidi" w:cstheme="majorBidi"/>
          <w:i/>
          <w:iCs/>
        </w:rPr>
        <w:t xml:space="preserve">he Mediator Effects </w:t>
      </w:r>
      <w:r w:rsidR="00072848" w:rsidRPr="00597FFB">
        <w:rPr>
          <w:rFonts w:asciiTheme="majorBidi" w:hAnsiTheme="majorBidi" w:cstheme="majorBidi"/>
          <w:i/>
          <w:iCs/>
        </w:rPr>
        <w:t>o</w:t>
      </w:r>
      <w:r w:rsidRPr="00597FFB">
        <w:rPr>
          <w:rFonts w:asciiTheme="majorBidi" w:hAnsiTheme="majorBidi" w:cstheme="majorBidi"/>
          <w:i/>
          <w:iCs/>
        </w:rPr>
        <w:t xml:space="preserve">f Personal Norm </w:t>
      </w:r>
      <w:r w:rsidR="00072848" w:rsidRPr="00597FFB">
        <w:rPr>
          <w:rFonts w:asciiTheme="majorBidi" w:hAnsiTheme="majorBidi" w:cstheme="majorBidi"/>
          <w:i/>
          <w:iCs/>
        </w:rPr>
        <w:t>o</w:t>
      </w:r>
      <w:r w:rsidRPr="00597FFB">
        <w:rPr>
          <w:rFonts w:asciiTheme="majorBidi" w:hAnsiTheme="majorBidi" w:cstheme="majorBidi"/>
          <w:i/>
          <w:iCs/>
        </w:rPr>
        <w:t xml:space="preserve">n </w:t>
      </w:r>
      <w:r w:rsidR="00072848" w:rsidRPr="00597FFB">
        <w:rPr>
          <w:rFonts w:asciiTheme="majorBidi" w:hAnsiTheme="majorBidi" w:cstheme="majorBidi"/>
          <w:i/>
          <w:iCs/>
        </w:rPr>
        <w:t>t</w:t>
      </w:r>
      <w:r w:rsidRPr="00597FFB">
        <w:rPr>
          <w:rFonts w:asciiTheme="majorBidi" w:hAnsiTheme="majorBidi" w:cstheme="majorBidi"/>
          <w:i/>
          <w:iCs/>
        </w:rPr>
        <w:t xml:space="preserve">he Effect </w:t>
      </w:r>
      <w:r w:rsidR="00072848" w:rsidRPr="00597FFB">
        <w:rPr>
          <w:rFonts w:asciiTheme="majorBidi" w:hAnsiTheme="majorBidi" w:cstheme="majorBidi"/>
          <w:i/>
          <w:iCs/>
        </w:rPr>
        <w:t>o</w:t>
      </w:r>
      <w:r w:rsidRPr="00597FFB">
        <w:rPr>
          <w:rFonts w:asciiTheme="majorBidi" w:hAnsiTheme="majorBidi" w:cstheme="majorBidi"/>
          <w:i/>
          <w:iCs/>
        </w:rPr>
        <w:t xml:space="preserve">f Ascription </w:t>
      </w:r>
      <w:r w:rsidR="00072848" w:rsidRPr="00597FFB">
        <w:rPr>
          <w:rFonts w:asciiTheme="majorBidi" w:hAnsiTheme="majorBidi" w:cstheme="majorBidi"/>
          <w:i/>
          <w:iCs/>
        </w:rPr>
        <w:t>o</w:t>
      </w:r>
      <w:r w:rsidRPr="00597FFB">
        <w:rPr>
          <w:rFonts w:asciiTheme="majorBidi" w:hAnsiTheme="majorBidi" w:cstheme="majorBidi"/>
          <w:i/>
          <w:iCs/>
        </w:rPr>
        <w:t xml:space="preserve">f Responsibility, Awareness </w:t>
      </w:r>
      <w:r w:rsidR="00072848" w:rsidRPr="00597FFB">
        <w:rPr>
          <w:rFonts w:asciiTheme="majorBidi" w:hAnsiTheme="majorBidi" w:cstheme="majorBidi"/>
          <w:i/>
          <w:iCs/>
        </w:rPr>
        <w:t>o</w:t>
      </w:r>
      <w:r w:rsidRPr="00597FFB">
        <w:rPr>
          <w:rFonts w:asciiTheme="majorBidi" w:hAnsiTheme="majorBidi" w:cstheme="majorBidi"/>
          <w:i/>
          <w:iCs/>
        </w:rPr>
        <w:t xml:space="preserve">f Consequences, </w:t>
      </w:r>
      <w:r w:rsidR="00072848" w:rsidRPr="00597FFB">
        <w:rPr>
          <w:rFonts w:asciiTheme="majorBidi" w:hAnsiTheme="majorBidi" w:cstheme="majorBidi"/>
          <w:i/>
          <w:iCs/>
        </w:rPr>
        <w:t>a</w:t>
      </w:r>
      <w:r w:rsidRPr="00597FFB">
        <w:rPr>
          <w:rFonts w:asciiTheme="majorBidi" w:hAnsiTheme="majorBidi" w:cstheme="majorBidi"/>
          <w:i/>
          <w:iCs/>
        </w:rPr>
        <w:t xml:space="preserve">nd Moral Norm </w:t>
      </w:r>
      <w:r w:rsidR="00072848" w:rsidRPr="00597FFB">
        <w:rPr>
          <w:rFonts w:asciiTheme="majorBidi" w:hAnsiTheme="majorBidi" w:cstheme="majorBidi"/>
          <w:i/>
          <w:iCs/>
        </w:rPr>
        <w:t>o</w:t>
      </w:r>
      <w:r w:rsidRPr="00597FFB">
        <w:rPr>
          <w:rFonts w:asciiTheme="majorBidi" w:hAnsiTheme="majorBidi" w:cstheme="majorBidi"/>
          <w:i/>
          <w:iCs/>
        </w:rPr>
        <w:t>n EWR Behavioral Intention.</w:t>
      </w:r>
    </w:p>
    <w:tbl>
      <w:tblPr>
        <w:tblW w:w="7250" w:type="dxa"/>
        <w:jc w:val="center"/>
        <w:tblBorders>
          <w:top w:val="single" w:sz="4" w:space="0" w:color="auto"/>
          <w:bottom w:val="single" w:sz="4" w:space="0" w:color="auto"/>
        </w:tblBorders>
        <w:tblLook w:val="04A0" w:firstRow="1" w:lastRow="0" w:firstColumn="1" w:lastColumn="0" w:noHBand="0" w:noVBand="1"/>
      </w:tblPr>
      <w:tblGrid>
        <w:gridCol w:w="1177"/>
        <w:gridCol w:w="695"/>
        <w:gridCol w:w="1931"/>
        <w:gridCol w:w="1197"/>
        <w:gridCol w:w="1169"/>
        <w:gridCol w:w="1081"/>
      </w:tblGrid>
      <w:tr w:rsidR="000360AA" w:rsidRPr="00597FFB" w14:paraId="62D9FAF4" w14:textId="77777777" w:rsidTr="000E48F1">
        <w:trPr>
          <w:trHeight w:val="151"/>
          <w:tblHeader/>
          <w:jc w:val="center"/>
        </w:trPr>
        <w:tc>
          <w:tcPr>
            <w:tcW w:w="3803" w:type="dxa"/>
            <w:gridSpan w:val="3"/>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18D295D8" w14:textId="77777777" w:rsidR="000360AA" w:rsidRPr="00597FFB" w:rsidRDefault="000360AA" w:rsidP="000E48F1">
            <w:pPr>
              <w:widowControl w:val="0"/>
              <w:spacing w:after="0" w:line="240" w:lineRule="auto"/>
              <w:jc w:val="center"/>
              <w:rPr>
                <w:rFonts w:ascii="Times New Roman" w:eastAsia="Times New Roman" w:hAnsi="Times New Roman" w:cs="Times New Roman"/>
                <w:b/>
                <w:bCs/>
              </w:rPr>
            </w:pPr>
            <w:bookmarkStart w:id="244" w:name="_Hlk120894684"/>
            <w:r w:rsidRPr="00597FFB">
              <w:rPr>
                <w:rFonts w:ascii="Times New Roman" w:eastAsia="Times New Roman" w:hAnsi="Times New Roman" w:cs="Times New Roman"/>
                <w:b/>
                <w:bCs/>
              </w:rPr>
              <w:t>Indirect Effects</w:t>
            </w:r>
          </w:p>
        </w:tc>
        <w:tc>
          <w:tcPr>
            <w:tcW w:w="1197" w:type="dxa"/>
            <w:tcBorders>
              <w:top w:val="single" w:sz="4" w:space="0" w:color="auto"/>
              <w:left w:val="nil"/>
              <w:bottom w:val="single" w:sz="4" w:space="0" w:color="auto"/>
              <w:right w:val="nil"/>
            </w:tcBorders>
            <w:tcMar>
              <w:top w:w="15" w:type="dxa"/>
              <w:left w:w="15" w:type="dxa"/>
              <w:bottom w:w="15" w:type="dxa"/>
              <w:right w:w="15" w:type="dxa"/>
            </w:tcMar>
            <w:hideMark/>
          </w:tcPr>
          <w:p w14:paraId="61CB3916" w14:textId="77777777" w:rsidR="000360AA" w:rsidRPr="00597FFB" w:rsidRDefault="000360AA" w:rsidP="000E48F1">
            <w:pPr>
              <w:widowControl w:val="0"/>
              <w:spacing w:after="0" w:line="240" w:lineRule="auto"/>
              <w:jc w:val="both"/>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1169" w:type="dxa"/>
            <w:tcBorders>
              <w:top w:val="single" w:sz="4" w:space="0" w:color="auto"/>
              <w:left w:val="nil"/>
              <w:bottom w:val="single" w:sz="4" w:space="0" w:color="auto"/>
              <w:right w:val="nil"/>
            </w:tcBorders>
            <w:tcMar>
              <w:top w:w="15" w:type="dxa"/>
              <w:left w:w="15" w:type="dxa"/>
              <w:bottom w:w="15" w:type="dxa"/>
              <w:right w:w="15" w:type="dxa"/>
            </w:tcMar>
            <w:hideMark/>
          </w:tcPr>
          <w:p w14:paraId="4C59F4FB" w14:textId="77777777" w:rsidR="000360AA" w:rsidRPr="00597FFB" w:rsidRDefault="000360AA" w:rsidP="000E48F1">
            <w:pPr>
              <w:widowControl w:val="0"/>
              <w:spacing w:after="0" w:line="240" w:lineRule="auto"/>
              <w:jc w:val="both"/>
              <w:rPr>
                <w:rFonts w:ascii="Times New Roman" w:eastAsia="Times New Roman" w:hAnsi="Times New Roman" w:cs="Times New Roman"/>
                <w:b/>
                <w:bCs/>
              </w:rPr>
            </w:pPr>
            <w:r w:rsidRPr="00597FFB">
              <w:rPr>
                <w:rFonts w:ascii="Times New Roman" w:eastAsia="Times New Roman" w:hAnsi="Times New Roman" w:cs="Times New Roman"/>
                <w:b/>
                <w:bCs/>
              </w:rPr>
              <w:t>p-values</w:t>
            </w:r>
          </w:p>
        </w:tc>
        <w:tc>
          <w:tcPr>
            <w:tcW w:w="1081" w:type="dxa"/>
            <w:tcBorders>
              <w:top w:val="single" w:sz="4" w:space="0" w:color="auto"/>
              <w:left w:val="nil"/>
              <w:bottom w:val="single" w:sz="4" w:space="0" w:color="auto"/>
              <w:right w:val="nil"/>
            </w:tcBorders>
            <w:tcMar>
              <w:top w:w="15" w:type="dxa"/>
              <w:left w:w="15" w:type="dxa"/>
              <w:bottom w:w="15" w:type="dxa"/>
              <w:right w:w="15" w:type="dxa"/>
            </w:tcMar>
            <w:hideMark/>
          </w:tcPr>
          <w:p w14:paraId="321821EB" w14:textId="77777777" w:rsidR="000360AA" w:rsidRPr="00597FFB" w:rsidRDefault="000360AA" w:rsidP="000E48F1">
            <w:pPr>
              <w:widowControl w:val="0"/>
              <w:spacing w:after="0" w:line="240" w:lineRule="auto"/>
              <w:jc w:val="both"/>
              <w:rPr>
                <w:rFonts w:ascii="Times New Roman" w:eastAsia="Times New Roman" w:hAnsi="Times New Roman" w:cs="Times New Roman"/>
                <w:b/>
                <w:bCs/>
              </w:rPr>
            </w:pPr>
            <w:r w:rsidRPr="00597FFB">
              <w:rPr>
                <w:rFonts w:ascii="Times New Roman" w:eastAsia="Times New Roman" w:hAnsi="Times New Roman" w:cs="Times New Roman"/>
                <w:b/>
                <w:bCs/>
              </w:rPr>
              <w:t>Decision</w:t>
            </w:r>
          </w:p>
        </w:tc>
      </w:tr>
      <w:tr w:rsidR="000360AA" w:rsidRPr="00597FFB" w14:paraId="2679689A" w14:textId="77777777" w:rsidTr="000E48F1">
        <w:trPr>
          <w:trHeight w:val="302"/>
          <w:jc w:val="center"/>
        </w:trPr>
        <w:tc>
          <w:tcPr>
            <w:tcW w:w="1177" w:type="dxa"/>
            <w:tcBorders>
              <w:top w:val="single" w:sz="4" w:space="0" w:color="auto"/>
              <w:left w:val="nil"/>
              <w:bottom w:val="nil"/>
              <w:right w:val="nil"/>
            </w:tcBorders>
            <w:tcMar>
              <w:top w:w="15" w:type="dxa"/>
              <w:left w:w="57" w:type="dxa"/>
              <w:bottom w:w="15" w:type="dxa"/>
              <w:right w:w="57" w:type="dxa"/>
            </w:tcMar>
            <w:vAlign w:val="center"/>
            <w:hideMark/>
          </w:tcPr>
          <w:p w14:paraId="5F7D4086"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H9. AR</w:t>
            </w:r>
          </w:p>
        </w:tc>
        <w:tc>
          <w:tcPr>
            <w:tcW w:w="695" w:type="dxa"/>
            <w:tcBorders>
              <w:top w:val="single" w:sz="4" w:space="0" w:color="auto"/>
              <w:left w:val="nil"/>
              <w:bottom w:val="nil"/>
              <w:right w:val="nil"/>
            </w:tcBorders>
            <w:noWrap/>
            <w:tcMar>
              <w:top w:w="15" w:type="dxa"/>
              <w:left w:w="57" w:type="dxa"/>
              <w:bottom w:w="15" w:type="dxa"/>
              <w:right w:w="57" w:type="dxa"/>
            </w:tcMar>
            <w:vAlign w:val="center"/>
            <w:hideMark/>
          </w:tcPr>
          <w:p w14:paraId="6321455F"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w:t>
            </w:r>
          </w:p>
        </w:tc>
        <w:tc>
          <w:tcPr>
            <w:tcW w:w="1931" w:type="dxa"/>
            <w:tcBorders>
              <w:top w:val="single" w:sz="4" w:space="0" w:color="auto"/>
              <w:left w:val="nil"/>
              <w:bottom w:val="nil"/>
              <w:right w:val="nil"/>
            </w:tcBorders>
            <w:tcMar>
              <w:top w:w="15" w:type="dxa"/>
              <w:left w:w="140" w:type="dxa"/>
              <w:bottom w:w="15" w:type="dxa"/>
              <w:right w:w="140" w:type="dxa"/>
            </w:tcMar>
            <w:vAlign w:val="center"/>
            <w:hideMark/>
          </w:tcPr>
          <w:p w14:paraId="0E6F2E8C"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PN→EWRBI</w:t>
            </w:r>
          </w:p>
        </w:tc>
        <w:tc>
          <w:tcPr>
            <w:tcW w:w="1197" w:type="dxa"/>
            <w:tcBorders>
              <w:top w:val="single" w:sz="4" w:space="0" w:color="auto"/>
              <w:left w:val="nil"/>
              <w:bottom w:val="nil"/>
              <w:right w:val="nil"/>
            </w:tcBorders>
            <w:tcMar>
              <w:top w:w="15" w:type="dxa"/>
              <w:left w:w="15" w:type="dxa"/>
              <w:bottom w:w="15" w:type="dxa"/>
              <w:right w:w="15" w:type="dxa"/>
            </w:tcMar>
            <w:vAlign w:val="center"/>
            <w:hideMark/>
          </w:tcPr>
          <w:p w14:paraId="5A596CF3"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.198</w:t>
            </w:r>
          </w:p>
        </w:tc>
        <w:tc>
          <w:tcPr>
            <w:tcW w:w="1169" w:type="dxa"/>
            <w:tcBorders>
              <w:top w:val="single" w:sz="4" w:space="0" w:color="auto"/>
              <w:left w:val="nil"/>
              <w:bottom w:val="nil"/>
              <w:right w:val="nil"/>
            </w:tcBorders>
            <w:tcMar>
              <w:top w:w="15" w:type="dxa"/>
              <w:left w:w="15" w:type="dxa"/>
              <w:bottom w:w="15" w:type="dxa"/>
              <w:right w:w="15" w:type="dxa"/>
            </w:tcMar>
            <w:vAlign w:val="center"/>
            <w:hideMark/>
          </w:tcPr>
          <w:p w14:paraId="33B59A0B"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.000</w:t>
            </w:r>
          </w:p>
        </w:tc>
        <w:tc>
          <w:tcPr>
            <w:tcW w:w="1081" w:type="dxa"/>
            <w:tcBorders>
              <w:top w:val="single" w:sz="4" w:space="0" w:color="auto"/>
              <w:left w:val="nil"/>
              <w:bottom w:val="nil"/>
              <w:right w:val="nil"/>
            </w:tcBorders>
            <w:tcMar>
              <w:top w:w="15" w:type="dxa"/>
              <w:left w:w="15" w:type="dxa"/>
              <w:bottom w:w="15" w:type="dxa"/>
              <w:right w:w="15" w:type="dxa"/>
            </w:tcMar>
            <w:hideMark/>
          </w:tcPr>
          <w:p w14:paraId="58E363D3"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6EAC26D1" w14:textId="77777777" w:rsidTr="000E48F1">
        <w:trPr>
          <w:trHeight w:val="291"/>
          <w:jc w:val="center"/>
        </w:trPr>
        <w:tc>
          <w:tcPr>
            <w:tcW w:w="1177" w:type="dxa"/>
            <w:tcBorders>
              <w:top w:val="nil"/>
              <w:left w:val="nil"/>
              <w:bottom w:val="nil"/>
              <w:right w:val="nil"/>
            </w:tcBorders>
            <w:tcMar>
              <w:top w:w="15" w:type="dxa"/>
              <w:left w:w="57" w:type="dxa"/>
              <w:bottom w:w="15" w:type="dxa"/>
              <w:right w:w="57" w:type="dxa"/>
            </w:tcMar>
            <w:vAlign w:val="center"/>
            <w:hideMark/>
          </w:tcPr>
          <w:p w14:paraId="1AAE9259"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H10. AC</w:t>
            </w:r>
          </w:p>
        </w:tc>
        <w:tc>
          <w:tcPr>
            <w:tcW w:w="695" w:type="dxa"/>
            <w:tcBorders>
              <w:top w:val="nil"/>
              <w:left w:val="nil"/>
              <w:bottom w:val="nil"/>
              <w:right w:val="nil"/>
            </w:tcBorders>
            <w:noWrap/>
            <w:tcMar>
              <w:top w:w="15" w:type="dxa"/>
              <w:left w:w="57" w:type="dxa"/>
              <w:bottom w:w="15" w:type="dxa"/>
              <w:right w:w="57" w:type="dxa"/>
            </w:tcMar>
            <w:vAlign w:val="center"/>
            <w:hideMark/>
          </w:tcPr>
          <w:p w14:paraId="36310EDD"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w:t>
            </w:r>
          </w:p>
        </w:tc>
        <w:tc>
          <w:tcPr>
            <w:tcW w:w="1931" w:type="dxa"/>
            <w:tcBorders>
              <w:top w:val="nil"/>
              <w:left w:val="nil"/>
              <w:bottom w:val="nil"/>
              <w:right w:val="nil"/>
            </w:tcBorders>
            <w:tcMar>
              <w:top w:w="15" w:type="dxa"/>
              <w:left w:w="140" w:type="dxa"/>
              <w:bottom w:w="15" w:type="dxa"/>
              <w:right w:w="140" w:type="dxa"/>
            </w:tcMar>
            <w:vAlign w:val="center"/>
            <w:hideMark/>
          </w:tcPr>
          <w:p w14:paraId="13140669"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PN→EWRBI</w:t>
            </w:r>
          </w:p>
        </w:tc>
        <w:tc>
          <w:tcPr>
            <w:tcW w:w="1197" w:type="dxa"/>
            <w:tcBorders>
              <w:top w:val="nil"/>
              <w:left w:val="nil"/>
              <w:bottom w:val="nil"/>
              <w:right w:val="nil"/>
            </w:tcBorders>
            <w:tcMar>
              <w:top w:w="15" w:type="dxa"/>
              <w:left w:w="15" w:type="dxa"/>
              <w:bottom w:w="15" w:type="dxa"/>
              <w:right w:w="15" w:type="dxa"/>
            </w:tcMar>
            <w:vAlign w:val="center"/>
            <w:hideMark/>
          </w:tcPr>
          <w:p w14:paraId="0246A09F"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.206</w:t>
            </w:r>
          </w:p>
        </w:tc>
        <w:tc>
          <w:tcPr>
            <w:tcW w:w="1169" w:type="dxa"/>
            <w:tcBorders>
              <w:top w:val="nil"/>
              <w:left w:val="nil"/>
              <w:bottom w:val="nil"/>
              <w:right w:val="nil"/>
            </w:tcBorders>
            <w:tcMar>
              <w:top w:w="15" w:type="dxa"/>
              <w:left w:w="15" w:type="dxa"/>
              <w:bottom w:w="15" w:type="dxa"/>
              <w:right w:w="15" w:type="dxa"/>
            </w:tcMar>
            <w:vAlign w:val="center"/>
            <w:hideMark/>
          </w:tcPr>
          <w:p w14:paraId="6A8CA942"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.000</w:t>
            </w:r>
          </w:p>
        </w:tc>
        <w:tc>
          <w:tcPr>
            <w:tcW w:w="1081" w:type="dxa"/>
            <w:tcBorders>
              <w:top w:val="nil"/>
              <w:left w:val="nil"/>
              <w:bottom w:val="nil"/>
              <w:right w:val="nil"/>
            </w:tcBorders>
            <w:tcMar>
              <w:top w:w="15" w:type="dxa"/>
              <w:left w:w="15" w:type="dxa"/>
              <w:bottom w:w="15" w:type="dxa"/>
              <w:right w:w="15" w:type="dxa"/>
            </w:tcMar>
            <w:hideMark/>
          </w:tcPr>
          <w:p w14:paraId="31463D58"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Supported</w:t>
            </w:r>
          </w:p>
        </w:tc>
      </w:tr>
      <w:tr w:rsidR="000360AA" w:rsidRPr="00597FFB" w14:paraId="473EAB81" w14:textId="77777777" w:rsidTr="000E48F1">
        <w:trPr>
          <w:trHeight w:val="291"/>
          <w:jc w:val="center"/>
        </w:trPr>
        <w:tc>
          <w:tcPr>
            <w:tcW w:w="1177" w:type="dxa"/>
            <w:tcBorders>
              <w:top w:val="nil"/>
              <w:left w:val="nil"/>
              <w:bottom w:val="single" w:sz="4" w:space="0" w:color="auto"/>
              <w:right w:val="nil"/>
            </w:tcBorders>
            <w:tcMar>
              <w:top w:w="15" w:type="dxa"/>
              <w:left w:w="57" w:type="dxa"/>
              <w:bottom w:w="15" w:type="dxa"/>
              <w:right w:w="57" w:type="dxa"/>
            </w:tcMar>
            <w:vAlign w:val="center"/>
            <w:hideMark/>
          </w:tcPr>
          <w:p w14:paraId="5D5A1590"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H11. MN</w:t>
            </w:r>
          </w:p>
        </w:tc>
        <w:tc>
          <w:tcPr>
            <w:tcW w:w="695" w:type="dxa"/>
            <w:tcBorders>
              <w:top w:val="nil"/>
              <w:left w:val="nil"/>
              <w:bottom w:val="single" w:sz="4" w:space="0" w:color="auto"/>
              <w:right w:val="nil"/>
            </w:tcBorders>
            <w:noWrap/>
            <w:tcMar>
              <w:top w:w="15" w:type="dxa"/>
              <w:left w:w="57" w:type="dxa"/>
              <w:bottom w:w="15" w:type="dxa"/>
              <w:right w:w="57" w:type="dxa"/>
            </w:tcMar>
            <w:vAlign w:val="center"/>
            <w:hideMark/>
          </w:tcPr>
          <w:p w14:paraId="63FA160B"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w:t>
            </w:r>
          </w:p>
        </w:tc>
        <w:tc>
          <w:tcPr>
            <w:tcW w:w="1931" w:type="dxa"/>
            <w:tcBorders>
              <w:top w:val="nil"/>
              <w:left w:val="nil"/>
              <w:bottom w:val="single" w:sz="4" w:space="0" w:color="auto"/>
              <w:right w:val="nil"/>
            </w:tcBorders>
            <w:tcMar>
              <w:top w:w="15" w:type="dxa"/>
              <w:left w:w="140" w:type="dxa"/>
              <w:bottom w:w="15" w:type="dxa"/>
              <w:right w:w="140" w:type="dxa"/>
            </w:tcMar>
            <w:vAlign w:val="center"/>
            <w:hideMark/>
          </w:tcPr>
          <w:p w14:paraId="0C2C90F2"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PN→EWRBI</w:t>
            </w:r>
          </w:p>
        </w:tc>
        <w:tc>
          <w:tcPr>
            <w:tcW w:w="1197" w:type="dxa"/>
            <w:tcBorders>
              <w:top w:val="nil"/>
              <w:left w:val="nil"/>
              <w:bottom w:val="single" w:sz="4" w:space="0" w:color="auto"/>
              <w:right w:val="nil"/>
            </w:tcBorders>
            <w:tcMar>
              <w:top w:w="15" w:type="dxa"/>
              <w:left w:w="15" w:type="dxa"/>
              <w:bottom w:w="15" w:type="dxa"/>
              <w:right w:w="15" w:type="dxa"/>
            </w:tcMar>
            <w:vAlign w:val="center"/>
            <w:hideMark/>
          </w:tcPr>
          <w:p w14:paraId="24C14B70"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.025</w:t>
            </w:r>
          </w:p>
        </w:tc>
        <w:tc>
          <w:tcPr>
            <w:tcW w:w="1169" w:type="dxa"/>
            <w:tcBorders>
              <w:top w:val="nil"/>
              <w:left w:val="nil"/>
              <w:bottom w:val="single" w:sz="4" w:space="0" w:color="auto"/>
              <w:right w:val="nil"/>
            </w:tcBorders>
            <w:tcMar>
              <w:top w:w="15" w:type="dxa"/>
              <w:left w:w="15" w:type="dxa"/>
              <w:bottom w:w="15" w:type="dxa"/>
              <w:right w:w="15" w:type="dxa"/>
            </w:tcMar>
            <w:vAlign w:val="center"/>
            <w:hideMark/>
          </w:tcPr>
          <w:p w14:paraId="2677D205"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.000</w:t>
            </w:r>
          </w:p>
        </w:tc>
        <w:tc>
          <w:tcPr>
            <w:tcW w:w="1081" w:type="dxa"/>
            <w:tcBorders>
              <w:top w:val="nil"/>
              <w:left w:val="nil"/>
              <w:bottom w:val="single" w:sz="4" w:space="0" w:color="auto"/>
              <w:right w:val="nil"/>
            </w:tcBorders>
            <w:tcMar>
              <w:top w:w="15" w:type="dxa"/>
              <w:left w:w="15" w:type="dxa"/>
              <w:bottom w:w="15" w:type="dxa"/>
              <w:right w:w="15" w:type="dxa"/>
            </w:tcMar>
            <w:hideMark/>
          </w:tcPr>
          <w:p w14:paraId="5DC0C47C" w14:textId="77777777" w:rsidR="000360AA" w:rsidRPr="00597FFB" w:rsidRDefault="000360AA" w:rsidP="000E48F1">
            <w:pPr>
              <w:widowControl w:val="0"/>
              <w:spacing w:after="0" w:line="240" w:lineRule="auto"/>
              <w:jc w:val="both"/>
              <w:rPr>
                <w:rFonts w:ascii="Times New Roman" w:eastAsia="Times New Roman" w:hAnsi="Times New Roman" w:cs="Times New Roman"/>
              </w:rPr>
            </w:pPr>
            <w:r w:rsidRPr="00597FFB">
              <w:rPr>
                <w:rFonts w:ascii="Times New Roman" w:eastAsia="Times New Roman" w:hAnsi="Times New Roman" w:cs="Times New Roman"/>
              </w:rPr>
              <w:t>Supported</w:t>
            </w:r>
          </w:p>
        </w:tc>
      </w:tr>
      <w:bookmarkEnd w:id="244"/>
    </w:tbl>
    <w:p w14:paraId="3C345662" w14:textId="77777777" w:rsidR="00EE5EE9" w:rsidRPr="00597FFB" w:rsidRDefault="00EE5EE9" w:rsidP="00EE5EE9">
      <w:pPr>
        <w:widowControl w:val="0"/>
        <w:spacing w:line="480" w:lineRule="auto"/>
        <w:ind w:firstLine="720"/>
        <w:jc w:val="both"/>
        <w:rPr>
          <w:rFonts w:ascii="Times New Roman" w:hAnsi="Times New Roman" w:cs="Times New Roman"/>
          <w:sz w:val="24"/>
          <w:szCs w:val="24"/>
        </w:rPr>
      </w:pPr>
    </w:p>
    <w:p w14:paraId="3127844F" w14:textId="3D4E1475" w:rsidR="00607DF3" w:rsidRPr="00597FFB" w:rsidRDefault="00E52362" w:rsidP="00EE5EE9">
      <w:pPr>
        <w:widowControl w:val="0"/>
        <w:spacing w:line="480" w:lineRule="auto"/>
        <w:ind w:firstLine="720"/>
        <w:jc w:val="both"/>
        <w:rPr>
          <w:rFonts w:ascii="Times New Roman" w:hAnsi="Times New Roman" w:cs="Times New Roman"/>
          <w:color w:val="C00000"/>
          <w:sz w:val="24"/>
          <w:szCs w:val="24"/>
        </w:rPr>
      </w:pPr>
      <w:r w:rsidRPr="00597FFB">
        <w:rPr>
          <w:rFonts w:ascii="Times New Roman" w:hAnsi="Times New Roman" w:cs="Times New Roman"/>
          <w:sz w:val="24"/>
          <w:szCs w:val="24"/>
        </w:rPr>
        <w:t>Privacy concern has a negative moderating effect on the relationship between awareness of consequences, ascription of responsibility, and moral normal on the one hand and personal norm (β = −0.085, p&lt;0.05). To illustrate the privacy concern interaction with PN and EWRBI, the regression of PN on EWR behavioral intention at high (one standard deviation above the mean) and low (one standard deviation below the mean) levels of environmental concern was conducted. H12, H13, and H14 is verified as privacy concern (PC) is a significant moderator of the relationship between AC, AR, and MN and PN among UAE millennials (Table 2</w:t>
      </w:r>
      <w:r w:rsidR="00B8214A" w:rsidRPr="00597FFB">
        <w:rPr>
          <w:rFonts w:ascii="Times New Roman" w:hAnsi="Times New Roman" w:cs="Times New Roman"/>
          <w:sz w:val="24"/>
          <w:szCs w:val="24"/>
        </w:rPr>
        <w:t>1</w:t>
      </w:r>
      <w:r w:rsidRPr="00597FFB">
        <w:rPr>
          <w:rFonts w:ascii="Times New Roman" w:hAnsi="Times New Roman" w:cs="Times New Roman"/>
          <w:sz w:val="24"/>
          <w:szCs w:val="24"/>
        </w:rPr>
        <w:t>)</w:t>
      </w:r>
      <w:r w:rsidRPr="00597FFB">
        <w:rPr>
          <w:rFonts w:ascii="Times New Roman" w:hAnsi="Times New Roman" w:cs="Times New Roman"/>
          <w:color w:val="C00000"/>
          <w:sz w:val="24"/>
          <w:szCs w:val="24"/>
        </w:rPr>
        <w:t xml:space="preserve">. </w:t>
      </w:r>
    </w:p>
    <w:p w14:paraId="7CDADD9E" w14:textId="5B45DAA7" w:rsidR="00E52362" w:rsidRPr="00597FFB" w:rsidRDefault="00E52362" w:rsidP="00760246">
      <w:pPr>
        <w:widowControl w:val="0"/>
        <w:spacing w:after="0" w:line="240" w:lineRule="auto"/>
        <w:rPr>
          <w:rFonts w:ascii="Times New Roman" w:hAnsi="Times New Roman" w:cs="Times New Roman"/>
          <w:i/>
          <w:iCs/>
        </w:rPr>
      </w:pPr>
      <w:bookmarkStart w:id="245" w:name="_Hlk120959461"/>
      <w:r w:rsidRPr="00597FFB">
        <w:rPr>
          <w:rFonts w:ascii="Times New Roman" w:hAnsi="Times New Roman" w:cs="Times New Roman"/>
          <w:b/>
          <w:bCs/>
        </w:rPr>
        <w:t>Table 2</w:t>
      </w:r>
      <w:r w:rsidR="00607DF3" w:rsidRPr="00597FFB">
        <w:rPr>
          <w:rFonts w:ascii="Times New Roman" w:hAnsi="Times New Roman" w:cs="Times New Roman"/>
          <w:b/>
          <w:bCs/>
        </w:rPr>
        <w:t>1</w:t>
      </w:r>
      <w:r w:rsidRPr="00597FFB">
        <w:rPr>
          <w:rFonts w:ascii="Times New Roman" w:hAnsi="Times New Roman" w:cs="Times New Roman"/>
          <w:b/>
          <w:bCs/>
        </w:rPr>
        <w:t>:</w:t>
      </w:r>
      <w:r w:rsidRPr="00597FFB">
        <w:rPr>
          <w:rFonts w:ascii="Times New Roman" w:hAnsi="Times New Roman" w:cs="Times New Roman"/>
          <w:i/>
          <w:iCs/>
        </w:rPr>
        <w:t xml:space="preserve"> Testing </w:t>
      </w:r>
      <w:r w:rsidR="00072848" w:rsidRPr="00597FFB">
        <w:rPr>
          <w:rFonts w:ascii="Times New Roman" w:hAnsi="Times New Roman" w:cs="Times New Roman"/>
          <w:i/>
          <w:iCs/>
        </w:rPr>
        <w:t>f</w:t>
      </w:r>
      <w:r w:rsidRPr="00597FFB">
        <w:rPr>
          <w:rFonts w:ascii="Times New Roman" w:hAnsi="Times New Roman" w:cs="Times New Roman"/>
          <w:i/>
          <w:iCs/>
        </w:rPr>
        <w:t xml:space="preserve">or Moderation Effects </w:t>
      </w:r>
      <w:r w:rsidR="00072848" w:rsidRPr="00597FFB">
        <w:rPr>
          <w:rFonts w:ascii="Times New Roman" w:hAnsi="Times New Roman" w:cs="Times New Roman"/>
          <w:i/>
          <w:iCs/>
        </w:rPr>
        <w:t>o</w:t>
      </w:r>
      <w:r w:rsidRPr="00597FFB">
        <w:rPr>
          <w:rFonts w:ascii="Times New Roman" w:hAnsi="Times New Roman" w:cs="Times New Roman"/>
          <w:i/>
          <w:iCs/>
        </w:rPr>
        <w:t>f Privacy Concern</w:t>
      </w:r>
      <w:r w:rsidR="00E161C2" w:rsidRPr="00597FFB">
        <w:rPr>
          <w:rFonts w:ascii="Times New Roman" w:hAnsi="Times New Roman" w:cs="Times New Roman"/>
          <w:i/>
          <w:iCs/>
        </w:rPr>
        <w:t>.</w:t>
      </w:r>
      <w:bookmarkStart w:id="246" w:name="_Hlk123627996"/>
      <w:bookmarkEnd w:id="245"/>
    </w:p>
    <w:tbl>
      <w:tblPr>
        <w:tblpPr w:leftFromText="180" w:rightFromText="180" w:vertAnchor="text" w:horzAnchor="margin" w:tblpY="48"/>
        <w:tblW w:w="0" w:type="auto"/>
        <w:tblBorders>
          <w:top w:val="single" w:sz="4" w:space="0" w:color="auto"/>
          <w:bottom w:val="single" w:sz="4" w:space="0" w:color="auto"/>
        </w:tblBorders>
        <w:tblLayout w:type="fixed"/>
        <w:tblLook w:val="04A0" w:firstRow="1" w:lastRow="0" w:firstColumn="1" w:lastColumn="0" w:noHBand="0" w:noVBand="1"/>
      </w:tblPr>
      <w:tblGrid>
        <w:gridCol w:w="3972"/>
        <w:gridCol w:w="2528"/>
        <w:gridCol w:w="790"/>
      </w:tblGrid>
      <w:tr w:rsidR="00760246" w:rsidRPr="00597FFB" w14:paraId="66F0F134" w14:textId="77777777" w:rsidTr="000E48F1">
        <w:trPr>
          <w:tblHeader/>
        </w:trPr>
        <w:tc>
          <w:tcPr>
            <w:tcW w:w="3972" w:type="dxa"/>
            <w:tcMar>
              <w:top w:w="15" w:type="dxa"/>
              <w:left w:w="140" w:type="dxa"/>
              <w:bottom w:w="15" w:type="dxa"/>
              <w:right w:w="140" w:type="dxa"/>
            </w:tcMar>
            <w:vAlign w:val="center"/>
            <w:hideMark/>
          </w:tcPr>
          <w:p w14:paraId="53325A18" w14:textId="77777777" w:rsidR="00760246" w:rsidRPr="00597FFB" w:rsidRDefault="00760246" w:rsidP="000E48F1">
            <w:pPr>
              <w:widowControl w:val="0"/>
              <w:spacing w:line="240" w:lineRule="auto"/>
              <w:rPr>
                <w:rFonts w:ascii="Times New Roman" w:hAnsi="Times New Roman" w:cs="Times New Roman"/>
                <w:bCs/>
                <w:iCs/>
              </w:rPr>
            </w:pPr>
          </w:p>
        </w:tc>
        <w:tc>
          <w:tcPr>
            <w:tcW w:w="2528" w:type="dxa"/>
            <w:tcMar>
              <w:top w:w="15" w:type="dxa"/>
              <w:left w:w="140" w:type="dxa"/>
              <w:bottom w:w="15" w:type="dxa"/>
              <w:right w:w="140" w:type="dxa"/>
            </w:tcMar>
            <w:vAlign w:val="center"/>
            <w:hideMark/>
          </w:tcPr>
          <w:p w14:paraId="4DB7302C" w14:textId="77777777" w:rsidR="00760246" w:rsidRPr="00597FFB" w:rsidRDefault="00760246" w:rsidP="000E48F1">
            <w:pPr>
              <w:widowControl w:val="0"/>
              <w:spacing w:after="0" w:line="240" w:lineRule="auto"/>
              <w:jc w:val="center"/>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790" w:type="dxa"/>
            <w:tcMar>
              <w:top w:w="15" w:type="dxa"/>
              <w:left w:w="140" w:type="dxa"/>
              <w:bottom w:w="15" w:type="dxa"/>
              <w:right w:w="140" w:type="dxa"/>
            </w:tcMar>
            <w:vAlign w:val="center"/>
            <w:hideMark/>
          </w:tcPr>
          <w:p w14:paraId="07BFDF94" w14:textId="77777777" w:rsidR="00760246" w:rsidRPr="00597FFB" w:rsidRDefault="00760246" w:rsidP="000E48F1">
            <w:pPr>
              <w:widowControl w:val="0"/>
              <w:spacing w:after="0" w:line="240" w:lineRule="auto"/>
              <w:jc w:val="center"/>
              <w:rPr>
                <w:rFonts w:ascii="Times New Roman" w:eastAsia="Times New Roman" w:hAnsi="Times New Roman" w:cs="Times New Roman"/>
                <w:b/>
                <w:bCs/>
              </w:rPr>
            </w:pPr>
            <w:r w:rsidRPr="00597FFB">
              <w:rPr>
                <w:rFonts w:ascii="Times New Roman" w:eastAsia="Times New Roman" w:hAnsi="Times New Roman" w:cs="Times New Roman"/>
                <w:b/>
                <w:bCs/>
              </w:rPr>
              <w:t>PN</w:t>
            </w:r>
          </w:p>
        </w:tc>
      </w:tr>
      <w:tr w:rsidR="00760246" w:rsidRPr="00597FFB" w14:paraId="08452228" w14:textId="77777777" w:rsidTr="000E48F1">
        <w:tc>
          <w:tcPr>
            <w:tcW w:w="3972" w:type="dxa"/>
            <w:tcMar>
              <w:top w:w="15" w:type="dxa"/>
              <w:left w:w="140" w:type="dxa"/>
              <w:bottom w:w="15" w:type="dxa"/>
              <w:right w:w="140" w:type="dxa"/>
            </w:tcMar>
            <w:vAlign w:val="center"/>
            <w:hideMark/>
          </w:tcPr>
          <w:p w14:paraId="446239D2" w14:textId="77777777" w:rsidR="00760246" w:rsidRPr="00597FFB" w:rsidRDefault="00760246" w:rsidP="000E48F1">
            <w:pPr>
              <w:widowControl w:val="0"/>
              <w:spacing w:after="0" w:line="240" w:lineRule="auto"/>
              <w:jc w:val="center"/>
              <w:rPr>
                <w:rFonts w:ascii="Times New Roman" w:eastAsia="Times New Roman" w:hAnsi="Times New Roman" w:cs="Times New Roman"/>
              </w:rPr>
            </w:pPr>
            <w:r w:rsidRPr="00597FFB">
              <w:rPr>
                <w:rFonts w:ascii="Times New Roman" w:eastAsia="Times New Roman" w:hAnsi="Times New Roman" w:cs="Times New Roman"/>
              </w:rPr>
              <w:t>CPCXCPN →PN</w:t>
            </w:r>
          </w:p>
        </w:tc>
        <w:tc>
          <w:tcPr>
            <w:tcW w:w="2528" w:type="dxa"/>
            <w:tcMar>
              <w:top w:w="15" w:type="dxa"/>
              <w:left w:w="140" w:type="dxa"/>
              <w:bottom w:w="15" w:type="dxa"/>
              <w:right w:w="140" w:type="dxa"/>
            </w:tcMar>
            <w:vAlign w:val="center"/>
            <w:hideMark/>
          </w:tcPr>
          <w:p w14:paraId="075116A4" w14:textId="77777777" w:rsidR="00760246" w:rsidRPr="00597FFB" w:rsidRDefault="00760246" w:rsidP="000E48F1">
            <w:pPr>
              <w:widowControl w:val="0"/>
              <w:spacing w:after="0" w:line="240" w:lineRule="auto"/>
              <w:jc w:val="center"/>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.317</w:t>
            </w:r>
          </w:p>
        </w:tc>
        <w:tc>
          <w:tcPr>
            <w:tcW w:w="790" w:type="dxa"/>
            <w:tcMar>
              <w:top w:w="15" w:type="dxa"/>
              <w:left w:w="140" w:type="dxa"/>
              <w:bottom w:w="15" w:type="dxa"/>
              <w:right w:w="140" w:type="dxa"/>
            </w:tcMar>
            <w:vAlign w:val="center"/>
            <w:hideMark/>
          </w:tcPr>
          <w:p w14:paraId="4CDE53E4" w14:textId="77777777" w:rsidR="00760246" w:rsidRPr="00597FFB" w:rsidRDefault="00760246" w:rsidP="000E48F1">
            <w:pPr>
              <w:widowControl w:val="0"/>
              <w:spacing w:after="0" w:line="240" w:lineRule="auto"/>
              <w:jc w:val="center"/>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r>
    </w:tbl>
    <w:p w14:paraId="659B3347" w14:textId="7FA89811" w:rsidR="00760246" w:rsidRPr="00597FFB" w:rsidRDefault="00760246" w:rsidP="00E161C2">
      <w:pPr>
        <w:widowControl w:val="0"/>
        <w:tabs>
          <w:tab w:val="left" w:pos="3690"/>
        </w:tabs>
        <w:spacing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Notes:</w:t>
      </w:r>
      <w:r w:rsidRPr="00597FFB">
        <w:rPr>
          <w:rFonts w:ascii="Times New Roman" w:hAnsi="Times New Roman" w:cs="Times New Roman"/>
          <w:sz w:val="20"/>
          <w:szCs w:val="20"/>
        </w:rPr>
        <w:t xml:space="preserve"> PC = Privacy Concern; PN = Personal Norm.</w:t>
      </w:r>
    </w:p>
    <w:p w14:paraId="34A5DFE5" w14:textId="77777777" w:rsidR="00E161C2" w:rsidRPr="00597FFB" w:rsidRDefault="00E161C2" w:rsidP="00E161C2">
      <w:pPr>
        <w:widowControl w:val="0"/>
        <w:tabs>
          <w:tab w:val="left" w:pos="3690"/>
        </w:tabs>
        <w:spacing w:line="240" w:lineRule="auto"/>
        <w:jc w:val="both"/>
        <w:rPr>
          <w:rFonts w:ascii="Times New Roman" w:hAnsi="Times New Roman" w:cs="Times New Roman"/>
          <w:sz w:val="20"/>
          <w:szCs w:val="20"/>
        </w:rPr>
      </w:pPr>
    </w:p>
    <w:p w14:paraId="7375019D" w14:textId="5DCC69CC" w:rsidR="00E52362" w:rsidRPr="00597FFB" w:rsidRDefault="00E52362" w:rsidP="00E161C2">
      <w:pPr>
        <w:pStyle w:val="Heading2"/>
        <w:widowControl w:val="0"/>
        <w:spacing w:line="480" w:lineRule="auto"/>
        <w:ind w:left="576" w:hanging="576"/>
        <w:rPr>
          <w:rFonts w:ascii="Times New Roman" w:hAnsi="Times New Roman"/>
          <w:b/>
          <w:bCs/>
          <w:color w:val="auto"/>
          <w:sz w:val="24"/>
          <w:szCs w:val="24"/>
        </w:rPr>
      </w:pPr>
      <w:bookmarkStart w:id="247" w:name="_Toc127170363"/>
      <w:r w:rsidRPr="00597FFB">
        <w:rPr>
          <w:rFonts w:ascii="Times New Roman" w:hAnsi="Times New Roman"/>
          <w:b/>
          <w:bCs/>
          <w:color w:val="auto"/>
          <w:sz w:val="24"/>
          <w:szCs w:val="24"/>
        </w:rPr>
        <w:t>5.4. Section C: Extended Protection Motivation (PMT)</w:t>
      </w:r>
      <w:bookmarkEnd w:id="246"/>
      <w:r w:rsidR="00E161C2" w:rsidRPr="00597FFB">
        <w:rPr>
          <w:rFonts w:ascii="Times New Roman" w:hAnsi="Times New Roman"/>
          <w:b/>
          <w:bCs/>
          <w:color w:val="auto"/>
          <w:sz w:val="24"/>
          <w:szCs w:val="24"/>
        </w:rPr>
        <w:t>.</w:t>
      </w:r>
      <w:bookmarkEnd w:id="247"/>
    </w:p>
    <w:p w14:paraId="1F7DE744" w14:textId="7D9FB64C" w:rsidR="00257BF1" w:rsidRPr="00597FFB" w:rsidRDefault="00E161C2" w:rsidP="00E161C2">
      <w:pPr>
        <w:pStyle w:val="Heading3"/>
        <w:widowControl w:val="0"/>
        <w:spacing w:line="480" w:lineRule="auto"/>
        <w:ind w:left="720" w:hanging="720"/>
        <w:rPr>
          <w:i/>
          <w:iCs/>
        </w:rPr>
      </w:pPr>
      <w:bookmarkStart w:id="248" w:name="_Toc127170364"/>
      <w:r w:rsidRPr="00597FFB">
        <w:rPr>
          <w:rFonts w:ascii="Times New Roman" w:hAnsi="Times New Roman"/>
          <w:i/>
          <w:iCs/>
          <w:color w:val="auto"/>
          <w:sz w:val="24"/>
          <w:szCs w:val="24"/>
        </w:rPr>
        <w:t xml:space="preserve">5.4.1. </w:t>
      </w:r>
      <w:r w:rsidR="00257BF1" w:rsidRPr="00597FFB">
        <w:rPr>
          <w:rFonts w:asciiTheme="majorBidi" w:hAnsiTheme="majorBidi"/>
          <w:i/>
          <w:iCs/>
          <w:color w:val="auto"/>
          <w:sz w:val="24"/>
          <w:szCs w:val="24"/>
        </w:rPr>
        <w:t xml:space="preserve">The </w:t>
      </w:r>
      <w:r w:rsidRPr="00597FFB">
        <w:rPr>
          <w:rFonts w:asciiTheme="majorBidi" w:hAnsiTheme="majorBidi"/>
          <w:i/>
          <w:iCs/>
          <w:color w:val="auto"/>
          <w:sz w:val="24"/>
          <w:szCs w:val="24"/>
        </w:rPr>
        <w:t>Measurement Model.</w:t>
      </w:r>
      <w:bookmarkEnd w:id="248"/>
    </w:p>
    <w:p w14:paraId="23886DAA" w14:textId="496417BE" w:rsidR="00257BF1" w:rsidRPr="00597FFB" w:rsidRDefault="00257BF1" w:rsidP="00607DF3">
      <w:pPr>
        <w:widowControl w:val="0"/>
        <w:tabs>
          <w:tab w:val="left" w:pos="3690"/>
        </w:tabs>
        <w:spacing w:line="480" w:lineRule="auto"/>
        <w:jc w:val="both"/>
        <w:rPr>
          <w:rFonts w:ascii="Times New Roman" w:hAnsi="Times New Roman" w:cs="Times New Roman"/>
          <w:color w:val="000000"/>
          <w:sz w:val="24"/>
          <w:szCs w:val="24"/>
        </w:rPr>
      </w:pPr>
      <w:r w:rsidRPr="00597FFB">
        <w:t xml:space="preserve">   </w:t>
      </w:r>
      <w:r w:rsidR="00E52362" w:rsidRPr="00597FFB">
        <w:rPr>
          <w:rFonts w:ascii="Times New Roman" w:hAnsi="Times New Roman" w:cs="Times New Roman"/>
          <w:color w:val="000000"/>
          <w:sz w:val="24"/>
          <w:szCs w:val="24"/>
        </w:rPr>
        <w:t>The PMT model in this research comprised the original threat appraisal, coping appraisal, and protection motivation constructs as the independent variables and adoption of EWR behavior as the dependent variable based on the conceptual framework shown in Figure 16.</w:t>
      </w:r>
    </w:p>
    <w:p w14:paraId="4B9FA225" w14:textId="70894893" w:rsidR="00626F56" w:rsidRPr="00597FFB" w:rsidRDefault="00626F56"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color w:val="000000"/>
          <w:sz w:val="24"/>
          <w:szCs w:val="24"/>
        </w:rPr>
        <w:t>As was the case with the extended TPB and NAT models, the measurement model analysis entailed assessment of internal consistency (reliability) and convergent and discriminant validity. While factor loadings were generally expected to meet the recommended 0.70 threshold (Hair Jr. et al., 2021), factor loadings of close to or above 0.60 were deemed admissible and included in the final model. A similar rule was employed for composite reliability. For the average variance extracted (AVE), which measures the extent of change that builds catchers from its markers and the sum attributed to a mistake of estimation (Fornell &amp; Larcker, 1981), the minimum acceptable threshold was 0.5 (Hair Jr. et al., 2021). Finally, Cronbach’s alpha coefficient scores of 0.70 were considered a good indicator of internal consistency (reliability of the model). As shown in Table 2</w:t>
      </w:r>
      <w:r w:rsidR="00FA1E5F" w:rsidRPr="00597FFB">
        <w:rPr>
          <w:rFonts w:ascii="Times New Roman" w:hAnsi="Times New Roman" w:cs="Times New Roman"/>
          <w:color w:val="000000"/>
          <w:sz w:val="24"/>
          <w:szCs w:val="24"/>
        </w:rPr>
        <w:t xml:space="preserve">2 </w:t>
      </w:r>
      <w:r w:rsidRPr="00597FFB">
        <w:rPr>
          <w:rFonts w:ascii="Times New Roman" w:hAnsi="Times New Roman" w:cs="Times New Roman"/>
          <w:color w:val="000000"/>
          <w:sz w:val="24"/>
          <w:szCs w:val="24"/>
        </w:rPr>
        <w:t xml:space="preserve">below, the factor loadings of the various constructs’ factors ranged from 0.553 to 0.810. The composite reliability scores ranged between 0.597 and 0.712 while the lowest AVE score was 0.826 to 0.962. Reliability was established for all constructs with Cronbach’s alpha coefficients ranging from 0.872 to 0.903, thereby denoting that the prompts attributed with the factors measured what they were intended to measure. </w:t>
      </w:r>
    </w:p>
    <w:p w14:paraId="4DEBBDD9" w14:textId="417EC609" w:rsidR="00AF3EAC" w:rsidRPr="00AF3EAC" w:rsidRDefault="00AF3EAC" w:rsidP="00AF3EAC">
      <w:pPr>
        <w:widowControl w:val="0"/>
        <w:spacing w:after="0"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PMT measurement model’s skewness and kurtosis values were satisfactory and ranged between -1 and +1. However, the range of the variance inflation factor (VIF) fell </w:t>
      </w:r>
      <w:r w:rsidRPr="00597FFB">
        <w:rPr>
          <w:rFonts w:ascii="Times New Roman" w:hAnsi="Times New Roman" w:cs="Times New Roman"/>
          <w:color w:val="000000"/>
          <w:sz w:val="24"/>
          <w:szCs w:val="24"/>
        </w:rPr>
        <w:t>between 4.775 and 9.465 and this posed the risk of</w:t>
      </w:r>
      <w:r w:rsidRPr="00597FFB">
        <w:rPr>
          <w:rFonts w:ascii="Times New Roman" w:hAnsi="Times New Roman" w:cs="Times New Roman"/>
          <w:sz w:val="24"/>
          <w:szCs w:val="24"/>
        </w:rPr>
        <w:t xml:space="preserve"> multicollinearity risk (Henseler et al., 2016). In addition, the </w:t>
      </w:r>
      <w:r w:rsidRPr="00597FFB">
        <w:rPr>
          <w:rFonts w:ascii="Times New Roman" w:hAnsi="Times New Roman" w:cs="Times New Roman"/>
          <w:color w:val="000000"/>
          <w:sz w:val="24"/>
          <w:szCs w:val="24"/>
        </w:rPr>
        <w:t>results show that the minimum square root value of the AVE along the diagonal line (0.909) was higher than the maximum correlation value between latent constructs (0.925). The</w:t>
      </w:r>
      <w:r w:rsidRPr="00597FFB">
        <w:rPr>
          <w:rFonts w:ascii="Times New Roman" w:hAnsi="Times New Roman" w:cs="Times New Roman"/>
          <w:sz w:val="24"/>
          <w:szCs w:val="24"/>
        </w:rPr>
        <w:t xml:space="preserve"> discriminant validity was examined using the Fornell-Larcker Criterion.</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 xml:space="preserve">The interitem correlation provides a precise measure of construct homogeneity and dimensionality that differs from the reliability statistic. The interitem correlations for the constructs ranged </w:t>
      </w:r>
      <w:r w:rsidRPr="00597FFB">
        <w:rPr>
          <w:rFonts w:ascii="Times New Roman" w:hAnsi="Times New Roman" w:cs="Times New Roman"/>
          <w:color w:val="000000"/>
          <w:sz w:val="24"/>
          <w:szCs w:val="24"/>
        </w:rPr>
        <w:t>from 0.570 to 0.675 with all</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of the interitem correlations being less than the recommended maximum range of 0.70 thereby putting to test the</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recommended scale development criteria (Tabachnick and Fidell, 2001).</w:t>
      </w:r>
      <w:r w:rsidRPr="00597FFB">
        <w:rPr>
          <w:rFonts w:ascii="Times New Roman" w:hAnsi="Times New Roman" w:cs="Times New Roman"/>
          <w:color w:val="C00000"/>
          <w:sz w:val="24"/>
          <w:szCs w:val="24"/>
        </w:rPr>
        <w:t xml:space="preserve"> </w:t>
      </w:r>
      <w:r w:rsidRPr="00597FFB">
        <w:rPr>
          <w:rFonts w:ascii="Times New Roman" w:hAnsi="Times New Roman" w:cs="Times New Roman"/>
          <w:sz w:val="24"/>
          <w:szCs w:val="24"/>
        </w:rPr>
        <w:t>The greatest correlation ratio in the measurement model was higher than the recommended cut-off point of 0.90 (Hair Jr. et al., 2017).</w:t>
      </w:r>
    </w:p>
    <w:p w14:paraId="326E1E25" w14:textId="0C574022" w:rsidR="00E52362" w:rsidRPr="00597FFB" w:rsidRDefault="00E52362" w:rsidP="00E52362">
      <w:pPr>
        <w:widowControl w:val="0"/>
        <w:tabs>
          <w:tab w:val="left" w:pos="3690"/>
        </w:tabs>
        <w:spacing w:line="480" w:lineRule="auto"/>
        <w:jc w:val="both"/>
        <w:rPr>
          <w:rFonts w:ascii="Times New Roman" w:hAnsi="Times New Roman" w:cs="Times New Roman"/>
          <w:i/>
          <w:iCs/>
        </w:rPr>
      </w:pPr>
      <w:r w:rsidRPr="00597FFB">
        <w:rPr>
          <w:rFonts w:ascii="Times New Roman" w:hAnsi="Times New Roman" w:cs="Times New Roman"/>
          <w:b/>
          <w:bCs/>
        </w:rPr>
        <w:t>Figure 16:</w:t>
      </w:r>
      <w:r w:rsidRPr="00597FFB">
        <w:rPr>
          <w:rFonts w:ascii="Times New Roman" w:hAnsi="Times New Roman" w:cs="Times New Roman"/>
        </w:rPr>
        <w:t xml:space="preserve"> </w:t>
      </w:r>
      <w:bookmarkStart w:id="249" w:name="_Hlk125709328"/>
      <w:r w:rsidRPr="00597FFB">
        <w:rPr>
          <w:rFonts w:ascii="Times New Roman" w:hAnsi="Times New Roman" w:cs="Times New Roman"/>
          <w:i/>
          <w:iCs/>
        </w:rPr>
        <w:t>Extended PMT Conceptual Framework</w:t>
      </w:r>
      <w:bookmarkEnd w:id="249"/>
      <w:r w:rsidR="009662A9" w:rsidRPr="00597FFB">
        <w:rPr>
          <w:rFonts w:ascii="Times New Roman" w:hAnsi="Times New Roman" w:cs="Times New Roman"/>
          <w:i/>
          <w:iCs/>
        </w:rPr>
        <w:t>.</w:t>
      </w:r>
    </w:p>
    <w:p w14:paraId="6797A8E5" w14:textId="74F5026B" w:rsidR="00E52362" w:rsidRPr="00597FFB" w:rsidRDefault="00FC5BD3" w:rsidP="00EE5EE9">
      <w:pPr>
        <w:widowControl w:val="0"/>
        <w:spacing w:line="240" w:lineRule="auto"/>
        <w:jc w:val="both"/>
        <w:rPr>
          <w:rFonts w:ascii="Times New Roman" w:hAnsi="Times New Roman" w:cs="Times New Roman"/>
          <w:color w:val="000000"/>
          <w:sz w:val="24"/>
          <w:szCs w:val="24"/>
        </w:rPr>
      </w:pPr>
      <w:r w:rsidRPr="00597FFB">
        <w:rPr>
          <w:rFonts w:ascii="Times New Roman" w:hAnsi="Times New Roman" w:cs="Times New Roman"/>
          <w:b/>
          <w:bCs/>
          <w:noProof/>
          <w:color w:val="000000"/>
          <w:sz w:val="24"/>
          <w:szCs w:val="24"/>
        </w:rPr>
        <mc:AlternateContent>
          <mc:Choice Requires="wpg">
            <w:drawing>
              <wp:inline distT="0" distB="0" distL="0" distR="0" wp14:anchorId="36CEEBC5" wp14:editId="7FC1AA77">
                <wp:extent cx="4819015" cy="4206416"/>
                <wp:effectExtent l="0" t="0" r="635" b="2286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9015" cy="4206416"/>
                          <a:chOff x="1275" y="4556"/>
                          <a:chExt cx="10050" cy="9241"/>
                        </a:xfrm>
                      </wpg:grpSpPr>
                      <wps:wsp>
                        <wps:cNvPr id="144" name="Text Box 79"/>
                        <wps:cNvSpPr txBox="1">
                          <a:spLocks noChangeArrowheads="1"/>
                        </wps:cNvSpPr>
                        <wps:spPr bwMode="auto">
                          <a:xfrm>
                            <a:off x="4621" y="9673"/>
                            <a:ext cx="795"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DCDAA"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H3</w:t>
                              </w:r>
                            </w:p>
                          </w:txbxContent>
                        </wps:txbx>
                        <wps:bodyPr rot="0" vert="horz" wrap="square" lIns="91440" tIns="45720" rIns="91440" bIns="45720" anchor="t" anchorCtr="0" upright="1">
                          <a:noAutofit/>
                        </wps:bodyPr>
                      </wps:wsp>
                      <wps:wsp>
                        <wps:cNvPr id="145" name="Text Box 80"/>
                        <wps:cNvSpPr txBox="1">
                          <a:spLocks noChangeArrowheads="1"/>
                        </wps:cNvSpPr>
                        <wps:spPr bwMode="auto">
                          <a:xfrm>
                            <a:off x="7865" y="8173"/>
                            <a:ext cx="795"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79E25"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w:t>
                              </w:r>
                              <w:r>
                                <w:rPr>
                                  <w:rFonts w:ascii="Times New Roman" w:hAnsi="Times New Roman" w:cs="Times New Roman"/>
                                  <w:b/>
                                  <w:bCs/>
                                  <w:sz w:val="24"/>
                                  <w:szCs w:val="24"/>
                                </w:rPr>
                                <w:t>4</w:t>
                              </w:r>
                            </w:p>
                          </w:txbxContent>
                        </wps:txbx>
                        <wps:bodyPr rot="0" vert="horz" wrap="square" lIns="91440" tIns="45720" rIns="91440" bIns="45720" anchor="t" anchorCtr="0" upright="1">
                          <a:noAutofit/>
                        </wps:bodyPr>
                      </wps:wsp>
                      <wps:wsp>
                        <wps:cNvPr id="146" name="Text Box 81"/>
                        <wps:cNvSpPr txBox="1">
                          <a:spLocks noChangeArrowheads="1"/>
                        </wps:cNvSpPr>
                        <wps:spPr bwMode="auto">
                          <a:xfrm>
                            <a:off x="10194" y="9228"/>
                            <a:ext cx="795"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AB6F"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w:t>
                              </w:r>
                              <w:r>
                                <w:rPr>
                                  <w:rFonts w:ascii="Times New Roman" w:hAnsi="Times New Roman" w:cs="Times New Roman"/>
                                  <w:b/>
                                  <w:bCs/>
                                  <w:sz w:val="24"/>
                                  <w:szCs w:val="24"/>
                                </w:rPr>
                                <w:t>5</w:t>
                              </w:r>
                            </w:p>
                          </w:txbxContent>
                        </wps:txbx>
                        <wps:bodyPr rot="0" vert="horz" wrap="square" lIns="91440" tIns="45720" rIns="91440" bIns="45720" anchor="t" anchorCtr="0" upright="1">
                          <a:noAutofit/>
                        </wps:bodyPr>
                      </wps:wsp>
                      <wps:wsp>
                        <wps:cNvPr id="147" name="AutoShape 82"/>
                        <wps:cNvCnPr>
                          <a:cxnSpLocks noChangeShapeType="1"/>
                        </wps:cNvCnPr>
                        <wps:spPr bwMode="auto">
                          <a:xfrm>
                            <a:off x="4373" y="6188"/>
                            <a:ext cx="4816" cy="2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Text Box 98"/>
                        <wps:cNvSpPr txBox="1">
                          <a:spLocks noChangeArrowheads="1"/>
                        </wps:cNvSpPr>
                        <wps:spPr bwMode="auto">
                          <a:xfrm>
                            <a:off x="1363" y="10957"/>
                            <a:ext cx="3010" cy="1921"/>
                          </a:xfrm>
                          <a:prstGeom prst="rect">
                            <a:avLst/>
                          </a:prstGeom>
                          <a:solidFill>
                            <a:srgbClr val="FFFFFF"/>
                          </a:solidFill>
                          <a:ln w="38100">
                            <a:solidFill>
                              <a:srgbClr val="000000"/>
                            </a:solidFill>
                            <a:prstDash val="dash"/>
                            <a:miter lim="800000"/>
                            <a:headEnd/>
                            <a:tailEnd/>
                          </a:ln>
                        </wps:spPr>
                        <wps:txbx>
                          <w:txbxContent>
                            <w:p w14:paraId="18BFB1CB" w14:textId="77777777" w:rsidR="00FC5BD3" w:rsidRDefault="00FC5BD3" w:rsidP="00FC5BD3">
                              <w:pPr>
                                <w:spacing w:after="0" w:line="240" w:lineRule="auto"/>
                                <w:jc w:val="center"/>
                                <w:rPr>
                                  <w:rFonts w:ascii="Times New Roman" w:hAnsi="Times New Roman" w:cs="Times New Roman"/>
                                  <w:sz w:val="24"/>
                                  <w:szCs w:val="24"/>
                                </w:rPr>
                              </w:pPr>
                            </w:p>
                            <w:p w14:paraId="0D1484F4"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Information/knowledge about EWR</w:t>
                              </w:r>
                              <w:r>
                                <w:rPr>
                                  <w:rFonts w:ascii="Times New Roman" w:hAnsi="Times New Roman" w:cs="Times New Roman"/>
                                  <w:sz w:val="24"/>
                                  <w:szCs w:val="24"/>
                                </w:rPr>
                                <w:t xml:space="preserve"> (KEWR)</w:t>
                              </w:r>
                            </w:p>
                          </w:txbxContent>
                        </wps:txbx>
                        <wps:bodyPr rot="0" vert="horz" wrap="square" lIns="91440" tIns="45720" rIns="91440" bIns="45720" anchor="t" anchorCtr="0" upright="1">
                          <a:noAutofit/>
                        </wps:bodyPr>
                      </wps:wsp>
                      <wps:wsp>
                        <wps:cNvPr id="149" name="Straight Arrow Connector 292"/>
                        <wps:cNvCnPr>
                          <a:cxnSpLocks noChangeShapeType="1"/>
                        </wps:cNvCnPr>
                        <wps:spPr bwMode="auto">
                          <a:xfrm flipV="1">
                            <a:off x="4424" y="8907"/>
                            <a:ext cx="1396" cy="2423"/>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0" name="Text Box 287"/>
                        <wps:cNvSpPr txBox="1">
                          <a:spLocks noChangeArrowheads="1"/>
                        </wps:cNvSpPr>
                        <wps:spPr bwMode="auto">
                          <a:xfrm>
                            <a:off x="9255" y="9673"/>
                            <a:ext cx="1889" cy="664"/>
                          </a:xfrm>
                          <a:prstGeom prst="rect">
                            <a:avLst/>
                          </a:prstGeom>
                          <a:solidFill>
                            <a:srgbClr val="FFFFFF"/>
                          </a:solidFill>
                          <a:ln w="38100">
                            <a:solidFill>
                              <a:srgbClr val="000000"/>
                            </a:solidFill>
                            <a:prstDash val="lgDash"/>
                            <a:miter lim="800000"/>
                            <a:headEnd/>
                            <a:tailEnd/>
                          </a:ln>
                        </wps:spPr>
                        <wps:txbx>
                          <w:txbxContent>
                            <w:p w14:paraId="673D2DB3" w14:textId="77777777" w:rsidR="00FC5BD3" w:rsidRPr="009064AE" w:rsidRDefault="00FC5BD3" w:rsidP="00FC5BD3">
                              <w:pPr>
                                <w:jc w:val="center"/>
                                <w:rPr>
                                  <w:sz w:val="24"/>
                                  <w:szCs w:val="24"/>
                                </w:rPr>
                              </w:pPr>
                              <w:r w:rsidRPr="009064AE">
                                <w:rPr>
                                  <w:rFonts w:ascii="Times New Roman" w:hAnsi="Times New Roman" w:cs="Times New Roman"/>
                                  <w:sz w:val="24"/>
                                  <w:szCs w:val="24"/>
                                </w:rPr>
                                <w:t>Habits</w:t>
                              </w:r>
                              <w:r>
                                <w:rPr>
                                  <w:rFonts w:ascii="Times New Roman" w:hAnsi="Times New Roman" w:cs="Times New Roman"/>
                                  <w:sz w:val="24"/>
                                  <w:szCs w:val="24"/>
                                </w:rPr>
                                <w:t xml:space="preserve"> (H)</w:t>
                              </w:r>
                            </w:p>
                          </w:txbxContent>
                        </wps:txbx>
                        <wps:bodyPr rot="0" vert="horz" wrap="square" lIns="91440" tIns="45720" rIns="91440" bIns="45720" anchor="t" anchorCtr="0" upright="1">
                          <a:noAutofit/>
                        </wps:bodyPr>
                      </wps:wsp>
                      <wps:wsp>
                        <wps:cNvPr id="151" name="Straight Arrow Connector 288"/>
                        <wps:cNvCnPr>
                          <a:cxnSpLocks noChangeShapeType="1"/>
                          <a:stCxn id="150" idx="0"/>
                          <a:endCxn id="169" idx="2"/>
                        </wps:cNvCnPr>
                        <wps:spPr bwMode="auto">
                          <a:xfrm flipH="1" flipV="1">
                            <a:off x="10194" y="9182"/>
                            <a:ext cx="6" cy="461"/>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52" name="Text Box 278"/>
                        <wps:cNvSpPr txBox="1">
                          <a:spLocks noChangeArrowheads="1"/>
                        </wps:cNvSpPr>
                        <wps:spPr bwMode="auto">
                          <a:xfrm>
                            <a:off x="7329" y="5808"/>
                            <a:ext cx="2293" cy="1147"/>
                          </a:xfrm>
                          <a:prstGeom prst="rect">
                            <a:avLst/>
                          </a:prstGeom>
                          <a:solidFill>
                            <a:srgbClr val="FFFFFF"/>
                          </a:solidFill>
                          <a:ln w="38100">
                            <a:solidFill>
                              <a:srgbClr val="000000"/>
                            </a:solidFill>
                            <a:prstDash val="sysDot"/>
                            <a:miter lim="800000"/>
                            <a:headEnd/>
                            <a:tailEnd/>
                          </a:ln>
                        </wps:spPr>
                        <wps:txbx>
                          <w:txbxContent>
                            <w:p w14:paraId="310F1A8C" w14:textId="77777777" w:rsidR="00FC5BD3" w:rsidRPr="009064AE" w:rsidRDefault="00FC5BD3" w:rsidP="00FC5BD3">
                              <w:pPr>
                                <w:jc w:val="center"/>
                                <w:rPr>
                                  <w:sz w:val="24"/>
                                  <w:szCs w:val="24"/>
                                </w:rPr>
                              </w:pPr>
                              <w:r w:rsidRPr="009064AE">
                                <w:rPr>
                                  <w:rFonts w:ascii="Times New Roman" w:hAnsi="Times New Roman" w:cs="Times New Roman"/>
                                  <w:sz w:val="24"/>
                                  <w:szCs w:val="24"/>
                                </w:rPr>
                                <w:t>Environment Assessment (EA)</w:t>
                              </w:r>
                            </w:p>
                          </w:txbxContent>
                        </wps:txbx>
                        <wps:bodyPr rot="0" vert="horz" wrap="square" lIns="91440" tIns="45720" rIns="91440" bIns="45720" anchor="t" anchorCtr="0" upright="1">
                          <a:noAutofit/>
                        </wps:bodyPr>
                      </wps:wsp>
                      <wps:wsp>
                        <wps:cNvPr id="153" name="Straight Arrow Connector 285"/>
                        <wps:cNvCnPr>
                          <a:cxnSpLocks noChangeShapeType="1"/>
                        </wps:cNvCnPr>
                        <wps:spPr bwMode="auto">
                          <a:xfrm>
                            <a:off x="8549" y="7035"/>
                            <a:ext cx="15" cy="1521"/>
                          </a:xfrm>
                          <a:prstGeom prst="straightConnector1">
                            <a:avLst/>
                          </a:prstGeom>
                          <a:noFill/>
                          <a:ln w="19050" algn="ctr">
                            <a:solidFill>
                              <a:srgbClr val="000000"/>
                            </a:solidFill>
                            <a:prstDash val="sysDot"/>
                            <a:miter lim="800000"/>
                            <a:headEnd/>
                            <a:tailEnd type="arrow" w="med" len="med"/>
                          </a:ln>
                          <a:extLst>
                            <a:ext uri="{909E8E84-426E-40DD-AFC4-6F175D3DCCD1}">
                              <a14:hiddenFill xmlns:a14="http://schemas.microsoft.com/office/drawing/2010/main">
                                <a:noFill/>
                              </a14:hiddenFill>
                            </a:ext>
                          </a:extLst>
                        </wps:spPr>
                        <wps:bodyPr/>
                      </wps:wsp>
                      <wps:wsp>
                        <wps:cNvPr id="154" name="Text Box 2"/>
                        <wps:cNvSpPr txBox="1">
                          <a:spLocks noChangeArrowheads="1"/>
                        </wps:cNvSpPr>
                        <wps:spPr bwMode="auto">
                          <a:xfrm>
                            <a:off x="8702" y="12227"/>
                            <a:ext cx="2623" cy="1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A43A1"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Additional stimulus included in the concept of E-waste recycling.</w:t>
                              </w:r>
                            </w:p>
                          </w:txbxContent>
                        </wps:txbx>
                        <wps:bodyPr rot="0" vert="horz" wrap="square" lIns="91440" tIns="45720" rIns="91440" bIns="45720" anchor="t" anchorCtr="0" upright="1">
                          <a:noAutofit/>
                        </wps:bodyPr>
                      </wps:wsp>
                      <wps:wsp>
                        <wps:cNvPr id="155" name="Rectangle: Rounded Corners 275"/>
                        <wps:cNvSpPr>
                          <a:spLocks noChangeArrowheads="1"/>
                        </wps:cNvSpPr>
                        <wps:spPr bwMode="auto">
                          <a:xfrm>
                            <a:off x="7227" y="12577"/>
                            <a:ext cx="1460" cy="684"/>
                          </a:xfrm>
                          <a:prstGeom prst="roundRect">
                            <a:avLst>
                              <a:gd name="adj" fmla="val 16667"/>
                            </a:avLst>
                          </a:prstGeom>
                          <a:noFill/>
                          <a:ln w="38100" algn="ctr">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6" name="Rectangle 272"/>
                        <wps:cNvSpPr>
                          <a:spLocks noChangeArrowheads="1"/>
                        </wps:cNvSpPr>
                        <wps:spPr bwMode="auto">
                          <a:xfrm>
                            <a:off x="7070" y="10434"/>
                            <a:ext cx="4129" cy="3363"/>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7" name="Rectangle 262"/>
                        <wps:cNvSpPr>
                          <a:spLocks noChangeArrowheads="1"/>
                        </wps:cNvSpPr>
                        <wps:spPr bwMode="auto">
                          <a:xfrm>
                            <a:off x="1303" y="7959"/>
                            <a:ext cx="3089" cy="2779"/>
                          </a:xfrm>
                          <a:prstGeom prst="rect">
                            <a:avLst/>
                          </a:prstGeom>
                          <a:noFill/>
                          <a:ln w="12700" algn="ctr">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0C813801" w14:textId="77777777" w:rsidR="00FC5BD3" w:rsidRDefault="00FC5BD3" w:rsidP="00FC5BD3">
                              <w:pPr>
                                <w:jc w:val="center"/>
                              </w:pPr>
                            </w:p>
                            <w:p w14:paraId="544E40E6" w14:textId="77777777" w:rsidR="00FC5BD3" w:rsidRDefault="00FC5BD3" w:rsidP="00FC5BD3">
                              <w:pPr>
                                <w:rPr>
                                  <w:rFonts w:ascii="Times New Roman" w:hAnsi="Times New Roman" w:cs="Times New Roman"/>
                                  <w:b/>
                                  <w:bCs/>
                                  <w:color w:val="000000"/>
                                  <w:sz w:val="28"/>
                                  <w:szCs w:val="28"/>
                                </w:rPr>
                              </w:pPr>
                            </w:p>
                            <w:p w14:paraId="591C9CC8" w14:textId="77777777" w:rsidR="00FC5BD3" w:rsidRDefault="00FC5BD3" w:rsidP="00FC5BD3">
                              <w:pPr>
                                <w:rPr>
                                  <w:rFonts w:ascii="Times New Roman" w:hAnsi="Times New Roman" w:cs="Times New Roman"/>
                                  <w:b/>
                                  <w:bCs/>
                                  <w:color w:val="000000"/>
                                  <w:sz w:val="28"/>
                                  <w:szCs w:val="28"/>
                                </w:rPr>
                              </w:pPr>
                            </w:p>
                            <w:p w14:paraId="39B78DB5" w14:textId="77777777" w:rsidR="00FC5BD3" w:rsidRDefault="00FC5BD3" w:rsidP="00FC5BD3">
                              <w:pPr>
                                <w:spacing w:after="0" w:line="240" w:lineRule="auto"/>
                                <w:rPr>
                                  <w:rFonts w:ascii="Times New Roman" w:hAnsi="Times New Roman" w:cs="Times New Roman"/>
                                  <w:b/>
                                  <w:bCs/>
                                  <w:color w:val="000000"/>
                                  <w:sz w:val="28"/>
                                  <w:szCs w:val="28"/>
                                </w:rPr>
                              </w:pPr>
                            </w:p>
                            <w:p w14:paraId="51C4258E" w14:textId="77777777" w:rsidR="00FC5BD3" w:rsidRDefault="00FC5BD3" w:rsidP="00FC5BD3">
                              <w:pPr>
                                <w:spacing w:after="0" w:line="240" w:lineRule="auto"/>
                                <w:rPr>
                                  <w:rFonts w:ascii="Times New Roman" w:hAnsi="Times New Roman" w:cs="Times New Roman"/>
                                  <w:b/>
                                  <w:bCs/>
                                  <w:color w:val="000000"/>
                                  <w:sz w:val="28"/>
                                  <w:szCs w:val="28"/>
                                </w:rPr>
                              </w:pPr>
                            </w:p>
                            <w:p w14:paraId="6CE19964" w14:textId="77777777" w:rsidR="00FC5BD3" w:rsidRPr="005A40C1" w:rsidRDefault="00FC5BD3" w:rsidP="00FC5BD3">
                              <w:pPr>
                                <w:spacing w:after="0" w:line="240" w:lineRule="auto"/>
                                <w:rPr>
                                  <w:rFonts w:ascii="Times New Roman" w:hAnsi="Times New Roman" w:cs="Times New Roman"/>
                                  <w:b/>
                                  <w:bCs/>
                                  <w:color w:val="000000"/>
                                  <w:sz w:val="28"/>
                                  <w:szCs w:val="28"/>
                                </w:rPr>
                              </w:pPr>
                              <w:r w:rsidRPr="005A40C1">
                                <w:rPr>
                                  <w:rFonts w:ascii="Times New Roman" w:hAnsi="Times New Roman" w:cs="Times New Roman"/>
                                  <w:b/>
                                  <w:bCs/>
                                  <w:color w:val="000000"/>
                                  <w:sz w:val="28"/>
                                  <w:szCs w:val="28"/>
                                </w:rPr>
                                <w:t>Coping appraisal</w:t>
                              </w:r>
                              <w:r>
                                <w:rPr>
                                  <w:rFonts w:ascii="Times New Roman" w:hAnsi="Times New Roman" w:cs="Times New Roman"/>
                                  <w:b/>
                                  <w:bCs/>
                                  <w:color w:val="000000"/>
                                  <w:sz w:val="28"/>
                                  <w:szCs w:val="28"/>
                                </w:rPr>
                                <w:t xml:space="preserve"> (CA)</w:t>
                              </w:r>
                            </w:p>
                          </w:txbxContent>
                        </wps:txbx>
                        <wps:bodyPr rot="0" vert="horz" wrap="square" lIns="91440" tIns="45720" rIns="91440" bIns="45720" anchor="b" anchorCtr="0" upright="1">
                          <a:noAutofit/>
                        </wps:bodyPr>
                      </wps:wsp>
                      <wps:wsp>
                        <wps:cNvPr id="158" name="Text Box 265"/>
                        <wps:cNvSpPr txBox="1">
                          <a:spLocks noChangeArrowheads="1"/>
                        </wps:cNvSpPr>
                        <wps:spPr bwMode="auto">
                          <a:xfrm>
                            <a:off x="1554" y="8220"/>
                            <a:ext cx="2503" cy="687"/>
                          </a:xfrm>
                          <a:prstGeom prst="rect">
                            <a:avLst/>
                          </a:prstGeom>
                          <a:solidFill>
                            <a:srgbClr val="FFFFFF"/>
                          </a:solidFill>
                          <a:ln w="38100">
                            <a:solidFill>
                              <a:srgbClr val="000000"/>
                            </a:solidFill>
                            <a:miter lim="800000"/>
                            <a:headEnd/>
                            <a:tailEnd/>
                          </a:ln>
                        </wps:spPr>
                        <wps:txbx>
                          <w:txbxContent>
                            <w:p w14:paraId="25C6853E"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Self-Efficacy</w:t>
                              </w:r>
                            </w:p>
                          </w:txbxContent>
                        </wps:txbx>
                        <wps:bodyPr rot="0" vert="horz" wrap="square" lIns="91440" tIns="45720" rIns="91440" bIns="45720" anchor="t" anchorCtr="0" upright="1">
                          <a:noAutofit/>
                        </wps:bodyPr>
                      </wps:wsp>
                      <wps:wsp>
                        <wps:cNvPr id="159" name="Text Box 266"/>
                        <wps:cNvSpPr txBox="1">
                          <a:spLocks noChangeArrowheads="1"/>
                        </wps:cNvSpPr>
                        <wps:spPr bwMode="auto">
                          <a:xfrm>
                            <a:off x="1554" y="9336"/>
                            <a:ext cx="2503" cy="1185"/>
                          </a:xfrm>
                          <a:prstGeom prst="rect">
                            <a:avLst/>
                          </a:prstGeom>
                          <a:solidFill>
                            <a:srgbClr val="FFFFFF"/>
                          </a:solidFill>
                          <a:ln w="38100">
                            <a:solidFill>
                              <a:srgbClr val="000000"/>
                            </a:solidFill>
                            <a:miter lim="800000"/>
                            <a:headEnd/>
                            <a:tailEnd/>
                          </a:ln>
                        </wps:spPr>
                        <wps:txbx>
                          <w:txbxContent>
                            <w:p w14:paraId="4BF2755D"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Collective Response</w:t>
                              </w:r>
                            </w:p>
                          </w:txbxContent>
                        </wps:txbx>
                        <wps:bodyPr rot="0" vert="horz" wrap="square" lIns="91440" tIns="45720" rIns="91440" bIns="45720" anchor="t" anchorCtr="0" upright="1">
                          <a:noAutofit/>
                        </wps:bodyPr>
                      </wps:wsp>
                      <wps:wsp>
                        <wps:cNvPr id="160" name="Text Box 260"/>
                        <wps:cNvSpPr txBox="1">
                          <a:spLocks noChangeArrowheads="1"/>
                        </wps:cNvSpPr>
                        <wps:spPr bwMode="auto">
                          <a:xfrm>
                            <a:off x="1518" y="7035"/>
                            <a:ext cx="2502" cy="641"/>
                          </a:xfrm>
                          <a:prstGeom prst="rect">
                            <a:avLst/>
                          </a:prstGeom>
                          <a:solidFill>
                            <a:srgbClr val="FFFFFF"/>
                          </a:solidFill>
                          <a:ln w="38100">
                            <a:solidFill>
                              <a:srgbClr val="000000"/>
                            </a:solidFill>
                            <a:miter lim="800000"/>
                            <a:headEnd/>
                            <a:tailEnd/>
                          </a:ln>
                        </wps:spPr>
                        <wps:txbx>
                          <w:txbxContent>
                            <w:p w14:paraId="2F8D4275" w14:textId="77777777" w:rsidR="00FC5BD3" w:rsidRPr="008348C9" w:rsidRDefault="00FC5BD3" w:rsidP="00FC5BD3">
                              <w:pPr>
                                <w:jc w:val="center"/>
                                <w:rPr>
                                  <w:sz w:val="24"/>
                                  <w:szCs w:val="24"/>
                                </w:rPr>
                              </w:pPr>
                              <w:r w:rsidRPr="008348C9">
                                <w:rPr>
                                  <w:rFonts w:ascii="Times New Roman" w:hAnsi="Times New Roman" w:cs="Times New Roman"/>
                                  <w:sz w:val="24"/>
                                  <w:szCs w:val="24"/>
                                </w:rPr>
                                <w:t>Vulnerability</w:t>
                              </w:r>
                            </w:p>
                          </w:txbxContent>
                        </wps:txbx>
                        <wps:bodyPr rot="0" vert="horz" wrap="square" lIns="91440" tIns="45720" rIns="91440" bIns="45720" anchor="t" anchorCtr="0" upright="1">
                          <a:noAutofit/>
                        </wps:bodyPr>
                      </wps:wsp>
                      <wps:wsp>
                        <wps:cNvPr id="161" name="Rectangle 9"/>
                        <wps:cNvSpPr>
                          <a:spLocks noChangeArrowheads="1"/>
                        </wps:cNvSpPr>
                        <wps:spPr bwMode="auto">
                          <a:xfrm>
                            <a:off x="1275" y="4556"/>
                            <a:ext cx="3090" cy="3264"/>
                          </a:xfrm>
                          <a:prstGeom prst="rect">
                            <a:avLst/>
                          </a:prstGeom>
                          <a:noFill/>
                          <a:ln w="12700" algn="ctr">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593B5BE4" w14:textId="77777777" w:rsidR="00FC5BD3" w:rsidRPr="009064AE" w:rsidRDefault="00FC5BD3" w:rsidP="00FC5BD3">
                              <w:pPr>
                                <w:jc w:val="center"/>
                                <w:rPr>
                                  <w:sz w:val="24"/>
                                  <w:szCs w:val="24"/>
                                </w:rPr>
                              </w:pPr>
                            </w:p>
                            <w:p w14:paraId="55412E6A" w14:textId="77777777" w:rsidR="00FC5BD3" w:rsidRPr="009064AE" w:rsidRDefault="00FC5BD3" w:rsidP="00FC5BD3">
                              <w:pPr>
                                <w:jc w:val="center"/>
                                <w:rPr>
                                  <w:sz w:val="24"/>
                                  <w:szCs w:val="24"/>
                                </w:rPr>
                              </w:pPr>
                            </w:p>
                            <w:p w14:paraId="409E8AA0" w14:textId="77777777" w:rsidR="00FC5BD3" w:rsidRPr="009064AE" w:rsidRDefault="00FC5BD3" w:rsidP="00FC5BD3">
                              <w:pPr>
                                <w:rPr>
                                  <w:rFonts w:ascii="Times New Roman" w:hAnsi="Times New Roman" w:cs="Times New Roman"/>
                                  <w:b/>
                                  <w:bCs/>
                                  <w:color w:val="000000"/>
                                  <w:sz w:val="24"/>
                                  <w:szCs w:val="24"/>
                                </w:rPr>
                              </w:pPr>
                            </w:p>
                            <w:p w14:paraId="1D38E81B" w14:textId="77777777" w:rsidR="00FC5BD3" w:rsidRPr="008348C9" w:rsidRDefault="00FC5BD3" w:rsidP="00FC5BD3">
                              <w:pPr>
                                <w:rPr>
                                  <w:rFonts w:ascii="Times New Roman" w:hAnsi="Times New Roman" w:cs="Times New Roman"/>
                                  <w:b/>
                                  <w:bCs/>
                                  <w:color w:val="000000"/>
                                </w:rPr>
                              </w:pPr>
                            </w:p>
                            <w:p w14:paraId="2B2D0E54" w14:textId="77777777" w:rsidR="00FC5BD3" w:rsidRPr="009064AE" w:rsidRDefault="00FC5BD3" w:rsidP="00FC5BD3">
                              <w:pPr>
                                <w:spacing w:after="0" w:line="240" w:lineRule="auto"/>
                                <w:rPr>
                                  <w:rFonts w:ascii="Times New Roman" w:hAnsi="Times New Roman" w:cs="Times New Roman"/>
                                  <w:b/>
                                  <w:bCs/>
                                  <w:color w:val="000000"/>
                                </w:rPr>
                              </w:pPr>
                            </w:p>
                            <w:p w14:paraId="7A8B8108" w14:textId="77777777" w:rsidR="00FC5BD3" w:rsidRPr="009064AE" w:rsidRDefault="00FC5BD3" w:rsidP="00FC5BD3">
                              <w:pPr>
                                <w:rPr>
                                  <w:rFonts w:ascii="Times New Roman" w:hAnsi="Times New Roman" w:cs="Times New Roman"/>
                                  <w:b/>
                                  <w:bCs/>
                                  <w:color w:val="000000"/>
                                  <w:sz w:val="24"/>
                                  <w:szCs w:val="24"/>
                                </w:rPr>
                              </w:pPr>
                            </w:p>
                            <w:p w14:paraId="54E20BE9" w14:textId="77777777" w:rsidR="00FC5BD3" w:rsidRPr="00A44EBA" w:rsidRDefault="00FC5BD3" w:rsidP="00FC5BD3">
                              <w:pPr>
                                <w:spacing w:before="240" w:after="0" w:line="240" w:lineRule="auto"/>
                                <w:rPr>
                                  <w:rFonts w:ascii="Times New Roman" w:hAnsi="Times New Roman" w:cs="Times New Roman"/>
                                  <w:b/>
                                  <w:bCs/>
                                  <w:color w:val="000000"/>
                                  <w:sz w:val="28"/>
                                  <w:szCs w:val="28"/>
                                </w:rPr>
                              </w:pPr>
                              <w:r w:rsidRPr="00A44EBA">
                                <w:rPr>
                                  <w:rFonts w:ascii="Times New Roman" w:hAnsi="Times New Roman" w:cs="Times New Roman"/>
                                  <w:b/>
                                  <w:bCs/>
                                  <w:color w:val="000000"/>
                                  <w:sz w:val="28"/>
                                  <w:szCs w:val="28"/>
                                </w:rPr>
                                <w:t>Threat appraisal</w:t>
                              </w:r>
                              <w:r>
                                <w:rPr>
                                  <w:rFonts w:ascii="Times New Roman" w:hAnsi="Times New Roman" w:cs="Times New Roman"/>
                                  <w:b/>
                                  <w:bCs/>
                                  <w:color w:val="000000"/>
                                  <w:sz w:val="28"/>
                                  <w:szCs w:val="28"/>
                                </w:rPr>
                                <w:t xml:space="preserve"> (TA)</w:t>
                              </w:r>
                            </w:p>
                          </w:txbxContent>
                        </wps:txbx>
                        <wps:bodyPr rot="0" vert="horz" wrap="square" lIns="91440" tIns="45720" rIns="91440" bIns="45720" anchor="b" anchorCtr="0" upright="1">
                          <a:noAutofit/>
                        </wps:bodyPr>
                      </wps:wsp>
                      <wps:wsp>
                        <wps:cNvPr id="162" name="Text Box 2"/>
                        <wps:cNvSpPr txBox="1">
                          <a:spLocks noChangeArrowheads="1"/>
                        </wps:cNvSpPr>
                        <wps:spPr bwMode="auto">
                          <a:xfrm>
                            <a:off x="8887" y="10521"/>
                            <a:ext cx="2372"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FDB28"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The Protection Motivation Theory (PMT)</w:t>
                              </w:r>
                            </w:p>
                          </w:txbxContent>
                        </wps:txbx>
                        <wps:bodyPr rot="0" vert="horz" wrap="square" lIns="91440" tIns="45720" rIns="91440" bIns="45720" anchor="t" anchorCtr="0" upright="1">
                          <a:noAutofit/>
                        </wps:bodyPr>
                      </wps:wsp>
                      <wps:wsp>
                        <wps:cNvPr id="163" name="Straight Arrow Connector 616725997"/>
                        <wps:cNvCnPr>
                          <a:cxnSpLocks noChangeShapeType="1"/>
                        </wps:cNvCnPr>
                        <wps:spPr bwMode="auto">
                          <a:xfrm>
                            <a:off x="4364" y="6188"/>
                            <a:ext cx="1441" cy="22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4" name="Straight Arrow Connector 616725998"/>
                        <wps:cNvCnPr>
                          <a:cxnSpLocks noChangeShapeType="1"/>
                        </wps:cNvCnPr>
                        <wps:spPr bwMode="auto">
                          <a:xfrm>
                            <a:off x="4424" y="8696"/>
                            <a:ext cx="1381" cy="15"/>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65" name="Text Box 616725999"/>
                        <wps:cNvSpPr txBox="1">
                          <a:spLocks noChangeArrowheads="1"/>
                        </wps:cNvSpPr>
                        <wps:spPr bwMode="auto">
                          <a:xfrm>
                            <a:off x="1517" y="4746"/>
                            <a:ext cx="2503" cy="687"/>
                          </a:xfrm>
                          <a:prstGeom prst="rect">
                            <a:avLst/>
                          </a:prstGeom>
                          <a:solidFill>
                            <a:srgbClr val="FFFFFF"/>
                          </a:solidFill>
                          <a:ln w="38100">
                            <a:solidFill>
                              <a:srgbClr val="000000"/>
                            </a:solidFill>
                            <a:miter lim="800000"/>
                            <a:headEnd/>
                            <a:tailEnd/>
                          </a:ln>
                        </wps:spPr>
                        <wps:txbx>
                          <w:txbxContent>
                            <w:p w14:paraId="52B794DA"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Severity</w:t>
                              </w:r>
                            </w:p>
                          </w:txbxContent>
                        </wps:txbx>
                        <wps:bodyPr rot="0" vert="horz" wrap="square" lIns="91440" tIns="45720" rIns="91440" bIns="45720" anchor="t" anchorCtr="0" upright="1">
                          <a:noAutofit/>
                        </wps:bodyPr>
                      </wps:wsp>
                      <wps:wsp>
                        <wps:cNvPr id="166" name="Text Box 616726000"/>
                        <wps:cNvSpPr txBox="1">
                          <a:spLocks noChangeArrowheads="1"/>
                        </wps:cNvSpPr>
                        <wps:spPr bwMode="auto">
                          <a:xfrm>
                            <a:off x="1518" y="5947"/>
                            <a:ext cx="2502" cy="641"/>
                          </a:xfrm>
                          <a:prstGeom prst="rect">
                            <a:avLst/>
                          </a:prstGeom>
                          <a:solidFill>
                            <a:srgbClr val="FFFFFF"/>
                          </a:solidFill>
                          <a:ln w="38100">
                            <a:solidFill>
                              <a:srgbClr val="000000"/>
                            </a:solidFill>
                            <a:miter lim="800000"/>
                            <a:headEnd/>
                            <a:tailEnd/>
                          </a:ln>
                        </wps:spPr>
                        <wps:txbx>
                          <w:txbxContent>
                            <w:p w14:paraId="67D64AD5"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Exposure</w:t>
                              </w:r>
                            </w:p>
                          </w:txbxContent>
                        </wps:txbx>
                        <wps:bodyPr rot="0" vert="horz" wrap="square" lIns="91440" tIns="45720" rIns="91440" bIns="45720" anchor="t" anchorCtr="0" upright="1">
                          <a:noAutofit/>
                        </wps:bodyPr>
                      </wps:wsp>
                      <wps:wsp>
                        <wps:cNvPr id="167" name="Text Box 616726002"/>
                        <wps:cNvSpPr txBox="1">
                          <a:spLocks noChangeArrowheads="1"/>
                        </wps:cNvSpPr>
                        <wps:spPr bwMode="auto">
                          <a:xfrm>
                            <a:off x="5931" y="8102"/>
                            <a:ext cx="1990" cy="1080"/>
                          </a:xfrm>
                          <a:prstGeom prst="rect">
                            <a:avLst/>
                          </a:prstGeom>
                          <a:solidFill>
                            <a:srgbClr val="FFFFFF"/>
                          </a:solidFill>
                          <a:ln w="38100">
                            <a:solidFill>
                              <a:srgbClr val="000000"/>
                            </a:solidFill>
                            <a:miter lim="800000"/>
                            <a:headEnd/>
                            <a:tailEnd/>
                          </a:ln>
                        </wps:spPr>
                        <wps:txbx>
                          <w:txbxContent>
                            <w:p w14:paraId="2301ACD7" w14:textId="77777777" w:rsidR="00FC5BD3" w:rsidRPr="009064AE" w:rsidRDefault="00FC5BD3" w:rsidP="00FC5BD3">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Protection Motivation</w:t>
                              </w:r>
                              <w:r>
                                <w:rPr>
                                  <w:rFonts w:ascii="Times New Roman" w:hAnsi="Times New Roman" w:cs="Times New Roman"/>
                                  <w:sz w:val="24"/>
                                  <w:szCs w:val="24"/>
                                </w:rPr>
                                <w:t xml:space="preserve"> (PM)</w:t>
                              </w:r>
                            </w:p>
                          </w:txbxContent>
                        </wps:txbx>
                        <wps:bodyPr rot="0" vert="horz" wrap="square" lIns="91440" tIns="45720" rIns="91440" bIns="45720" anchor="t" anchorCtr="0" upright="1">
                          <a:noAutofit/>
                        </wps:bodyPr>
                      </wps:wsp>
                      <wps:wsp>
                        <wps:cNvPr id="168" name="AutoShape 103"/>
                        <wps:cNvCnPr>
                          <a:cxnSpLocks noChangeShapeType="1"/>
                        </wps:cNvCnPr>
                        <wps:spPr bwMode="auto">
                          <a:xfrm flipV="1">
                            <a:off x="4392" y="8758"/>
                            <a:ext cx="4797" cy="18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Text Box 616726003"/>
                        <wps:cNvSpPr txBox="1">
                          <a:spLocks noChangeArrowheads="1"/>
                        </wps:cNvSpPr>
                        <wps:spPr bwMode="auto">
                          <a:xfrm>
                            <a:off x="9189" y="8070"/>
                            <a:ext cx="2010" cy="1152"/>
                          </a:xfrm>
                          <a:prstGeom prst="rect">
                            <a:avLst/>
                          </a:prstGeom>
                          <a:solidFill>
                            <a:srgbClr val="FFFFFF"/>
                          </a:solidFill>
                          <a:ln w="38100">
                            <a:solidFill>
                              <a:srgbClr val="000000"/>
                            </a:solidFill>
                            <a:miter lim="800000"/>
                            <a:headEnd/>
                            <a:tailEnd/>
                          </a:ln>
                          <a:effectLst>
                            <a:outerShdw dist="35921" dir="2700000" algn="ctr" rotWithShape="0">
                              <a:srgbClr val="808080"/>
                            </a:outerShdw>
                          </a:effectLst>
                        </wps:spPr>
                        <wps:txbx>
                          <w:txbxContent>
                            <w:p w14:paraId="12507752"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Intent To Adopt EWR (AD)</w:t>
                              </w:r>
                            </w:p>
                          </w:txbxContent>
                        </wps:txbx>
                        <wps:bodyPr rot="0" vert="horz" wrap="square" lIns="91440" tIns="45720" rIns="91440" bIns="45720" anchor="t" anchorCtr="0" upright="1">
                          <a:noAutofit/>
                        </wps:bodyPr>
                      </wps:wsp>
                      <wps:wsp>
                        <wps:cNvPr id="170" name="Straight Arrow Connector 616726005"/>
                        <wps:cNvCnPr>
                          <a:cxnSpLocks noChangeShapeType="1"/>
                        </wps:cNvCnPr>
                        <wps:spPr bwMode="auto">
                          <a:xfrm flipV="1">
                            <a:off x="7935" y="8605"/>
                            <a:ext cx="1230" cy="1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1" name="Text Box 616726007"/>
                        <wps:cNvSpPr txBox="1">
                          <a:spLocks noChangeArrowheads="1"/>
                        </wps:cNvSpPr>
                        <wps:spPr bwMode="auto">
                          <a:xfrm>
                            <a:off x="5014" y="6955"/>
                            <a:ext cx="917"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FE35A5"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w:t>
                              </w:r>
                            </w:p>
                          </w:txbxContent>
                        </wps:txbx>
                        <wps:bodyPr rot="0" vert="horz" wrap="square" lIns="91440" tIns="45720" rIns="91440" bIns="45720" anchor="t" anchorCtr="0" upright="1">
                          <a:noAutofit/>
                        </wps:bodyPr>
                      </wps:wsp>
                      <wps:wsp>
                        <wps:cNvPr id="172" name="Text Box 616726008"/>
                        <wps:cNvSpPr txBox="1">
                          <a:spLocks noChangeArrowheads="1"/>
                        </wps:cNvSpPr>
                        <wps:spPr bwMode="auto">
                          <a:xfrm>
                            <a:off x="7754" y="7035"/>
                            <a:ext cx="94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5CBEE7" w14:textId="77777777" w:rsidR="00FC5BD3"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10</w:t>
                              </w:r>
                            </w:p>
                            <w:p w14:paraId="13147418" w14:textId="77777777" w:rsidR="00FC5BD3" w:rsidRDefault="00FC5BD3" w:rsidP="00FC5BD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H11</w:t>
                              </w:r>
                            </w:p>
                            <w:p w14:paraId="12B67DD6" w14:textId="77777777" w:rsidR="00FC5BD3" w:rsidRDefault="00FC5BD3" w:rsidP="00FC5BD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H12</w:t>
                              </w:r>
                            </w:p>
                            <w:p w14:paraId="7E06284C" w14:textId="77777777" w:rsidR="00FC5BD3" w:rsidRPr="00076E7C" w:rsidRDefault="00FC5BD3" w:rsidP="00FC5BD3">
                              <w:pPr>
                                <w:spacing w:after="0" w:line="240" w:lineRule="auto"/>
                                <w:rPr>
                                  <w:rFonts w:ascii="Times New Roman" w:hAnsi="Times New Roman" w:cs="Times New Roman"/>
                                  <w:b/>
                                  <w:bCs/>
                                  <w:sz w:val="24"/>
                                  <w:szCs w:val="24"/>
                                </w:rPr>
                              </w:pPr>
                            </w:p>
                          </w:txbxContent>
                        </wps:txbx>
                        <wps:bodyPr rot="0" vert="horz" wrap="square" lIns="91440" tIns="45720" rIns="91440" bIns="45720" anchor="t" anchorCtr="0" upright="1">
                          <a:noAutofit/>
                        </wps:bodyPr>
                      </wps:wsp>
                      <wps:wsp>
                        <wps:cNvPr id="173" name="Text Box 616726009"/>
                        <wps:cNvSpPr txBox="1">
                          <a:spLocks noChangeArrowheads="1"/>
                        </wps:cNvSpPr>
                        <wps:spPr bwMode="auto">
                          <a:xfrm>
                            <a:off x="4621" y="7959"/>
                            <a:ext cx="795"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44D63B"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2</w:t>
                              </w:r>
                            </w:p>
                          </w:txbxContent>
                        </wps:txbx>
                        <wps:bodyPr rot="0" vert="horz" wrap="square" lIns="91440" tIns="45720" rIns="91440" bIns="45720" anchor="t" anchorCtr="0" upright="1">
                          <a:noAutofit/>
                        </wps:bodyPr>
                      </wps:wsp>
                      <wps:wsp>
                        <wps:cNvPr id="174" name="Text Box 2"/>
                        <wps:cNvSpPr txBox="1">
                          <a:spLocks noChangeArrowheads="1"/>
                        </wps:cNvSpPr>
                        <wps:spPr bwMode="auto">
                          <a:xfrm>
                            <a:off x="8687" y="11399"/>
                            <a:ext cx="2638" cy="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B818E"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Additional constructs of (PMT)</w:t>
                              </w:r>
                            </w:p>
                          </w:txbxContent>
                        </wps:txbx>
                        <wps:bodyPr rot="0" vert="horz" wrap="square" lIns="91440" tIns="45720" rIns="91440" bIns="45720" anchor="t" anchorCtr="0" upright="1">
                          <a:noAutofit/>
                        </wps:bodyPr>
                      </wps:wsp>
                      <wps:wsp>
                        <wps:cNvPr id="175" name="Rectangle: Rounded Corners 616726013"/>
                        <wps:cNvSpPr>
                          <a:spLocks noChangeArrowheads="1"/>
                        </wps:cNvSpPr>
                        <wps:spPr bwMode="auto">
                          <a:xfrm>
                            <a:off x="7205" y="10676"/>
                            <a:ext cx="1497" cy="632"/>
                          </a:xfrm>
                          <a:prstGeom prst="roundRect">
                            <a:avLst>
                              <a:gd name="adj" fmla="val 16667"/>
                            </a:avLst>
                          </a:prstGeom>
                          <a:noFill/>
                          <a:ln w="285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6" name="Rectangle: Rounded Corners 616726014"/>
                        <wps:cNvSpPr>
                          <a:spLocks noChangeArrowheads="1"/>
                        </wps:cNvSpPr>
                        <wps:spPr bwMode="auto">
                          <a:xfrm>
                            <a:off x="7227" y="11561"/>
                            <a:ext cx="1471" cy="666"/>
                          </a:xfrm>
                          <a:prstGeom prst="roundRect">
                            <a:avLst>
                              <a:gd name="adj" fmla="val 16667"/>
                            </a:avLst>
                          </a:prstGeom>
                          <a:noFill/>
                          <a:ln w="28575" algn="ctr">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7" name="Text Box 616726007"/>
                        <wps:cNvSpPr txBox="1">
                          <a:spLocks noChangeArrowheads="1"/>
                        </wps:cNvSpPr>
                        <wps:spPr bwMode="auto">
                          <a:xfrm>
                            <a:off x="6235" y="6597"/>
                            <a:ext cx="835"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06028C"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7</w:t>
                              </w:r>
                            </w:p>
                          </w:txbxContent>
                        </wps:txbx>
                        <wps:bodyPr rot="0" vert="horz" wrap="square" lIns="91440" tIns="45720" rIns="91440" bIns="45720" anchor="t" anchorCtr="0" upright="1">
                          <a:noAutofit/>
                        </wps:bodyPr>
                      </wps:wsp>
                      <wps:wsp>
                        <wps:cNvPr id="178" name="Text Box 616726007"/>
                        <wps:cNvSpPr txBox="1">
                          <a:spLocks noChangeArrowheads="1"/>
                        </wps:cNvSpPr>
                        <wps:spPr bwMode="auto">
                          <a:xfrm>
                            <a:off x="5704" y="9382"/>
                            <a:ext cx="80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9C8629"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8</w:t>
                              </w:r>
                            </w:p>
                          </w:txbxContent>
                        </wps:txbx>
                        <wps:bodyPr rot="0" vert="horz" wrap="square" lIns="91440" tIns="45720" rIns="91440" bIns="45720" anchor="t" anchorCtr="0" upright="1">
                          <a:noAutofit/>
                        </wps:bodyPr>
                      </wps:wsp>
                      <wps:wsp>
                        <wps:cNvPr id="179" name="Text Box 616726007"/>
                        <wps:cNvSpPr txBox="1">
                          <a:spLocks noChangeArrowheads="1"/>
                        </wps:cNvSpPr>
                        <wps:spPr bwMode="auto">
                          <a:xfrm>
                            <a:off x="5416" y="10564"/>
                            <a:ext cx="97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D38971"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9</w:t>
                              </w:r>
                            </w:p>
                          </w:txbxContent>
                        </wps:txbx>
                        <wps:bodyPr rot="0" vert="horz" wrap="square" lIns="91440" tIns="45720" rIns="91440" bIns="45720" anchor="t" anchorCtr="0" upright="1">
                          <a:noAutofit/>
                        </wps:bodyPr>
                      </wps:wsp>
                      <wps:wsp>
                        <wps:cNvPr id="180" name="AutoShape 115"/>
                        <wps:cNvCnPr>
                          <a:cxnSpLocks noChangeShapeType="1"/>
                        </wps:cNvCnPr>
                        <wps:spPr bwMode="auto">
                          <a:xfrm flipV="1">
                            <a:off x="4358" y="9152"/>
                            <a:ext cx="4831" cy="28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AutoShape 116"/>
                        <wps:cNvCnPr>
                          <a:cxnSpLocks noChangeShapeType="1"/>
                        </wps:cNvCnPr>
                        <wps:spPr bwMode="auto">
                          <a:xfrm>
                            <a:off x="8565" y="6955"/>
                            <a:ext cx="690" cy="1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Text Box 616726008"/>
                        <wps:cNvSpPr txBox="1">
                          <a:spLocks noChangeArrowheads="1"/>
                        </wps:cNvSpPr>
                        <wps:spPr bwMode="auto">
                          <a:xfrm>
                            <a:off x="8887" y="7238"/>
                            <a:ext cx="883"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4C96E2"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6</w:t>
                              </w:r>
                            </w:p>
                          </w:txbxContent>
                        </wps:txbx>
                        <wps:bodyPr rot="0" vert="horz" wrap="square" lIns="91440" tIns="45720" rIns="91440" bIns="45720" anchor="t" anchorCtr="0" upright="1">
                          <a:noAutofit/>
                        </wps:bodyPr>
                      </wps:wsp>
                    </wpg:wgp>
                  </a:graphicData>
                </a:graphic>
              </wp:inline>
            </w:drawing>
          </mc:Choice>
          <mc:Fallback>
            <w:pict>
              <v:group w14:anchorId="36CEEBC5" id="Group 143" o:spid="_x0000_s1169" style="width:379.45pt;height:331.2pt;mso-position-horizontal-relative:char;mso-position-vertical-relative:line" coordorigin="1275,4556" coordsize="10050,9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">
                <v:shape id="Text Box 79" o:spid="_x0000_s1170" type="#_x0000_t202" style="position:absolute;left:4621;top:9673;width:795;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05DDCDAA"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H3</w:t>
                        </w:r>
                      </w:p>
                    </w:txbxContent>
                  </v:textbox>
                </v:shape>
                <v:shape id="Text Box 80" o:spid="_x0000_s1171" type="#_x0000_t202" style="position:absolute;left:7865;top:8173;width:795;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29279E25"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w:t>
                        </w:r>
                        <w:r>
                          <w:rPr>
                            <w:rFonts w:ascii="Times New Roman" w:hAnsi="Times New Roman" w:cs="Times New Roman"/>
                            <w:b/>
                            <w:bCs/>
                            <w:sz w:val="24"/>
                            <w:szCs w:val="24"/>
                          </w:rPr>
                          <w:t>4</w:t>
                        </w:r>
                      </w:p>
                    </w:txbxContent>
                  </v:textbox>
                </v:shape>
                <v:shape id="Text Box 81" o:spid="_x0000_s1172" type="#_x0000_t202" style="position:absolute;left:10194;top:9228;width:795;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6FEAAB6F" w14:textId="77777777" w:rsidR="00FC5BD3" w:rsidRPr="00EC6EAC" w:rsidRDefault="00FC5BD3" w:rsidP="00FC5BD3">
                        <w:pPr>
                          <w:jc w:val="center"/>
                          <w:rPr>
                            <w:rFonts w:ascii="Times New Roman" w:hAnsi="Times New Roman" w:cs="Times New Roman"/>
                            <w:b/>
                            <w:bCs/>
                            <w:sz w:val="24"/>
                            <w:szCs w:val="24"/>
                          </w:rPr>
                        </w:pPr>
                        <w:r w:rsidRPr="00EC6EAC">
                          <w:rPr>
                            <w:rFonts w:ascii="Times New Roman" w:hAnsi="Times New Roman" w:cs="Times New Roman"/>
                            <w:b/>
                            <w:bCs/>
                            <w:sz w:val="24"/>
                            <w:szCs w:val="24"/>
                          </w:rPr>
                          <w:t>H</w:t>
                        </w:r>
                        <w:r>
                          <w:rPr>
                            <w:rFonts w:ascii="Times New Roman" w:hAnsi="Times New Roman" w:cs="Times New Roman"/>
                            <w:b/>
                            <w:bCs/>
                            <w:sz w:val="24"/>
                            <w:szCs w:val="24"/>
                          </w:rPr>
                          <w:t>5</w:t>
                        </w:r>
                      </w:p>
                    </w:txbxContent>
                  </v:textbox>
                </v:shape>
                <v:shape id="AutoShape 82" o:spid="_x0000_s1173" type="#_x0000_t32" style="position:absolute;left:4373;top:6188;width:4816;height:2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shape id="Text Box 98" o:spid="_x0000_s1174" type="#_x0000_t202" style="position:absolute;left:1363;top:10957;width:3010;height:1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" strokeweight="3pt">
                  <v:stroke dashstyle="dash"/>
                  <v:textbox>
                    <w:txbxContent>
                      <w:p w14:paraId="18BFB1CB" w14:textId="77777777" w:rsidR="00FC5BD3" w:rsidRDefault="00FC5BD3" w:rsidP="00FC5BD3">
                        <w:pPr>
                          <w:spacing w:after="0" w:line="240" w:lineRule="auto"/>
                          <w:jc w:val="center"/>
                          <w:rPr>
                            <w:rFonts w:ascii="Times New Roman" w:hAnsi="Times New Roman" w:cs="Times New Roman"/>
                            <w:sz w:val="24"/>
                            <w:szCs w:val="24"/>
                          </w:rPr>
                        </w:pPr>
                      </w:p>
                      <w:p w14:paraId="0D1484F4"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Information/knowledge about EWR</w:t>
                        </w:r>
                        <w:r>
                          <w:rPr>
                            <w:rFonts w:ascii="Times New Roman" w:hAnsi="Times New Roman" w:cs="Times New Roman"/>
                            <w:sz w:val="24"/>
                            <w:szCs w:val="24"/>
                          </w:rPr>
                          <w:t xml:space="preserve"> (KEWR)</w:t>
                        </w:r>
                      </w:p>
                    </w:txbxContent>
                  </v:textbox>
                </v:shape>
                <v:shape id="Straight Arrow Connector 292" o:spid="_x0000_s1175" type="#_x0000_t32" style="position:absolute;left:4424;top:8907;width:1396;height:24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" strokeweight="1.5pt">
                  <v:stroke endarrow="open" joinstyle="miter"/>
                </v:shape>
                <v:shape id="Text Box 287" o:spid="_x0000_s1176" type="#_x0000_t202" style="position:absolute;left:9255;top:9673;width:1889;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" strokeweight="3pt">
                  <v:stroke dashstyle="longDash"/>
                  <v:textbox>
                    <w:txbxContent>
                      <w:p w14:paraId="673D2DB3" w14:textId="77777777" w:rsidR="00FC5BD3" w:rsidRPr="009064AE" w:rsidRDefault="00FC5BD3" w:rsidP="00FC5BD3">
                        <w:pPr>
                          <w:jc w:val="center"/>
                          <w:rPr>
                            <w:sz w:val="24"/>
                            <w:szCs w:val="24"/>
                          </w:rPr>
                        </w:pPr>
                        <w:r w:rsidRPr="009064AE">
                          <w:rPr>
                            <w:rFonts w:ascii="Times New Roman" w:hAnsi="Times New Roman" w:cs="Times New Roman"/>
                            <w:sz w:val="24"/>
                            <w:szCs w:val="24"/>
                          </w:rPr>
                          <w:t>Habits</w:t>
                        </w:r>
                        <w:r>
                          <w:rPr>
                            <w:rFonts w:ascii="Times New Roman" w:hAnsi="Times New Roman" w:cs="Times New Roman"/>
                            <w:sz w:val="24"/>
                            <w:szCs w:val="24"/>
                          </w:rPr>
                          <w:t xml:space="preserve"> (H)</w:t>
                        </w:r>
                      </w:p>
                    </w:txbxContent>
                  </v:textbox>
                </v:shape>
                <v:shape id="Straight Arrow Connector 288" o:spid="_x0000_s1177" type="#_x0000_t32" style="position:absolute;left:10194;top:9182;width:6;height:4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" strokeweight="1.5pt">
                  <v:stroke endarrow="open" joinstyle="miter"/>
                </v:shape>
                <v:shape id="Text Box 278" o:spid="_x0000_s1178" type="#_x0000_t202" style="position:absolute;left:7329;top:5808;width:2293;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" strokeweight="3pt">
                  <v:stroke dashstyle="1 1"/>
                  <v:textbox>
                    <w:txbxContent>
                      <w:p w14:paraId="310F1A8C" w14:textId="77777777" w:rsidR="00FC5BD3" w:rsidRPr="009064AE" w:rsidRDefault="00FC5BD3" w:rsidP="00FC5BD3">
                        <w:pPr>
                          <w:jc w:val="center"/>
                          <w:rPr>
                            <w:sz w:val="24"/>
                            <w:szCs w:val="24"/>
                          </w:rPr>
                        </w:pPr>
                        <w:r w:rsidRPr="009064AE">
                          <w:rPr>
                            <w:rFonts w:ascii="Times New Roman" w:hAnsi="Times New Roman" w:cs="Times New Roman"/>
                            <w:sz w:val="24"/>
                            <w:szCs w:val="24"/>
                          </w:rPr>
                          <w:t>Environment Assessment (EA)</w:t>
                        </w:r>
                      </w:p>
                    </w:txbxContent>
                  </v:textbox>
                </v:shape>
                <v:shape id="Straight Arrow Connector 285" o:spid="_x0000_s1179" type="#_x0000_t32" style="position:absolute;left:8549;top:7035;width:15;height:1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" strokeweight="1.5pt">
                  <v:stroke dashstyle="1 1" endarrow="open" joinstyle="miter"/>
                </v:shape>
                <v:shape id="Text Box 2" o:spid="_x0000_s1180" type="#_x0000_t202" style="position:absolute;left:8702;top:12227;width:2623;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B7A43A1"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Additional stimulus included in the concept of E-waste recycling.</w:t>
                        </w:r>
                      </w:p>
                    </w:txbxContent>
                  </v:textbox>
                </v:shape>
                <v:roundrect id="Rectangle: Rounded Corners 275" o:spid="_x0000_s1181" style="position:absolute;left:7227;top:12577;width:1460;height:6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" filled="f" strokeweight="3pt">
                  <v:stroke dashstyle="1 1" joinstyle="miter"/>
                </v:roundrect>
                <v:rect id="Rectangle 272" o:spid="_x0000_s1182" style="position:absolute;left:7070;top:10434;width:4129;height:3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" filled="f" strokeweight="1pt"/>
                <v:rect id="Rectangle 262" o:spid="_x0000_s1183" style="position:absolute;left:1303;top:7959;width:3089;height:27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" filled="f" strokeweight="1pt">
                  <v:stroke dashstyle="3 1"/>
                  <v:textbox>
                    <w:txbxContent>
                      <w:p w14:paraId="0C813801" w14:textId="77777777" w:rsidR="00FC5BD3" w:rsidRDefault="00FC5BD3" w:rsidP="00FC5BD3">
                        <w:pPr>
                          <w:jc w:val="center"/>
                        </w:pPr>
                      </w:p>
                      <w:p w14:paraId="544E40E6" w14:textId="77777777" w:rsidR="00FC5BD3" w:rsidRDefault="00FC5BD3" w:rsidP="00FC5BD3">
                        <w:pPr>
                          <w:rPr>
                            <w:rFonts w:ascii="Times New Roman" w:hAnsi="Times New Roman" w:cs="Times New Roman"/>
                            <w:b/>
                            <w:bCs/>
                            <w:color w:val="000000"/>
                            <w:sz w:val="28"/>
                            <w:szCs w:val="28"/>
                          </w:rPr>
                        </w:pPr>
                      </w:p>
                      <w:p w14:paraId="591C9CC8" w14:textId="77777777" w:rsidR="00FC5BD3" w:rsidRDefault="00FC5BD3" w:rsidP="00FC5BD3">
                        <w:pPr>
                          <w:rPr>
                            <w:rFonts w:ascii="Times New Roman" w:hAnsi="Times New Roman" w:cs="Times New Roman"/>
                            <w:b/>
                            <w:bCs/>
                            <w:color w:val="000000"/>
                            <w:sz w:val="28"/>
                            <w:szCs w:val="28"/>
                          </w:rPr>
                        </w:pPr>
                      </w:p>
                      <w:p w14:paraId="39B78DB5" w14:textId="77777777" w:rsidR="00FC5BD3" w:rsidRDefault="00FC5BD3" w:rsidP="00FC5BD3">
                        <w:pPr>
                          <w:spacing w:after="0" w:line="240" w:lineRule="auto"/>
                          <w:rPr>
                            <w:rFonts w:ascii="Times New Roman" w:hAnsi="Times New Roman" w:cs="Times New Roman"/>
                            <w:b/>
                            <w:bCs/>
                            <w:color w:val="000000"/>
                            <w:sz w:val="28"/>
                            <w:szCs w:val="28"/>
                          </w:rPr>
                        </w:pPr>
                      </w:p>
                      <w:p w14:paraId="51C4258E" w14:textId="77777777" w:rsidR="00FC5BD3" w:rsidRDefault="00FC5BD3" w:rsidP="00FC5BD3">
                        <w:pPr>
                          <w:spacing w:after="0" w:line="240" w:lineRule="auto"/>
                          <w:rPr>
                            <w:rFonts w:ascii="Times New Roman" w:hAnsi="Times New Roman" w:cs="Times New Roman"/>
                            <w:b/>
                            <w:bCs/>
                            <w:color w:val="000000"/>
                            <w:sz w:val="28"/>
                            <w:szCs w:val="28"/>
                          </w:rPr>
                        </w:pPr>
                      </w:p>
                      <w:p w14:paraId="6CE19964" w14:textId="77777777" w:rsidR="00FC5BD3" w:rsidRPr="005A40C1" w:rsidRDefault="00FC5BD3" w:rsidP="00FC5BD3">
                        <w:pPr>
                          <w:spacing w:after="0" w:line="240" w:lineRule="auto"/>
                          <w:rPr>
                            <w:rFonts w:ascii="Times New Roman" w:hAnsi="Times New Roman" w:cs="Times New Roman"/>
                            <w:b/>
                            <w:bCs/>
                            <w:color w:val="000000"/>
                            <w:sz w:val="28"/>
                            <w:szCs w:val="28"/>
                          </w:rPr>
                        </w:pPr>
                        <w:r w:rsidRPr="005A40C1">
                          <w:rPr>
                            <w:rFonts w:ascii="Times New Roman" w:hAnsi="Times New Roman" w:cs="Times New Roman"/>
                            <w:b/>
                            <w:bCs/>
                            <w:color w:val="000000"/>
                            <w:sz w:val="28"/>
                            <w:szCs w:val="28"/>
                          </w:rPr>
                          <w:t>Coping appraisal</w:t>
                        </w:r>
                        <w:r>
                          <w:rPr>
                            <w:rFonts w:ascii="Times New Roman" w:hAnsi="Times New Roman" w:cs="Times New Roman"/>
                            <w:b/>
                            <w:bCs/>
                            <w:color w:val="000000"/>
                            <w:sz w:val="28"/>
                            <w:szCs w:val="28"/>
                          </w:rPr>
                          <w:t xml:space="preserve"> (CA)</w:t>
                        </w:r>
                      </w:p>
                    </w:txbxContent>
                  </v:textbox>
                </v:rect>
                <v:shape id="Text Box 265" o:spid="_x0000_s1184" type="#_x0000_t202" style="position:absolute;left:1554;top:8220;width:250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" strokeweight="3pt">
                  <v:textbox>
                    <w:txbxContent>
                      <w:p w14:paraId="25C6853E"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Self-Efficacy</w:t>
                        </w:r>
                      </w:p>
                    </w:txbxContent>
                  </v:textbox>
                </v:shape>
                <v:shape id="Text Box 266" o:spid="_x0000_s1185" type="#_x0000_t202" style="position:absolute;left:1554;top:9336;width:2503;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" strokeweight="3pt">
                  <v:textbox>
                    <w:txbxContent>
                      <w:p w14:paraId="4BF2755D"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Collective Response</w:t>
                        </w:r>
                      </w:p>
                    </w:txbxContent>
                  </v:textbox>
                </v:shape>
                <v:shape id="Text Box 260" o:spid="_x0000_s1186" type="#_x0000_t202" style="position:absolute;left:1518;top:7035;width:2502;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" strokeweight="3pt">
                  <v:textbox>
                    <w:txbxContent>
                      <w:p w14:paraId="2F8D4275" w14:textId="77777777" w:rsidR="00FC5BD3" w:rsidRPr="008348C9" w:rsidRDefault="00FC5BD3" w:rsidP="00FC5BD3">
                        <w:pPr>
                          <w:jc w:val="center"/>
                          <w:rPr>
                            <w:sz w:val="24"/>
                            <w:szCs w:val="24"/>
                          </w:rPr>
                        </w:pPr>
                        <w:r w:rsidRPr="008348C9">
                          <w:rPr>
                            <w:rFonts w:ascii="Times New Roman" w:hAnsi="Times New Roman" w:cs="Times New Roman"/>
                            <w:sz w:val="24"/>
                            <w:szCs w:val="24"/>
                          </w:rPr>
                          <w:t>Vulnerability</w:t>
                        </w:r>
                      </w:p>
                    </w:txbxContent>
                  </v:textbox>
                </v:shape>
                <v:rect id="Rectangle 9" o:spid="_x0000_s1187" style="position:absolute;left:1275;top:4556;width:3090;height:32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" filled="f" strokeweight="1pt">
                  <v:stroke dashstyle="3 1"/>
                  <v:textbox>
                    <w:txbxContent>
                      <w:p w14:paraId="593B5BE4" w14:textId="77777777" w:rsidR="00FC5BD3" w:rsidRPr="009064AE" w:rsidRDefault="00FC5BD3" w:rsidP="00FC5BD3">
                        <w:pPr>
                          <w:jc w:val="center"/>
                          <w:rPr>
                            <w:sz w:val="24"/>
                            <w:szCs w:val="24"/>
                          </w:rPr>
                        </w:pPr>
                      </w:p>
                      <w:p w14:paraId="55412E6A" w14:textId="77777777" w:rsidR="00FC5BD3" w:rsidRPr="009064AE" w:rsidRDefault="00FC5BD3" w:rsidP="00FC5BD3">
                        <w:pPr>
                          <w:jc w:val="center"/>
                          <w:rPr>
                            <w:sz w:val="24"/>
                            <w:szCs w:val="24"/>
                          </w:rPr>
                        </w:pPr>
                      </w:p>
                      <w:p w14:paraId="409E8AA0" w14:textId="77777777" w:rsidR="00FC5BD3" w:rsidRPr="009064AE" w:rsidRDefault="00FC5BD3" w:rsidP="00FC5BD3">
                        <w:pPr>
                          <w:rPr>
                            <w:rFonts w:ascii="Times New Roman" w:hAnsi="Times New Roman" w:cs="Times New Roman"/>
                            <w:b/>
                            <w:bCs/>
                            <w:color w:val="000000"/>
                            <w:sz w:val="24"/>
                            <w:szCs w:val="24"/>
                          </w:rPr>
                        </w:pPr>
                      </w:p>
                      <w:p w14:paraId="1D38E81B" w14:textId="77777777" w:rsidR="00FC5BD3" w:rsidRPr="008348C9" w:rsidRDefault="00FC5BD3" w:rsidP="00FC5BD3">
                        <w:pPr>
                          <w:rPr>
                            <w:rFonts w:ascii="Times New Roman" w:hAnsi="Times New Roman" w:cs="Times New Roman"/>
                            <w:b/>
                            <w:bCs/>
                            <w:color w:val="000000"/>
                          </w:rPr>
                        </w:pPr>
                      </w:p>
                      <w:p w14:paraId="2B2D0E54" w14:textId="77777777" w:rsidR="00FC5BD3" w:rsidRPr="009064AE" w:rsidRDefault="00FC5BD3" w:rsidP="00FC5BD3">
                        <w:pPr>
                          <w:spacing w:after="0" w:line="240" w:lineRule="auto"/>
                          <w:rPr>
                            <w:rFonts w:ascii="Times New Roman" w:hAnsi="Times New Roman" w:cs="Times New Roman"/>
                            <w:b/>
                            <w:bCs/>
                            <w:color w:val="000000"/>
                          </w:rPr>
                        </w:pPr>
                      </w:p>
                      <w:p w14:paraId="7A8B8108" w14:textId="77777777" w:rsidR="00FC5BD3" w:rsidRPr="009064AE" w:rsidRDefault="00FC5BD3" w:rsidP="00FC5BD3">
                        <w:pPr>
                          <w:rPr>
                            <w:rFonts w:ascii="Times New Roman" w:hAnsi="Times New Roman" w:cs="Times New Roman"/>
                            <w:b/>
                            <w:bCs/>
                            <w:color w:val="000000"/>
                            <w:sz w:val="24"/>
                            <w:szCs w:val="24"/>
                          </w:rPr>
                        </w:pPr>
                      </w:p>
                      <w:p w14:paraId="54E20BE9" w14:textId="77777777" w:rsidR="00FC5BD3" w:rsidRPr="00A44EBA" w:rsidRDefault="00FC5BD3" w:rsidP="00FC5BD3">
                        <w:pPr>
                          <w:spacing w:before="240" w:after="0" w:line="240" w:lineRule="auto"/>
                          <w:rPr>
                            <w:rFonts w:ascii="Times New Roman" w:hAnsi="Times New Roman" w:cs="Times New Roman"/>
                            <w:b/>
                            <w:bCs/>
                            <w:color w:val="000000"/>
                            <w:sz w:val="28"/>
                            <w:szCs w:val="28"/>
                          </w:rPr>
                        </w:pPr>
                        <w:r w:rsidRPr="00A44EBA">
                          <w:rPr>
                            <w:rFonts w:ascii="Times New Roman" w:hAnsi="Times New Roman" w:cs="Times New Roman"/>
                            <w:b/>
                            <w:bCs/>
                            <w:color w:val="000000"/>
                            <w:sz w:val="28"/>
                            <w:szCs w:val="28"/>
                          </w:rPr>
                          <w:t>Threat appraisal</w:t>
                        </w:r>
                        <w:r>
                          <w:rPr>
                            <w:rFonts w:ascii="Times New Roman" w:hAnsi="Times New Roman" w:cs="Times New Roman"/>
                            <w:b/>
                            <w:bCs/>
                            <w:color w:val="000000"/>
                            <w:sz w:val="28"/>
                            <w:szCs w:val="28"/>
                          </w:rPr>
                          <w:t xml:space="preserve"> (TA)</w:t>
                        </w:r>
                      </w:p>
                    </w:txbxContent>
                  </v:textbox>
                </v:rect>
                <v:shape id="Text Box 2" o:spid="_x0000_s1188" type="#_x0000_t202" style="position:absolute;left:8887;top:10521;width:2372;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7EEFDB28"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The Protection Motivation Theory (PMT)</w:t>
                        </w:r>
                      </w:p>
                    </w:txbxContent>
                  </v:textbox>
                </v:shape>
                <v:shape id="Straight Arrow Connector 616725997" o:spid="_x0000_s1189" type="#_x0000_t32" style="position:absolute;left:4364;top:6188;width:1441;height:2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" strokeweight="1.5pt">
                  <v:stroke endarrow="open" joinstyle="miter"/>
                </v:shape>
                <v:shape id="Straight Arrow Connector 616725998" o:spid="_x0000_s1190" type="#_x0000_t32" style="position:absolute;left:4424;top:8696;width:1381;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" strokeweight="1.5pt">
                  <v:stroke endarrow="open" joinstyle="miter"/>
                </v:shape>
                <v:shape id="Text Box 616725999" o:spid="_x0000_s1191" type="#_x0000_t202" style="position:absolute;left:1517;top:4746;width:250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" strokeweight="3pt">
                  <v:textbox>
                    <w:txbxContent>
                      <w:p w14:paraId="52B794DA"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Severity</w:t>
                        </w:r>
                      </w:p>
                    </w:txbxContent>
                  </v:textbox>
                </v:shape>
                <v:shape id="Text Box 616726000" o:spid="_x0000_s1192" type="#_x0000_t202" style="position:absolute;left:1518;top:5947;width:2502;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" strokeweight="3pt">
                  <v:textbox>
                    <w:txbxContent>
                      <w:p w14:paraId="67D64AD5"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Exposure</w:t>
                        </w:r>
                      </w:p>
                    </w:txbxContent>
                  </v:textbox>
                </v:shape>
                <v:shape id="Text Box 616726002" o:spid="_x0000_s1193" type="#_x0000_t202" style="position:absolute;left:5931;top:8102;width:199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" strokeweight="3pt">
                  <v:textbox>
                    <w:txbxContent>
                      <w:p w14:paraId="2301ACD7" w14:textId="77777777" w:rsidR="00FC5BD3" w:rsidRPr="009064AE" w:rsidRDefault="00FC5BD3" w:rsidP="00FC5BD3">
                        <w:pPr>
                          <w:spacing w:after="0" w:line="240" w:lineRule="auto"/>
                          <w:jc w:val="center"/>
                          <w:rPr>
                            <w:rFonts w:ascii="Times New Roman" w:hAnsi="Times New Roman" w:cs="Times New Roman"/>
                            <w:sz w:val="24"/>
                            <w:szCs w:val="24"/>
                          </w:rPr>
                        </w:pPr>
                        <w:r w:rsidRPr="009064AE">
                          <w:rPr>
                            <w:rFonts w:ascii="Times New Roman" w:hAnsi="Times New Roman" w:cs="Times New Roman"/>
                            <w:sz w:val="24"/>
                            <w:szCs w:val="24"/>
                          </w:rPr>
                          <w:t>Protection Motivation</w:t>
                        </w:r>
                        <w:r>
                          <w:rPr>
                            <w:rFonts w:ascii="Times New Roman" w:hAnsi="Times New Roman" w:cs="Times New Roman"/>
                            <w:sz w:val="24"/>
                            <w:szCs w:val="24"/>
                          </w:rPr>
                          <w:t xml:space="preserve"> (PM)</w:t>
                        </w:r>
                      </w:p>
                    </w:txbxContent>
                  </v:textbox>
                </v:shape>
                <v:shape id="AutoShape 103" o:spid="_x0000_s1194" type="#_x0000_t32" style="position:absolute;left:4392;top:8758;width:4797;height:1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">
                  <v:stroke endarrow="block"/>
                </v:shape>
                <v:shape id="Text Box 616726003" o:spid="_x0000_s1195" type="#_x0000_t202" style="position:absolute;left:9189;top:8070;width:201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" strokeweight="3pt">
                  <v:shadow on="t"/>
                  <v:textbox>
                    <w:txbxContent>
                      <w:p w14:paraId="12507752" w14:textId="77777777" w:rsidR="00FC5BD3" w:rsidRPr="009064AE" w:rsidRDefault="00FC5BD3" w:rsidP="00FC5BD3">
                        <w:pPr>
                          <w:spacing w:after="0" w:line="240" w:lineRule="auto"/>
                          <w:jc w:val="center"/>
                          <w:rPr>
                            <w:sz w:val="24"/>
                            <w:szCs w:val="24"/>
                          </w:rPr>
                        </w:pPr>
                        <w:r w:rsidRPr="009064AE">
                          <w:rPr>
                            <w:rFonts w:ascii="Times New Roman" w:hAnsi="Times New Roman" w:cs="Times New Roman"/>
                            <w:sz w:val="24"/>
                            <w:szCs w:val="24"/>
                          </w:rPr>
                          <w:t>Intent To Adopt EWR (AD)</w:t>
                        </w:r>
                      </w:p>
                    </w:txbxContent>
                  </v:textbox>
                </v:shape>
                <v:shape id="Straight Arrow Connector 616726005" o:spid="_x0000_s1196" type="#_x0000_t32" style="position:absolute;left:7935;top:8605;width:1230;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" strokeweight="1.5pt">
                  <v:stroke endarrow="open" joinstyle="miter"/>
                </v:shape>
                <v:shape id="Text Box 616726007" o:spid="_x0000_s1197" type="#_x0000_t202" style="position:absolute;left:5014;top:6955;width:917;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" filled="f" stroked="f" strokeweight=".5pt">
                  <v:textbox>
                    <w:txbxContent>
                      <w:p w14:paraId="33FE35A5"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w:t>
                        </w:r>
                      </w:p>
                    </w:txbxContent>
                  </v:textbox>
                </v:shape>
                <v:shape id="Text Box 616726008" o:spid="_x0000_s1198" type="#_x0000_t202" style="position:absolute;left:7754;top:7035;width:948;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" filled="f" stroked="f" strokeweight=".5pt">
                  <v:textbox>
                    <w:txbxContent>
                      <w:p w14:paraId="3A5CBEE7" w14:textId="77777777" w:rsidR="00FC5BD3"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10</w:t>
                        </w:r>
                      </w:p>
                      <w:p w14:paraId="13147418" w14:textId="77777777" w:rsidR="00FC5BD3" w:rsidRDefault="00FC5BD3" w:rsidP="00FC5BD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H11</w:t>
                        </w:r>
                      </w:p>
                      <w:p w14:paraId="12B67DD6" w14:textId="77777777" w:rsidR="00FC5BD3" w:rsidRDefault="00FC5BD3" w:rsidP="00FC5BD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H12</w:t>
                        </w:r>
                      </w:p>
                      <w:p w14:paraId="7E06284C" w14:textId="77777777" w:rsidR="00FC5BD3" w:rsidRPr="00076E7C" w:rsidRDefault="00FC5BD3" w:rsidP="00FC5BD3">
                        <w:pPr>
                          <w:spacing w:after="0" w:line="240" w:lineRule="auto"/>
                          <w:rPr>
                            <w:rFonts w:ascii="Times New Roman" w:hAnsi="Times New Roman" w:cs="Times New Roman"/>
                            <w:b/>
                            <w:bCs/>
                            <w:sz w:val="24"/>
                            <w:szCs w:val="24"/>
                          </w:rPr>
                        </w:pPr>
                      </w:p>
                    </w:txbxContent>
                  </v:textbox>
                </v:shape>
                <v:shape id="Text Box 616726009" o:spid="_x0000_s1199" type="#_x0000_t202" style="position:absolute;left:4621;top:7959;width:795;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cJwwAAANwAAAAPAAAAZHJzL2Rvd25yZXYueG1sRE9Li8Iw&#10;EL4v+B/CCN7WVBd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wUDnCcMAAADcAAAADwAA&#10;AAAAAAAAAAAAAAAHAgAAZHJzL2Rvd25yZXYueG1sUEsFBgAAAAADAAMAtwAAAPcCAAAAAA==&#10;" filled="f" stroked="f" strokeweight=".5pt">
                  <v:textbox>
                    <w:txbxContent>
                      <w:p w14:paraId="4D44D63B"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2</w:t>
                        </w:r>
                      </w:p>
                    </w:txbxContent>
                  </v:textbox>
                </v:shape>
                <v:shape id="Text Box 2" o:spid="_x0000_s1200" type="#_x0000_t202" style="position:absolute;left:8687;top:11399;width:2638;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" filled="f" stroked="f">
                  <v:textbox>
                    <w:txbxContent>
                      <w:p w14:paraId="64DB818E" w14:textId="77777777" w:rsidR="00FC5BD3" w:rsidRPr="00023E0F" w:rsidRDefault="00FC5BD3" w:rsidP="00FC5BD3">
                        <w:pPr>
                          <w:jc w:val="center"/>
                          <w:rPr>
                            <w:rFonts w:ascii="Times New Roman" w:hAnsi="Times New Roman" w:cs="Times New Roman"/>
                            <w:sz w:val="20"/>
                            <w:szCs w:val="20"/>
                          </w:rPr>
                        </w:pPr>
                        <w:r w:rsidRPr="00023E0F">
                          <w:rPr>
                            <w:rFonts w:ascii="Times New Roman" w:hAnsi="Times New Roman" w:cs="Times New Roman"/>
                            <w:sz w:val="20"/>
                            <w:szCs w:val="20"/>
                          </w:rPr>
                          <w:t>Additional constructs of (PMT)</w:t>
                        </w:r>
                      </w:p>
                    </w:txbxContent>
                  </v:textbox>
                </v:shape>
                <v:roundrect id="Rectangle: Rounded Corners 616726013" o:spid="_x0000_s1201" style="position:absolute;left:7205;top:10676;width:1497;height:6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" filled="f" strokeweight="2.25pt">
                  <v:stroke joinstyle="miter"/>
                </v:roundrect>
                <v:roundrect id="Rectangle: Rounded Corners 616726014" o:spid="_x0000_s1202" style="position:absolute;left:7227;top:11561;width:1471;height: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" filled="f" strokeweight="2.25pt">
                  <v:stroke dashstyle="3 1" joinstyle="miter"/>
                </v:roundrect>
                <v:shape id="Text Box 616726007" o:spid="_x0000_s1203" type="#_x0000_t202" style="position:absolute;left:6235;top:6597;width:835;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" filled="f" stroked="f" strokeweight=".5pt">
                  <v:textbox>
                    <w:txbxContent>
                      <w:p w14:paraId="5406028C"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7</w:t>
                        </w:r>
                      </w:p>
                    </w:txbxContent>
                  </v:textbox>
                </v:shape>
                <v:shape id="Text Box 616726007" o:spid="_x0000_s1204" type="#_x0000_t202" style="position:absolute;left:5704;top:9382;width:8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059C8629"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8</w:t>
                        </w:r>
                      </w:p>
                    </w:txbxContent>
                  </v:textbox>
                </v:shape>
                <v:shape id="Text Box 616726007" o:spid="_x0000_s1205" type="#_x0000_t202" style="position:absolute;left:5416;top:10564;width:97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" filled="f" stroked="f" strokeweight=".5pt">
                  <v:textbox>
                    <w:txbxContent>
                      <w:p w14:paraId="60D38971"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9</w:t>
                        </w:r>
                      </w:p>
                    </w:txbxContent>
                  </v:textbox>
                </v:shape>
                <v:shape id="AutoShape 115" o:spid="_x0000_s1206" type="#_x0000_t32" style="position:absolute;left:4358;top:9152;width:4831;height:28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">
                  <v:stroke endarrow="block"/>
                </v:shape>
                <v:shape id="AutoShape 116" o:spid="_x0000_s1207" type="#_x0000_t32" style="position:absolute;left:8565;top:6955;width:690;height:1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">
                  <v:stroke endarrow="block"/>
                </v:shape>
                <v:shape id="Text Box 616726008" o:spid="_x0000_s1208" type="#_x0000_t202" style="position:absolute;left:8887;top:7238;width:883;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2E4C96E2" w14:textId="77777777" w:rsidR="00FC5BD3" w:rsidRPr="00076E7C" w:rsidRDefault="00FC5BD3" w:rsidP="00FC5BD3">
                        <w:pPr>
                          <w:spacing w:after="0" w:line="240" w:lineRule="auto"/>
                          <w:rPr>
                            <w:rFonts w:ascii="Times New Roman" w:hAnsi="Times New Roman" w:cs="Times New Roman"/>
                            <w:b/>
                            <w:bCs/>
                            <w:sz w:val="24"/>
                            <w:szCs w:val="24"/>
                          </w:rPr>
                        </w:pPr>
                        <w:r w:rsidRPr="00076E7C">
                          <w:rPr>
                            <w:rFonts w:ascii="Times New Roman" w:hAnsi="Times New Roman" w:cs="Times New Roman"/>
                            <w:b/>
                            <w:bCs/>
                            <w:sz w:val="24"/>
                            <w:szCs w:val="24"/>
                          </w:rPr>
                          <w:t>H</w:t>
                        </w:r>
                        <w:r>
                          <w:rPr>
                            <w:rFonts w:ascii="Times New Roman" w:hAnsi="Times New Roman" w:cs="Times New Roman"/>
                            <w:b/>
                            <w:bCs/>
                            <w:sz w:val="24"/>
                            <w:szCs w:val="24"/>
                          </w:rPr>
                          <w:t>6</w:t>
                        </w:r>
                      </w:p>
                    </w:txbxContent>
                  </v:textbox>
                </v:shape>
                <w10:anchorlock/>
              </v:group>
            </w:pict>
          </mc:Fallback>
        </mc:AlternateContent>
      </w:r>
    </w:p>
    <w:p w14:paraId="7F139592" w14:textId="2E711B79" w:rsidR="00072848" w:rsidRPr="00597FFB" w:rsidRDefault="00E52362" w:rsidP="00072848">
      <w:pPr>
        <w:widowControl w:val="0"/>
        <w:spacing w:after="0"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As was the case with the extended TPB and the extended NAT models, the mean scores for each variable measured through the questionnaire were analyzed based on the matrix presented in Table 2</w:t>
      </w:r>
      <w:r w:rsidR="00920E65" w:rsidRPr="00597FFB">
        <w:rPr>
          <w:rFonts w:ascii="Times New Roman" w:hAnsi="Times New Roman" w:cs="Times New Roman"/>
          <w:sz w:val="24"/>
          <w:szCs w:val="24"/>
        </w:rPr>
        <w:t>2</w:t>
      </w:r>
      <w:r w:rsidRPr="00597FFB">
        <w:rPr>
          <w:rFonts w:ascii="Times New Roman" w:hAnsi="Times New Roman" w:cs="Times New Roman"/>
          <w:sz w:val="24"/>
          <w:szCs w:val="24"/>
        </w:rPr>
        <w:t>. Based on the interpretation matrix, the descriptive results for the extended PMT model constructs that are shown in Table 2</w:t>
      </w:r>
      <w:r w:rsidR="009574B1" w:rsidRPr="00597FFB">
        <w:rPr>
          <w:rFonts w:ascii="Times New Roman" w:hAnsi="Times New Roman" w:cs="Times New Roman"/>
          <w:sz w:val="24"/>
          <w:szCs w:val="24"/>
        </w:rPr>
        <w:t>2</w:t>
      </w:r>
      <w:r w:rsidRPr="00597FFB">
        <w:rPr>
          <w:rFonts w:ascii="Times New Roman" w:hAnsi="Times New Roman" w:cs="Times New Roman"/>
          <w:sz w:val="24"/>
          <w:szCs w:val="24"/>
        </w:rPr>
        <w:t xml:space="preserve"> show that the UAE millennials moderately agreed/supported the threat appraisal construct since the means ranged between 3.129 and 3.271 for the lowest and highest-ranking factors of the construct. Similar results were realized for coping appraisal with the lowest factor mean being 3.149 and the highest factor mean being 3.489. For protection motivation constructs, the means also signaled that the respondents moderately agreed/supported the factors and the construct at large with the means of the factors in ascending order being 3.366, 3.384, and 3.410 respectively.</w:t>
      </w:r>
    </w:p>
    <w:p w14:paraId="2D5E08B0" w14:textId="77777777" w:rsidR="00072848" w:rsidRPr="00597FFB" w:rsidRDefault="00072848" w:rsidP="00072848">
      <w:pPr>
        <w:pStyle w:val="Heading3"/>
        <w:widowControl w:val="0"/>
        <w:spacing w:line="480" w:lineRule="auto"/>
        <w:ind w:left="720" w:hanging="720"/>
        <w:rPr>
          <w:i/>
          <w:iCs/>
        </w:rPr>
      </w:pPr>
      <w:bookmarkStart w:id="250" w:name="_Toc127170365"/>
      <w:r w:rsidRPr="00597FFB">
        <w:rPr>
          <w:rFonts w:ascii="Times New Roman" w:hAnsi="Times New Roman"/>
          <w:i/>
          <w:iCs/>
          <w:color w:val="auto"/>
          <w:sz w:val="24"/>
          <w:szCs w:val="24"/>
        </w:rPr>
        <w:t xml:space="preserve">5.4.2. </w:t>
      </w:r>
      <w:r w:rsidRPr="00597FFB">
        <w:rPr>
          <w:rFonts w:asciiTheme="majorBidi" w:hAnsiTheme="majorBidi"/>
          <w:i/>
          <w:iCs/>
          <w:color w:val="auto"/>
          <w:sz w:val="24"/>
          <w:szCs w:val="24"/>
        </w:rPr>
        <w:t>The Extended PMT Structural Model.</w:t>
      </w:r>
      <w:bookmarkEnd w:id="250"/>
    </w:p>
    <w:p w14:paraId="0B800B27" w14:textId="77777777" w:rsidR="00072848" w:rsidRDefault="00072848" w:rsidP="00072848">
      <w:pPr>
        <w:spacing w:line="480" w:lineRule="auto"/>
        <w:ind w:firstLine="720"/>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SmartPLS (V3) bootstrap method was applied to investigate the hypothesized relationships based on 1000 generated subsamples. Bootstrapping uses random sampling methods to estimate sampling distribution of any statistic as a measure of accuracy (Efron and Tibshirani, 1993). Therefore, bootstrap subsamples, preferably more than 500, are generated randomly from the original dataset to ensure consistency of results (Hair Jr. et al., 2017). The results revealed adequate fit indices (χ</w:t>
      </w:r>
      <w:r w:rsidRPr="00597FFB">
        <w:rPr>
          <w:rFonts w:ascii="Times New Roman" w:hAnsi="Times New Roman" w:cs="Times New Roman"/>
          <w:color w:val="000000"/>
          <w:sz w:val="24"/>
          <w:szCs w:val="24"/>
          <w:vertAlign w:val="superscript"/>
        </w:rPr>
        <w:t xml:space="preserve">2 </w:t>
      </w:r>
      <w:r w:rsidRPr="00597FFB">
        <w:rPr>
          <w:rFonts w:ascii="Times New Roman" w:hAnsi="Times New Roman" w:cs="Times New Roman"/>
          <w:color w:val="000000"/>
          <w:sz w:val="24"/>
          <w:szCs w:val="24"/>
        </w:rPr>
        <w:t xml:space="preserve">= 122.963; df = 2; AGFI = 0.512; TLI = 0.864; RMSEA = 0.346; SRMR = 0.028) to prove that the model was suitable for the test of the relevant hypotheses (Hair Jr. et al., 2017). The path coefficients, t-statistics and p-values of the hypothesized relationships are portrayed in Figure 17. </w:t>
      </w:r>
    </w:p>
    <w:p w14:paraId="513B19C2" w14:textId="77777777" w:rsidR="00C0425C" w:rsidRDefault="00C0425C" w:rsidP="00072848">
      <w:pPr>
        <w:spacing w:line="480" w:lineRule="auto"/>
        <w:ind w:firstLine="720"/>
        <w:jc w:val="both"/>
        <w:rPr>
          <w:rFonts w:ascii="Times New Roman" w:hAnsi="Times New Roman" w:cs="Times New Roman"/>
          <w:color w:val="000000"/>
          <w:sz w:val="24"/>
          <w:szCs w:val="24"/>
        </w:rPr>
      </w:pPr>
    </w:p>
    <w:p w14:paraId="60C3C943" w14:textId="77777777" w:rsidR="00C0425C" w:rsidRPr="00597FFB" w:rsidRDefault="00C0425C" w:rsidP="00C0425C">
      <w:pPr>
        <w:pStyle w:val="Heading3"/>
        <w:widowControl w:val="0"/>
        <w:ind w:left="720" w:hanging="720"/>
        <w:rPr>
          <w:i/>
          <w:iCs/>
        </w:rPr>
      </w:pPr>
      <w:bookmarkStart w:id="251" w:name="_Hlk125873104"/>
      <w:bookmarkStart w:id="252" w:name="_Toc127170366"/>
      <w:bookmarkStart w:id="253" w:name="_Hlk125873148"/>
      <w:r w:rsidRPr="00597FFB">
        <w:rPr>
          <w:rFonts w:ascii="Times New Roman" w:hAnsi="Times New Roman"/>
          <w:i/>
          <w:iCs/>
          <w:color w:val="auto"/>
          <w:sz w:val="24"/>
          <w:szCs w:val="24"/>
        </w:rPr>
        <w:t>5.4.3. Hypothesis Testing</w:t>
      </w:r>
      <w:bookmarkEnd w:id="251"/>
      <w:r w:rsidRPr="00597FFB">
        <w:rPr>
          <w:rFonts w:ascii="Times New Roman" w:hAnsi="Times New Roman"/>
          <w:i/>
          <w:iCs/>
          <w:color w:val="auto"/>
          <w:sz w:val="24"/>
          <w:szCs w:val="24"/>
        </w:rPr>
        <w:t>.</w:t>
      </w:r>
      <w:bookmarkEnd w:id="252"/>
    </w:p>
    <w:bookmarkEnd w:id="253"/>
    <w:p w14:paraId="520D08CC" w14:textId="77777777" w:rsidR="00C0425C" w:rsidRPr="00597FFB" w:rsidRDefault="00C0425C" w:rsidP="00C0425C">
      <w:pPr>
        <w:widowControl w:val="0"/>
        <w:spacing w:after="0" w:line="240" w:lineRule="auto"/>
        <w:jc w:val="center"/>
        <w:rPr>
          <w:rFonts w:ascii="Times New Roman" w:hAnsi="Times New Roman" w:cs="Times New Roman"/>
          <w:i/>
          <w:iCs/>
          <w:sz w:val="24"/>
          <w:szCs w:val="24"/>
        </w:rPr>
      </w:pPr>
    </w:p>
    <w:p w14:paraId="22C0D051" w14:textId="219771E2" w:rsidR="00E05D9A" w:rsidRPr="00C0425C" w:rsidRDefault="00C0425C" w:rsidP="00C0425C">
      <w:pPr>
        <w:spacing w:line="480" w:lineRule="auto"/>
        <w:ind w:firstLine="720"/>
        <w:jc w:val="both"/>
        <w:rPr>
          <w:rFonts w:ascii="Times New Roman" w:hAnsi="Times New Roman" w:cs="Times New Roman"/>
          <w:sz w:val="24"/>
          <w:szCs w:val="24"/>
        </w:rPr>
      </w:pPr>
      <w:r w:rsidRPr="00597FFB">
        <w:rPr>
          <w:rFonts w:ascii="Times New Roman" w:hAnsi="Times New Roman" w:cs="Times New Roman"/>
          <w:color w:val="000000"/>
          <w:sz w:val="24"/>
          <w:szCs w:val="24"/>
        </w:rPr>
        <w:t>The SEM presented in Figure 17 in the previous subsection was run to test the model based on the conceptualized model shown in Figure 16</w:t>
      </w:r>
      <w:r w:rsidRPr="00597FFB">
        <w:rPr>
          <w:rFonts w:ascii="Times New Roman" w:hAnsi="Times New Roman" w:cs="Times New Roman"/>
          <w:sz w:val="24"/>
          <w:szCs w:val="24"/>
        </w:rPr>
        <w:t>.  The results (Table 23) showed that threat appraisal (β = .225; t = 4.327, p &lt; 0.01), coping appraisal (β = .715; t = 8.126, p &lt; 0.01), and EWR information/knowledge (β = .036; t = 0.064, p &lt; 0.05) all have significant, direct and positive effects on protection motivation. Accordingly, the first three hypotheses under the extended PMT model (H1, H2, and H3) were supported. However, besides confirming the significant and direct effects of threat appraisal, coping appraisal, and information/knowledge on protection motivation of UAE millennials, the results here add value to the hypotheses by demonstrating that the effect is positive. In other words, an increase in UAE millennials’ threat appraisal, coping appraisal and information/knowledge with respect to EWR is likely to trigger an increase in their protection motivation towards EWR.</w:t>
      </w:r>
    </w:p>
    <w:p w14:paraId="57F5D544" w14:textId="45E6A500" w:rsidR="00E52362" w:rsidRPr="00597FFB" w:rsidRDefault="00E52362" w:rsidP="00E52362">
      <w:pPr>
        <w:widowControl w:val="0"/>
        <w:spacing w:after="0" w:line="240" w:lineRule="auto"/>
        <w:rPr>
          <w:rFonts w:ascii="Times New Roman" w:hAnsi="Times New Roman" w:cs="Times New Roman"/>
          <w:i/>
          <w:iCs/>
        </w:rPr>
      </w:pPr>
      <w:r w:rsidRPr="00597FFB">
        <w:rPr>
          <w:rFonts w:ascii="Times New Roman" w:hAnsi="Times New Roman" w:cs="Times New Roman"/>
          <w:b/>
          <w:bCs/>
        </w:rPr>
        <w:t>Table 2</w:t>
      </w:r>
      <w:r w:rsidR="00607DF3" w:rsidRPr="00597FFB">
        <w:rPr>
          <w:rFonts w:ascii="Times New Roman" w:hAnsi="Times New Roman" w:cs="Times New Roman"/>
          <w:b/>
          <w:bCs/>
        </w:rPr>
        <w:t>2</w:t>
      </w:r>
      <w:r w:rsidRPr="00597FFB">
        <w:rPr>
          <w:rFonts w:ascii="Times New Roman" w:hAnsi="Times New Roman" w:cs="Times New Roman"/>
          <w:b/>
          <w:bCs/>
        </w:rPr>
        <w:t>:</w:t>
      </w:r>
      <w:r w:rsidRPr="00597FFB">
        <w:rPr>
          <w:rFonts w:ascii="Times New Roman" w:hAnsi="Times New Roman" w:cs="Times New Roman"/>
          <w:b/>
          <w:bCs/>
          <w:i/>
          <w:iCs/>
        </w:rPr>
        <w:t xml:space="preserve"> </w:t>
      </w:r>
      <w:r w:rsidRPr="00597FFB">
        <w:rPr>
          <w:rFonts w:ascii="Times New Roman" w:hAnsi="Times New Roman" w:cs="Times New Roman"/>
          <w:i/>
          <w:iCs/>
        </w:rPr>
        <w:t xml:space="preserve">Descriptive Statistics, </w:t>
      </w:r>
      <w:r w:rsidR="00072848" w:rsidRPr="00597FFB">
        <w:rPr>
          <w:rFonts w:ascii="Times New Roman" w:hAnsi="Times New Roman" w:cs="Times New Roman"/>
          <w:i/>
          <w:iCs/>
        </w:rPr>
        <w:t>a</w:t>
      </w:r>
      <w:r w:rsidRPr="00597FFB">
        <w:rPr>
          <w:rFonts w:ascii="Times New Roman" w:hAnsi="Times New Roman" w:cs="Times New Roman"/>
          <w:i/>
          <w:iCs/>
        </w:rPr>
        <w:t xml:space="preserve">nd Reliability </w:t>
      </w:r>
      <w:r w:rsidR="00072848" w:rsidRPr="00597FFB">
        <w:rPr>
          <w:rFonts w:ascii="Times New Roman" w:hAnsi="Times New Roman" w:cs="Times New Roman"/>
          <w:i/>
          <w:iCs/>
        </w:rPr>
        <w:t>a</w:t>
      </w:r>
      <w:r w:rsidRPr="00597FFB">
        <w:rPr>
          <w:rFonts w:ascii="Times New Roman" w:hAnsi="Times New Roman" w:cs="Times New Roman"/>
          <w:i/>
          <w:iCs/>
        </w:rPr>
        <w:t>nd Validity Analysis (PMT Model)</w:t>
      </w:r>
      <w:r w:rsidR="00081CF7" w:rsidRPr="00597FFB">
        <w:rPr>
          <w:rFonts w:ascii="Times New Roman" w:hAnsi="Times New Roman" w:cs="Times New Roman"/>
          <w:i/>
          <w:iCs/>
        </w:rPr>
        <w:t>.</w:t>
      </w:r>
    </w:p>
    <w:p w14:paraId="6370B814" w14:textId="77777777" w:rsidR="00081CF7" w:rsidRPr="00597FFB" w:rsidRDefault="00081CF7" w:rsidP="00E52362">
      <w:pPr>
        <w:widowControl w:val="0"/>
        <w:spacing w:after="0" w:line="240" w:lineRule="auto"/>
        <w:rPr>
          <w:rFonts w:ascii="Times New Roman" w:hAnsi="Times New Roman" w:cs="Times New Roman"/>
          <w:i/>
          <w:iCs/>
        </w:rPr>
      </w:pPr>
    </w:p>
    <w:tbl>
      <w:tblPr>
        <w:tblW w:w="7589" w:type="dxa"/>
        <w:tblLook w:val="04A0" w:firstRow="1" w:lastRow="0" w:firstColumn="1" w:lastColumn="0" w:noHBand="0" w:noVBand="1"/>
      </w:tblPr>
      <w:tblGrid>
        <w:gridCol w:w="681"/>
        <w:gridCol w:w="545"/>
        <w:gridCol w:w="728"/>
        <w:gridCol w:w="702"/>
        <w:gridCol w:w="960"/>
        <w:gridCol w:w="1250"/>
        <w:gridCol w:w="1170"/>
        <w:gridCol w:w="697"/>
        <w:gridCol w:w="856"/>
      </w:tblGrid>
      <w:tr w:rsidR="00EE5EE9" w:rsidRPr="00597FFB" w14:paraId="0B6A0CEF" w14:textId="77777777" w:rsidTr="000E48F1">
        <w:trPr>
          <w:trHeight w:val="300"/>
        </w:trPr>
        <w:tc>
          <w:tcPr>
            <w:tcW w:w="682" w:type="dxa"/>
            <w:tcBorders>
              <w:top w:val="single" w:sz="4" w:space="0" w:color="auto"/>
              <w:left w:val="nil"/>
              <w:bottom w:val="single" w:sz="4" w:space="0" w:color="auto"/>
              <w:right w:val="nil"/>
            </w:tcBorders>
            <w:noWrap/>
            <w:vAlign w:val="bottom"/>
            <w:hideMark/>
          </w:tcPr>
          <w:p w14:paraId="02EF48EA" w14:textId="77777777" w:rsidR="00EE5EE9" w:rsidRPr="00597FFB" w:rsidRDefault="00EE5EE9" w:rsidP="000E48F1">
            <w:pPr>
              <w:widowControl w:val="0"/>
              <w:rPr>
                <w:rFonts w:ascii="Times New Roman" w:eastAsia="Times New Roman" w:hAnsi="Times New Roman" w:cs="Times New Roman"/>
              </w:rPr>
            </w:pPr>
            <w:bookmarkStart w:id="254" w:name="_Hlk120895321"/>
          </w:p>
        </w:tc>
        <w:tc>
          <w:tcPr>
            <w:tcW w:w="562" w:type="dxa"/>
            <w:tcBorders>
              <w:top w:val="single" w:sz="4" w:space="0" w:color="auto"/>
              <w:left w:val="nil"/>
              <w:bottom w:val="single" w:sz="4" w:space="0" w:color="auto"/>
              <w:right w:val="nil"/>
            </w:tcBorders>
            <w:noWrap/>
            <w:vAlign w:val="bottom"/>
            <w:hideMark/>
          </w:tcPr>
          <w:p w14:paraId="30CCEFC8"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N</w:t>
            </w:r>
          </w:p>
        </w:tc>
        <w:tc>
          <w:tcPr>
            <w:tcW w:w="729" w:type="dxa"/>
            <w:tcBorders>
              <w:top w:val="single" w:sz="4" w:space="0" w:color="auto"/>
              <w:left w:val="nil"/>
              <w:bottom w:val="single" w:sz="4" w:space="0" w:color="auto"/>
              <w:right w:val="nil"/>
            </w:tcBorders>
            <w:noWrap/>
            <w:vAlign w:val="bottom"/>
            <w:hideMark/>
          </w:tcPr>
          <w:p w14:paraId="41179D08"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Mean</w:t>
            </w:r>
          </w:p>
        </w:tc>
        <w:tc>
          <w:tcPr>
            <w:tcW w:w="727" w:type="dxa"/>
            <w:tcBorders>
              <w:top w:val="single" w:sz="4" w:space="0" w:color="auto"/>
              <w:left w:val="nil"/>
              <w:bottom w:val="single" w:sz="4" w:space="0" w:color="auto"/>
              <w:right w:val="nil"/>
            </w:tcBorders>
            <w:noWrap/>
            <w:vAlign w:val="bottom"/>
            <w:hideMark/>
          </w:tcPr>
          <w:p w14:paraId="41F0106D"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Std. Dev.</w:t>
            </w:r>
          </w:p>
        </w:tc>
        <w:tc>
          <w:tcPr>
            <w:tcW w:w="881" w:type="dxa"/>
            <w:tcBorders>
              <w:top w:val="single" w:sz="4" w:space="0" w:color="auto"/>
              <w:left w:val="nil"/>
              <w:bottom w:val="single" w:sz="4" w:space="0" w:color="auto"/>
              <w:right w:val="nil"/>
            </w:tcBorders>
            <w:noWrap/>
            <w:vAlign w:val="bottom"/>
            <w:hideMark/>
          </w:tcPr>
          <w:p w14:paraId="31B2FB3E"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Factor Loading</w:t>
            </w:r>
          </w:p>
        </w:tc>
        <w:tc>
          <w:tcPr>
            <w:tcW w:w="1254" w:type="dxa"/>
            <w:tcBorders>
              <w:top w:val="single" w:sz="4" w:space="0" w:color="auto"/>
              <w:left w:val="nil"/>
              <w:bottom w:val="single" w:sz="4" w:space="0" w:color="auto"/>
              <w:right w:val="nil"/>
            </w:tcBorders>
            <w:noWrap/>
            <w:vAlign w:val="bottom"/>
            <w:hideMark/>
          </w:tcPr>
          <w:p w14:paraId="3A5D449A"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Cronbach's Alpha</w:t>
            </w:r>
          </w:p>
        </w:tc>
        <w:tc>
          <w:tcPr>
            <w:tcW w:w="1174" w:type="dxa"/>
            <w:tcBorders>
              <w:top w:val="single" w:sz="4" w:space="0" w:color="auto"/>
              <w:left w:val="nil"/>
              <w:bottom w:val="single" w:sz="4" w:space="0" w:color="auto"/>
              <w:right w:val="nil"/>
            </w:tcBorders>
            <w:noWrap/>
            <w:vAlign w:val="bottom"/>
            <w:hideMark/>
          </w:tcPr>
          <w:p w14:paraId="271DA1F0"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Composite Reliability</w:t>
            </w:r>
          </w:p>
        </w:tc>
        <w:tc>
          <w:tcPr>
            <w:tcW w:w="722" w:type="dxa"/>
            <w:tcBorders>
              <w:top w:val="single" w:sz="4" w:space="0" w:color="auto"/>
              <w:left w:val="nil"/>
              <w:bottom w:val="single" w:sz="4" w:space="0" w:color="auto"/>
              <w:right w:val="nil"/>
            </w:tcBorders>
            <w:noWrap/>
            <w:vAlign w:val="bottom"/>
            <w:hideMark/>
          </w:tcPr>
          <w:p w14:paraId="36DA2D6F"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AVE</w:t>
            </w:r>
          </w:p>
        </w:tc>
        <w:tc>
          <w:tcPr>
            <w:tcW w:w="858" w:type="dxa"/>
            <w:tcBorders>
              <w:top w:val="single" w:sz="4" w:space="0" w:color="auto"/>
              <w:left w:val="nil"/>
              <w:bottom w:val="single" w:sz="4" w:space="0" w:color="auto"/>
              <w:right w:val="nil"/>
            </w:tcBorders>
          </w:tcPr>
          <w:p w14:paraId="6B0DCC78" w14:textId="77777777" w:rsidR="00EE5EE9" w:rsidRPr="00597FFB" w:rsidRDefault="00EE5EE9" w:rsidP="000E48F1">
            <w:pPr>
              <w:widowControl w:val="0"/>
              <w:spacing w:after="0" w:line="240" w:lineRule="auto"/>
              <w:jc w:val="center"/>
              <w:rPr>
                <w:rFonts w:ascii="Times New Roman" w:eastAsia="Times New Roman" w:hAnsi="Times New Roman" w:cs="Times New Roman"/>
                <w:b/>
                <w:color w:val="000000"/>
              </w:rPr>
            </w:pPr>
            <w:r w:rsidRPr="00597FFB">
              <w:rPr>
                <w:rFonts w:ascii="Times New Roman" w:eastAsia="Times New Roman" w:hAnsi="Times New Roman" w:cs="Times New Roman"/>
                <w:b/>
                <w:color w:val="000000"/>
              </w:rPr>
              <w:t>AVE Square Root</w:t>
            </w:r>
          </w:p>
        </w:tc>
      </w:tr>
      <w:tr w:rsidR="00EE5EE9" w:rsidRPr="00597FFB" w14:paraId="5E9F3A7D" w14:textId="77777777" w:rsidTr="000E48F1">
        <w:trPr>
          <w:trHeight w:val="300"/>
        </w:trPr>
        <w:tc>
          <w:tcPr>
            <w:tcW w:w="682" w:type="dxa"/>
            <w:tcBorders>
              <w:top w:val="single" w:sz="4" w:space="0" w:color="auto"/>
              <w:left w:val="nil"/>
              <w:bottom w:val="nil"/>
              <w:right w:val="nil"/>
            </w:tcBorders>
            <w:noWrap/>
            <w:vAlign w:val="bottom"/>
            <w:hideMark/>
          </w:tcPr>
          <w:p w14:paraId="7E7EF1AE"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TA1</w:t>
            </w:r>
          </w:p>
        </w:tc>
        <w:tc>
          <w:tcPr>
            <w:tcW w:w="562" w:type="dxa"/>
            <w:tcBorders>
              <w:top w:val="single" w:sz="4" w:space="0" w:color="auto"/>
              <w:left w:val="nil"/>
              <w:bottom w:val="nil"/>
              <w:right w:val="nil"/>
            </w:tcBorders>
            <w:noWrap/>
            <w:vAlign w:val="bottom"/>
            <w:hideMark/>
          </w:tcPr>
          <w:p w14:paraId="670A9DA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single" w:sz="4" w:space="0" w:color="auto"/>
              <w:left w:val="nil"/>
              <w:bottom w:val="nil"/>
              <w:right w:val="nil"/>
            </w:tcBorders>
            <w:noWrap/>
            <w:vAlign w:val="bottom"/>
            <w:hideMark/>
          </w:tcPr>
          <w:p w14:paraId="1D4E791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3.129</w:t>
            </w:r>
          </w:p>
        </w:tc>
        <w:tc>
          <w:tcPr>
            <w:tcW w:w="727" w:type="dxa"/>
            <w:tcBorders>
              <w:top w:val="single" w:sz="4" w:space="0" w:color="auto"/>
              <w:left w:val="nil"/>
              <w:bottom w:val="nil"/>
              <w:right w:val="nil"/>
            </w:tcBorders>
            <w:noWrap/>
            <w:vAlign w:val="bottom"/>
            <w:hideMark/>
          </w:tcPr>
          <w:p w14:paraId="668933E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1.268</w:t>
            </w:r>
          </w:p>
        </w:tc>
        <w:tc>
          <w:tcPr>
            <w:tcW w:w="881" w:type="dxa"/>
            <w:tcBorders>
              <w:top w:val="single" w:sz="4" w:space="0" w:color="auto"/>
              <w:left w:val="nil"/>
              <w:bottom w:val="nil"/>
              <w:right w:val="nil"/>
            </w:tcBorders>
            <w:noWrap/>
            <w:vAlign w:val="bottom"/>
            <w:hideMark/>
          </w:tcPr>
          <w:p w14:paraId="389869F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0.600</w:t>
            </w:r>
          </w:p>
        </w:tc>
        <w:tc>
          <w:tcPr>
            <w:tcW w:w="1254" w:type="dxa"/>
            <w:vMerge w:val="restart"/>
            <w:tcBorders>
              <w:top w:val="single" w:sz="4" w:space="0" w:color="auto"/>
              <w:left w:val="nil"/>
              <w:bottom w:val="single" w:sz="4" w:space="0" w:color="auto"/>
              <w:right w:val="nil"/>
            </w:tcBorders>
            <w:noWrap/>
            <w:vAlign w:val="center"/>
            <w:hideMark/>
          </w:tcPr>
          <w:p w14:paraId="4A256AFD"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0.903</w:t>
            </w:r>
          </w:p>
        </w:tc>
        <w:tc>
          <w:tcPr>
            <w:tcW w:w="1174" w:type="dxa"/>
            <w:vMerge w:val="restart"/>
            <w:tcBorders>
              <w:top w:val="single" w:sz="4" w:space="0" w:color="auto"/>
              <w:left w:val="nil"/>
              <w:bottom w:val="single" w:sz="4" w:space="0" w:color="auto"/>
              <w:right w:val="nil"/>
            </w:tcBorders>
            <w:noWrap/>
            <w:vAlign w:val="center"/>
            <w:hideMark/>
          </w:tcPr>
          <w:p w14:paraId="1886525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0.597</w:t>
            </w:r>
          </w:p>
        </w:tc>
        <w:tc>
          <w:tcPr>
            <w:tcW w:w="722" w:type="dxa"/>
            <w:vMerge w:val="restart"/>
            <w:tcBorders>
              <w:top w:val="single" w:sz="4" w:space="0" w:color="auto"/>
              <w:left w:val="nil"/>
              <w:bottom w:val="single" w:sz="4" w:space="0" w:color="auto"/>
              <w:right w:val="nil"/>
            </w:tcBorders>
            <w:noWrap/>
            <w:vAlign w:val="center"/>
            <w:hideMark/>
          </w:tcPr>
          <w:p w14:paraId="741192B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0.911</w:t>
            </w:r>
          </w:p>
        </w:tc>
        <w:tc>
          <w:tcPr>
            <w:tcW w:w="858" w:type="dxa"/>
            <w:vMerge w:val="restart"/>
            <w:tcBorders>
              <w:top w:val="single" w:sz="4" w:space="0" w:color="auto"/>
              <w:left w:val="nil"/>
              <w:right w:val="nil"/>
            </w:tcBorders>
            <w:vAlign w:val="center"/>
          </w:tcPr>
          <w:p w14:paraId="61358E4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0.954</w:t>
            </w:r>
          </w:p>
        </w:tc>
      </w:tr>
      <w:tr w:rsidR="00EE5EE9" w:rsidRPr="00597FFB" w14:paraId="2E655E44" w14:textId="77777777" w:rsidTr="000E48F1">
        <w:trPr>
          <w:trHeight w:val="300"/>
        </w:trPr>
        <w:tc>
          <w:tcPr>
            <w:tcW w:w="682" w:type="dxa"/>
            <w:noWrap/>
            <w:vAlign w:val="bottom"/>
            <w:hideMark/>
          </w:tcPr>
          <w:p w14:paraId="1D93B650"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TA2</w:t>
            </w:r>
          </w:p>
        </w:tc>
        <w:tc>
          <w:tcPr>
            <w:tcW w:w="562" w:type="dxa"/>
            <w:noWrap/>
            <w:vAlign w:val="bottom"/>
            <w:hideMark/>
          </w:tcPr>
          <w:p w14:paraId="46C5D9ED"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2F46422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3.250</w:t>
            </w:r>
          </w:p>
        </w:tc>
        <w:tc>
          <w:tcPr>
            <w:tcW w:w="727" w:type="dxa"/>
            <w:noWrap/>
            <w:vAlign w:val="bottom"/>
            <w:hideMark/>
          </w:tcPr>
          <w:p w14:paraId="3564789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0.948</w:t>
            </w:r>
          </w:p>
        </w:tc>
        <w:tc>
          <w:tcPr>
            <w:tcW w:w="881" w:type="dxa"/>
            <w:noWrap/>
            <w:vAlign w:val="bottom"/>
            <w:hideMark/>
          </w:tcPr>
          <w:p w14:paraId="6A73B31D"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0.674</w:t>
            </w:r>
          </w:p>
        </w:tc>
        <w:tc>
          <w:tcPr>
            <w:tcW w:w="1254" w:type="dxa"/>
            <w:vMerge/>
            <w:tcBorders>
              <w:top w:val="single" w:sz="4" w:space="0" w:color="auto"/>
              <w:left w:val="nil"/>
              <w:bottom w:val="single" w:sz="4" w:space="0" w:color="auto"/>
              <w:right w:val="nil"/>
            </w:tcBorders>
            <w:vAlign w:val="center"/>
            <w:hideMark/>
          </w:tcPr>
          <w:p w14:paraId="73AB537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0EAD3C8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26F86B5A"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233B20C8"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36105DB0" w14:textId="77777777" w:rsidTr="000E48F1">
        <w:trPr>
          <w:trHeight w:val="300"/>
        </w:trPr>
        <w:tc>
          <w:tcPr>
            <w:tcW w:w="682" w:type="dxa"/>
            <w:noWrap/>
            <w:vAlign w:val="bottom"/>
            <w:hideMark/>
          </w:tcPr>
          <w:p w14:paraId="01DE26BB"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TA3</w:t>
            </w:r>
          </w:p>
        </w:tc>
        <w:tc>
          <w:tcPr>
            <w:tcW w:w="562" w:type="dxa"/>
            <w:noWrap/>
            <w:vAlign w:val="bottom"/>
            <w:hideMark/>
          </w:tcPr>
          <w:p w14:paraId="4280871C"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57CC195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3.228</w:t>
            </w:r>
          </w:p>
        </w:tc>
        <w:tc>
          <w:tcPr>
            <w:tcW w:w="727" w:type="dxa"/>
            <w:noWrap/>
            <w:vAlign w:val="bottom"/>
            <w:hideMark/>
          </w:tcPr>
          <w:p w14:paraId="4BF4D2C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0.991</w:t>
            </w:r>
          </w:p>
        </w:tc>
        <w:tc>
          <w:tcPr>
            <w:tcW w:w="881" w:type="dxa"/>
            <w:noWrap/>
            <w:vAlign w:val="bottom"/>
            <w:hideMark/>
          </w:tcPr>
          <w:p w14:paraId="0A46202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0.665</w:t>
            </w:r>
          </w:p>
        </w:tc>
        <w:tc>
          <w:tcPr>
            <w:tcW w:w="1254" w:type="dxa"/>
            <w:vMerge/>
            <w:tcBorders>
              <w:top w:val="single" w:sz="4" w:space="0" w:color="auto"/>
              <w:left w:val="nil"/>
              <w:bottom w:val="single" w:sz="4" w:space="0" w:color="auto"/>
              <w:right w:val="nil"/>
            </w:tcBorders>
            <w:vAlign w:val="center"/>
            <w:hideMark/>
          </w:tcPr>
          <w:p w14:paraId="3F4BB96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57138FD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2481D72A"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2428389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612AE7FF" w14:textId="77777777" w:rsidTr="000E48F1">
        <w:trPr>
          <w:trHeight w:val="300"/>
        </w:trPr>
        <w:tc>
          <w:tcPr>
            <w:tcW w:w="682" w:type="dxa"/>
            <w:noWrap/>
            <w:vAlign w:val="bottom"/>
            <w:hideMark/>
          </w:tcPr>
          <w:p w14:paraId="2CE6F870"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TA4</w:t>
            </w:r>
          </w:p>
        </w:tc>
        <w:tc>
          <w:tcPr>
            <w:tcW w:w="562" w:type="dxa"/>
            <w:noWrap/>
            <w:vAlign w:val="bottom"/>
            <w:hideMark/>
          </w:tcPr>
          <w:p w14:paraId="33D5AFD0"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27C6913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3.206</w:t>
            </w:r>
          </w:p>
        </w:tc>
        <w:tc>
          <w:tcPr>
            <w:tcW w:w="727" w:type="dxa"/>
            <w:noWrap/>
            <w:vAlign w:val="bottom"/>
            <w:hideMark/>
          </w:tcPr>
          <w:p w14:paraId="07BD8582"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1.057</w:t>
            </w:r>
          </w:p>
        </w:tc>
        <w:tc>
          <w:tcPr>
            <w:tcW w:w="881" w:type="dxa"/>
            <w:noWrap/>
            <w:vAlign w:val="bottom"/>
            <w:hideMark/>
          </w:tcPr>
          <w:p w14:paraId="0CB78B3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0.686</w:t>
            </w:r>
          </w:p>
        </w:tc>
        <w:tc>
          <w:tcPr>
            <w:tcW w:w="1254" w:type="dxa"/>
            <w:vMerge/>
            <w:tcBorders>
              <w:top w:val="single" w:sz="4" w:space="0" w:color="auto"/>
              <w:left w:val="nil"/>
              <w:bottom w:val="single" w:sz="4" w:space="0" w:color="auto"/>
              <w:right w:val="nil"/>
            </w:tcBorders>
            <w:vAlign w:val="center"/>
            <w:hideMark/>
          </w:tcPr>
          <w:p w14:paraId="78659A2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6CD7685D"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1ECB996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03C96B6D"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2A9B2AA0" w14:textId="77777777" w:rsidTr="000E48F1">
        <w:trPr>
          <w:trHeight w:val="300"/>
        </w:trPr>
        <w:tc>
          <w:tcPr>
            <w:tcW w:w="682" w:type="dxa"/>
            <w:noWrap/>
            <w:vAlign w:val="bottom"/>
            <w:hideMark/>
          </w:tcPr>
          <w:p w14:paraId="461312B4"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TA5</w:t>
            </w:r>
          </w:p>
        </w:tc>
        <w:tc>
          <w:tcPr>
            <w:tcW w:w="562" w:type="dxa"/>
            <w:noWrap/>
            <w:vAlign w:val="bottom"/>
            <w:hideMark/>
          </w:tcPr>
          <w:p w14:paraId="64C160E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69AF4BC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3.232</w:t>
            </w:r>
          </w:p>
        </w:tc>
        <w:tc>
          <w:tcPr>
            <w:tcW w:w="727" w:type="dxa"/>
            <w:noWrap/>
            <w:vAlign w:val="bottom"/>
            <w:hideMark/>
          </w:tcPr>
          <w:p w14:paraId="04FA93D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0.966</w:t>
            </w:r>
          </w:p>
        </w:tc>
        <w:tc>
          <w:tcPr>
            <w:tcW w:w="881" w:type="dxa"/>
            <w:noWrap/>
            <w:vAlign w:val="bottom"/>
            <w:hideMark/>
          </w:tcPr>
          <w:p w14:paraId="1C067FB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0.640</w:t>
            </w:r>
          </w:p>
        </w:tc>
        <w:tc>
          <w:tcPr>
            <w:tcW w:w="1254" w:type="dxa"/>
            <w:vMerge/>
            <w:tcBorders>
              <w:top w:val="single" w:sz="4" w:space="0" w:color="auto"/>
              <w:left w:val="nil"/>
              <w:bottom w:val="single" w:sz="4" w:space="0" w:color="auto"/>
              <w:right w:val="nil"/>
            </w:tcBorders>
            <w:vAlign w:val="center"/>
            <w:hideMark/>
          </w:tcPr>
          <w:p w14:paraId="405D61F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5983670A"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2114DA94"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812217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51DF2FAB" w14:textId="77777777" w:rsidTr="000E48F1">
        <w:trPr>
          <w:trHeight w:val="300"/>
        </w:trPr>
        <w:tc>
          <w:tcPr>
            <w:tcW w:w="682" w:type="dxa"/>
            <w:noWrap/>
            <w:vAlign w:val="bottom"/>
            <w:hideMark/>
          </w:tcPr>
          <w:p w14:paraId="1DBF05C8"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TA6</w:t>
            </w:r>
          </w:p>
        </w:tc>
        <w:tc>
          <w:tcPr>
            <w:tcW w:w="562" w:type="dxa"/>
            <w:noWrap/>
            <w:vAlign w:val="bottom"/>
            <w:hideMark/>
          </w:tcPr>
          <w:p w14:paraId="444D925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6EF3CE6C"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3.271</w:t>
            </w:r>
          </w:p>
        </w:tc>
        <w:tc>
          <w:tcPr>
            <w:tcW w:w="727" w:type="dxa"/>
            <w:noWrap/>
            <w:vAlign w:val="bottom"/>
            <w:hideMark/>
          </w:tcPr>
          <w:p w14:paraId="1A42F5A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0.921</w:t>
            </w:r>
          </w:p>
        </w:tc>
        <w:tc>
          <w:tcPr>
            <w:tcW w:w="881" w:type="dxa"/>
            <w:noWrap/>
            <w:vAlign w:val="bottom"/>
            <w:hideMark/>
          </w:tcPr>
          <w:p w14:paraId="15D5E6A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0.579</w:t>
            </w:r>
          </w:p>
        </w:tc>
        <w:tc>
          <w:tcPr>
            <w:tcW w:w="1254" w:type="dxa"/>
            <w:vMerge/>
            <w:tcBorders>
              <w:top w:val="single" w:sz="4" w:space="0" w:color="auto"/>
              <w:left w:val="nil"/>
              <w:bottom w:val="single" w:sz="4" w:space="0" w:color="auto"/>
              <w:right w:val="nil"/>
            </w:tcBorders>
            <w:vAlign w:val="center"/>
            <w:hideMark/>
          </w:tcPr>
          <w:p w14:paraId="49FE3AE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3925BC0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77AA4C4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5B3D186F"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5FCB1613" w14:textId="77777777" w:rsidTr="000E48F1">
        <w:trPr>
          <w:trHeight w:val="300"/>
        </w:trPr>
        <w:tc>
          <w:tcPr>
            <w:tcW w:w="682" w:type="dxa"/>
            <w:tcBorders>
              <w:top w:val="nil"/>
              <w:left w:val="nil"/>
              <w:bottom w:val="single" w:sz="4" w:space="0" w:color="auto"/>
              <w:right w:val="nil"/>
            </w:tcBorders>
            <w:noWrap/>
            <w:vAlign w:val="bottom"/>
            <w:hideMark/>
          </w:tcPr>
          <w:p w14:paraId="7A3488B0"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TA7</w:t>
            </w:r>
          </w:p>
        </w:tc>
        <w:tc>
          <w:tcPr>
            <w:tcW w:w="562" w:type="dxa"/>
            <w:tcBorders>
              <w:top w:val="nil"/>
              <w:left w:val="nil"/>
              <w:bottom w:val="single" w:sz="4" w:space="0" w:color="auto"/>
              <w:right w:val="nil"/>
            </w:tcBorders>
            <w:noWrap/>
            <w:vAlign w:val="bottom"/>
            <w:hideMark/>
          </w:tcPr>
          <w:p w14:paraId="4C6CB269"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nil"/>
              <w:left w:val="nil"/>
              <w:bottom w:val="single" w:sz="4" w:space="0" w:color="auto"/>
              <w:right w:val="nil"/>
            </w:tcBorders>
            <w:noWrap/>
            <w:vAlign w:val="bottom"/>
            <w:hideMark/>
          </w:tcPr>
          <w:p w14:paraId="01054455"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3.216</w:t>
            </w:r>
          </w:p>
        </w:tc>
        <w:tc>
          <w:tcPr>
            <w:tcW w:w="727" w:type="dxa"/>
            <w:tcBorders>
              <w:top w:val="nil"/>
              <w:left w:val="nil"/>
              <w:bottom w:val="single" w:sz="4" w:space="0" w:color="auto"/>
              <w:right w:val="nil"/>
            </w:tcBorders>
            <w:noWrap/>
            <w:vAlign w:val="bottom"/>
            <w:hideMark/>
          </w:tcPr>
          <w:p w14:paraId="421B30B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1.038</w:t>
            </w:r>
          </w:p>
        </w:tc>
        <w:tc>
          <w:tcPr>
            <w:tcW w:w="881" w:type="dxa"/>
            <w:tcBorders>
              <w:top w:val="nil"/>
              <w:left w:val="nil"/>
              <w:bottom w:val="single" w:sz="4" w:space="0" w:color="auto"/>
              <w:right w:val="nil"/>
            </w:tcBorders>
            <w:noWrap/>
            <w:vAlign w:val="bottom"/>
            <w:hideMark/>
          </w:tcPr>
          <w:p w14:paraId="2828D365"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0.674</w:t>
            </w:r>
          </w:p>
        </w:tc>
        <w:tc>
          <w:tcPr>
            <w:tcW w:w="1254" w:type="dxa"/>
            <w:vMerge/>
            <w:tcBorders>
              <w:top w:val="single" w:sz="4" w:space="0" w:color="auto"/>
              <w:left w:val="nil"/>
              <w:bottom w:val="single" w:sz="4" w:space="0" w:color="auto"/>
              <w:right w:val="nil"/>
            </w:tcBorders>
            <w:vAlign w:val="center"/>
            <w:hideMark/>
          </w:tcPr>
          <w:p w14:paraId="414292BF"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3204870C"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72BDB32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bottom w:val="single" w:sz="4" w:space="0" w:color="auto"/>
              <w:right w:val="nil"/>
            </w:tcBorders>
          </w:tcPr>
          <w:p w14:paraId="728E7FD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0526461E" w14:textId="77777777" w:rsidTr="000E48F1">
        <w:trPr>
          <w:trHeight w:val="300"/>
        </w:trPr>
        <w:tc>
          <w:tcPr>
            <w:tcW w:w="682" w:type="dxa"/>
            <w:tcBorders>
              <w:top w:val="single" w:sz="4" w:space="0" w:color="auto"/>
              <w:left w:val="nil"/>
              <w:bottom w:val="nil"/>
              <w:right w:val="nil"/>
            </w:tcBorders>
            <w:noWrap/>
            <w:vAlign w:val="bottom"/>
            <w:hideMark/>
          </w:tcPr>
          <w:p w14:paraId="0D1AAEF2"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CA1</w:t>
            </w:r>
          </w:p>
        </w:tc>
        <w:tc>
          <w:tcPr>
            <w:tcW w:w="562" w:type="dxa"/>
            <w:tcBorders>
              <w:top w:val="single" w:sz="4" w:space="0" w:color="auto"/>
              <w:left w:val="nil"/>
              <w:bottom w:val="nil"/>
              <w:right w:val="nil"/>
            </w:tcBorders>
            <w:noWrap/>
            <w:vAlign w:val="bottom"/>
            <w:hideMark/>
          </w:tcPr>
          <w:p w14:paraId="53B63DCC"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single" w:sz="4" w:space="0" w:color="auto"/>
              <w:left w:val="nil"/>
              <w:bottom w:val="nil"/>
              <w:right w:val="nil"/>
            </w:tcBorders>
            <w:noWrap/>
            <w:vAlign w:val="bottom"/>
            <w:hideMark/>
          </w:tcPr>
          <w:p w14:paraId="116DAAA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3.149</w:t>
            </w:r>
          </w:p>
        </w:tc>
        <w:tc>
          <w:tcPr>
            <w:tcW w:w="727" w:type="dxa"/>
            <w:tcBorders>
              <w:top w:val="single" w:sz="4" w:space="0" w:color="auto"/>
              <w:left w:val="nil"/>
              <w:bottom w:val="nil"/>
              <w:right w:val="nil"/>
            </w:tcBorders>
            <w:noWrap/>
            <w:vAlign w:val="bottom"/>
            <w:hideMark/>
          </w:tcPr>
          <w:p w14:paraId="37399A72"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1.054</w:t>
            </w:r>
          </w:p>
        </w:tc>
        <w:tc>
          <w:tcPr>
            <w:tcW w:w="881" w:type="dxa"/>
            <w:tcBorders>
              <w:top w:val="single" w:sz="4" w:space="0" w:color="auto"/>
              <w:left w:val="nil"/>
              <w:bottom w:val="nil"/>
              <w:right w:val="nil"/>
            </w:tcBorders>
            <w:noWrap/>
            <w:vAlign w:val="bottom"/>
            <w:hideMark/>
          </w:tcPr>
          <w:p w14:paraId="37E6DAF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0.703</w:t>
            </w:r>
          </w:p>
        </w:tc>
        <w:tc>
          <w:tcPr>
            <w:tcW w:w="1254" w:type="dxa"/>
            <w:vMerge w:val="restart"/>
            <w:tcBorders>
              <w:top w:val="single" w:sz="4" w:space="0" w:color="auto"/>
              <w:left w:val="nil"/>
              <w:bottom w:val="single" w:sz="4" w:space="0" w:color="auto"/>
              <w:right w:val="nil"/>
            </w:tcBorders>
            <w:noWrap/>
            <w:vAlign w:val="center"/>
            <w:hideMark/>
          </w:tcPr>
          <w:p w14:paraId="2E6AD72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0.962</w:t>
            </w:r>
          </w:p>
        </w:tc>
        <w:tc>
          <w:tcPr>
            <w:tcW w:w="1174" w:type="dxa"/>
            <w:vMerge w:val="restart"/>
            <w:tcBorders>
              <w:top w:val="single" w:sz="4" w:space="0" w:color="auto"/>
              <w:left w:val="nil"/>
              <w:bottom w:val="single" w:sz="4" w:space="0" w:color="auto"/>
              <w:right w:val="nil"/>
            </w:tcBorders>
            <w:noWrap/>
            <w:vAlign w:val="center"/>
            <w:hideMark/>
          </w:tcPr>
          <w:p w14:paraId="53CCA71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0.683</w:t>
            </w:r>
          </w:p>
        </w:tc>
        <w:tc>
          <w:tcPr>
            <w:tcW w:w="722" w:type="dxa"/>
            <w:vMerge w:val="restart"/>
            <w:tcBorders>
              <w:top w:val="single" w:sz="4" w:space="0" w:color="auto"/>
              <w:left w:val="nil"/>
              <w:bottom w:val="single" w:sz="4" w:space="0" w:color="auto"/>
              <w:right w:val="nil"/>
            </w:tcBorders>
            <w:noWrap/>
            <w:vAlign w:val="center"/>
            <w:hideMark/>
          </w:tcPr>
          <w:p w14:paraId="6D3318D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0.962</w:t>
            </w:r>
          </w:p>
        </w:tc>
        <w:tc>
          <w:tcPr>
            <w:tcW w:w="858" w:type="dxa"/>
            <w:vMerge w:val="restart"/>
            <w:tcBorders>
              <w:top w:val="single" w:sz="4" w:space="0" w:color="auto"/>
              <w:left w:val="nil"/>
              <w:right w:val="nil"/>
            </w:tcBorders>
            <w:vAlign w:val="center"/>
          </w:tcPr>
          <w:p w14:paraId="5C4CB0C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0.981</w:t>
            </w:r>
          </w:p>
        </w:tc>
      </w:tr>
      <w:tr w:rsidR="00EE5EE9" w:rsidRPr="00597FFB" w14:paraId="579A77BB" w14:textId="77777777" w:rsidTr="000E48F1">
        <w:trPr>
          <w:trHeight w:val="300"/>
        </w:trPr>
        <w:tc>
          <w:tcPr>
            <w:tcW w:w="682" w:type="dxa"/>
            <w:noWrap/>
            <w:vAlign w:val="bottom"/>
            <w:hideMark/>
          </w:tcPr>
          <w:p w14:paraId="285CAA7E"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CA2</w:t>
            </w:r>
          </w:p>
        </w:tc>
        <w:tc>
          <w:tcPr>
            <w:tcW w:w="562" w:type="dxa"/>
            <w:noWrap/>
            <w:vAlign w:val="bottom"/>
            <w:hideMark/>
          </w:tcPr>
          <w:p w14:paraId="0605631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504</w:t>
            </w:r>
          </w:p>
        </w:tc>
        <w:tc>
          <w:tcPr>
            <w:tcW w:w="729" w:type="dxa"/>
            <w:noWrap/>
            <w:vAlign w:val="bottom"/>
            <w:hideMark/>
          </w:tcPr>
          <w:p w14:paraId="17B72F7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3.228</w:t>
            </w:r>
          </w:p>
        </w:tc>
        <w:tc>
          <w:tcPr>
            <w:tcW w:w="727" w:type="dxa"/>
            <w:noWrap/>
            <w:vAlign w:val="bottom"/>
            <w:hideMark/>
          </w:tcPr>
          <w:p w14:paraId="69A5A8D9"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0.884</w:t>
            </w:r>
          </w:p>
        </w:tc>
        <w:tc>
          <w:tcPr>
            <w:tcW w:w="881" w:type="dxa"/>
            <w:noWrap/>
            <w:vAlign w:val="bottom"/>
            <w:hideMark/>
          </w:tcPr>
          <w:p w14:paraId="134B6FE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0.576</w:t>
            </w:r>
          </w:p>
        </w:tc>
        <w:tc>
          <w:tcPr>
            <w:tcW w:w="1254" w:type="dxa"/>
            <w:vMerge/>
            <w:tcBorders>
              <w:top w:val="single" w:sz="4" w:space="0" w:color="auto"/>
              <w:left w:val="nil"/>
              <w:bottom w:val="single" w:sz="4" w:space="0" w:color="auto"/>
              <w:right w:val="nil"/>
            </w:tcBorders>
            <w:vAlign w:val="center"/>
            <w:hideMark/>
          </w:tcPr>
          <w:p w14:paraId="50103640"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8FE067A"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644B25E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1F9CF8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098B7179" w14:textId="77777777" w:rsidTr="000E48F1">
        <w:trPr>
          <w:trHeight w:val="300"/>
        </w:trPr>
        <w:tc>
          <w:tcPr>
            <w:tcW w:w="682" w:type="dxa"/>
            <w:noWrap/>
            <w:vAlign w:val="bottom"/>
            <w:hideMark/>
          </w:tcPr>
          <w:p w14:paraId="5BF0220A"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CA3</w:t>
            </w:r>
          </w:p>
        </w:tc>
        <w:tc>
          <w:tcPr>
            <w:tcW w:w="562" w:type="dxa"/>
            <w:noWrap/>
            <w:vAlign w:val="bottom"/>
            <w:hideMark/>
          </w:tcPr>
          <w:p w14:paraId="2656C30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6985DFBA"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3.238</w:t>
            </w:r>
          </w:p>
        </w:tc>
        <w:tc>
          <w:tcPr>
            <w:tcW w:w="727" w:type="dxa"/>
            <w:noWrap/>
            <w:vAlign w:val="bottom"/>
            <w:hideMark/>
          </w:tcPr>
          <w:p w14:paraId="4FE4D52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0.927</w:t>
            </w:r>
          </w:p>
        </w:tc>
        <w:tc>
          <w:tcPr>
            <w:tcW w:w="881" w:type="dxa"/>
            <w:noWrap/>
            <w:vAlign w:val="bottom"/>
            <w:hideMark/>
          </w:tcPr>
          <w:p w14:paraId="18D16F2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0.598</w:t>
            </w:r>
          </w:p>
        </w:tc>
        <w:tc>
          <w:tcPr>
            <w:tcW w:w="1254" w:type="dxa"/>
            <w:vMerge/>
            <w:tcBorders>
              <w:top w:val="single" w:sz="4" w:space="0" w:color="auto"/>
              <w:left w:val="nil"/>
              <w:bottom w:val="single" w:sz="4" w:space="0" w:color="auto"/>
              <w:right w:val="nil"/>
            </w:tcBorders>
            <w:vAlign w:val="center"/>
            <w:hideMark/>
          </w:tcPr>
          <w:p w14:paraId="35A1803C"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0FC1549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06D5FF3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5AABBD5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718D37AA" w14:textId="77777777" w:rsidTr="000E48F1">
        <w:trPr>
          <w:trHeight w:val="300"/>
        </w:trPr>
        <w:tc>
          <w:tcPr>
            <w:tcW w:w="682" w:type="dxa"/>
            <w:noWrap/>
            <w:vAlign w:val="bottom"/>
            <w:hideMark/>
          </w:tcPr>
          <w:p w14:paraId="458CF1A5"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CA4</w:t>
            </w:r>
          </w:p>
        </w:tc>
        <w:tc>
          <w:tcPr>
            <w:tcW w:w="562" w:type="dxa"/>
            <w:noWrap/>
            <w:vAlign w:val="bottom"/>
            <w:hideMark/>
          </w:tcPr>
          <w:p w14:paraId="4B1F13B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024540D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3.311</w:t>
            </w:r>
          </w:p>
        </w:tc>
        <w:tc>
          <w:tcPr>
            <w:tcW w:w="727" w:type="dxa"/>
            <w:noWrap/>
            <w:vAlign w:val="bottom"/>
            <w:hideMark/>
          </w:tcPr>
          <w:p w14:paraId="35D4F8E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0.924</w:t>
            </w:r>
          </w:p>
        </w:tc>
        <w:tc>
          <w:tcPr>
            <w:tcW w:w="881" w:type="dxa"/>
            <w:noWrap/>
            <w:vAlign w:val="bottom"/>
            <w:hideMark/>
          </w:tcPr>
          <w:p w14:paraId="465E9C3A"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0.662</w:t>
            </w:r>
          </w:p>
        </w:tc>
        <w:tc>
          <w:tcPr>
            <w:tcW w:w="1254" w:type="dxa"/>
            <w:vMerge/>
            <w:tcBorders>
              <w:top w:val="single" w:sz="4" w:space="0" w:color="auto"/>
              <w:left w:val="nil"/>
              <w:bottom w:val="single" w:sz="4" w:space="0" w:color="auto"/>
              <w:right w:val="nil"/>
            </w:tcBorders>
            <w:vAlign w:val="center"/>
            <w:hideMark/>
          </w:tcPr>
          <w:p w14:paraId="369C3EC7"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23212CBD"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4ABE1D5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7A783B70"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49BF7E22" w14:textId="77777777" w:rsidTr="000E48F1">
        <w:trPr>
          <w:trHeight w:val="300"/>
        </w:trPr>
        <w:tc>
          <w:tcPr>
            <w:tcW w:w="682" w:type="dxa"/>
            <w:noWrap/>
            <w:vAlign w:val="bottom"/>
            <w:hideMark/>
          </w:tcPr>
          <w:p w14:paraId="519D57E3"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CA5</w:t>
            </w:r>
          </w:p>
        </w:tc>
        <w:tc>
          <w:tcPr>
            <w:tcW w:w="562" w:type="dxa"/>
            <w:noWrap/>
            <w:vAlign w:val="bottom"/>
            <w:hideMark/>
          </w:tcPr>
          <w:p w14:paraId="1C41854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18A36252"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3.374</w:t>
            </w:r>
          </w:p>
        </w:tc>
        <w:tc>
          <w:tcPr>
            <w:tcW w:w="727" w:type="dxa"/>
            <w:noWrap/>
            <w:vAlign w:val="bottom"/>
            <w:hideMark/>
          </w:tcPr>
          <w:p w14:paraId="4EFF8F9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0.968</w:t>
            </w:r>
          </w:p>
        </w:tc>
        <w:tc>
          <w:tcPr>
            <w:tcW w:w="881" w:type="dxa"/>
            <w:noWrap/>
            <w:vAlign w:val="bottom"/>
            <w:hideMark/>
          </w:tcPr>
          <w:p w14:paraId="3D35AA9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0.754</w:t>
            </w:r>
          </w:p>
        </w:tc>
        <w:tc>
          <w:tcPr>
            <w:tcW w:w="1254" w:type="dxa"/>
            <w:vMerge/>
            <w:tcBorders>
              <w:top w:val="single" w:sz="4" w:space="0" w:color="auto"/>
              <w:left w:val="nil"/>
              <w:bottom w:val="single" w:sz="4" w:space="0" w:color="auto"/>
              <w:right w:val="nil"/>
            </w:tcBorders>
            <w:vAlign w:val="center"/>
            <w:hideMark/>
          </w:tcPr>
          <w:p w14:paraId="4EDD546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BFC5B40"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3B455994"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6E8A4680"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5EDF5EA2" w14:textId="77777777" w:rsidTr="000E48F1">
        <w:trPr>
          <w:trHeight w:val="300"/>
        </w:trPr>
        <w:tc>
          <w:tcPr>
            <w:tcW w:w="682" w:type="dxa"/>
            <w:noWrap/>
            <w:vAlign w:val="bottom"/>
            <w:hideMark/>
          </w:tcPr>
          <w:p w14:paraId="5256ABE7"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CA6</w:t>
            </w:r>
          </w:p>
        </w:tc>
        <w:tc>
          <w:tcPr>
            <w:tcW w:w="562" w:type="dxa"/>
            <w:noWrap/>
            <w:vAlign w:val="bottom"/>
            <w:hideMark/>
          </w:tcPr>
          <w:p w14:paraId="620D96A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3E5A824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3.412</w:t>
            </w:r>
          </w:p>
        </w:tc>
        <w:tc>
          <w:tcPr>
            <w:tcW w:w="727" w:type="dxa"/>
            <w:noWrap/>
            <w:vAlign w:val="bottom"/>
            <w:hideMark/>
          </w:tcPr>
          <w:p w14:paraId="3144BB4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0.920</w:t>
            </w:r>
          </w:p>
        </w:tc>
        <w:tc>
          <w:tcPr>
            <w:tcW w:w="881" w:type="dxa"/>
            <w:noWrap/>
            <w:vAlign w:val="bottom"/>
            <w:hideMark/>
          </w:tcPr>
          <w:p w14:paraId="34D26D30"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0.740</w:t>
            </w:r>
          </w:p>
        </w:tc>
        <w:tc>
          <w:tcPr>
            <w:tcW w:w="1254" w:type="dxa"/>
            <w:vMerge/>
            <w:tcBorders>
              <w:top w:val="single" w:sz="4" w:space="0" w:color="auto"/>
              <w:left w:val="nil"/>
              <w:bottom w:val="single" w:sz="4" w:space="0" w:color="auto"/>
              <w:right w:val="nil"/>
            </w:tcBorders>
            <w:vAlign w:val="center"/>
            <w:hideMark/>
          </w:tcPr>
          <w:p w14:paraId="07B399B7"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01CBBB4"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3959A10A"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E83BC6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2CFCB36E" w14:textId="77777777" w:rsidTr="000E48F1">
        <w:trPr>
          <w:trHeight w:val="300"/>
        </w:trPr>
        <w:tc>
          <w:tcPr>
            <w:tcW w:w="682" w:type="dxa"/>
            <w:noWrap/>
            <w:vAlign w:val="bottom"/>
            <w:hideMark/>
          </w:tcPr>
          <w:p w14:paraId="3A3E54ED"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CA7</w:t>
            </w:r>
          </w:p>
        </w:tc>
        <w:tc>
          <w:tcPr>
            <w:tcW w:w="562" w:type="dxa"/>
            <w:noWrap/>
            <w:vAlign w:val="bottom"/>
            <w:hideMark/>
          </w:tcPr>
          <w:p w14:paraId="044CED6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163C521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3.446</w:t>
            </w:r>
          </w:p>
        </w:tc>
        <w:tc>
          <w:tcPr>
            <w:tcW w:w="727" w:type="dxa"/>
            <w:noWrap/>
            <w:vAlign w:val="bottom"/>
            <w:hideMark/>
          </w:tcPr>
          <w:p w14:paraId="23256B9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0.912</w:t>
            </w:r>
          </w:p>
        </w:tc>
        <w:tc>
          <w:tcPr>
            <w:tcW w:w="881" w:type="dxa"/>
            <w:noWrap/>
            <w:vAlign w:val="bottom"/>
            <w:hideMark/>
          </w:tcPr>
          <w:p w14:paraId="6D9D144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0.705</w:t>
            </w:r>
          </w:p>
        </w:tc>
        <w:tc>
          <w:tcPr>
            <w:tcW w:w="1254" w:type="dxa"/>
            <w:vMerge/>
            <w:tcBorders>
              <w:top w:val="single" w:sz="4" w:space="0" w:color="auto"/>
              <w:left w:val="nil"/>
              <w:bottom w:val="single" w:sz="4" w:space="0" w:color="auto"/>
              <w:right w:val="nil"/>
            </w:tcBorders>
            <w:vAlign w:val="center"/>
            <w:hideMark/>
          </w:tcPr>
          <w:p w14:paraId="3E210B18"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4B35CE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3FFEF05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2561F54"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76E2EF16" w14:textId="77777777" w:rsidTr="000E48F1">
        <w:trPr>
          <w:trHeight w:val="300"/>
        </w:trPr>
        <w:tc>
          <w:tcPr>
            <w:tcW w:w="682" w:type="dxa"/>
            <w:noWrap/>
            <w:vAlign w:val="bottom"/>
            <w:hideMark/>
          </w:tcPr>
          <w:p w14:paraId="757C5B99"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CA8</w:t>
            </w:r>
          </w:p>
        </w:tc>
        <w:tc>
          <w:tcPr>
            <w:tcW w:w="562" w:type="dxa"/>
            <w:noWrap/>
            <w:vAlign w:val="bottom"/>
            <w:hideMark/>
          </w:tcPr>
          <w:p w14:paraId="3ED2F83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3E8924B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3.489</w:t>
            </w:r>
          </w:p>
        </w:tc>
        <w:tc>
          <w:tcPr>
            <w:tcW w:w="727" w:type="dxa"/>
            <w:noWrap/>
            <w:vAlign w:val="bottom"/>
            <w:hideMark/>
          </w:tcPr>
          <w:p w14:paraId="2E52F01A"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0.941</w:t>
            </w:r>
          </w:p>
        </w:tc>
        <w:tc>
          <w:tcPr>
            <w:tcW w:w="881" w:type="dxa"/>
            <w:noWrap/>
            <w:vAlign w:val="bottom"/>
            <w:hideMark/>
          </w:tcPr>
          <w:p w14:paraId="3ED1EAF0"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0.553</w:t>
            </w:r>
          </w:p>
        </w:tc>
        <w:tc>
          <w:tcPr>
            <w:tcW w:w="1254" w:type="dxa"/>
            <w:vMerge/>
            <w:tcBorders>
              <w:top w:val="single" w:sz="4" w:space="0" w:color="auto"/>
              <w:left w:val="nil"/>
              <w:bottom w:val="single" w:sz="4" w:space="0" w:color="auto"/>
              <w:right w:val="nil"/>
            </w:tcBorders>
            <w:vAlign w:val="center"/>
            <w:hideMark/>
          </w:tcPr>
          <w:p w14:paraId="162EDCB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ED55489"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7918C443"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462E3CE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730A7147" w14:textId="77777777" w:rsidTr="000E48F1">
        <w:trPr>
          <w:trHeight w:val="300"/>
        </w:trPr>
        <w:tc>
          <w:tcPr>
            <w:tcW w:w="682" w:type="dxa"/>
            <w:noWrap/>
            <w:vAlign w:val="bottom"/>
            <w:hideMark/>
          </w:tcPr>
          <w:p w14:paraId="7AFB0D49"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CA9</w:t>
            </w:r>
          </w:p>
        </w:tc>
        <w:tc>
          <w:tcPr>
            <w:tcW w:w="562" w:type="dxa"/>
            <w:noWrap/>
            <w:vAlign w:val="bottom"/>
            <w:hideMark/>
          </w:tcPr>
          <w:p w14:paraId="0C3991C0"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1799195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3.452</w:t>
            </w:r>
          </w:p>
        </w:tc>
        <w:tc>
          <w:tcPr>
            <w:tcW w:w="727" w:type="dxa"/>
            <w:noWrap/>
            <w:vAlign w:val="bottom"/>
            <w:hideMark/>
          </w:tcPr>
          <w:p w14:paraId="676DE6FC"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0.967</w:t>
            </w:r>
          </w:p>
        </w:tc>
        <w:tc>
          <w:tcPr>
            <w:tcW w:w="881" w:type="dxa"/>
            <w:noWrap/>
            <w:vAlign w:val="bottom"/>
            <w:hideMark/>
          </w:tcPr>
          <w:p w14:paraId="7E433D3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0.627</w:t>
            </w:r>
          </w:p>
        </w:tc>
        <w:tc>
          <w:tcPr>
            <w:tcW w:w="1254" w:type="dxa"/>
            <w:vMerge/>
            <w:tcBorders>
              <w:top w:val="single" w:sz="4" w:space="0" w:color="auto"/>
              <w:left w:val="nil"/>
              <w:bottom w:val="single" w:sz="4" w:space="0" w:color="auto"/>
              <w:right w:val="nil"/>
            </w:tcBorders>
            <w:vAlign w:val="center"/>
            <w:hideMark/>
          </w:tcPr>
          <w:p w14:paraId="749067D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62ED269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3EEDFCDE"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4B0AA937"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77EBAC30" w14:textId="77777777" w:rsidTr="000E48F1">
        <w:trPr>
          <w:trHeight w:val="300"/>
        </w:trPr>
        <w:tc>
          <w:tcPr>
            <w:tcW w:w="682" w:type="dxa"/>
            <w:noWrap/>
            <w:vAlign w:val="bottom"/>
            <w:hideMark/>
          </w:tcPr>
          <w:p w14:paraId="72A8A9E0"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CA10</w:t>
            </w:r>
          </w:p>
        </w:tc>
        <w:tc>
          <w:tcPr>
            <w:tcW w:w="562" w:type="dxa"/>
            <w:noWrap/>
            <w:vAlign w:val="bottom"/>
            <w:hideMark/>
          </w:tcPr>
          <w:p w14:paraId="4B89E49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04137C8E"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3.436</w:t>
            </w:r>
          </w:p>
        </w:tc>
        <w:tc>
          <w:tcPr>
            <w:tcW w:w="727" w:type="dxa"/>
            <w:noWrap/>
            <w:vAlign w:val="bottom"/>
            <w:hideMark/>
          </w:tcPr>
          <w:p w14:paraId="7A9E052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0.941</w:t>
            </w:r>
          </w:p>
        </w:tc>
        <w:tc>
          <w:tcPr>
            <w:tcW w:w="881" w:type="dxa"/>
            <w:noWrap/>
            <w:vAlign w:val="bottom"/>
            <w:hideMark/>
          </w:tcPr>
          <w:p w14:paraId="1B39E5B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0.755</w:t>
            </w:r>
          </w:p>
        </w:tc>
        <w:tc>
          <w:tcPr>
            <w:tcW w:w="1254" w:type="dxa"/>
            <w:vMerge/>
            <w:tcBorders>
              <w:top w:val="single" w:sz="4" w:space="0" w:color="auto"/>
              <w:left w:val="nil"/>
              <w:bottom w:val="single" w:sz="4" w:space="0" w:color="auto"/>
              <w:right w:val="nil"/>
            </w:tcBorders>
            <w:vAlign w:val="center"/>
            <w:hideMark/>
          </w:tcPr>
          <w:p w14:paraId="172E913F"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7086E9B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02C0E46E"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D08066F"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70C28D2D" w14:textId="77777777" w:rsidTr="000E48F1">
        <w:trPr>
          <w:trHeight w:val="300"/>
        </w:trPr>
        <w:tc>
          <w:tcPr>
            <w:tcW w:w="682" w:type="dxa"/>
            <w:noWrap/>
            <w:vAlign w:val="bottom"/>
            <w:hideMark/>
          </w:tcPr>
          <w:p w14:paraId="27399271"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CA11</w:t>
            </w:r>
          </w:p>
        </w:tc>
        <w:tc>
          <w:tcPr>
            <w:tcW w:w="562" w:type="dxa"/>
            <w:noWrap/>
            <w:vAlign w:val="bottom"/>
            <w:hideMark/>
          </w:tcPr>
          <w:p w14:paraId="66B3CD3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1AD3D055"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3.392</w:t>
            </w:r>
          </w:p>
        </w:tc>
        <w:tc>
          <w:tcPr>
            <w:tcW w:w="727" w:type="dxa"/>
            <w:noWrap/>
            <w:vAlign w:val="bottom"/>
            <w:hideMark/>
          </w:tcPr>
          <w:p w14:paraId="4AEC063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0.984</w:t>
            </w:r>
          </w:p>
        </w:tc>
        <w:tc>
          <w:tcPr>
            <w:tcW w:w="881" w:type="dxa"/>
            <w:noWrap/>
            <w:vAlign w:val="bottom"/>
            <w:hideMark/>
          </w:tcPr>
          <w:p w14:paraId="5BB6AAA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0.780</w:t>
            </w:r>
          </w:p>
        </w:tc>
        <w:tc>
          <w:tcPr>
            <w:tcW w:w="1254" w:type="dxa"/>
            <w:vMerge/>
            <w:tcBorders>
              <w:top w:val="single" w:sz="4" w:space="0" w:color="auto"/>
              <w:left w:val="nil"/>
              <w:bottom w:val="single" w:sz="4" w:space="0" w:color="auto"/>
              <w:right w:val="nil"/>
            </w:tcBorders>
            <w:vAlign w:val="center"/>
            <w:hideMark/>
          </w:tcPr>
          <w:p w14:paraId="09BD46CC"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3D51C532"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0506D4C7"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721D7FF3"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213E0E76" w14:textId="77777777" w:rsidTr="000E48F1">
        <w:trPr>
          <w:trHeight w:val="287"/>
        </w:trPr>
        <w:tc>
          <w:tcPr>
            <w:tcW w:w="682" w:type="dxa"/>
            <w:tcBorders>
              <w:top w:val="nil"/>
              <w:left w:val="nil"/>
              <w:bottom w:val="single" w:sz="4" w:space="0" w:color="auto"/>
              <w:right w:val="nil"/>
            </w:tcBorders>
            <w:noWrap/>
            <w:vAlign w:val="bottom"/>
            <w:hideMark/>
          </w:tcPr>
          <w:p w14:paraId="72AEF9F2"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CA12</w:t>
            </w:r>
          </w:p>
        </w:tc>
        <w:tc>
          <w:tcPr>
            <w:tcW w:w="562" w:type="dxa"/>
            <w:tcBorders>
              <w:top w:val="nil"/>
              <w:left w:val="nil"/>
              <w:bottom w:val="single" w:sz="4" w:space="0" w:color="auto"/>
              <w:right w:val="nil"/>
            </w:tcBorders>
            <w:noWrap/>
            <w:vAlign w:val="bottom"/>
            <w:hideMark/>
          </w:tcPr>
          <w:p w14:paraId="3DB7A9D5"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nil"/>
              <w:left w:val="nil"/>
              <w:bottom w:val="single" w:sz="4" w:space="0" w:color="auto"/>
              <w:right w:val="nil"/>
            </w:tcBorders>
            <w:noWrap/>
            <w:vAlign w:val="bottom"/>
            <w:hideMark/>
          </w:tcPr>
          <w:p w14:paraId="49FB200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3.337</w:t>
            </w:r>
          </w:p>
        </w:tc>
        <w:tc>
          <w:tcPr>
            <w:tcW w:w="727" w:type="dxa"/>
            <w:tcBorders>
              <w:top w:val="nil"/>
              <w:left w:val="nil"/>
              <w:bottom w:val="single" w:sz="4" w:space="0" w:color="auto"/>
              <w:right w:val="nil"/>
            </w:tcBorders>
            <w:noWrap/>
            <w:vAlign w:val="bottom"/>
            <w:hideMark/>
          </w:tcPr>
          <w:p w14:paraId="4208899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0.975</w:t>
            </w:r>
          </w:p>
        </w:tc>
        <w:tc>
          <w:tcPr>
            <w:tcW w:w="881" w:type="dxa"/>
            <w:tcBorders>
              <w:top w:val="nil"/>
              <w:left w:val="nil"/>
              <w:bottom w:val="single" w:sz="4" w:space="0" w:color="auto"/>
              <w:right w:val="nil"/>
            </w:tcBorders>
            <w:noWrap/>
            <w:vAlign w:val="bottom"/>
            <w:hideMark/>
          </w:tcPr>
          <w:p w14:paraId="5C93C9B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0.748</w:t>
            </w:r>
          </w:p>
        </w:tc>
        <w:tc>
          <w:tcPr>
            <w:tcW w:w="1254" w:type="dxa"/>
            <w:vMerge/>
            <w:tcBorders>
              <w:top w:val="single" w:sz="4" w:space="0" w:color="auto"/>
              <w:left w:val="nil"/>
              <w:bottom w:val="single" w:sz="4" w:space="0" w:color="auto"/>
              <w:right w:val="nil"/>
            </w:tcBorders>
            <w:vAlign w:val="center"/>
            <w:hideMark/>
          </w:tcPr>
          <w:p w14:paraId="2CAE331F"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31EBE43C"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419F9F93"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bottom w:val="single" w:sz="4" w:space="0" w:color="auto"/>
              <w:right w:val="nil"/>
            </w:tcBorders>
          </w:tcPr>
          <w:p w14:paraId="23B992B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64E4C5BC" w14:textId="77777777" w:rsidTr="000E48F1">
        <w:trPr>
          <w:trHeight w:val="300"/>
        </w:trPr>
        <w:tc>
          <w:tcPr>
            <w:tcW w:w="682" w:type="dxa"/>
            <w:tcBorders>
              <w:top w:val="single" w:sz="4" w:space="0" w:color="auto"/>
              <w:left w:val="nil"/>
              <w:bottom w:val="nil"/>
              <w:right w:val="nil"/>
            </w:tcBorders>
            <w:noWrap/>
            <w:vAlign w:val="bottom"/>
            <w:hideMark/>
          </w:tcPr>
          <w:p w14:paraId="64BD7D23"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PM1</w:t>
            </w:r>
          </w:p>
        </w:tc>
        <w:tc>
          <w:tcPr>
            <w:tcW w:w="562" w:type="dxa"/>
            <w:tcBorders>
              <w:top w:val="single" w:sz="4" w:space="0" w:color="auto"/>
              <w:left w:val="nil"/>
              <w:bottom w:val="nil"/>
              <w:right w:val="nil"/>
            </w:tcBorders>
            <w:noWrap/>
            <w:vAlign w:val="bottom"/>
            <w:hideMark/>
          </w:tcPr>
          <w:p w14:paraId="5476915D"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single" w:sz="4" w:space="0" w:color="auto"/>
              <w:left w:val="nil"/>
              <w:bottom w:val="nil"/>
              <w:right w:val="nil"/>
            </w:tcBorders>
            <w:noWrap/>
            <w:vAlign w:val="bottom"/>
            <w:hideMark/>
          </w:tcPr>
          <w:p w14:paraId="63B37AF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3.366</w:t>
            </w:r>
          </w:p>
        </w:tc>
        <w:tc>
          <w:tcPr>
            <w:tcW w:w="727" w:type="dxa"/>
            <w:tcBorders>
              <w:top w:val="single" w:sz="4" w:space="0" w:color="auto"/>
              <w:left w:val="nil"/>
              <w:bottom w:val="nil"/>
              <w:right w:val="nil"/>
            </w:tcBorders>
            <w:noWrap/>
            <w:vAlign w:val="bottom"/>
            <w:hideMark/>
          </w:tcPr>
          <w:p w14:paraId="7781624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0.946</w:t>
            </w:r>
          </w:p>
        </w:tc>
        <w:tc>
          <w:tcPr>
            <w:tcW w:w="881" w:type="dxa"/>
            <w:tcBorders>
              <w:top w:val="single" w:sz="4" w:space="0" w:color="auto"/>
              <w:left w:val="nil"/>
              <w:bottom w:val="nil"/>
              <w:right w:val="nil"/>
            </w:tcBorders>
            <w:noWrap/>
            <w:vAlign w:val="bottom"/>
            <w:hideMark/>
          </w:tcPr>
          <w:p w14:paraId="39A4CE2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0.810</w:t>
            </w:r>
          </w:p>
        </w:tc>
        <w:tc>
          <w:tcPr>
            <w:tcW w:w="1254" w:type="dxa"/>
            <w:vMerge w:val="restart"/>
            <w:tcBorders>
              <w:top w:val="single" w:sz="4" w:space="0" w:color="auto"/>
              <w:left w:val="nil"/>
              <w:bottom w:val="single" w:sz="4" w:space="0" w:color="auto"/>
              <w:right w:val="nil"/>
            </w:tcBorders>
            <w:noWrap/>
            <w:vAlign w:val="center"/>
            <w:hideMark/>
          </w:tcPr>
          <w:p w14:paraId="0285B89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0.879</w:t>
            </w:r>
          </w:p>
        </w:tc>
        <w:tc>
          <w:tcPr>
            <w:tcW w:w="1174" w:type="dxa"/>
            <w:vMerge w:val="restart"/>
            <w:tcBorders>
              <w:top w:val="single" w:sz="4" w:space="0" w:color="auto"/>
              <w:left w:val="nil"/>
              <w:bottom w:val="single" w:sz="4" w:space="0" w:color="auto"/>
              <w:right w:val="nil"/>
            </w:tcBorders>
            <w:noWrap/>
            <w:vAlign w:val="center"/>
            <w:hideMark/>
          </w:tcPr>
          <w:p w14:paraId="5F06329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0.712</w:t>
            </w:r>
          </w:p>
        </w:tc>
        <w:tc>
          <w:tcPr>
            <w:tcW w:w="722" w:type="dxa"/>
            <w:vMerge w:val="restart"/>
            <w:tcBorders>
              <w:top w:val="single" w:sz="4" w:space="0" w:color="auto"/>
              <w:left w:val="nil"/>
              <w:bottom w:val="single" w:sz="4" w:space="0" w:color="auto"/>
              <w:right w:val="nil"/>
            </w:tcBorders>
            <w:noWrap/>
            <w:vAlign w:val="center"/>
            <w:hideMark/>
          </w:tcPr>
          <w:p w14:paraId="0BCFD99A"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0.881</w:t>
            </w:r>
          </w:p>
        </w:tc>
        <w:tc>
          <w:tcPr>
            <w:tcW w:w="858" w:type="dxa"/>
            <w:vMerge w:val="restart"/>
            <w:tcBorders>
              <w:top w:val="single" w:sz="4" w:space="0" w:color="auto"/>
              <w:left w:val="nil"/>
              <w:right w:val="nil"/>
            </w:tcBorders>
            <w:vAlign w:val="center"/>
          </w:tcPr>
          <w:p w14:paraId="3FDB8E09"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0.939</w:t>
            </w:r>
          </w:p>
        </w:tc>
      </w:tr>
      <w:tr w:rsidR="00EE5EE9" w:rsidRPr="00597FFB" w14:paraId="71F8B61E" w14:textId="77777777" w:rsidTr="000E48F1">
        <w:trPr>
          <w:trHeight w:val="300"/>
        </w:trPr>
        <w:tc>
          <w:tcPr>
            <w:tcW w:w="682" w:type="dxa"/>
            <w:noWrap/>
            <w:vAlign w:val="bottom"/>
            <w:hideMark/>
          </w:tcPr>
          <w:p w14:paraId="3782AEAA"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PM2</w:t>
            </w:r>
          </w:p>
        </w:tc>
        <w:tc>
          <w:tcPr>
            <w:tcW w:w="562" w:type="dxa"/>
            <w:noWrap/>
            <w:vAlign w:val="bottom"/>
            <w:hideMark/>
          </w:tcPr>
          <w:p w14:paraId="2B7382C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noWrap/>
            <w:vAlign w:val="bottom"/>
            <w:hideMark/>
          </w:tcPr>
          <w:p w14:paraId="096CF007"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3.384</w:t>
            </w:r>
          </w:p>
        </w:tc>
        <w:tc>
          <w:tcPr>
            <w:tcW w:w="727" w:type="dxa"/>
            <w:noWrap/>
            <w:vAlign w:val="bottom"/>
            <w:hideMark/>
          </w:tcPr>
          <w:p w14:paraId="3340E6F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0.973</w:t>
            </w:r>
          </w:p>
        </w:tc>
        <w:tc>
          <w:tcPr>
            <w:tcW w:w="881" w:type="dxa"/>
            <w:noWrap/>
            <w:vAlign w:val="bottom"/>
            <w:hideMark/>
          </w:tcPr>
          <w:p w14:paraId="5BE8F12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0.619</w:t>
            </w:r>
          </w:p>
        </w:tc>
        <w:tc>
          <w:tcPr>
            <w:tcW w:w="1254" w:type="dxa"/>
            <w:vMerge/>
            <w:tcBorders>
              <w:top w:val="single" w:sz="4" w:space="0" w:color="auto"/>
              <w:left w:val="nil"/>
              <w:bottom w:val="single" w:sz="4" w:space="0" w:color="auto"/>
              <w:right w:val="nil"/>
            </w:tcBorders>
            <w:vAlign w:val="center"/>
            <w:hideMark/>
          </w:tcPr>
          <w:p w14:paraId="1277A508"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1302EB2B"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72047A21"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right w:val="nil"/>
            </w:tcBorders>
          </w:tcPr>
          <w:p w14:paraId="30CE35F5"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690F2D3C" w14:textId="77777777" w:rsidTr="000E48F1">
        <w:trPr>
          <w:trHeight w:val="300"/>
        </w:trPr>
        <w:tc>
          <w:tcPr>
            <w:tcW w:w="682" w:type="dxa"/>
            <w:tcBorders>
              <w:top w:val="nil"/>
              <w:left w:val="nil"/>
              <w:bottom w:val="single" w:sz="4" w:space="0" w:color="auto"/>
              <w:right w:val="nil"/>
            </w:tcBorders>
            <w:noWrap/>
            <w:vAlign w:val="bottom"/>
            <w:hideMark/>
          </w:tcPr>
          <w:p w14:paraId="6D6F8CFD"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PM3</w:t>
            </w:r>
          </w:p>
        </w:tc>
        <w:tc>
          <w:tcPr>
            <w:tcW w:w="562" w:type="dxa"/>
            <w:tcBorders>
              <w:top w:val="nil"/>
              <w:left w:val="nil"/>
              <w:bottom w:val="single" w:sz="4" w:space="0" w:color="auto"/>
              <w:right w:val="nil"/>
            </w:tcBorders>
            <w:noWrap/>
            <w:vAlign w:val="bottom"/>
            <w:hideMark/>
          </w:tcPr>
          <w:p w14:paraId="6B80BBEB"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nil"/>
              <w:left w:val="nil"/>
              <w:bottom w:val="single" w:sz="4" w:space="0" w:color="auto"/>
              <w:right w:val="nil"/>
            </w:tcBorders>
            <w:noWrap/>
            <w:vAlign w:val="bottom"/>
            <w:hideMark/>
          </w:tcPr>
          <w:p w14:paraId="44B629D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3.410</w:t>
            </w:r>
          </w:p>
        </w:tc>
        <w:tc>
          <w:tcPr>
            <w:tcW w:w="727" w:type="dxa"/>
            <w:tcBorders>
              <w:top w:val="nil"/>
              <w:left w:val="nil"/>
              <w:bottom w:val="single" w:sz="4" w:space="0" w:color="auto"/>
              <w:right w:val="nil"/>
            </w:tcBorders>
            <w:noWrap/>
            <w:vAlign w:val="bottom"/>
            <w:hideMark/>
          </w:tcPr>
          <w:p w14:paraId="1B712176"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0.939</w:t>
            </w:r>
          </w:p>
        </w:tc>
        <w:tc>
          <w:tcPr>
            <w:tcW w:w="881" w:type="dxa"/>
            <w:tcBorders>
              <w:top w:val="nil"/>
              <w:left w:val="nil"/>
              <w:bottom w:val="single" w:sz="4" w:space="0" w:color="auto"/>
              <w:right w:val="nil"/>
            </w:tcBorders>
            <w:noWrap/>
            <w:vAlign w:val="bottom"/>
            <w:hideMark/>
          </w:tcPr>
          <w:p w14:paraId="5E1D705A"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0.708</w:t>
            </w:r>
          </w:p>
        </w:tc>
        <w:tc>
          <w:tcPr>
            <w:tcW w:w="1254" w:type="dxa"/>
            <w:vMerge/>
            <w:tcBorders>
              <w:top w:val="single" w:sz="4" w:space="0" w:color="auto"/>
              <w:left w:val="nil"/>
              <w:bottom w:val="single" w:sz="4" w:space="0" w:color="auto"/>
              <w:right w:val="nil"/>
            </w:tcBorders>
            <w:vAlign w:val="center"/>
            <w:hideMark/>
          </w:tcPr>
          <w:p w14:paraId="2A6C0749"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0D604627"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416FF659"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bottom w:val="single" w:sz="4" w:space="0" w:color="auto"/>
              <w:right w:val="nil"/>
            </w:tcBorders>
          </w:tcPr>
          <w:p w14:paraId="7F4A864D"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2F93D607" w14:textId="77777777" w:rsidTr="000E48F1">
        <w:trPr>
          <w:trHeight w:val="300"/>
        </w:trPr>
        <w:tc>
          <w:tcPr>
            <w:tcW w:w="682" w:type="dxa"/>
            <w:tcBorders>
              <w:top w:val="single" w:sz="4" w:space="0" w:color="auto"/>
              <w:left w:val="nil"/>
              <w:bottom w:val="nil"/>
              <w:right w:val="nil"/>
            </w:tcBorders>
            <w:noWrap/>
            <w:vAlign w:val="bottom"/>
            <w:hideMark/>
          </w:tcPr>
          <w:p w14:paraId="06473AFB"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AD1</w:t>
            </w:r>
          </w:p>
        </w:tc>
        <w:tc>
          <w:tcPr>
            <w:tcW w:w="562" w:type="dxa"/>
            <w:tcBorders>
              <w:top w:val="single" w:sz="4" w:space="0" w:color="auto"/>
              <w:left w:val="nil"/>
              <w:right w:val="nil"/>
            </w:tcBorders>
            <w:noWrap/>
            <w:vAlign w:val="bottom"/>
            <w:hideMark/>
          </w:tcPr>
          <w:p w14:paraId="75AE5D09"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single" w:sz="4" w:space="0" w:color="auto"/>
              <w:left w:val="nil"/>
              <w:right w:val="nil"/>
            </w:tcBorders>
            <w:noWrap/>
            <w:vAlign w:val="bottom"/>
            <w:hideMark/>
          </w:tcPr>
          <w:p w14:paraId="3D3428C4"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3.465</w:t>
            </w:r>
          </w:p>
        </w:tc>
        <w:tc>
          <w:tcPr>
            <w:tcW w:w="727" w:type="dxa"/>
            <w:tcBorders>
              <w:top w:val="single" w:sz="4" w:space="0" w:color="auto"/>
              <w:left w:val="nil"/>
              <w:right w:val="nil"/>
            </w:tcBorders>
            <w:noWrap/>
            <w:vAlign w:val="bottom"/>
            <w:hideMark/>
          </w:tcPr>
          <w:p w14:paraId="150CC2D8"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0.912</w:t>
            </w:r>
          </w:p>
        </w:tc>
        <w:tc>
          <w:tcPr>
            <w:tcW w:w="881" w:type="dxa"/>
            <w:tcBorders>
              <w:top w:val="single" w:sz="4" w:space="0" w:color="auto"/>
              <w:left w:val="nil"/>
              <w:right w:val="nil"/>
            </w:tcBorders>
            <w:noWrap/>
            <w:vAlign w:val="bottom"/>
            <w:hideMark/>
          </w:tcPr>
          <w:p w14:paraId="259B9191"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0.704</w:t>
            </w:r>
          </w:p>
        </w:tc>
        <w:tc>
          <w:tcPr>
            <w:tcW w:w="1254" w:type="dxa"/>
            <w:vMerge w:val="restart"/>
            <w:tcBorders>
              <w:top w:val="single" w:sz="4" w:space="0" w:color="auto"/>
              <w:left w:val="nil"/>
              <w:bottom w:val="single" w:sz="4" w:space="0" w:color="auto"/>
              <w:right w:val="nil"/>
            </w:tcBorders>
            <w:noWrap/>
            <w:vAlign w:val="bottom"/>
            <w:hideMark/>
          </w:tcPr>
          <w:p w14:paraId="5C2C2AE3"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0.872</w:t>
            </w:r>
          </w:p>
        </w:tc>
        <w:tc>
          <w:tcPr>
            <w:tcW w:w="1174" w:type="dxa"/>
            <w:vMerge w:val="restart"/>
            <w:tcBorders>
              <w:top w:val="single" w:sz="4" w:space="0" w:color="auto"/>
              <w:left w:val="nil"/>
              <w:bottom w:val="single" w:sz="4" w:space="0" w:color="auto"/>
              <w:right w:val="nil"/>
            </w:tcBorders>
            <w:noWrap/>
            <w:vAlign w:val="bottom"/>
            <w:hideMark/>
          </w:tcPr>
          <w:p w14:paraId="25761DA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0.703</w:t>
            </w:r>
          </w:p>
        </w:tc>
        <w:tc>
          <w:tcPr>
            <w:tcW w:w="722" w:type="dxa"/>
            <w:vMerge w:val="restart"/>
            <w:tcBorders>
              <w:top w:val="single" w:sz="4" w:space="0" w:color="auto"/>
              <w:left w:val="nil"/>
              <w:bottom w:val="single" w:sz="4" w:space="0" w:color="auto"/>
              <w:right w:val="nil"/>
            </w:tcBorders>
            <w:noWrap/>
            <w:vAlign w:val="bottom"/>
            <w:hideMark/>
          </w:tcPr>
          <w:p w14:paraId="3F5D8689"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0.826</w:t>
            </w:r>
          </w:p>
        </w:tc>
        <w:tc>
          <w:tcPr>
            <w:tcW w:w="858" w:type="dxa"/>
            <w:vMerge w:val="restart"/>
            <w:tcBorders>
              <w:top w:val="single" w:sz="4" w:space="0" w:color="auto"/>
              <w:left w:val="nil"/>
              <w:right w:val="nil"/>
            </w:tcBorders>
            <w:vAlign w:val="center"/>
          </w:tcPr>
          <w:p w14:paraId="01FF05F2"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0.909</w:t>
            </w:r>
          </w:p>
        </w:tc>
      </w:tr>
      <w:tr w:rsidR="00EE5EE9" w:rsidRPr="00597FFB" w14:paraId="30A88221" w14:textId="77777777" w:rsidTr="000E48F1">
        <w:trPr>
          <w:trHeight w:val="300"/>
        </w:trPr>
        <w:tc>
          <w:tcPr>
            <w:tcW w:w="682" w:type="dxa"/>
            <w:tcBorders>
              <w:top w:val="nil"/>
              <w:left w:val="nil"/>
              <w:bottom w:val="single" w:sz="4" w:space="0" w:color="auto"/>
              <w:right w:val="nil"/>
            </w:tcBorders>
            <w:noWrap/>
            <w:vAlign w:val="bottom"/>
            <w:hideMark/>
          </w:tcPr>
          <w:p w14:paraId="55869E77" w14:textId="77777777" w:rsidR="00EE5EE9" w:rsidRPr="00597FFB" w:rsidRDefault="00EE5EE9" w:rsidP="000E48F1">
            <w:pPr>
              <w:widowControl w:val="0"/>
              <w:spacing w:after="0" w:line="240" w:lineRule="auto"/>
              <w:rPr>
                <w:rFonts w:ascii="Times New Roman" w:eastAsia="Times New Roman" w:hAnsi="Times New Roman" w:cs="Times New Roman"/>
                <w:b/>
                <w:color w:val="000000"/>
                <w:sz w:val="20"/>
                <w:szCs w:val="20"/>
              </w:rPr>
            </w:pPr>
            <w:r w:rsidRPr="00597FFB">
              <w:rPr>
                <w:rFonts w:ascii="Times New Roman" w:eastAsia="Times New Roman" w:hAnsi="Times New Roman" w:cs="Times New Roman"/>
                <w:b/>
                <w:color w:val="000000"/>
                <w:sz w:val="20"/>
                <w:szCs w:val="20"/>
              </w:rPr>
              <w:t>AD2</w:t>
            </w:r>
          </w:p>
        </w:tc>
        <w:tc>
          <w:tcPr>
            <w:tcW w:w="562" w:type="dxa"/>
            <w:tcBorders>
              <w:top w:val="nil"/>
              <w:left w:val="nil"/>
              <w:bottom w:val="single" w:sz="4" w:space="0" w:color="auto"/>
              <w:right w:val="nil"/>
            </w:tcBorders>
            <w:noWrap/>
            <w:vAlign w:val="bottom"/>
            <w:hideMark/>
          </w:tcPr>
          <w:p w14:paraId="287A167F" w14:textId="77777777" w:rsidR="00EE5EE9" w:rsidRPr="00597FFB" w:rsidRDefault="00EE5EE9" w:rsidP="000E48F1">
            <w:pPr>
              <w:widowControl w:val="0"/>
              <w:spacing w:after="0" w:line="240" w:lineRule="auto"/>
              <w:jc w:val="right"/>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505</w:t>
            </w:r>
          </w:p>
        </w:tc>
        <w:tc>
          <w:tcPr>
            <w:tcW w:w="729" w:type="dxa"/>
            <w:tcBorders>
              <w:top w:val="nil"/>
              <w:left w:val="nil"/>
              <w:bottom w:val="single" w:sz="4" w:space="0" w:color="auto"/>
              <w:right w:val="nil"/>
            </w:tcBorders>
            <w:noWrap/>
            <w:vAlign w:val="bottom"/>
            <w:hideMark/>
          </w:tcPr>
          <w:p w14:paraId="6EBDC2C0"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3.418</w:t>
            </w:r>
          </w:p>
        </w:tc>
        <w:tc>
          <w:tcPr>
            <w:tcW w:w="727" w:type="dxa"/>
            <w:tcBorders>
              <w:top w:val="nil"/>
              <w:left w:val="nil"/>
              <w:bottom w:val="single" w:sz="4" w:space="0" w:color="auto"/>
              <w:right w:val="nil"/>
            </w:tcBorders>
            <w:noWrap/>
            <w:vAlign w:val="bottom"/>
            <w:hideMark/>
          </w:tcPr>
          <w:p w14:paraId="00E53DEF"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0.887</w:t>
            </w:r>
          </w:p>
        </w:tc>
        <w:tc>
          <w:tcPr>
            <w:tcW w:w="881" w:type="dxa"/>
            <w:tcBorders>
              <w:top w:val="nil"/>
              <w:left w:val="nil"/>
              <w:bottom w:val="single" w:sz="4" w:space="0" w:color="auto"/>
              <w:right w:val="nil"/>
            </w:tcBorders>
            <w:noWrap/>
            <w:vAlign w:val="bottom"/>
            <w:hideMark/>
          </w:tcPr>
          <w:p w14:paraId="7585A8CD" w14:textId="77777777" w:rsidR="00EE5EE9" w:rsidRPr="00597FFB" w:rsidRDefault="00EE5EE9" w:rsidP="000E48F1">
            <w:pPr>
              <w:widowControl w:val="0"/>
              <w:spacing w:after="0" w:line="240" w:lineRule="auto"/>
              <w:jc w:val="center"/>
              <w:rPr>
                <w:rFonts w:ascii="Times New Roman" w:eastAsia="Times New Roman" w:hAnsi="Times New Roman" w:cs="Times New Roman"/>
                <w:color w:val="000000"/>
                <w:sz w:val="20"/>
                <w:szCs w:val="20"/>
              </w:rPr>
            </w:pPr>
            <w:r w:rsidRPr="00597FFB">
              <w:rPr>
                <w:rFonts w:ascii="Times New Roman" w:eastAsia="Times New Roman" w:hAnsi="Times New Roman" w:cs="Times New Roman"/>
                <w:color w:val="000000"/>
                <w:sz w:val="20"/>
                <w:szCs w:val="20"/>
              </w:rPr>
              <w:t>0.704</w:t>
            </w:r>
          </w:p>
        </w:tc>
        <w:tc>
          <w:tcPr>
            <w:tcW w:w="1254" w:type="dxa"/>
            <w:vMerge/>
            <w:tcBorders>
              <w:top w:val="single" w:sz="4" w:space="0" w:color="auto"/>
              <w:left w:val="nil"/>
              <w:bottom w:val="single" w:sz="4" w:space="0" w:color="auto"/>
              <w:right w:val="nil"/>
            </w:tcBorders>
            <w:vAlign w:val="center"/>
            <w:hideMark/>
          </w:tcPr>
          <w:p w14:paraId="23A9BC68"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1174" w:type="dxa"/>
            <w:vMerge/>
            <w:tcBorders>
              <w:top w:val="single" w:sz="4" w:space="0" w:color="auto"/>
              <w:left w:val="nil"/>
              <w:bottom w:val="single" w:sz="4" w:space="0" w:color="auto"/>
              <w:right w:val="nil"/>
            </w:tcBorders>
            <w:vAlign w:val="center"/>
            <w:hideMark/>
          </w:tcPr>
          <w:p w14:paraId="41ADB16E"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722" w:type="dxa"/>
            <w:vMerge/>
            <w:tcBorders>
              <w:top w:val="single" w:sz="4" w:space="0" w:color="auto"/>
              <w:left w:val="nil"/>
              <w:bottom w:val="single" w:sz="4" w:space="0" w:color="auto"/>
              <w:right w:val="nil"/>
            </w:tcBorders>
            <w:vAlign w:val="center"/>
            <w:hideMark/>
          </w:tcPr>
          <w:p w14:paraId="3F7CA60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c>
          <w:tcPr>
            <w:tcW w:w="858" w:type="dxa"/>
            <w:vMerge/>
            <w:tcBorders>
              <w:left w:val="nil"/>
              <w:bottom w:val="single" w:sz="4" w:space="0" w:color="auto"/>
              <w:right w:val="nil"/>
            </w:tcBorders>
          </w:tcPr>
          <w:p w14:paraId="2BF9FE96"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p>
        </w:tc>
      </w:tr>
      <w:tr w:rsidR="00EE5EE9" w:rsidRPr="00597FFB" w14:paraId="2FB9DFEE" w14:textId="77777777" w:rsidTr="000E48F1">
        <w:trPr>
          <w:trHeight w:val="300"/>
        </w:trPr>
        <w:tc>
          <w:tcPr>
            <w:tcW w:w="7589" w:type="dxa"/>
            <w:gridSpan w:val="9"/>
            <w:tcBorders>
              <w:top w:val="single" w:sz="4" w:space="0" w:color="auto"/>
              <w:left w:val="nil"/>
              <w:bottom w:val="single" w:sz="4" w:space="0" w:color="auto"/>
              <w:right w:val="nil"/>
            </w:tcBorders>
            <w:noWrap/>
            <w:vAlign w:val="bottom"/>
          </w:tcPr>
          <w:p w14:paraId="4B950A53" w14:textId="77777777" w:rsidR="00EE5EE9" w:rsidRPr="00597FFB" w:rsidRDefault="00EE5EE9" w:rsidP="000E48F1">
            <w:pPr>
              <w:widowControl w:val="0"/>
              <w:spacing w:after="0"/>
              <w:rPr>
                <w:rFonts w:ascii="Times New Roman" w:eastAsia="Times New Roman" w:hAnsi="Times New Roman" w:cs="Times New Roman"/>
                <w:color w:val="000000"/>
                <w:sz w:val="20"/>
                <w:szCs w:val="20"/>
              </w:rPr>
            </w:pPr>
            <w:r w:rsidRPr="00597FFB">
              <w:rPr>
                <w:rFonts w:ascii="Times New Roman" w:eastAsia="Times New Roman" w:hAnsi="Times New Roman" w:cs="Times New Roman"/>
                <w:bCs/>
                <w:color w:val="000000"/>
                <w:sz w:val="20"/>
                <w:szCs w:val="20"/>
              </w:rPr>
              <w:t>Notes: TA = Threat Appraisal; CA = Coping Appraisal; PM = Protection Motivation; AD = Adoption of EWR.</w:t>
            </w:r>
          </w:p>
        </w:tc>
      </w:tr>
      <w:bookmarkEnd w:id="254"/>
    </w:tbl>
    <w:p w14:paraId="5D117367" w14:textId="77777777" w:rsidR="00DD2CB3" w:rsidRDefault="00DD2CB3" w:rsidP="00885E84">
      <w:pPr>
        <w:spacing w:line="480" w:lineRule="auto"/>
        <w:jc w:val="both"/>
        <w:rPr>
          <w:rFonts w:asciiTheme="majorBidi" w:hAnsiTheme="majorBidi" w:cstheme="majorBidi"/>
          <w:b/>
          <w:bCs/>
          <w:color w:val="000000"/>
        </w:rPr>
      </w:pPr>
    </w:p>
    <w:p w14:paraId="31522685" w14:textId="742225CF" w:rsidR="00885E84" w:rsidRPr="00597FFB" w:rsidRDefault="00885E84" w:rsidP="00885E84">
      <w:pPr>
        <w:spacing w:line="480" w:lineRule="auto"/>
        <w:jc w:val="both"/>
        <w:rPr>
          <w:rFonts w:cs="Times New Roman"/>
          <w:b/>
          <w:bCs/>
          <w:color w:val="000000"/>
          <w:sz w:val="24"/>
          <w:szCs w:val="24"/>
        </w:rPr>
      </w:pPr>
      <w:r w:rsidRPr="00597FFB">
        <w:rPr>
          <w:rFonts w:asciiTheme="majorBidi" w:hAnsiTheme="majorBidi" w:cstheme="majorBidi"/>
          <w:b/>
          <w:bCs/>
          <w:color w:val="000000"/>
        </w:rPr>
        <w:t xml:space="preserve">Figure 17: </w:t>
      </w:r>
      <w:r w:rsidRPr="00597FFB">
        <w:rPr>
          <w:rFonts w:asciiTheme="majorBidi" w:hAnsiTheme="majorBidi" w:cstheme="majorBidi"/>
          <w:i/>
          <w:iCs/>
          <w:color w:val="000000"/>
        </w:rPr>
        <w:t>PMT Path Diagram.</w:t>
      </w:r>
    </w:p>
    <w:p w14:paraId="66106B65" w14:textId="19CBED41" w:rsidR="00E52362" w:rsidRPr="00597FFB" w:rsidRDefault="00E52362" w:rsidP="00E52362">
      <w:pPr>
        <w:widowControl w:val="0"/>
        <w:spacing w:after="0" w:line="240" w:lineRule="auto"/>
        <w:jc w:val="center"/>
        <w:rPr>
          <w:rFonts w:ascii="Times New Roman" w:hAnsi="Times New Roman" w:cs="Times New Roman"/>
          <w:noProof/>
          <w:sz w:val="24"/>
          <w:szCs w:val="24"/>
        </w:rPr>
      </w:pPr>
    </w:p>
    <w:p w14:paraId="3F598D50" w14:textId="3881501A" w:rsidR="00EE5EE9" w:rsidRPr="00597FFB" w:rsidRDefault="00EE5EE9" w:rsidP="00E52362">
      <w:pPr>
        <w:widowControl w:val="0"/>
        <w:spacing w:after="0" w:line="240" w:lineRule="auto"/>
        <w:jc w:val="center"/>
        <w:rPr>
          <w:rFonts w:ascii="Times New Roman" w:hAnsi="Times New Roman" w:cs="Times New Roman"/>
          <w:noProof/>
          <w:sz w:val="24"/>
          <w:szCs w:val="24"/>
        </w:rPr>
      </w:pPr>
      <w:r w:rsidRPr="00597FFB">
        <w:rPr>
          <w:rFonts w:ascii="Times New Roman" w:hAnsi="Times New Roman" w:cs="Times New Roman"/>
          <w:noProof/>
          <w:sz w:val="24"/>
          <w:szCs w:val="24"/>
        </w:rPr>
        <w:drawing>
          <wp:inline distT="0" distB="0" distL="0" distR="0" wp14:anchorId="53EAD3C7" wp14:editId="50417DE2">
            <wp:extent cx="4819015" cy="2980055"/>
            <wp:effectExtent l="0" t="0" r="635" b="0"/>
            <wp:docPr id="139" name="Picture 1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t="16664" r="3165" b="23062"/>
                    <a:stretch>
                      <a:fillRect/>
                    </a:stretch>
                  </pic:blipFill>
                  <pic:spPr bwMode="auto">
                    <a:xfrm>
                      <a:off x="0" y="0"/>
                      <a:ext cx="4819015" cy="2980055"/>
                    </a:xfrm>
                    <a:prstGeom prst="rect">
                      <a:avLst/>
                    </a:prstGeom>
                    <a:noFill/>
                    <a:ln>
                      <a:noFill/>
                    </a:ln>
                  </pic:spPr>
                </pic:pic>
              </a:graphicData>
            </a:graphic>
          </wp:inline>
        </w:drawing>
      </w:r>
    </w:p>
    <w:p w14:paraId="0166D217" w14:textId="77777777" w:rsidR="002E70AF" w:rsidRPr="00597FFB" w:rsidRDefault="002E70AF" w:rsidP="00EE5EE9">
      <w:pPr>
        <w:widowControl w:val="0"/>
        <w:spacing w:after="0" w:line="240" w:lineRule="auto"/>
        <w:rPr>
          <w:rFonts w:ascii="Times New Roman" w:hAnsi="Times New Roman" w:cs="Times New Roman"/>
          <w:sz w:val="24"/>
          <w:szCs w:val="24"/>
        </w:rPr>
      </w:pPr>
    </w:p>
    <w:p w14:paraId="7C96443E" w14:textId="77777777" w:rsidR="002E70AF" w:rsidRDefault="002E70AF" w:rsidP="00E52362">
      <w:pPr>
        <w:widowControl w:val="0"/>
        <w:spacing w:after="0" w:line="240" w:lineRule="auto"/>
        <w:jc w:val="center"/>
        <w:rPr>
          <w:rFonts w:ascii="Times New Roman" w:hAnsi="Times New Roman" w:cs="Times New Roman"/>
          <w:sz w:val="24"/>
          <w:szCs w:val="24"/>
        </w:rPr>
      </w:pPr>
    </w:p>
    <w:p w14:paraId="0EAD98A3" w14:textId="77777777" w:rsidR="00C0425C" w:rsidRDefault="00C0425C" w:rsidP="00E52362">
      <w:pPr>
        <w:widowControl w:val="0"/>
        <w:spacing w:after="0" w:line="240" w:lineRule="auto"/>
        <w:jc w:val="center"/>
        <w:rPr>
          <w:rFonts w:ascii="Times New Roman" w:hAnsi="Times New Roman" w:cs="Times New Roman"/>
          <w:sz w:val="24"/>
          <w:szCs w:val="24"/>
        </w:rPr>
      </w:pPr>
    </w:p>
    <w:p w14:paraId="166432CD" w14:textId="77777777" w:rsidR="00C0425C" w:rsidRDefault="00C0425C" w:rsidP="00E52362">
      <w:pPr>
        <w:widowControl w:val="0"/>
        <w:spacing w:after="0" w:line="240" w:lineRule="auto"/>
        <w:jc w:val="center"/>
        <w:rPr>
          <w:rFonts w:ascii="Times New Roman" w:hAnsi="Times New Roman" w:cs="Times New Roman"/>
          <w:sz w:val="24"/>
          <w:szCs w:val="24"/>
        </w:rPr>
      </w:pPr>
    </w:p>
    <w:p w14:paraId="374768A9" w14:textId="77777777" w:rsidR="00C0425C" w:rsidRPr="00597FFB" w:rsidRDefault="00C0425C" w:rsidP="00E52362">
      <w:pPr>
        <w:widowControl w:val="0"/>
        <w:spacing w:after="0" w:line="240" w:lineRule="auto"/>
        <w:jc w:val="center"/>
        <w:rPr>
          <w:rFonts w:ascii="Times New Roman" w:hAnsi="Times New Roman" w:cs="Times New Roman"/>
          <w:sz w:val="24"/>
          <w:szCs w:val="24"/>
        </w:rPr>
      </w:pPr>
    </w:p>
    <w:p w14:paraId="5CC19AF4" w14:textId="419DAEEF" w:rsidR="00E52362" w:rsidRPr="00597FFB" w:rsidRDefault="00070FDC" w:rsidP="00070FDC">
      <w:pPr>
        <w:spacing w:line="480" w:lineRule="auto"/>
        <w:jc w:val="both"/>
        <w:rPr>
          <w:rFonts w:asciiTheme="majorBidi" w:hAnsiTheme="majorBidi" w:cstheme="majorBidi"/>
          <w:i/>
          <w:iCs/>
        </w:rPr>
      </w:pPr>
      <w:r w:rsidRPr="00597FFB">
        <w:rPr>
          <w:rFonts w:asciiTheme="majorBidi" w:hAnsiTheme="majorBidi" w:cstheme="majorBidi"/>
          <w:b/>
          <w:bCs/>
        </w:rPr>
        <w:t>Table 2</w:t>
      </w:r>
      <w:r w:rsidR="00607DF3" w:rsidRPr="00597FFB">
        <w:rPr>
          <w:rFonts w:asciiTheme="majorBidi" w:hAnsiTheme="majorBidi" w:cstheme="majorBidi"/>
          <w:b/>
          <w:bCs/>
        </w:rPr>
        <w:t>3</w:t>
      </w:r>
      <w:r w:rsidRPr="00597FFB">
        <w:rPr>
          <w:rFonts w:asciiTheme="majorBidi" w:hAnsiTheme="majorBidi" w:cstheme="majorBidi"/>
          <w:b/>
          <w:bCs/>
        </w:rPr>
        <w:t xml:space="preserve">: </w:t>
      </w:r>
      <w:r w:rsidRPr="00597FFB">
        <w:rPr>
          <w:rFonts w:asciiTheme="majorBidi" w:hAnsiTheme="majorBidi" w:cstheme="majorBidi"/>
          <w:i/>
          <w:iCs/>
        </w:rPr>
        <w:t xml:space="preserve">Confirmation </w:t>
      </w:r>
      <w:r w:rsidR="00072848" w:rsidRPr="00597FFB">
        <w:rPr>
          <w:rFonts w:asciiTheme="majorBidi" w:hAnsiTheme="majorBidi" w:cstheme="majorBidi"/>
          <w:i/>
          <w:iCs/>
        </w:rPr>
        <w:t>o</w:t>
      </w:r>
      <w:r w:rsidRPr="00597FFB">
        <w:rPr>
          <w:rFonts w:asciiTheme="majorBidi" w:hAnsiTheme="majorBidi" w:cstheme="majorBidi"/>
          <w:i/>
          <w:iCs/>
        </w:rPr>
        <w:t xml:space="preserve">f Direct Effects' Hypotheses </w:t>
      </w:r>
      <w:r w:rsidR="00072848" w:rsidRPr="00597FFB">
        <w:rPr>
          <w:rFonts w:asciiTheme="majorBidi" w:hAnsiTheme="majorBidi" w:cstheme="majorBidi"/>
          <w:i/>
          <w:iCs/>
        </w:rPr>
        <w:t>i</w:t>
      </w:r>
      <w:r w:rsidRPr="00597FFB">
        <w:rPr>
          <w:rFonts w:asciiTheme="majorBidi" w:hAnsiTheme="majorBidi" w:cstheme="majorBidi"/>
          <w:i/>
          <w:iCs/>
        </w:rPr>
        <w:t xml:space="preserve">n </w:t>
      </w:r>
      <w:r w:rsidR="00072848" w:rsidRPr="00597FFB">
        <w:rPr>
          <w:rFonts w:asciiTheme="majorBidi" w:hAnsiTheme="majorBidi" w:cstheme="majorBidi"/>
          <w:i/>
          <w:iCs/>
        </w:rPr>
        <w:t>t</w:t>
      </w:r>
      <w:r w:rsidRPr="00597FFB">
        <w:rPr>
          <w:rFonts w:asciiTheme="majorBidi" w:hAnsiTheme="majorBidi" w:cstheme="majorBidi"/>
          <w:i/>
          <w:iCs/>
        </w:rPr>
        <w:t>he Extended PMT Model.</w:t>
      </w:r>
    </w:p>
    <w:tbl>
      <w:tblPr>
        <w:tblW w:w="7380" w:type="dxa"/>
        <w:tblBorders>
          <w:top w:val="single" w:sz="4" w:space="0" w:color="auto"/>
          <w:bottom w:val="single" w:sz="4" w:space="0" w:color="auto"/>
        </w:tblBorders>
        <w:tblLook w:val="04A0" w:firstRow="1" w:lastRow="0" w:firstColumn="1" w:lastColumn="0" w:noHBand="0" w:noVBand="1"/>
      </w:tblPr>
      <w:tblGrid>
        <w:gridCol w:w="1143"/>
        <w:gridCol w:w="334"/>
        <w:gridCol w:w="598"/>
        <w:gridCol w:w="988"/>
        <w:gridCol w:w="830"/>
        <w:gridCol w:w="878"/>
        <w:gridCol w:w="767"/>
        <w:gridCol w:w="891"/>
        <w:gridCol w:w="951"/>
      </w:tblGrid>
      <w:tr w:rsidR="00EE5EE9" w:rsidRPr="00597FFB" w14:paraId="6404C370" w14:textId="77777777" w:rsidTr="000E48F1">
        <w:tc>
          <w:tcPr>
            <w:tcW w:w="0" w:type="auto"/>
            <w:tcBorders>
              <w:top w:val="single" w:sz="4" w:space="0" w:color="auto"/>
              <w:left w:val="nil"/>
              <w:bottom w:val="single" w:sz="4" w:space="0" w:color="auto"/>
              <w:right w:val="nil"/>
            </w:tcBorders>
            <w:tcMar>
              <w:top w:w="15" w:type="dxa"/>
              <w:left w:w="57" w:type="dxa"/>
              <w:bottom w:w="15" w:type="dxa"/>
              <w:right w:w="57" w:type="dxa"/>
            </w:tcMar>
            <w:vAlign w:val="center"/>
            <w:hideMark/>
          </w:tcPr>
          <w:p w14:paraId="403C04B7" w14:textId="77777777" w:rsidR="00EE5EE9" w:rsidRPr="00597FFB" w:rsidRDefault="00EE5EE9" w:rsidP="000E48F1">
            <w:pPr>
              <w:widowControl w:val="0"/>
              <w:spacing w:after="0" w:line="240" w:lineRule="auto"/>
              <w:rPr>
                <w:rFonts w:ascii="Times New Roman" w:eastAsia="Times New Roman" w:hAnsi="Times New Roman" w:cs="Times New Roman"/>
                <w:b/>
                <w:bCs/>
              </w:rPr>
            </w:pPr>
            <w:bookmarkStart w:id="255" w:name="_Hlk120895795"/>
            <w:r w:rsidRPr="00597FFB">
              <w:rPr>
                <w:rFonts w:ascii="Times New Roman" w:eastAsia="Times New Roman" w:hAnsi="Times New Roman" w:cs="Times New Roman"/>
                <w:b/>
                <w:bCs/>
              </w:rPr>
              <w:t>Direct effect</w:t>
            </w:r>
          </w:p>
        </w:tc>
        <w:tc>
          <w:tcPr>
            <w:tcW w:w="0" w:type="auto"/>
            <w:tcBorders>
              <w:top w:val="single" w:sz="4" w:space="0" w:color="auto"/>
              <w:left w:val="nil"/>
              <w:bottom w:val="single" w:sz="4" w:space="0" w:color="auto"/>
              <w:right w:val="nil"/>
            </w:tcBorders>
            <w:noWrap/>
            <w:tcMar>
              <w:top w:w="15" w:type="dxa"/>
              <w:left w:w="57" w:type="dxa"/>
              <w:bottom w:w="15" w:type="dxa"/>
              <w:right w:w="57" w:type="dxa"/>
            </w:tcMar>
            <w:vAlign w:val="center"/>
          </w:tcPr>
          <w:p w14:paraId="598DBFB7" w14:textId="77777777" w:rsidR="00EE5EE9" w:rsidRPr="00597FFB" w:rsidRDefault="00EE5EE9" w:rsidP="000E48F1">
            <w:pPr>
              <w:widowControl w:val="0"/>
              <w:spacing w:after="0" w:line="240" w:lineRule="auto"/>
              <w:rPr>
                <w:rFonts w:ascii="Times New Roman" w:eastAsia="Times New Roman" w:hAnsi="Times New Roman" w:cs="Times New Roman"/>
                <w:b/>
                <w:bCs/>
              </w:rPr>
            </w:pPr>
          </w:p>
        </w:tc>
        <w:tc>
          <w:tcPr>
            <w:tcW w:w="0" w:type="auto"/>
            <w:tcBorders>
              <w:top w:val="single" w:sz="4" w:space="0" w:color="auto"/>
              <w:left w:val="nil"/>
              <w:bottom w:val="single" w:sz="4" w:space="0" w:color="auto"/>
              <w:right w:val="nil"/>
            </w:tcBorders>
            <w:tcMar>
              <w:top w:w="15" w:type="dxa"/>
              <w:left w:w="140" w:type="dxa"/>
              <w:bottom w:w="15" w:type="dxa"/>
              <w:right w:w="140" w:type="dxa"/>
            </w:tcMar>
            <w:vAlign w:val="center"/>
          </w:tcPr>
          <w:p w14:paraId="2E00A427" w14:textId="77777777" w:rsidR="00EE5EE9" w:rsidRPr="00597FFB" w:rsidRDefault="00EE5EE9" w:rsidP="000E48F1">
            <w:pPr>
              <w:widowControl w:val="0"/>
              <w:spacing w:after="0" w:line="240" w:lineRule="auto"/>
              <w:rPr>
                <w:rFonts w:ascii="Times New Roman" w:eastAsia="Times New Roman" w:hAnsi="Times New Roman" w:cs="Times New Roman"/>
                <w:b/>
                <w:bCs/>
              </w:rPr>
            </w:pPr>
          </w:p>
        </w:tc>
        <w:tc>
          <w:tcPr>
            <w:tcW w:w="0" w:type="auto"/>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69A62962"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Std Beta</w:t>
            </w:r>
          </w:p>
        </w:tc>
        <w:tc>
          <w:tcPr>
            <w:tcW w:w="830" w:type="dxa"/>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268E7DCE"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Std Error</w:t>
            </w:r>
          </w:p>
        </w:tc>
        <w:tc>
          <w:tcPr>
            <w:tcW w:w="878" w:type="dxa"/>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437CFC36" w14:textId="77777777" w:rsidR="00EE5EE9" w:rsidRPr="00597FFB" w:rsidRDefault="00EE5EE9" w:rsidP="000E48F1">
            <w:pPr>
              <w:widowControl w:val="0"/>
              <w:spacing w:after="0" w:line="240" w:lineRule="auto"/>
              <w:jc w:val="right"/>
              <w:rPr>
                <w:rFonts w:ascii="Times New Roman" w:eastAsia="Times New Roman" w:hAnsi="Times New Roman" w:cs="Times New Roman"/>
                <w:b/>
                <w:bCs/>
                <w:i/>
                <w:iCs/>
              </w:rPr>
            </w:pPr>
            <w:r w:rsidRPr="00597FFB">
              <w:rPr>
                <w:rFonts w:ascii="Times New Roman" w:eastAsia="Times New Roman" w:hAnsi="Times New Roman" w:cs="Times New Roman"/>
                <w:b/>
                <w:bCs/>
                <w:i/>
                <w:iCs/>
              </w:rPr>
              <w:t>t</w:t>
            </w:r>
          </w:p>
        </w:tc>
        <w:tc>
          <w:tcPr>
            <w:tcW w:w="767" w:type="dxa"/>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2CE47C2F" w14:textId="77777777" w:rsidR="00EE5EE9" w:rsidRPr="00597FFB" w:rsidRDefault="00EE5EE9" w:rsidP="000E48F1">
            <w:pPr>
              <w:widowControl w:val="0"/>
              <w:spacing w:after="0" w:line="240" w:lineRule="auto"/>
              <w:jc w:val="center"/>
              <w:rPr>
                <w:rFonts w:ascii="Times New Roman" w:eastAsia="Times New Roman" w:hAnsi="Times New Roman" w:cs="Times New Roman"/>
                <w:b/>
                <w:bCs/>
                <w:i/>
                <w:iCs/>
              </w:rPr>
            </w:pPr>
            <w:r w:rsidRPr="00597FFB">
              <w:rPr>
                <w:rFonts w:ascii="Times New Roman" w:eastAsia="Times New Roman" w:hAnsi="Times New Roman" w:cs="Times New Roman"/>
                <w:b/>
                <w:bCs/>
                <w:i/>
                <w:iCs/>
              </w:rPr>
              <w:t>p</w:t>
            </w:r>
          </w:p>
        </w:tc>
        <w:tc>
          <w:tcPr>
            <w:tcW w:w="0" w:type="auto"/>
            <w:tcBorders>
              <w:top w:val="single" w:sz="4" w:space="0" w:color="auto"/>
              <w:left w:val="nil"/>
              <w:bottom w:val="single" w:sz="4" w:space="0" w:color="auto"/>
              <w:right w:val="nil"/>
            </w:tcBorders>
            <w:tcMar>
              <w:top w:w="15" w:type="dxa"/>
              <w:left w:w="140" w:type="dxa"/>
              <w:bottom w:w="15" w:type="dxa"/>
              <w:right w:w="140" w:type="dxa"/>
            </w:tcMar>
            <w:vAlign w:val="center"/>
            <w:hideMark/>
          </w:tcPr>
          <w:p w14:paraId="547CE560" w14:textId="77777777" w:rsidR="00EE5EE9" w:rsidRPr="00597FFB" w:rsidRDefault="00EE5EE9"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Label</w:t>
            </w:r>
          </w:p>
        </w:tc>
        <w:tc>
          <w:tcPr>
            <w:tcW w:w="951" w:type="dxa"/>
            <w:tcBorders>
              <w:top w:val="single" w:sz="4" w:space="0" w:color="auto"/>
              <w:left w:val="nil"/>
              <w:bottom w:val="single" w:sz="4" w:space="0" w:color="auto"/>
              <w:right w:val="nil"/>
            </w:tcBorders>
            <w:tcMar>
              <w:top w:w="15" w:type="dxa"/>
              <w:left w:w="15" w:type="dxa"/>
              <w:bottom w:w="15" w:type="dxa"/>
              <w:right w:w="15" w:type="dxa"/>
            </w:tcMar>
            <w:hideMark/>
          </w:tcPr>
          <w:p w14:paraId="56786698" w14:textId="77777777" w:rsidR="00EE5EE9" w:rsidRPr="00597FFB" w:rsidRDefault="00EE5EE9" w:rsidP="000E48F1">
            <w:pPr>
              <w:widowControl w:val="0"/>
              <w:spacing w:after="0" w:line="240" w:lineRule="auto"/>
              <w:rPr>
                <w:rFonts w:ascii="Times New Roman" w:eastAsia="Times New Roman" w:hAnsi="Times New Roman" w:cs="Times New Roman"/>
                <w:b/>
                <w:bCs/>
              </w:rPr>
            </w:pPr>
            <w:r w:rsidRPr="00597FFB">
              <w:rPr>
                <w:rFonts w:ascii="Times New Roman" w:eastAsia="Times New Roman" w:hAnsi="Times New Roman" w:cs="Times New Roman"/>
                <w:b/>
                <w:bCs/>
              </w:rPr>
              <w:t>Decision</w:t>
            </w:r>
          </w:p>
        </w:tc>
      </w:tr>
      <w:tr w:rsidR="00EE5EE9" w:rsidRPr="00597FFB" w14:paraId="5BDD9375" w14:textId="77777777" w:rsidTr="000E48F1">
        <w:tc>
          <w:tcPr>
            <w:tcW w:w="0" w:type="auto"/>
            <w:tcBorders>
              <w:top w:val="single" w:sz="4" w:space="0" w:color="auto"/>
              <w:left w:val="nil"/>
              <w:bottom w:val="nil"/>
              <w:right w:val="nil"/>
            </w:tcBorders>
            <w:tcMar>
              <w:top w:w="15" w:type="dxa"/>
              <w:left w:w="57" w:type="dxa"/>
              <w:bottom w:w="15" w:type="dxa"/>
              <w:right w:w="57" w:type="dxa"/>
            </w:tcMar>
            <w:vAlign w:val="center"/>
            <w:hideMark/>
          </w:tcPr>
          <w:p w14:paraId="25CA80F2"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 TA</w:t>
            </w:r>
          </w:p>
        </w:tc>
        <w:tc>
          <w:tcPr>
            <w:tcW w:w="0" w:type="auto"/>
            <w:tcBorders>
              <w:top w:val="single" w:sz="4" w:space="0" w:color="auto"/>
              <w:left w:val="nil"/>
              <w:bottom w:val="nil"/>
              <w:right w:val="nil"/>
            </w:tcBorders>
            <w:noWrap/>
            <w:tcMar>
              <w:top w:w="15" w:type="dxa"/>
              <w:left w:w="57" w:type="dxa"/>
              <w:bottom w:w="15" w:type="dxa"/>
              <w:right w:w="57" w:type="dxa"/>
            </w:tcMar>
            <w:vAlign w:val="center"/>
            <w:hideMark/>
          </w:tcPr>
          <w:p w14:paraId="64C194E9"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single" w:sz="4" w:space="0" w:color="auto"/>
              <w:left w:val="nil"/>
              <w:bottom w:val="nil"/>
              <w:right w:val="nil"/>
            </w:tcBorders>
            <w:tcMar>
              <w:top w:w="15" w:type="dxa"/>
              <w:left w:w="140" w:type="dxa"/>
              <w:bottom w:w="15" w:type="dxa"/>
              <w:right w:w="140" w:type="dxa"/>
            </w:tcMar>
            <w:vAlign w:val="center"/>
            <w:hideMark/>
          </w:tcPr>
          <w:p w14:paraId="717A960B"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PM</w:t>
            </w:r>
          </w:p>
        </w:tc>
        <w:tc>
          <w:tcPr>
            <w:tcW w:w="0" w:type="auto"/>
            <w:tcBorders>
              <w:top w:val="single" w:sz="4" w:space="0" w:color="auto"/>
              <w:left w:val="nil"/>
              <w:bottom w:val="nil"/>
              <w:right w:val="nil"/>
            </w:tcBorders>
            <w:tcMar>
              <w:top w:w="15" w:type="dxa"/>
              <w:left w:w="140" w:type="dxa"/>
              <w:bottom w:w="15" w:type="dxa"/>
              <w:right w:w="140" w:type="dxa"/>
            </w:tcMar>
            <w:vAlign w:val="center"/>
            <w:hideMark/>
          </w:tcPr>
          <w:p w14:paraId="06DB1751"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.225</w:t>
            </w:r>
          </w:p>
        </w:tc>
        <w:tc>
          <w:tcPr>
            <w:tcW w:w="830" w:type="dxa"/>
            <w:tcBorders>
              <w:top w:val="single" w:sz="4" w:space="0" w:color="auto"/>
              <w:left w:val="nil"/>
              <w:bottom w:val="nil"/>
              <w:right w:val="nil"/>
            </w:tcBorders>
            <w:tcMar>
              <w:top w:w="15" w:type="dxa"/>
              <w:left w:w="140" w:type="dxa"/>
              <w:bottom w:w="15" w:type="dxa"/>
              <w:right w:w="140" w:type="dxa"/>
            </w:tcMar>
            <w:vAlign w:val="center"/>
            <w:hideMark/>
          </w:tcPr>
          <w:p w14:paraId="1E1A208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.052</w:t>
            </w:r>
          </w:p>
        </w:tc>
        <w:tc>
          <w:tcPr>
            <w:tcW w:w="878" w:type="dxa"/>
            <w:tcBorders>
              <w:top w:val="single" w:sz="4" w:space="0" w:color="auto"/>
              <w:left w:val="nil"/>
              <w:bottom w:val="nil"/>
              <w:right w:val="nil"/>
            </w:tcBorders>
            <w:tcMar>
              <w:top w:w="15" w:type="dxa"/>
              <w:left w:w="140" w:type="dxa"/>
              <w:bottom w:w="15" w:type="dxa"/>
              <w:right w:w="140" w:type="dxa"/>
            </w:tcMar>
            <w:vAlign w:val="center"/>
            <w:hideMark/>
          </w:tcPr>
          <w:p w14:paraId="6B5E5A97"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4.327</w:t>
            </w:r>
          </w:p>
        </w:tc>
        <w:tc>
          <w:tcPr>
            <w:tcW w:w="767" w:type="dxa"/>
            <w:tcBorders>
              <w:top w:val="single" w:sz="4" w:space="0" w:color="auto"/>
              <w:left w:val="nil"/>
              <w:bottom w:val="nil"/>
              <w:right w:val="nil"/>
            </w:tcBorders>
            <w:tcMar>
              <w:top w:w="15" w:type="dxa"/>
              <w:left w:w="140" w:type="dxa"/>
              <w:bottom w:w="15" w:type="dxa"/>
              <w:right w:w="140" w:type="dxa"/>
            </w:tcMar>
            <w:vAlign w:val="center"/>
            <w:hideMark/>
          </w:tcPr>
          <w:p w14:paraId="1DC64F9D"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single" w:sz="4" w:space="0" w:color="auto"/>
              <w:left w:val="nil"/>
              <w:bottom w:val="nil"/>
              <w:right w:val="nil"/>
            </w:tcBorders>
            <w:tcMar>
              <w:top w:w="15" w:type="dxa"/>
              <w:left w:w="140" w:type="dxa"/>
              <w:bottom w:w="15" w:type="dxa"/>
              <w:right w:w="140" w:type="dxa"/>
            </w:tcMar>
            <w:vAlign w:val="center"/>
            <w:hideMark/>
          </w:tcPr>
          <w:p w14:paraId="5BE8FE25"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e_path</w:t>
            </w:r>
          </w:p>
        </w:tc>
        <w:tc>
          <w:tcPr>
            <w:tcW w:w="951" w:type="dxa"/>
            <w:tcBorders>
              <w:top w:val="single" w:sz="4" w:space="0" w:color="auto"/>
              <w:left w:val="nil"/>
              <w:bottom w:val="nil"/>
              <w:right w:val="nil"/>
            </w:tcBorders>
            <w:tcMar>
              <w:top w:w="15" w:type="dxa"/>
              <w:left w:w="15" w:type="dxa"/>
              <w:bottom w:w="15" w:type="dxa"/>
              <w:right w:w="15" w:type="dxa"/>
            </w:tcMar>
            <w:hideMark/>
          </w:tcPr>
          <w:p w14:paraId="146AAF8E"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7753E21D"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5E6EC42C"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H2. CA</w:t>
            </w:r>
          </w:p>
        </w:tc>
        <w:tc>
          <w:tcPr>
            <w:tcW w:w="0" w:type="auto"/>
            <w:tcBorders>
              <w:top w:val="nil"/>
              <w:left w:val="nil"/>
              <w:bottom w:val="nil"/>
              <w:right w:val="nil"/>
            </w:tcBorders>
            <w:noWrap/>
            <w:tcMar>
              <w:top w:w="15" w:type="dxa"/>
              <w:left w:w="57" w:type="dxa"/>
              <w:bottom w:w="15" w:type="dxa"/>
              <w:right w:w="57" w:type="dxa"/>
            </w:tcMar>
            <w:vAlign w:val="center"/>
            <w:hideMark/>
          </w:tcPr>
          <w:p w14:paraId="5A68AF90"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7D241082"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PM</w:t>
            </w:r>
          </w:p>
        </w:tc>
        <w:tc>
          <w:tcPr>
            <w:tcW w:w="0" w:type="auto"/>
            <w:tcBorders>
              <w:top w:val="nil"/>
              <w:left w:val="nil"/>
              <w:bottom w:val="nil"/>
              <w:right w:val="nil"/>
            </w:tcBorders>
            <w:tcMar>
              <w:top w:w="15" w:type="dxa"/>
              <w:left w:w="140" w:type="dxa"/>
              <w:bottom w:w="15" w:type="dxa"/>
              <w:right w:w="140" w:type="dxa"/>
            </w:tcMar>
            <w:vAlign w:val="center"/>
            <w:hideMark/>
          </w:tcPr>
          <w:p w14:paraId="6B9A4C53"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.715</w:t>
            </w:r>
          </w:p>
        </w:tc>
        <w:tc>
          <w:tcPr>
            <w:tcW w:w="830" w:type="dxa"/>
            <w:tcBorders>
              <w:top w:val="nil"/>
              <w:left w:val="nil"/>
              <w:bottom w:val="nil"/>
              <w:right w:val="nil"/>
            </w:tcBorders>
            <w:tcMar>
              <w:top w:w="15" w:type="dxa"/>
              <w:left w:w="140" w:type="dxa"/>
              <w:bottom w:w="15" w:type="dxa"/>
              <w:right w:w="140" w:type="dxa"/>
            </w:tcMar>
            <w:vAlign w:val="center"/>
            <w:hideMark/>
          </w:tcPr>
          <w:p w14:paraId="196F0B29"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.088</w:t>
            </w:r>
          </w:p>
        </w:tc>
        <w:tc>
          <w:tcPr>
            <w:tcW w:w="878" w:type="dxa"/>
            <w:tcBorders>
              <w:top w:val="nil"/>
              <w:left w:val="nil"/>
              <w:bottom w:val="nil"/>
              <w:right w:val="nil"/>
            </w:tcBorders>
            <w:tcMar>
              <w:top w:w="15" w:type="dxa"/>
              <w:left w:w="140" w:type="dxa"/>
              <w:bottom w:w="15" w:type="dxa"/>
              <w:right w:w="140" w:type="dxa"/>
            </w:tcMar>
            <w:vAlign w:val="center"/>
            <w:hideMark/>
          </w:tcPr>
          <w:p w14:paraId="540BD2E0"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8.126</w:t>
            </w:r>
          </w:p>
        </w:tc>
        <w:tc>
          <w:tcPr>
            <w:tcW w:w="767" w:type="dxa"/>
            <w:tcBorders>
              <w:top w:val="nil"/>
              <w:left w:val="nil"/>
              <w:bottom w:val="nil"/>
              <w:right w:val="nil"/>
            </w:tcBorders>
            <w:tcMar>
              <w:top w:w="15" w:type="dxa"/>
              <w:left w:w="140" w:type="dxa"/>
              <w:bottom w:w="15" w:type="dxa"/>
              <w:right w:w="140" w:type="dxa"/>
            </w:tcMar>
            <w:vAlign w:val="center"/>
            <w:hideMark/>
          </w:tcPr>
          <w:p w14:paraId="64A5B0F1"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4381F806"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f_path</w:t>
            </w:r>
          </w:p>
        </w:tc>
        <w:tc>
          <w:tcPr>
            <w:tcW w:w="951" w:type="dxa"/>
            <w:tcBorders>
              <w:top w:val="nil"/>
              <w:left w:val="nil"/>
              <w:bottom w:val="nil"/>
              <w:right w:val="nil"/>
            </w:tcBorders>
            <w:tcMar>
              <w:top w:w="15" w:type="dxa"/>
              <w:left w:w="15" w:type="dxa"/>
              <w:bottom w:w="15" w:type="dxa"/>
              <w:right w:w="15" w:type="dxa"/>
            </w:tcMar>
            <w:hideMark/>
          </w:tcPr>
          <w:p w14:paraId="6C14DC4A"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549AFC5C"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68166DA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H3. KEWR</w:t>
            </w:r>
          </w:p>
        </w:tc>
        <w:tc>
          <w:tcPr>
            <w:tcW w:w="0" w:type="auto"/>
            <w:tcBorders>
              <w:top w:val="nil"/>
              <w:left w:val="nil"/>
              <w:bottom w:val="nil"/>
              <w:right w:val="nil"/>
            </w:tcBorders>
            <w:noWrap/>
            <w:tcMar>
              <w:top w:w="15" w:type="dxa"/>
              <w:left w:w="57" w:type="dxa"/>
              <w:bottom w:w="15" w:type="dxa"/>
              <w:right w:w="57" w:type="dxa"/>
            </w:tcMar>
            <w:vAlign w:val="center"/>
            <w:hideMark/>
          </w:tcPr>
          <w:p w14:paraId="3F79173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237BEB93"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PM</w:t>
            </w:r>
          </w:p>
        </w:tc>
        <w:tc>
          <w:tcPr>
            <w:tcW w:w="0" w:type="auto"/>
            <w:tcBorders>
              <w:top w:val="nil"/>
              <w:left w:val="nil"/>
              <w:bottom w:val="nil"/>
              <w:right w:val="nil"/>
            </w:tcBorders>
            <w:tcMar>
              <w:top w:w="15" w:type="dxa"/>
              <w:left w:w="140" w:type="dxa"/>
              <w:bottom w:w="15" w:type="dxa"/>
              <w:right w:w="140" w:type="dxa"/>
            </w:tcMar>
            <w:vAlign w:val="center"/>
            <w:hideMark/>
          </w:tcPr>
          <w:p w14:paraId="64093D64"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.036</w:t>
            </w:r>
          </w:p>
        </w:tc>
        <w:tc>
          <w:tcPr>
            <w:tcW w:w="830" w:type="dxa"/>
            <w:tcBorders>
              <w:top w:val="nil"/>
              <w:left w:val="nil"/>
              <w:bottom w:val="nil"/>
              <w:right w:val="nil"/>
            </w:tcBorders>
            <w:tcMar>
              <w:top w:w="15" w:type="dxa"/>
              <w:left w:w="140" w:type="dxa"/>
              <w:bottom w:w="15" w:type="dxa"/>
              <w:right w:w="140" w:type="dxa"/>
            </w:tcMar>
            <w:vAlign w:val="center"/>
            <w:hideMark/>
          </w:tcPr>
          <w:p w14:paraId="5185211C"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.064</w:t>
            </w:r>
          </w:p>
        </w:tc>
        <w:tc>
          <w:tcPr>
            <w:tcW w:w="878" w:type="dxa"/>
            <w:tcBorders>
              <w:top w:val="nil"/>
              <w:left w:val="nil"/>
              <w:bottom w:val="nil"/>
              <w:right w:val="nil"/>
            </w:tcBorders>
            <w:tcMar>
              <w:top w:w="15" w:type="dxa"/>
              <w:left w:w="140" w:type="dxa"/>
              <w:bottom w:w="15" w:type="dxa"/>
              <w:right w:w="140" w:type="dxa"/>
            </w:tcMar>
            <w:vAlign w:val="center"/>
            <w:hideMark/>
          </w:tcPr>
          <w:p w14:paraId="7B540BB4"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.566</w:t>
            </w:r>
          </w:p>
        </w:tc>
        <w:tc>
          <w:tcPr>
            <w:tcW w:w="767" w:type="dxa"/>
            <w:tcBorders>
              <w:top w:val="nil"/>
              <w:left w:val="nil"/>
              <w:bottom w:val="nil"/>
              <w:right w:val="nil"/>
            </w:tcBorders>
            <w:tcMar>
              <w:top w:w="15" w:type="dxa"/>
              <w:left w:w="140" w:type="dxa"/>
              <w:bottom w:w="15" w:type="dxa"/>
              <w:right w:w="140" w:type="dxa"/>
            </w:tcMar>
            <w:vAlign w:val="center"/>
            <w:hideMark/>
          </w:tcPr>
          <w:p w14:paraId="6252051B"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7F9ABB71"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g_path</w:t>
            </w:r>
          </w:p>
        </w:tc>
        <w:tc>
          <w:tcPr>
            <w:tcW w:w="951" w:type="dxa"/>
            <w:tcBorders>
              <w:top w:val="nil"/>
              <w:left w:val="nil"/>
              <w:bottom w:val="nil"/>
              <w:right w:val="nil"/>
            </w:tcBorders>
            <w:tcMar>
              <w:top w:w="15" w:type="dxa"/>
              <w:left w:w="15" w:type="dxa"/>
              <w:bottom w:w="15" w:type="dxa"/>
              <w:right w:w="15" w:type="dxa"/>
            </w:tcMar>
            <w:hideMark/>
          </w:tcPr>
          <w:p w14:paraId="6E15C7B2"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5B2F57CF"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58D049A2"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H4. PM</w:t>
            </w:r>
          </w:p>
        </w:tc>
        <w:tc>
          <w:tcPr>
            <w:tcW w:w="0" w:type="auto"/>
            <w:tcBorders>
              <w:top w:val="nil"/>
              <w:left w:val="nil"/>
              <w:bottom w:val="nil"/>
              <w:right w:val="nil"/>
            </w:tcBorders>
            <w:noWrap/>
            <w:tcMar>
              <w:top w:w="15" w:type="dxa"/>
              <w:left w:w="57" w:type="dxa"/>
              <w:bottom w:w="15" w:type="dxa"/>
              <w:right w:w="57" w:type="dxa"/>
            </w:tcMar>
            <w:vAlign w:val="center"/>
            <w:hideMark/>
          </w:tcPr>
          <w:p w14:paraId="49A5C17D"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76FCB8FD"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tcMar>
              <w:top w:w="15" w:type="dxa"/>
              <w:left w:w="140" w:type="dxa"/>
              <w:bottom w:w="15" w:type="dxa"/>
              <w:right w:w="140" w:type="dxa"/>
            </w:tcMar>
            <w:vAlign w:val="center"/>
            <w:hideMark/>
          </w:tcPr>
          <w:p w14:paraId="5851C74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.305</w:t>
            </w:r>
          </w:p>
        </w:tc>
        <w:tc>
          <w:tcPr>
            <w:tcW w:w="830" w:type="dxa"/>
            <w:tcBorders>
              <w:top w:val="nil"/>
              <w:left w:val="nil"/>
              <w:bottom w:val="nil"/>
              <w:right w:val="nil"/>
            </w:tcBorders>
            <w:tcMar>
              <w:top w:w="15" w:type="dxa"/>
              <w:left w:w="140" w:type="dxa"/>
              <w:bottom w:w="15" w:type="dxa"/>
              <w:right w:w="140" w:type="dxa"/>
            </w:tcMar>
            <w:vAlign w:val="center"/>
            <w:hideMark/>
          </w:tcPr>
          <w:p w14:paraId="5456FB4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.043</w:t>
            </w:r>
          </w:p>
        </w:tc>
        <w:tc>
          <w:tcPr>
            <w:tcW w:w="878" w:type="dxa"/>
            <w:tcBorders>
              <w:top w:val="nil"/>
              <w:left w:val="nil"/>
              <w:bottom w:val="nil"/>
              <w:right w:val="nil"/>
            </w:tcBorders>
            <w:tcMar>
              <w:top w:w="15" w:type="dxa"/>
              <w:left w:w="140" w:type="dxa"/>
              <w:bottom w:w="15" w:type="dxa"/>
              <w:right w:w="140" w:type="dxa"/>
            </w:tcMar>
            <w:vAlign w:val="center"/>
            <w:hideMark/>
          </w:tcPr>
          <w:p w14:paraId="27F2E91A"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7.029</w:t>
            </w:r>
          </w:p>
        </w:tc>
        <w:tc>
          <w:tcPr>
            <w:tcW w:w="767" w:type="dxa"/>
            <w:tcBorders>
              <w:top w:val="nil"/>
              <w:left w:val="nil"/>
              <w:bottom w:val="nil"/>
              <w:right w:val="nil"/>
            </w:tcBorders>
            <w:tcMar>
              <w:top w:w="15" w:type="dxa"/>
              <w:left w:w="140" w:type="dxa"/>
              <w:bottom w:w="15" w:type="dxa"/>
              <w:right w:w="140" w:type="dxa"/>
            </w:tcMar>
            <w:vAlign w:val="center"/>
            <w:hideMark/>
          </w:tcPr>
          <w:p w14:paraId="2CE54C29"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73A77FD5"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par_10</w:t>
            </w:r>
          </w:p>
        </w:tc>
        <w:tc>
          <w:tcPr>
            <w:tcW w:w="951" w:type="dxa"/>
            <w:tcBorders>
              <w:top w:val="nil"/>
              <w:left w:val="nil"/>
              <w:bottom w:val="nil"/>
              <w:right w:val="nil"/>
            </w:tcBorders>
            <w:tcMar>
              <w:top w:w="15" w:type="dxa"/>
              <w:left w:w="15" w:type="dxa"/>
              <w:bottom w:w="15" w:type="dxa"/>
              <w:right w:w="15" w:type="dxa"/>
            </w:tcMar>
            <w:hideMark/>
          </w:tcPr>
          <w:p w14:paraId="7BDFFE65"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73D3F6FD"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4248886D"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H5. H</w:t>
            </w:r>
          </w:p>
        </w:tc>
        <w:tc>
          <w:tcPr>
            <w:tcW w:w="0" w:type="auto"/>
            <w:tcBorders>
              <w:top w:val="nil"/>
              <w:left w:val="nil"/>
              <w:bottom w:val="nil"/>
              <w:right w:val="nil"/>
            </w:tcBorders>
            <w:noWrap/>
            <w:tcMar>
              <w:top w:w="15" w:type="dxa"/>
              <w:left w:w="57" w:type="dxa"/>
              <w:bottom w:w="15" w:type="dxa"/>
              <w:right w:w="57" w:type="dxa"/>
            </w:tcMar>
            <w:vAlign w:val="center"/>
            <w:hideMark/>
          </w:tcPr>
          <w:p w14:paraId="73A68A79"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571B2BBB"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noWrap/>
            <w:tcMar>
              <w:top w:w="15" w:type="dxa"/>
              <w:left w:w="140" w:type="dxa"/>
              <w:bottom w:w="15" w:type="dxa"/>
              <w:right w:w="140" w:type="dxa"/>
            </w:tcMar>
            <w:vAlign w:val="center"/>
            <w:hideMark/>
          </w:tcPr>
          <w:p w14:paraId="486994CD"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-.061</w:t>
            </w:r>
          </w:p>
        </w:tc>
        <w:tc>
          <w:tcPr>
            <w:tcW w:w="830" w:type="dxa"/>
            <w:tcBorders>
              <w:top w:val="nil"/>
              <w:left w:val="nil"/>
              <w:bottom w:val="nil"/>
              <w:right w:val="nil"/>
            </w:tcBorders>
            <w:tcMar>
              <w:top w:w="15" w:type="dxa"/>
              <w:left w:w="140" w:type="dxa"/>
              <w:bottom w:w="15" w:type="dxa"/>
              <w:right w:w="140" w:type="dxa"/>
            </w:tcMar>
            <w:vAlign w:val="center"/>
            <w:hideMark/>
          </w:tcPr>
          <w:p w14:paraId="157E5D9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.018</w:t>
            </w:r>
          </w:p>
        </w:tc>
        <w:tc>
          <w:tcPr>
            <w:tcW w:w="878" w:type="dxa"/>
            <w:tcBorders>
              <w:top w:val="nil"/>
              <w:left w:val="nil"/>
              <w:bottom w:val="nil"/>
              <w:right w:val="nil"/>
            </w:tcBorders>
            <w:noWrap/>
            <w:tcMar>
              <w:top w:w="15" w:type="dxa"/>
              <w:left w:w="140" w:type="dxa"/>
              <w:bottom w:w="15" w:type="dxa"/>
              <w:right w:w="140" w:type="dxa"/>
            </w:tcMar>
            <w:vAlign w:val="center"/>
            <w:hideMark/>
          </w:tcPr>
          <w:p w14:paraId="2BD8E031"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-3.419</w:t>
            </w:r>
          </w:p>
        </w:tc>
        <w:tc>
          <w:tcPr>
            <w:tcW w:w="767" w:type="dxa"/>
            <w:tcBorders>
              <w:top w:val="nil"/>
              <w:left w:val="nil"/>
              <w:bottom w:val="nil"/>
              <w:right w:val="nil"/>
            </w:tcBorders>
            <w:tcMar>
              <w:top w:w="15" w:type="dxa"/>
              <w:left w:w="140" w:type="dxa"/>
              <w:bottom w:w="15" w:type="dxa"/>
              <w:right w:w="140" w:type="dxa"/>
            </w:tcMar>
            <w:vAlign w:val="center"/>
            <w:hideMark/>
          </w:tcPr>
          <w:p w14:paraId="3A1D8115"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18EDCED5"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d_path</w:t>
            </w:r>
          </w:p>
        </w:tc>
        <w:tc>
          <w:tcPr>
            <w:tcW w:w="951" w:type="dxa"/>
            <w:tcBorders>
              <w:top w:val="nil"/>
              <w:left w:val="nil"/>
              <w:bottom w:val="nil"/>
              <w:right w:val="nil"/>
            </w:tcBorders>
            <w:tcMar>
              <w:top w:w="15" w:type="dxa"/>
              <w:left w:w="15" w:type="dxa"/>
              <w:bottom w:w="15" w:type="dxa"/>
              <w:right w:w="15" w:type="dxa"/>
            </w:tcMar>
            <w:hideMark/>
          </w:tcPr>
          <w:p w14:paraId="762490CD"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5847835B"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25B7451E"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H6. EA</w:t>
            </w:r>
          </w:p>
        </w:tc>
        <w:tc>
          <w:tcPr>
            <w:tcW w:w="0" w:type="auto"/>
            <w:tcBorders>
              <w:top w:val="nil"/>
              <w:left w:val="nil"/>
              <w:bottom w:val="nil"/>
              <w:right w:val="nil"/>
            </w:tcBorders>
            <w:noWrap/>
            <w:tcMar>
              <w:top w:w="15" w:type="dxa"/>
              <w:left w:w="57" w:type="dxa"/>
              <w:bottom w:w="15" w:type="dxa"/>
              <w:right w:w="57" w:type="dxa"/>
            </w:tcMar>
            <w:vAlign w:val="center"/>
            <w:hideMark/>
          </w:tcPr>
          <w:p w14:paraId="02E35776"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669EE8E3"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noWrap/>
            <w:tcMar>
              <w:top w:w="15" w:type="dxa"/>
              <w:left w:w="140" w:type="dxa"/>
              <w:bottom w:w="15" w:type="dxa"/>
              <w:right w:w="140" w:type="dxa"/>
            </w:tcMar>
            <w:vAlign w:val="center"/>
            <w:hideMark/>
          </w:tcPr>
          <w:p w14:paraId="79592DF2"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-.306</w:t>
            </w:r>
          </w:p>
        </w:tc>
        <w:tc>
          <w:tcPr>
            <w:tcW w:w="830" w:type="dxa"/>
            <w:tcBorders>
              <w:top w:val="nil"/>
              <w:left w:val="nil"/>
              <w:bottom w:val="nil"/>
              <w:right w:val="nil"/>
            </w:tcBorders>
            <w:tcMar>
              <w:top w:w="15" w:type="dxa"/>
              <w:left w:w="140" w:type="dxa"/>
              <w:bottom w:w="15" w:type="dxa"/>
              <w:right w:w="140" w:type="dxa"/>
            </w:tcMar>
            <w:vAlign w:val="center"/>
            <w:hideMark/>
          </w:tcPr>
          <w:p w14:paraId="6D4499D1"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.183</w:t>
            </w:r>
          </w:p>
        </w:tc>
        <w:tc>
          <w:tcPr>
            <w:tcW w:w="878" w:type="dxa"/>
            <w:tcBorders>
              <w:top w:val="nil"/>
              <w:left w:val="nil"/>
              <w:bottom w:val="nil"/>
              <w:right w:val="nil"/>
            </w:tcBorders>
            <w:noWrap/>
            <w:tcMar>
              <w:top w:w="15" w:type="dxa"/>
              <w:left w:w="140" w:type="dxa"/>
              <w:bottom w:w="15" w:type="dxa"/>
              <w:right w:w="140" w:type="dxa"/>
            </w:tcMar>
            <w:vAlign w:val="center"/>
            <w:hideMark/>
          </w:tcPr>
          <w:p w14:paraId="7BCDDF5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-1.665</w:t>
            </w:r>
          </w:p>
        </w:tc>
        <w:tc>
          <w:tcPr>
            <w:tcW w:w="767" w:type="dxa"/>
            <w:tcBorders>
              <w:top w:val="nil"/>
              <w:left w:val="nil"/>
              <w:bottom w:val="nil"/>
              <w:right w:val="nil"/>
            </w:tcBorders>
            <w:tcMar>
              <w:top w:w="15" w:type="dxa"/>
              <w:left w:w="140" w:type="dxa"/>
              <w:bottom w:w="15" w:type="dxa"/>
              <w:right w:w="140" w:type="dxa"/>
            </w:tcMar>
            <w:vAlign w:val="center"/>
            <w:hideMark/>
          </w:tcPr>
          <w:p w14:paraId="23FDBC30"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58293E19"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h_path</w:t>
            </w:r>
          </w:p>
        </w:tc>
        <w:tc>
          <w:tcPr>
            <w:tcW w:w="951" w:type="dxa"/>
            <w:tcBorders>
              <w:top w:val="nil"/>
              <w:left w:val="nil"/>
              <w:bottom w:val="nil"/>
              <w:right w:val="nil"/>
            </w:tcBorders>
            <w:tcMar>
              <w:top w:w="15" w:type="dxa"/>
              <w:left w:w="15" w:type="dxa"/>
              <w:bottom w:w="15" w:type="dxa"/>
              <w:right w:w="15" w:type="dxa"/>
            </w:tcMar>
            <w:hideMark/>
          </w:tcPr>
          <w:p w14:paraId="41403BEB"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1926BD3F"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4A8723DB"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H7. TA</w:t>
            </w:r>
          </w:p>
        </w:tc>
        <w:tc>
          <w:tcPr>
            <w:tcW w:w="0" w:type="auto"/>
            <w:tcBorders>
              <w:top w:val="nil"/>
              <w:left w:val="nil"/>
              <w:bottom w:val="nil"/>
              <w:right w:val="nil"/>
            </w:tcBorders>
            <w:noWrap/>
            <w:tcMar>
              <w:top w:w="15" w:type="dxa"/>
              <w:left w:w="57" w:type="dxa"/>
              <w:bottom w:w="15" w:type="dxa"/>
              <w:right w:w="57" w:type="dxa"/>
            </w:tcMar>
            <w:vAlign w:val="center"/>
            <w:hideMark/>
          </w:tcPr>
          <w:p w14:paraId="3D7774AE"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2AC4152C"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tcMar>
              <w:top w:w="15" w:type="dxa"/>
              <w:left w:w="140" w:type="dxa"/>
              <w:bottom w:w="15" w:type="dxa"/>
              <w:right w:w="140" w:type="dxa"/>
            </w:tcMar>
            <w:vAlign w:val="center"/>
            <w:hideMark/>
          </w:tcPr>
          <w:p w14:paraId="3F6D0A4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.165</w:t>
            </w:r>
          </w:p>
        </w:tc>
        <w:tc>
          <w:tcPr>
            <w:tcW w:w="830" w:type="dxa"/>
            <w:tcBorders>
              <w:top w:val="nil"/>
              <w:left w:val="nil"/>
              <w:bottom w:val="nil"/>
              <w:right w:val="nil"/>
            </w:tcBorders>
            <w:tcMar>
              <w:top w:w="15" w:type="dxa"/>
              <w:left w:w="140" w:type="dxa"/>
              <w:bottom w:w="15" w:type="dxa"/>
              <w:right w:w="140" w:type="dxa"/>
            </w:tcMar>
            <w:vAlign w:val="center"/>
            <w:hideMark/>
          </w:tcPr>
          <w:p w14:paraId="55304911"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.053</w:t>
            </w:r>
          </w:p>
        </w:tc>
        <w:tc>
          <w:tcPr>
            <w:tcW w:w="878" w:type="dxa"/>
            <w:tcBorders>
              <w:top w:val="nil"/>
              <w:left w:val="nil"/>
              <w:bottom w:val="nil"/>
              <w:right w:val="nil"/>
            </w:tcBorders>
            <w:tcMar>
              <w:top w:w="15" w:type="dxa"/>
              <w:left w:w="140" w:type="dxa"/>
              <w:bottom w:w="15" w:type="dxa"/>
              <w:right w:w="140" w:type="dxa"/>
            </w:tcMar>
            <w:vAlign w:val="center"/>
            <w:hideMark/>
          </w:tcPr>
          <w:p w14:paraId="386FF402"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3.104</w:t>
            </w:r>
          </w:p>
        </w:tc>
        <w:tc>
          <w:tcPr>
            <w:tcW w:w="767" w:type="dxa"/>
            <w:tcBorders>
              <w:top w:val="nil"/>
              <w:left w:val="nil"/>
              <w:bottom w:val="nil"/>
              <w:right w:val="nil"/>
            </w:tcBorders>
            <w:tcMar>
              <w:top w:w="15" w:type="dxa"/>
              <w:left w:w="140" w:type="dxa"/>
              <w:bottom w:w="15" w:type="dxa"/>
              <w:right w:w="140" w:type="dxa"/>
            </w:tcMar>
            <w:vAlign w:val="center"/>
            <w:hideMark/>
          </w:tcPr>
          <w:p w14:paraId="39F0BA9B"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6333A9E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a_path</w:t>
            </w:r>
          </w:p>
        </w:tc>
        <w:tc>
          <w:tcPr>
            <w:tcW w:w="951" w:type="dxa"/>
            <w:tcBorders>
              <w:top w:val="nil"/>
              <w:left w:val="nil"/>
              <w:bottom w:val="nil"/>
              <w:right w:val="nil"/>
            </w:tcBorders>
            <w:tcMar>
              <w:top w:w="15" w:type="dxa"/>
              <w:left w:w="15" w:type="dxa"/>
              <w:bottom w:w="15" w:type="dxa"/>
              <w:right w:w="15" w:type="dxa"/>
            </w:tcMar>
            <w:hideMark/>
          </w:tcPr>
          <w:p w14:paraId="50098B02"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06D0388C"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7E36D47A"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H8. CA</w:t>
            </w:r>
          </w:p>
        </w:tc>
        <w:tc>
          <w:tcPr>
            <w:tcW w:w="0" w:type="auto"/>
            <w:tcBorders>
              <w:top w:val="nil"/>
              <w:left w:val="nil"/>
              <w:bottom w:val="nil"/>
              <w:right w:val="nil"/>
            </w:tcBorders>
            <w:noWrap/>
            <w:tcMar>
              <w:top w:w="15" w:type="dxa"/>
              <w:left w:w="57" w:type="dxa"/>
              <w:bottom w:w="15" w:type="dxa"/>
              <w:right w:w="57" w:type="dxa"/>
            </w:tcMar>
            <w:vAlign w:val="center"/>
            <w:hideMark/>
          </w:tcPr>
          <w:p w14:paraId="18824E2C"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59FDBF9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tcMar>
              <w:top w:w="15" w:type="dxa"/>
              <w:left w:w="140" w:type="dxa"/>
              <w:bottom w:w="15" w:type="dxa"/>
              <w:right w:w="140" w:type="dxa"/>
            </w:tcMar>
            <w:vAlign w:val="center"/>
            <w:hideMark/>
          </w:tcPr>
          <w:p w14:paraId="76AB898C"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.683</w:t>
            </w:r>
          </w:p>
        </w:tc>
        <w:tc>
          <w:tcPr>
            <w:tcW w:w="830" w:type="dxa"/>
            <w:tcBorders>
              <w:top w:val="nil"/>
              <w:left w:val="nil"/>
              <w:bottom w:val="nil"/>
              <w:right w:val="nil"/>
            </w:tcBorders>
            <w:tcMar>
              <w:top w:w="15" w:type="dxa"/>
              <w:left w:w="140" w:type="dxa"/>
              <w:bottom w:w="15" w:type="dxa"/>
              <w:right w:w="140" w:type="dxa"/>
            </w:tcMar>
            <w:vAlign w:val="center"/>
            <w:hideMark/>
          </w:tcPr>
          <w:p w14:paraId="2DC8B892"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.299</w:t>
            </w:r>
          </w:p>
        </w:tc>
        <w:tc>
          <w:tcPr>
            <w:tcW w:w="878" w:type="dxa"/>
            <w:tcBorders>
              <w:top w:val="nil"/>
              <w:left w:val="nil"/>
              <w:bottom w:val="nil"/>
              <w:right w:val="nil"/>
            </w:tcBorders>
            <w:tcMar>
              <w:top w:w="15" w:type="dxa"/>
              <w:left w:w="140" w:type="dxa"/>
              <w:bottom w:w="15" w:type="dxa"/>
              <w:right w:w="140" w:type="dxa"/>
            </w:tcMar>
            <w:vAlign w:val="center"/>
            <w:hideMark/>
          </w:tcPr>
          <w:p w14:paraId="085D847F"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2.288</w:t>
            </w:r>
          </w:p>
        </w:tc>
        <w:tc>
          <w:tcPr>
            <w:tcW w:w="767" w:type="dxa"/>
            <w:tcBorders>
              <w:top w:val="nil"/>
              <w:left w:val="nil"/>
              <w:bottom w:val="nil"/>
              <w:right w:val="nil"/>
            </w:tcBorders>
            <w:tcMar>
              <w:top w:w="15" w:type="dxa"/>
              <w:left w:w="140" w:type="dxa"/>
              <w:bottom w:w="15" w:type="dxa"/>
              <w:right w:w="140" w:type="dxa"/>
            </w:tcMar>
            <w:vAlign w:val="center"/>
            <w:hideMark/>
          </w:tcPr>
          <w:p w14:paraId="06B0AC3F"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42CC9187"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b_path</w:t>
            </w:r>
          </w:p>
        </w:tc>
        <w:tc>
          <w:tcPr>
            <w:tcW w:w="951" w:type="dxa"/>
            <w:tcBorders>
              <w:top w:val="nil"/>
              <w:left w:val="nil"/>
              <w:bottom w:val="nil"/>
              <w:right w:val="nil"/>
            </w:tcBorders>
            <w:tcMar>
              <w:top w:w="15" w:type="dxa"/>
              <w:left w:w="15" w:type="dxa"/>
              <w:bottom w:w="15" w:type="dxa"/>
              <w:right w:w="15" w:type="dxa"/>
            </w:tcMar>
            <w:hideMark/>
          </w:tcPr>
          <w:p w14:paraId="3CF7BB10"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609EE436" w14:textId="77777777" w:rsidTr="000E48F1">
        <w:tc>
          <w:tcPr>
            <w:tcW w:w="0" w:type="auto"/>
            <w:tcBorders>
              <w:top w:val="nil"/>
              <w:left w:val="nil"/>
              <w:bottom w:val="nil"/>
              <w:right w:val="nil"/>
            </w:tcBorders>
            <w:tcMar>
              <w:top w:w="15" w:type="dxa"/>
              <w:left w:w="57" w:type="dxa"/>
              <w:bottom w:w="15" w:type="dxa"/>
              <w:right w:w="57" w:type="dxa"/>
            </w:tcMar>
            <w:vAlign w:val="center"/>
            <w:hideMark/>
          </w:tcPr>
          <w:p w14:paraId="7D15FD4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H9. KEWR</w:t>
            </w:r>
          </w:p>
        </w:tc>
        <w:tc>
          <w:tcPr>
            <w:tcW w:w="0" w:type="auto"/>
            <w:tcBorders>
              <w:top w:val="nil"/>
              <w:left w:val="nil"/>
              <w:bottom w:val="nil"/>
              <w:right w:val="nil"/>
            </w:tcBorders>
            <w:noWrap/>
            <w:tcMar>
              <w:top w:w="15" w:type="dxa"/>
              <w:left w:w="57" w:type="dxa"/>
              <w:bottom w:w="15" w:type="dxa"/>
              <w:right w:w="57" w:type="dxa"/>
            </w:tcMar>
            <w:vAlign w:val="center"/>
            <w:hideMark/>
          </w:tcPr>
          <w:p w14:paraId="4FA21290"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17AEF7B4"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0" w:type="auto"/>
            <w:tcBorders>
              <w:top w:val="nil"/>
              <w:left w:val="nil"/>
              <w:bottom w:val="nil"/>
              <w:right w:val="nil"/>
            </w:tcBorders>
            <w:tcMar>
              <w:top w:w="15" w:type="dxa"/>
              <w:left w:w="140" w:type="dxa"/>
              <w:bottom w:w="15" w:type="dxa"/>
              <w:right w:w="140" w:type="dxa"/>
            </w:tcMar>
            <w:vAlign w:val="center"/>
            <w:hideMark/>
          </w:tcPr>
          <w:p w14:paraId="2E61829E"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.007</w:t>
            </w:r>
          </w:p>
        </w:tc>
        <w:tc>
          <w:tcPr>
            <w:tcW w:w="830" w:type="dxa"/>
            <w:tcBorders>
              <w:top w:val="nil"/>
              <w:left w:val="nil"/>
              <w:bottom w:val="nil"/>
              <w:right w:val="nil"/>
            </w:tcBorders>
            <w:tcMar>
              <w:top w:w="15" w:type="dxa"/>
              <w:left w:w="140" w:type="dxa"/>
              <w:bottom w:w="15" w:type="dxa"/>
              <w:right w:w="140" w:type="dxa"/>
            </w:tcMar>
            <w:vAlign w:val="center"/>
            <w:hideMark/>
          </w:tcPr>
          <w:p w14:paraId="6DDCB326"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.120</w:t>
            </w:r>
          </w:p>
        </w:tc>
        <w:tc>
          <w:tcPr>
            <w:tcW w:w="878" w:type="dxa"/>
            <w:tcBorders>
              <w:top w:val="nil"/>
              <w:left w:val="nil"/>
              <w:bottom w:val="nil"/>
              <w:right w:val="nil"/>
            </w:tcBorders>
            <w:tcMar>
              <w:top w:w="15" w:type="dxa"/>
              <w:left w:w="140" w:type="dxa"/>
              <w:bottom w:w="15" w:type="dxa"/>
              <w:right w:w="140" w:type="dxa"/>
            </w:tcMar>
            <w:vAlign w:val="center"/>
            <w:hideMark/>
          </w:tcPr>
          <w:p w14:paraId="46D1AB2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.055</w:t>
            </w:r>
          </w:p>
        </w:tc>
        <w:tc>
          <w:tcPr>
            <w:tcW w:w="767" w:type="dxa"/>
            <w:tcBorders>
              <w:top w:val="nil"/>
              <w:left w:val="nil"/>
              <w:bottom w:val="nil"/>
              <w:right w:val="nil"/>
            </w:tcBorders>
            <w:tcMar>
              <w:top w:w="15" w:type="dxa"/>
              <w:left w:w="140" w:type="dxa"/>
              <w:bottom w:w="15" w:type="dxa"/>
              <w:right w:w="140" w:type="dxa"/>
            </w:tcMar>
            <w:vAlign w:val="center"/>
            <w:hideMark/>
          </w:tcPr>
          <w:p w14:paraId="749F8B78" w14:textId="77777777" w:rsidR="00EE5EE9" w:rsidRPr="00597FFB" w:rsidRDefault="00EE5EE9" w:rsidP="000E48F1">
            <w:pPr>
              <w:widowControl w:val="0"/>
              <w:spacing w:after="0" w:line="240" w:lineRule="auto"/>
              <w:jc w:val="right"/>
              <w:rPr>
                <w:rFonts w:ascii="Times New Roman" w:eastAsia="Times New Roman" w:hAnsi="Times New Roman" w:cs="Times New Roman"/>
              </w:rPr>
            </w:pPr>
            <w:r w:rsidRPr="00597FFB">
              <w:rPr>
                <w:rFonts w:ascii="Times New Roman" w:eastAsia="Times New Roman" w:hAnsi="Times New Roman" w:cs="Times New Roman"/>
              </w:rPr>
              <w:t>***</w:t>
            </w:r>
          </w:p>
        </w:tc>
        <w:tc>
          <w:tcPr>
            <w:tcW w:w="0" w:type="auto"/>
            <w:tcBorders>
              <w:top w:val="nil"/>
              <w:left w:val="nil"/>
              <w:bottom w:val="nil"/>
              <w:right w:val="nil"/>
            </w:tcBorders>
            <w:tcMar>
              <w:top w:w="15" w:type="dxa"/>
              <w:left w:w="140" w:type="dxa"/>
              <w:bottom w:w="15" w:type="dxa"/>
              <w:right w:w="140" w:type="dxa"/>
            </w:tcMar>
            <w:vAlign w:val="center"/>
            <w:hideMark/>
          </w:tcPr>
          <w:p w14:paraId="27B6836A"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c_path</w:t>
            </w:r>
          </w:p>
        </w:tc>
        <w:tc>
          <w:tcPr>
            <w:tcW w:w="951" w:type="dxa"/>
            <w:tcBorders>
              <w:top w:val="nil"/>
              <w:left w:val="nil"/>
              <w:bottom w:val="nil"/>
              <w:right w:val="nil"/>
            </w:tcBorders>
            <w:tcMar>
              <w:top w:w="15" w:type="dxa"/>
              <w:left w:w="15" w:type="dxa"/>
              <w:bottom w:w="15" w:type="dxa"/>
              <w:right w:w="15" w:type="dxa"/>
            </w:tcMar>
            <w:hideMark/>
          </w:tcPr>
          <w:p w14:paraId="1FDC4710"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Supported</w:t>
            </w:r>
          </w:p>
        </w:tc>
      </w:tr>
      <w:tr w:rsidR="00EE5EE9" w:rsidRPr="00597FFB" w14:paraId="58100315" w14:textId="77777777" w:rsidTr="000E48F1">
        <w:tc>
          <w:tcPr>
            <w:tcW w:w="7380" w:type="dxa"/>
            <w:gridSpan w:val="9"/>
            <w:tcBorders>
              <w:top w:val="nil"/>
              <w:left w:val="nil"/>
              <w:bottom w:val="single" w:sz="4" w:space="0" w:color="auto"/>
              <w:right w:val="nil"/>
            </w:tcBorders>
            <w:tcMar>
              <w:top w:w="15" w:type="dxa"/>
              <w:left w:w="57" w:type="dxa"/>
              <w:bottom w:w="15" w:type="dxa"/>
              <w:right w:w="57" w:type="dxa"/>
            </w:tcMar>
            <w:vAlign w:val="center"/>
          </w:tcPr>
          <w:p w14:paraId="4AA5DCAF" w14:textId="77777777" w:rsidR="00EE5EE9" w:rsidRPr="00597FFB" w:rsidRDefault="00EE5EE9" w:rsidP="000E48F1">
            <w:pPr>
              <w:widowControl w:val="0"/>
              <w:pBdr>
                <w:top w:val="single" w:sz="4" w:space="1" w:color="auto"/>
                <w:bottom w:val="single" w:sz="4" w:space="1" w:color="auto"/>
              </w:pBdr>
              <w:autoSpaceDE w:val="0"/>
              <w:autoSpaceDN w:val="0"/>
              <w:adjustRightInd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Note: *** indicate P&lt;0.01, ** P&lt;0.05, * P&lt;0.1</w:t>
            </w:r>
          </w:p>
        </w:tc>
      </w:tr>
      <w:bookmarkEnd w:id="255"/>
    </w:tbl>
    <w:p w14:paraId="4B019AE4" w14:textId="77777777" w:rsidR="00EE5EE9" w:rsidRPr="00597FFB" w:rsidRDefault="00EE5EE9" w:rsidP="00E52362">
      <w:pPr>
        <w:widowControl w:val="0"/>
        <w:spacing w:line="240" w:lineRule="auto"/>
        <w:jc w:val="both"/>
        <w:rPr>
          <w:rFonts w:ascii="Times New Roman" w:hAnsi="Times New Roman" w:cs="Times New Roman"/>
          <w:sz w:val="24"/>
          <w:szCs w:val="24"/>
        </w:rPr>
      </w:pPr>
    </w:p>
    <w:p w14:paraId="39D42156" w14:textId="6A63819E" w:rsidR="00E52362" w:rsidRPr="00597FFB" w:rsidRDefault="00E52362" w:rsidP="00420F2E">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Concerning the effect on intent to adopt EWR, the results (Table 2</w:t>
      </w:r>
      <w:r w:rsidR="00302C96" w:rsidRPr="00597FFB">
        <w:rPr>
          <w:rFonts w:ascii="Times New Roman" w:hAnsi="Times New Roman" w:cs="Times New Roman"/>
          <w:sz w:val="24"/>
          <w:szCs w:val="24"/>
        </w:rPr>
        <w:t>3</w:t>
      </w:r>
      <w:r w:rsidRPr="00597FFB">
        <w:rPr>
          <w:rFonts w:ascii="Times New Roman" w:hAnsi="Times New Roman" w:cs="Times New Roman"/>
          <w:sz w:val="24"/>
          <w:szCs w:val="24"/>
        </w:rPr>
        <w:t xml:space="preserve"> above) showed that protection motivation has a significant, direct and positive effect on intent to adopt EWR (β = .305; t = 7.029, p &lt; 0.01) thereby informing the confirmation of H4. While both habits (β = -.061; t = -3.419, p &lt; 0.01) and environmental assessment (β = -.306; t = -1.665, p &lt; 0.01) had direct effects on UAE millennials’ intent to adopt EWR in confirmation of hypotheses H5 and H6, the effects were negative. In other words, an increase in the habits and environmental assessment of UAE millennials was likely to trigger a decrease in their intent to adopt EWR. Significant, direct and positive effects of threat appraisal (β = .165; t = 3.104, p &lt; 0.05), coping appraisal (β = .683; t = 2.288, p &lt; 0.05), and EWR information/knowledge (β = .007; t = 0.055, p &lt; 0.01) on intent to adopt EWR were confirmed. Consequently, hypotheses H7, H8, and H9 were confirmed.</w:t>
      </w:r>
    </w:p>
    <w:p w14:paraId="7ADB1459" w14:textId="0F39B558" w:rsidR="00420F2E" w:rsidRPr="00597FFB" w:rsidRDefault="00E52362" w:rsidP="00072848">
      <w:pPr>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In terms of indirect effects, it was confirmed that environmental assessment had significant mediation effects on the relationship between protection motivation and adoption whereas protection motivation was a significant mediator of the effects of both coping appraisal (</w:t>
      </w:r>
      <w:r w:rsidRPr="00597FFB">
        <w:rPr>
          <w:rFonts w:ascii="Times New Roman" w:hAnsi="Times New Roman" w:cs="Times New Roman"/>
          <w:i/>
          <w:iCs/>
          <w:sz w:val="24"/>
          <w:szCs w:val="24"/>
        </w:rPr>
        <w:t>p</w:t>
      </w:r>
      <w:r w:rsidRPr="00597FFB">
        <w:rPr>
          <w:rFonts w:ascii="Times New Roman" w:hAnsi="Times New Roman" w:cs="Times New Roman"/>
          <w:sz w:val="24"/>
          <w:szCs w:val="24"/>
        </w:rPr>
        <w:t xml:space="preserve"> &lt; .01) and threat appraisal (</w:t>
      </w:r>
      <w:r w:rsidRPr="00597FFB">
        <w:rPr>
          <w:rFonts w:ascii="Times New Roman" w:hAnsi="Times New Roman" w:cs="Times New Roman"/>
          <w:i/>
          <w:iCs/>
          <w:sz w:val="24"/>
          <w:szCs w:val="24"/>
        </w:rPr>
        <w:t>p</w:t>
      </w:r>
      <w:r w:rsidRPr="00597FFB">
        <w:rPr>
          <w:rFonts w:ascii="Times New Roman" w:hAnsi="Times New Roman" w:cs="Times New Roman"/>
          <w:sz w:val="24"/>
          <w:szCs w:val="24"/>
        </w:rPr>
        <w:t xml:space="preserve"> &lt; .01). Similarly, protection motivation was not a significant mediator of the effect of EWR information/knowledge on intent to adopt EWR, as shown in Table 2</w:t>
      </w:r>
      <w:r w:rsidR="00C348C7" w:rsidRPr="00597FFB">
        <w:rPr>
          <w:rFonts w:ascii="Times New Roman" w:hAnsi="Times New Roman" w:cs="Times New Roman"/>
          <w:sz w:val="24"/>
          <w:szCs w:val="24"/>
        </w:rPr>
        <w:t>4</w:t>
      </w:r>
      <w:r w:rsidRPr="00597FFB">
        <w:rPr>
          <w:rFonts w:ascii="Times New Roman" w:hAnsi="Times New Roman" w:cs="Times New Roman"/>
          <w:sz w:val="24"/>
          <w:szCs w:val="24"/>
        </w:rPr>
        <w:t>. The moderation effects of protection motivation on the effect of coping appraisal and threat appraisal were also confirmed, as shown in Table 2</w:t>
      </w:r>
      <w:r w:rsidR="00C348C7" w:rsidRPr="00597FFB">
        <w:rPr>
          <w:rFonts w:ascii="Times New Roman" w:hAnsi="Times New Roman" w:cs="Times New Roman"/>
          <w:sz w:val="24"/>
          <w:szCs w:val="24"/>
        </w:rPr>
        <w:t>5</w:t>
      </w:r>
      <w:r w:rsidRPr="00597FFB">
        <w:rPr>
          <w:rFonts w:ascii="Times New Roman" w:hAnsi="Times New Roman" w:cs="Times New Roman"/>
          <w:sz w:val="24"/>
          <w:szCs w:val="24"/>
        </w:rPr>
        <w:t>.</w:t>
      </w:r>
      <w:r w:rsidR="006040E8" w:rsidRPr="00597FFB">
        <w:rPr>
          <w:rFonts w:ascii="Times New Roman" w:hAnsi="Times New Roman" w:cs="Times New Roman"/>
          <w:sz w:val="24"/>
          <w:szCs w:val="24"/>
        </w:rPr>
        <w:t xml:space="preserve"> </w:t>
      </w:r>
      <w:r w:rsidR="00241031" w:rsidRPr="00597FFB">
        <w:rPr>
          <w:rFonts w:ascii="Times New Roman" w:hAnsi="Times New Roman" w:cs="Times New Roman"/>
          <w:sz w:val="24"/>
          <w:szCs w:val="24"/>
        </w:rPr>
        <w:t xml:space="preserve"> </w:t>
      </w:r>
    </w:p>
    <w:p w14:paraId="23B82C2C" w14:textId="34BB346D" w:rsidR="006040E8" w:rsidRPr="00597FFB" w:rsidRDefault="006040E8" w:rsidP="006040E8">
      <w:pPr>
        <w:spacing w:line="276" w:lineRule="auto"/>
        <w:jc w:val="both"/>
        <w:rPr>
          <w:rFonts w:asciiTheme="majorBidi" w:hAnsiTheme="majorBidi" w:cstheme="majorBidi"/>
          <w:b/>
          <w:bCs/>
        </w:rPr>
      </w:pPr>
      <w:r w:rsidRPr="00597FFB">
        <w:rPr>
          <w:rFonts w:asciiTheme="majorBidi" w:hAnsiTheme="majorBidi" w:cstheme="majorBidi"/>
          <w:b/>
          <w:bCs/>
        </w:rPr>
        <w:t>Table 2</w:t>
      </w:r>
      <w:r w:rsidR="00607DF3" w:rsidRPr="00597FFB">
        <w:rPr>
          <w:rFonts w:asciiTheme="majorBidi" w:hAnsiTheme="majorBidi" w:cstheme="majorBidi"/>
          <w:b/>
          <w:bCs/>
        </w:rPr>
        <w:t>4</w:t>
      </w:r>
      <w:r w:rsidRPr="00597FFB">
        <w:rPr>
          <w:rFonts w:asciiTheme="majorBidi" w:hAnsiTheme="majorBidi" w:cstheme="majorBidi"/>
          <w:b/>
          <w:bCs/>
        </w:rPr>
        <w:t xml:space="preserve">: </w:t>
      </w:r>
      <w:r w:rsidRPr="00597FFB">
        <w:rPr>
          <w:rFonts w:asciiTheme="majorBidi" w:hAnsiTheme="majorBidi" w:cstheme="majorBidi"/>
          <w:i/>
          <w:iCs/>
        </w:rPr>
        <w:t xml:space="preserve">Results </w:t>
      </w:r>
      <w:r w:rsidR="00072848" w:rsidRPr="00597FFB">
        <w:rPr>
          <w:rFonts w:asciiTheme="majorBidi" w:hAnsiTheme="majorBidi" w:cstheme="majorBidi"/>
          <w:i/>
          <w:iCs/>
        </w:rPr>
        <w:t>o</w:t>
      </w:r>
      <w:r w:rsidRPr="00597FFB">
        <w:rPr>
          <w:rFonts w:asciiTheme="majorBidi" w:hAnsiTheme="majorBidi" w:cstheme="majorBidi"/>
          <w:i/>
          <w:iCs/>
        </w:rPr>
        <w:t xml:space="preserve">f </w:t>
      </w:r>
      <w:r w:rsidR="00072848" w:rsidRPr="00597FFB">
        <w:rPr>
          <w:rFonts w:asciiTheme="majorBidi" w:hAnsiTheme="majorBidi" w:cstheme="majorBidi"/>
          <w:i/>
          <w:iCs/>
        </w:rPr>
        <w:t>t</w:t>
      </w:r>
      <w:r w:rsidRPr="00597FFB">
        <w:rPr>
          <w:rFonts w:asciiTheme="majorBidi" w:hAnsiTheme="majorBidi" w:cstheme="majorBidi"/>
          <w:i/>
          <w:iCs/>
        </w:rPr>
        <w:t xml:space="preserve">he Mediation </w:t>
      </w:r>
      <w:r w:rsidR="00072848" w:rsidRPr="00597FFB">
        <w:rPr>
          <w:rFonts w:asciiTheme="majorBidi" w:hAnsiTheme="majorBidi" w:cstheme="majorBidi"/>
          <w:i/>
          <w:iCs/>
        </w:rPr>
        <w:t>o</w:t>
      </w:r>
      <w:r w:rsidRPr="00597FFB">
        <w:rPr>
          <w:rFonts w:asciiTheme="majorBidi" w:hAnsiTheme="majorBidi" w:cstheme="majorBidi"/>
          <w:i/>
          <w:iCs/>
        </w:rPr>
        <w:t xml:space="preserve">f Protection Motivation </w:t>
      </w:r>
      <w:r w:rsidR="00072848" w:rsidRPr="00597FFB">
        <w:rPr>
          <w:rFonts w:asciiTheme="majorBidi" w:hAnsiTheme="majorBidi" w:cstheme="majorBidi"/>
          <w:i/>
          <w:iCs/>
        </w:rPr>
        <w:t>i</w:t>
      </w:r>
      <w:r w:rsidRPr="00597FFB">
        <w:rPr>
          <w:rFonts w:asciiTheme="majorBidi" w:hAnsiTheme="majorBidi" w:cstheme="majorBidi"/>
          <w:i/>
          <w:iCs/>
        </w:rPr>
        <w:t xml:space="preserve">n </w:t>
      </w:r>
      <w:r w:rsidR="00072848" w:rsidRPr="00597FFB">
        <w:rPr>
          <w:rFonts w:asciiTheme="majorBidi" w:hAnsiTheme="majorBidi" w:cstheme="majorBidi"/>
          <w:i/>
          <w:iCs/>
        </w:rPr>
        <w:t>t</w:t>
      </w:r>
      <w:r w:rsidRPr="00597FFB">
        <w:rPr>
          <w:rFonts w:asciiTheme="majorBidi" w:hAnsiTheme="majorBidi" w:cstheme="majorBidi"/>
          <w:i/>
          <w:iCs/>
        </w:rPr>
        <w:t xml:space="preserve">he Effect </w:t>
      </w:r>
      <w:r w:rsidR="00072848" w:rsidRPr="00597FFB">
        <w:rPr>
          <w:rFonts w:asciiTheme="majorBidi" w:hAnsiTheme="majorBidi" w:cstheme="majorBidi"/>
          <w:i/>
          <w:iCs/>
        </w:rPr>
        <w:t>o</w:t>
      </w:r>
      <w:r w:rsidRPr="00597FFB">
        <w:rPr>
          <w:rFonts w:asciiTheme="majorBidi" w:hAnsiTheme="majorBidi" w:cstheme="majorBidi"/>
          <w:i/>
          <w:iCs/>
        </w:rPr>
        <w:t xml:space="preserve">f EWR Information/Knowledge, Threat </w:t>
      </w:r>
      <w:r w:rsidR="00072848" w:rsidRPr="00597FFB">
        <w:rPr>
          <w:rFonts w:asciiTheme="majorBidi" w:hAnsiTheme="majorBidi" w:cstheme="majorBidi"/>
          <w:i/>
          <w:iCs/>
        </w:rPr>
        <w:t>Appraisal, and</w:t>
      </w:r>
      <w:r w:rsidRPr="00597FFB">
        <w:rPr>
          <w:rFonts w:asciiTheme="majorBidi" w:hAnsiTheme="majorBidi" w:cstheme="majorBidi"/>
          <w:i/>
          <w:iCs/>
        </w:rPr>
        <w:t xml:space="preserve"> Coping Appraisa</w:t>
      </w:r>
      <w:r w:rsidR="00072848" w:rsidRPr="00597FFB">
        <w:rPr>
          <w:rFonts w:asciiTheme="majorBidi" w:hAnsiTheme="majorBidi" w:cstheme="majorBidi"/>
          <w:i/>
          <w:iCs/>
        </w:rPr>
        <w:t>l o</w:t>
      </w:r>
      <w:r w:rsidRPr="00597FFB">
        <w:rPr>
          <w:rFonts w:asciiTheme="majorBidi" w:hAnsiTheme="majorBidi" w:cstheme="majorBidi"/>
          <w:i/>
          <w:iCs/>
        </w:rPr>
        <w:t xml:space="preserve">n Intent </w:t>
      </w:r>
      <w:r w:rsidR="00072848" w:rsidRPr="00597FFB">
        <w:rPr>
          <w:rFonts w:asciiTheme="majorBidi" w:hAnsiTheme="majorBidi" w:cstheme="majorBidi"/>
          <w:i/>
          <w:iCs/>
        </w:rPr>
        <w:t>t</w:t>
      </w:r>
      <w:r w:rsidRPr="00597FFB">
        <w:rPr>
          <w:rFonts w:asciiTheme="majorBidi" w:hAnsiTheme="majorBidi" w:cstheme="majorBidi"/>
          <w:i/>
          <w:iCs/>
        </w:rPr>
        <w:t>o Adopt EWR.</w:t>
      </w:r>
    </w:p>
    <w:p w14:paraId="69487EF4" w14:textId="2B485536" w:rsidR="00E52362" w:rsidRPr="00597FFB" w:rsidRDefault="00E52362" w:rsidP="00E52362">
      <w:pPr>
        <w:pStyle w:val="Caption"/>
        <w:keepNext/>
        <w:widowControl w:val="0"/>
        <w:rPr>
          <w:rFonts w:cs="Times New Roman"/>
          <w:sz w:val="22"/>
        </w:rPr>
      </w:pPr>
      <w:bookmarkStart w:id="256" w:name="_Hlk125797549"/>
    </w:p>
    <w:tbl>
      <w:tblPr>
        <w:tblW w:w="7131" w:type="dxa"/>
        <w:tblBorders>
          <w:top w:val="single" w:sz="4" w:space="0" w:color="auto"/>
          <w:bottom w:val="single" w:sz="4" w:space="0" w:color="auto"/>
        </w:tblBorders>
        <w:tblLayout w:type="fixed"/>
        <w:tblLook w:val="04A0" w:firstRow="1" w:lastRow="0" w:firstColumn="1" w:lastColumn="0" w:noHBand="0" w:noVBand="1"/>
      </w:tblPr>
      <w:tblGrid>
        <w:gridCol w:w="1170"/>
        <w:gridCol w:w="1440"/>
        <w:gridCol w:w="630"/>
        <w:gridCol w:w="450"/>
        <w:gridCol w:w="990"/>
        <w:gridCol w:w="891"/>
        <w:gridCol w:w="891"/>
        <w:gridCol w:w="669"/>
      </w:tblGrid>
      <w:tr w:rsidR="00EE5EE9" w:rsidRPr="00597FFB" w14:paraId="519D5299" w14:textId="77777777" w:rsidTr="000E48F1">
        <w:trPr>
          <w:trHeight w:val="173"/>
          <w:tblHeader/>
        </w:trPr>
        <w:tc>
          <w:tcPr>
            <w:tcW w:w="1170" w:type="dxa"/>
            <w:tcBorders>
              <w:top w:val="single" w:sz="4" w:space="0" w:color="auto"/>
              <w:bottom w:val="single" w:sz="4" w:space="0" w:color="auto"/>
            </w:tcBorders>
            <w:tcMar>
              <w:top w:w="15" w:type="dxa"/>
              <w:left w:w="140" w:type="dxa"/>
              <w:bottom w:w="15" w:type="dxa"/>
              <w:right w:w="140" w:type="dxa"/>
            </w:tcMar>
            <w:vAlign w:val="center"/>
            <w:hideMark/>
          </w:tcPr>
          <w:p w14:paraId="7193C2E3" w14:textId="77777777" w:rsidR="00EE5EE9" w:rsidRPr="00597FFB" w:rsidRDefault="00EE5EE9" w:rsidP="000E48F1">
            <w:pPr>
              <w:widowControl w:val="0"/>
              <w:spacing w:after="0" w:line="240" w:lineRule="auto"/>
              <w:rPr>
                <w:b/>
                <w:bCs/>
              </w:rPr>
            </w:pPr>
            <w:bookmarkStart w:id="257" w:name="_Hlk120895864"/>
            <w:bookmarkEnd w:id="256"/>
          </w:p>
        </w:tc>
        <w:tc>
          <w:tcPr>
            <w:tcW w:w="1440" w:type="dxa"/>
            <w:tcBorders>
              <w:top w:val="single" w:sz="4" w:space="0" w:color="auto"/>
              <w:bottom w:val="single" w:sz="4" w:space="0" w:color="auto"/>
            </w:tcBorders>
            <w:tcMar>
              <w:top w:w="15" w:type="dxa"/>
              <w:left w:w="140" w:type="dxa"/>
              <w:bottom w:w="15" w:type="dxa"/>
              <w:right w:w="140" w:type="dxa"/>
            </w:tcMar>
            <w:vAlign w:val="center"/>
            <w:hideMark/>
          </w:tcPr>
          <w:p w14:paraId="4CA86950"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CEAXCPM</w:t>
            </w:r>
          </w:p>
        </w:tc>
        <w:tc>
          <w:tcPr>
            <w:tcW w:w="630" w:type="dxa"/>
            <w:tcBorders>
              <w:top w:val="single" w:sz="4" w:space="0" w:color="auto"/>
              <w:bottom w:val="single" w:sz="4" w:space="0" w:color="auto"/>
            </w:tcBorders>
            <w:tcMar>
              <w:top w:w="15" w:type="dxa"/>
              <w:left w:w="140" w:type="dxa"/>
              <w:bottom w:w="15" w:type="dxa"/>
              <w:right w:w="140" w:type="dxa"/>
            </w:tcMar>
            <w:vAlign w:val="center"/>
            <w:hideMark/>
          </w:tcPr>
          <w:p w14:paraId="73DCFCCC"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EA</w:t>
            </w:r>
          </w:p>
        </w:tc>
        <w:tc>
          <w:tcPr>
            <w:tcW w:w="450" w:type="dxa"/>
            <w:tcBorders>
              <w:top w:val="single" w:sz="4" w:space="0" w:color="auto"/>
              <w:bottom w:val="single" w:sz="4" w:space="0" w:color="auto"/>
            </w:tcBorders>
            <w:tcMar>
              <w:top w:w="15" w:type="dxa"/>
              <w:left w:w="140" w:type="dxa"/>
              <w:bottom w:w="15" w:type="dxa"/>
              <w:right w:w="140" w:type="dxa"/>
            </w:tcMar>
            <w:vAlign w:val="center"/>
            <w:hideMark/>
          </w:tcPr>
          <w:p w14:paraId="7FDB1D09"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H</w:t>
            </w:r>
          </w:p>
        </w:tc>
        <w:tc>
          <w:tcPr>
            <w:tcW w:w="990" w:type="dxa"/>
            <w:tcBorders>
              <w:top w:val="single" w:sz="4" w:space="0" w:color="auto"/>
              <w:bottom w:val="single" w:sz="4" w:space="0" w:color="auto"/>
            </w:tcBorders>
            <w:tcMar>
              <w:top w:w="15" w:type="dxa"/>
              <w:left w:w="140" w:type="dxa"/>
              <w:bottom w:w="15" w:type="dxa"/>
              <w:right w:w="140" w:type="dxa"/>
            </w:tcMar>
            <w:vAlign w:val="center"/>
            <w:hideMark/>
          </w:tcPr>
          <w:p w14:paraId="13F5D716"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KEWR</w:t>
            </w:r>
          </w:p>
        </w:tc>
        <w:tc>
          <w:tcPr>
            <w:tcW w:w="891" w:type="dxa"/>
            <w:tcBorders>
              <w:top w:val="single" w:sz="4" w:space="0" w:color="auto"/>
              <w:bottom w:val="single" w:sz="4" w:space="0" w:color="auto"/>
            </w:tcBorders>
            <w:tcMar>
              <w:top w:w="15" w:type="dxa"/>
              <w:left w:w="140" w:type="dxa"/>
              <w:bottom w:w="15" w:type="dxa"/>
              <w:right w:w="140" w:type="dxa"/>
            </w:tcMar>
            <w:vAlign w:val="center"/>
            <w:hideMark/>
          </w:tcPr>
          <w:p w14:paraId="5949215C"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CA</w:t>
            </w:r>
          </w:p>
        </w:tc>
        <w:tc>
          <w:tcPr>
            <w:tcW w:w="891" w:type="dxa"/>
            <w:tcBorders>
              <w:top w:val="single" w:sz="4" w:space="0" w:color="auto"/>
              <w:bottom w:val="single" w:sz="4" w:space="0" w:color="auto"/>
            </w:tcBorders>
            <w:tcMar>
              <w:top w:w="15" w:type="dxa"/>
              <w:left w:w="140" w:type="dxa"/>
              <w:bottom w:w="15" w:type="dxa"/>
              <w:right w:w="140" w:type="dxa"/>
            </w:tcMar>
            <w:vAlign w:val="center"/>
            <w:hideMark/>
          </w:tcPr>
          <w:p w14:paraId="6591B35E"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TA</w:t>
            </w:r>
          </w:p>
        </w:tc>
        <w:tc>
          <w:tcPr>
            <w:tcW w:w="669" w:type="dxa"/>
            <w:tcBorders>
              <w:top w:val="single" w:sz="4" w:space="0" w:color="auto"/>
              <w:bottom w:val="single" w:sz="4" w:space="0" w:color="auto"/>
            </w:tcBorders>
            <w:tcMar>
              <w:top w:w="15" w:type="dxa"/>
              <w:left w:w="140" w:type="dxa"/>
              <w:bottom w:w="15" w:type="dxa"/>
              <w:right w:w="140" w:type="dxa"/>
            </w:tcMar>
            <w:vAlign w:val="center"/>
            <w:hideMark/>
          </w:tcPr>
          <w:p w14:paraId="219AFB09"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PM</w:t>
            </w:r>
          </w:p>
        </w:tc>
      </w:tr>
      <w:tr w:rsidR="00EE5EE9" w:rsidRPr="00597FFB" w14:paraId="03B185F1" w14:textId="77777777" w:rsidTr="000E48F1">
        <w:trPr>
          <w:trHeight w:val="347"/>
        </w:trPr>
        <w:tc>
          <w:tcPr>
            <w:tcW w:w="1170" w:type="dxa"/>
            <w:tcBorders>
              <w:top w:val="single" w:sz="4" w:space="0" w:color="auto"/>
            </w:tcBorders>
            <w:tcMar>
              <w:top w:w="15" w:type="dxa"/>
              <w:left w:w="140" w:type="dxa"/>
              <w:bottom w:w="15" w:type="dxa"/>
              <w:right w:w="140" w:type="dxa"/>
            </w:tcMar>
            <w:vAlign w:val="center"/>
            <w:hideMark/>
          </w:tcPr>
          <w:p w14:paraId="1B76989E"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H10. PM</w:t>
            </w:r>
          </w:p>
        </w:tc>
        <w:tc>
          <w:tcPr>
            <w:tcW w:w="1440" w:type="dxa"/>
            <w:tcBorders>
              <w:top w:val="single" w:sz="4" w:space="0" w:color="auto"/>
            </w:tcBorders>
            <w:tcMar>
              <w:top w:w="15" w:type="dxa"/>
              <w:left w:w="140" w:type="dxa"/>
              <w:bottom w:w="15" w:type="dxa"/>
              <w:right w:w="140" w:type="dxa"/>
            </w:tcMar>
            <w:vAlign w:val="center"/>
            <w:hideMark/>
          </w:tcPr>
          <w:p w14:paraId="2FC9A17E"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630" w:type="dxa"/>
            <w:tcBorders>
              <w:top w:val="single" w:sz="4" w:space="0" w:color="auto"/>
            </w:tcBorders>
            <w:tcMar>
              <w:top w:w="15" w:type="dxa"/>
              <w:left w:w="140" w:type="dxa"/>
              <w:bottom w:w="15" w:type="dxa"/>
              <w:right w:w="140" w:type="dxa"/>
            </w:tcMar>
            <w:vAlign w:val="center"/>
            <w:hideMark/>
          </w:tcPr>
          <w:p w14:paraId="65452C2C"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450" w:type="dxa"/>
            <w:tcBorders>
              <w:top w:val="single" w:sz="4" w:space="0" w:color="auto"/>
            </w:tcBorders>
            <w:tcMar>
              <w:top w:w="15" w:type="dxa"/>
              <w:left w:w="140" w:type="dxa"/>
              <w:bottom w:w="15" w:type="dxa"/>
              <w:right w:w="140" w:type="dxa"/>
            </w:tcMar>
            <w:vAlign w:val="center"/>
            <w:hideMark/>
          </w:tcPr>
          <w:p w14:paraId="29BC862D"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990" w:type="dxa"/>
            <w:tcBorders>
              <w:top w:val="single" w:sz="4" w:space="0" w:color="auto"/>
            </w:tcBorders>
            <w:tcMar>
              <w:top w:w="15" w:type="dxa"/>
              <w:left w:w="140" w:type="dxa"/>
              <w:bottom w:w="15" w:type="dxa"/>
              <w:right w:w="140" w:type="dxa"/>
            </w:tcMar>
            <w:vAlign w:val="center"/>
            <w:hideMark/>
          </w:tcPr>
          <w:p w14:paraId="40743F4B"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891" w:type="dxa"/>
            <w:tcBorders>
              <w:top w:val="single" w:sz="4" w:space="0" w:color="auto"/>
            </w:tcBorders>
            <w:tcMar>
              <w:top w:w="15" w:type="dxa"/>
              <w:left w:w="140" w:type="dxa"/>
              <w:bottom w:w="15" w:type="dxa"/>
              <w:right w:w="140" w:type="dxa"/>
            </w:tcMar>
            <w:vAlign w:val="center"/>
            <w:hideMark/>
          </w:tcPr>
          <w:p w14:paraId="46ACFD02"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891" w:type="dxa"/>
            <w:tcBorders>
              <w:top w:val="single" w:sz="4" w:space="0" w:color="auto"/>
            </w:tcBorders>
            <w:tcMar>
              <w:top w:w="15" w:type="dxa"/>
              <w:left w:w="140" w:type="dxa"/>
              <w:bottom w:w="15" w:type="dxa"/>
              <w:right w:w="140" w:type="dxa"/>
            </w:tcMar>
            <w:vAlign w:val="center"/>
            <w:hideMark/>
          </w:tcPr>
          <w:p w14:paraId="75730A9E"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669" w:type="dxa"/>
            <w:tcBorders>
              <w:top w:val="single" w:sz="4" w:space="0" w:color="auto"/>
            </w:tcBorders>
            <w:tcMar>
              <w:top w:w="15" w:type="dxa"/>
              <w:left w:w="140" w:type="dxa"/>
              <w:bottom w:w="15" w:type="dxa"/>
              <w:right w:w="140" w:type="dxa"/>
            </w:tcMar>
            <w:vAlign w:val="center"/>
            <w:hideMark/>
          </w:tcPr>
          <w:p w14:paraId="596B47E2"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r>
      <w:tr w:rsidR="00EE5EE9" w:rsidRPr="00597FFB" w14:paraId="79FD4F5D" w14:textId="77777777" w:rsidTr="000E48F1">
        <w:trPr>
          <w:trHeight w:val="335"/>
        </w:trPr>
        <w:tc>
          <w:tcPr>
            <w:tcW w:w="1170" w:type="dxa"/>
            <w:tcBorders>
              <w:bottom w:val="single" w:sz="4" w:space="0" w:color="auto"/>
            </w:tcBorders>
            <w:tcMar>
              <w:top w:w="15" w:type="dxa"/>
              <w:left w:w="140" w:type="dxa"/>
              <w:bottom w:w="15" w:type="dxa"/>
              <w:right w:w="140" w:type="dxa"/>
            </w:tcMar>
            <w:vAlign w:val="center"/>
            <w:hideMark/>
          </w:tcPr>
          <w:p w14:paraId="4C6C240D"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H11. AD</w:t>
            </w:r>
          </w:p>
        </w:tc>
        <w:tc>
          <w:tcPr>
            <w:tcW w:w="1440" w:type="dxa"/>
            <w:tcBorders>
              <w:bottom w:val="single" w:sz="4" w:space="0" w:color="auto"/>
            </w:tcBorders>
            <w:tcMar>
              <w:top w:w="15" w:type="dxa"/>
              <w:left w:w="140" w:type="dxa"/>
              <w:bottom w:w="15" w:type="dxa"/>
              <w:right w:w="140" w:type="dxa"/>
            </w:tcMar>
            <w:vAlign w:val="center"/>
            <w:hideMark/>
          </w:tcPr>
          <w:p w14:paraId="6BAFD4B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630" w:type="dxa"/>
            <w:tcBorders>
              <w:bottom w:val="single" w:sz="4" w:space="0" w:color="auto"/>
            </w:tcBorders>
            <w:tcMar>
              <w:top w:w="15" w:type="dxa"/>
              <w:left w:w="140" w:type="dxa"/>
              <w:bottom w:w="15" w:type="dxa"/>
              <w:right w:w="140" w:type="dxa"/>
            </w:tcMar>
            <w:vAlign w:val="center"/>
            <w:hideMark/>
          </w:tcPr>
          <w:p w14:paraId="53809A6B"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450" w:type="dxa"/>
            <w:tcBorders>
              <w:bottom w:val="single" w:sz="4" w:space="0" w:color="auto"/>
            </w:tcBorders>
            <w:tcMar>
              <w:top w:w="15" w:type="dxa"/>
              <w:left w:w="140" w:type="dxa"/>
              <w:bottom w:w="15" w:type="dxa"/>
              <w:right w:w="140" w:type="dxa"/>
            </w:tcMar>
            <w:vAlign w:val="center"/>
            <w:hideMark/>
          </w:tcPr>
          <w:p w14:paraId="07B0D337"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990" w:type="dxa"/>
            <w:tcBorders>
              <w:bottom w:val="single" w:sz="4" w:space="0" w:color="auto"/>
            </w:tcBorders>
            <w:tcMar>
              <w:top w:w="15" w:type="dxa"/>
              <w:left w:w="140" w:type="dxa"/>
              <w:bottom w:w="15" w:type="dxa"/>
              <w:right w:w="140" w:type="dxa"/>
            </w:tcMar>
            <w:vAlign w:val="center"/>
            <w:hideMark/>
          </w:tcPr>
          <w:p w14:paraId="25A39E61"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.693</w:t>
            </w:r>
          </w:p>
        </w:tc>
        <w:tc>
          <w:tcPr>
            <w:tcW w:w="891" w:type="dxa"/>
            <w:tcBorders>
              <w:bottom w:val="single" w:sz="4" w:space="0" w:color="auto"/>
            </w:tcBorders>
            <w:tcMar>
              <w:top w:w="15" w:type="dxa"/>
              <w:left w:w="140" w:type="dxa"/>
              <w:bottom w:w="15" w:type="dxa"/>
              <w:right w:w="140" w:type="dxa"/>
            </w:tcMar>
            <w:vAlign w:val="center"/>
            <w:hideMark/>
          </w:tcPr>
          <w:p w14:paraId="10FFA7F6"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891" w:type="dxa"/>
            <w:tcBorders>
              <w:bottom w:val="single" w:sz="4" w:space="0" w:color="auto"/>
            </w:tcBorders>
            <w:tcMar>
              <w:top w:w="15" w:type="dxa"/>
              <w:left w:w="140" w:type="dxa"/>
              <w:bottom w:w="15" w:type="dxa"/>
              <w:right w:w="140" w:type="dxa"/>
            </w:tcMar>
            <w:vAlign w:val="center"/>
            <w:hideMark/>
          </w:tcPr>
          <w:p w14:paraId="3ADB4F1A"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669" w:type="dxa"/>
            <w:tcBorders>
              <w:bottom w:val="single" w:sz="4" w:space="0" w:color="auto"/>
            </w:tcBorders>
            <w:tcMar>
              <w:top w:w="15" w:type="dxa"/>
              <w:left w:w="140" w:type="dxa"/>
              <w:bottom w:w="15" w:type="dxa"/>
              <w:right w:w="140" w:type="dxa"/>
            </w:tcMar>
            <w:vAlign w:val="center"/>
            <w:hideMark/>
          </w:tcPr>
          <w:p w14:paraId="0A765DE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r>
      <w:tr w:rsidR="00EE5EE9" w:rsidRPr="00597FFB" w14:paraId="30DC47F3" w14:textId="77777777" w:rsidTr="000E48F1">
        <w:trPr>
          <w:trHeight w:val="428"/>
        </w:trPr>
        <w:tc>
          <w:tcPr>
            <w:tcW w:w="7127" w:type="dxa"/>
            <w:gridSpan w:val="8"/>
            <w:tcBorders>
              <w:top w:val="single" w:sz="4" w:space="0" w:color="auto"/>
              <w:bottom w:val="single" w:sz="4" w:space="0" w:color="auto"/>
            </w:tcBorders>
            <w:tcMar>
              <w:top w:w="15" w:type="dxa"/>
              <w:left w:w="140" w:type="dxa"/>
              <w:bottom w:w="15" w:type="dxa"/>
              <w:right w:w="140" w:type="dxa"/>
            </w:tcMar>
            <w:vAlign w:val="center"/>
          </w:tcPr>
          <w:p w14:paraId="05DAAAEF" w14:textId="77777777" w:rsidR="00EE5EE9" w:rsidRPr="00597FFB" w:rsidRDefault="00EE5EE9" w:rsidP="000E48F1">
            <w:pPr>
              <w:widowControl w:val="0"/>
              <w:spacing w:after="0" w:line="240" w:lineRule="auto"/>
              <w:rPr>
                <w:rFonts w:ascii="Times New Roman" w:eastAsia="Times New Roman" w:hAnsi="Times New Roman" w:cs="Times New Roman"/>
                <w:sz w:val="24"/>
                <w:szCs w:val="24"/>
              </w:rPr>
            </w:pPr>
            <w:r w:rsidRPr="00597FFB">
              <w:rPr>
                <w:rFonts w:ascii="Times New Roman" w:hAnsi="Times New Roman" w:cs="Times New Roman"/>
                <w:b/>
                <w:bCs/>
                <w:sz w:val="20"/>
                <w:szCs w:val="20"/>
              </w:rPr>
              <w:t>Notes:</w:t>
            </w:r>
            <w:r w:rsidRPr="00597FFB">
              <w:rPr>
                <w:rFonts w:ascii="Times New Roman" w:hAnsi="Times New Roman" w:cs="Times New Roman"/>
                <w:sz w:val="20"/>
                <w:szCs w:val="20"/>
              </w:rPr>
              <w:t xml:space="preserve"> TA Threat appraisal, CA Coping appraisal, PM Protection Motivation, EA Environment Assessment, KEWR Information/knowledge about EWR, H Habits, AD Adoption Of EWR Behavior.</w:t>
            </w:r>
          </w:p>
        </w:tc>
      </w:tr>
      <w:bookmarkEnd w:id="257"/>
    </w:tbl>
    <w:p w14:paraId="5EF1F061" w14:textId="77777777" w:rsidR="00072848" w:rsidRPr="00597FFB" w:rsidRDefault="00072848" w:rsidP="00241031">
      <w:pPr>
        <w:rPr>
          <w:rFonts w:asciiTheme="majorBidi" w:hAnsiTheme="majorBidi" w:cstheme="majorBidi"/>
          <w:b/>
          <w:bCs/>
        </w:rPr>
      </w:pPr>
    </w:p>
    <w:p w14:paraId="42D7FAFD" w14:textId="1A77B1A1" w:rsidR="00241031" w:rsidRPr="00597FFB" w:rsidRDefault="00241031" w:rsidP="00241031">
      <w:r w:rsidRPr="00597FFB">
        <w:rPr>
          <w:rFonts w:asciiTheme="majorBidi" w:hAnsiTheme="majorBidi" w:cstheme="majorBidi"/>
          <w:b/>
          <w:bCs/>
        </w:rPr>
        <w:t>Table 2</w:t>
      </w:r>
      <w:r w:rsidR="00607DF3" w:rsidRPr="00597FFB">
        <w:rPr>
          <w:rFonts w:asciiTheme="majorBidi" w:hAnsiTheme="majorBidi" w:cstheme="majorBidi"/>
          <w:b/>
          <w:bCs/>
        </w:rPr>
        <w:t>5</w:t>
      </w:r>
      <w:r w:rsidRPr="00597FFB">
        <w:rPr>
          <w:rFonts w:asciiTheme="majorBidi" w:hAnsiTheme="majorBidi" w:cstheme="majorBidi"/>
          <w:b/>
          <w:bCs/>
        </w:rPr>
        <w:t xml:space="preserve">: </w:t>
      </w:r>
      <w:r w:rsidRPr="00597FFB">
        <w:rPr>
          <w:rFonts w:asciiTheme="majorBidi" w:hAnsiTheme="majorBidi" w:cstheme="majorBidi"/>
          <w:i/>
          <w:iCs/>
        </w:rPr>
        <w:t xml:space="preserve">Results </w:t>
      </w:r>
      <w:r w:rsidR="00072848" w:rsidRPr="00597FFB">
        <w:rPr>
          <w:rFonts w:asciiTheme="majorBidi" w:hAnsiTheme="majorBidi" w:cstheme="majorBidi"/>
          <w:i/>
          <w:iCs/>
        </w:rPr>
        <w:t>o</w:t>
      </w:r>
      <w:r w:rsidRPr="00597FFB">
        <w:rPr>
          <w:rFonts w:asciiTheme="majorBidi" w:hAnsiTheme="majorBidi" w:cstheme="majorBidi"/>
          <w:i/>
          <w:iCs/>
        </w:rPr>
        <w:t xml:space="preserve">f </w:t>
      </w:r>
      <w:r w:rsidR="00072848" w:rsidRPr="00597FFB">
        <w:rPr>
          <w:rFonts w:asciiTheme="majorBidi" w:hAnsiTheme="majorBidi" w:cstheme="majorBidi"/>
          <w:i/>
          <w:iCs/>
        </w:rPr>
        <w:t>t</w:t>
      </w:r>
      <w:r w:rsidRPr="00597FFB">
        <w:rPr>
          <w:rFonts w:asciiTheme="majorBidi" w:hAnsiTheme="majorBidi" w:cstheme="majorBidi"/>
          <w:i/>
          <w:iCs/>
        </w:rPr>
        <w:t xml:space="preserve">he Moderation Effect </w:t>
      </w:r>
      <w:r w:rsidR="00072848" w:rsidRPr="00597FFB">
        <w:rPr>
          <w:rFonts w:asciiTheme="majorBidi" w:hAnsiTheme="majorBidi" w:cstheme="majorBidi"/>
          <w:i/>
          <w:iCs/>
        </w:rPr>
        <w:t>o</w:t>
      </w:r>
      <w:r w:rsidRPr="00597FFB">
        <w:rPr>
          <w:rFonts w:asciiTheme="majorBidi" w:hAnsiTheme="majorBidi" w:cstheme="majorBidi"/>
          <w:i/>
          <w:iCs/>
        </w:rPr>
        <w:t xml:space="preserve">f Protection Motivation </w:t>
      </w:r>
      <w:r w:rsidR="00072848" w:rsidRPr="00597FFB">
        <w:rPr>
          <w:rFonts w:asciiTheme="majorBidi" w:hAnsiTheme="majorBidi" w:cstheme="majorBidi"/>
          <w:i/>
          <w:iCs/>
        </w:rPr>
        <w:t>i</w:t>
      </w:r>
      <w:r w:rsidRPr="00597FFB">
        <w:rPr>
          <w:rFonts w:asciiTheme="majorBidi" w:hAnsiTheme="majorBidi" w:cstheme="majorBidi"/>
          <w:i/>
          <w:iCs/>
        </w:rPr>
        <w:t xml:space="preserve">n </w:t>
      </w:r>
      <w:r w:rsidR="00072848" w:rsidRPr="00597FFB">
        <w:rPr>
          <w:rFonts w:asciiTheme="majorBidi" w:hAnsiTheme="majorBidi" w:cstheme="majorBidi"/>
          <w:i/>
          <w:iCs/>
        </w:rPr>
        <w:t>t</w:t>
      </w:r>
      <w:r w:rsidRPr="00597FFB">
        <w:rPr>
          <w:rFonts w:asciiTheme="majorBidi" w:hAnsiTheme="majorBidi" w:cstheme="majorBidi"/>
          <w:i/>
          <w:iCs/>
        </w:rPr>
        <w:t xml:space="preserve">he Effect </w:t>
      </w:r>
      <w:r w:rsidR="00072848" w:rsidRPr="00597FFB">
        <w:rPr>
          <w:rFonts w:asciiTheme="majorBidi" w:hAnsiTheme="majorBidi" w:cstheme="majorBidi"/>
          <w:i/>
          <w:iCs/>
        </w:rPr>
        <w:t>o</w:t>
      </w:r>
      <w:r w:rsidRPr="00597FFB">
        <w:rPr>
          <w:rFonts w:asciiTheme="majorBidi" w:hAnsiTheme="majorBidi" w:cstheme="majorBidi"/>
          <w:i/>
          <w:iCs/>
        </w:rPr>
        <w:t xml:space="preserve">f EWR Information/Knowledge, Threat Appraisal, </w:t>
      </w:r>
      <w:r w:rsidR="00072848" w:rsidRPr="00597FFB">
        <w:rPr>
          <w:rFonts w:asciiTheme="majorBidi" w:hAnsiTheme="majorBidi" w:cstheme="majorBidi"/>
          <w:i/>
          <w:iCs/>
        </w:rPr>
        <w:t>a</w:t>
      </w:r>
      <w:r w:rsidRPr="00597FFB">
        <w:rPr>
          <w:rFonts w:asciiTheme="majorBidi" w:hAnsiTheme="majorBidi" w:cstheme="majorBidi"/>
          <w:i/>
          <w:iCs/>
        </w:rPr>
        <w:t xml:space="preserve">nd Coping Appraisal </w:t>
      </w:r>
      <w:r w:rsidR="00072848" w:rsidRPr="00597FFB">
        <w:rPr>
          <w:rFonts w:asciiTheme="majorBidi" w:hAnsiTheme="majorBidi" w:cstheme="majorBidi"/>
          <w:i/>
          <w:iCs/>
        </w:rPr>
        <w:t>o</w:t>
      </w:r>
      <w:r w:rsidRPr="00597FFB">
        <w:rPr>
          <w:rFonts w:asciiTheme="majorBidi" w:hAnsiTheme="majorBidi" w:cstheme="majorBidi"/>
          <w:i/>
          <w:iCs/>
        </w:rPr>
        <w:t xml:space="preserve">n Intent </w:t>
      </w:r>
      <w:r w:rsidR="00072848" w:rsidRPr="00597FFB">
        <w:rPr>
          <w:rFonts w:asciiTheme="majorBidi" w:hAnsiTheme="majorBidi" w:cstheme="majorBidi"/>
          <w:i/>
          <w:iCs/>
        </w:rPr>
        <w:t>t</w:t>
      </w:r>
      <w:r w:rsidRPr="00597FFB">
        <w:rPr>
          <w:rFonts w:asciiTheme="majorBidi" w:hAnsiTheme="majorBidi" w:cstheme="majorBidi"/>
          <w:i/>
          <w:iCs/>
        </w:rPr>
        <w:t>o Adopt EWR.</w:t>
      </w:r>
      <w:bookmarkStart w:id="258" w:name="_Hlk125797637"/>
    </w:p>
    <w:tbl>
      <w:tblPr>
        <w:tblW w:w="6865" w:type="dxa"/>
        <w:tblBorders>
          <w:top w:val="single" w:sz="4" w:space="0" w:color="auto"/>
          <w:bottom w:val="single" w:sz="4" w:space="0" w:color="auto"/>
        </w:tblBorders>
        <w:tblLayout w:type="fixed"/>
        <w:tblLook w:val="04A0" w:firstRow="1" w:lastRow="0" w:firstColumn="1" w:lastColumn="0" w:noHBand="0" w:noVBand="1"/>
      </w:tblPr>
      <w:tblGrid>
        <w:gridCol w:w="2070"/>
        <w:gridCol w:w="952"/>
        <w:gridCol w:w="668"/>
        <w:gridCol w:w="990"/>
        <w:gridCol w:w="630"/>
        <w:gridCol w:w="810"/>
        <w:gridCol w:w="739"/>
        <w:gridCol w:w="6"/>
      </w:tblGrid>
      <w:tr w:rsidR="00EE5EE9" w:rsidRPr="00597FFB" w14:paraId="3EAD23DE" w14:textId="77777777" w:rsidTr="000E48F1">
        <w:trPr>
          <w:gridAfter w:val="1"/>
          <w:wAfter w:w="6" w:type="dxa"/>
          <w:tblHeader/>
        </w:trPr>
        <w:tc>
          <w:tcPr>
            <w:tcW w:w="2070" w:type="dxa"/>
            <w:tcMar>
              <w:top w:w="15" w:type="dxa"/>
              <w:left w:w="140" w:type="dxa"/>
              <w:bottom w:w="15" w:type="dxa"/>
              <w:right w:w="140" w:type="dxa"/>
            </w:tcMar>
            <w:vAlign w:val="center"/>
            <w:hideMark/>
          </w:tcPr>
          <w:p w14:paraId="7A76DFDC" w14:textId="77777777" w:rsidR="00EE5EE9" w:rsidRPr="00597FFB" w:rsidRDefault="00EE5EE9" w:rsidP="000E48F1">
            <w:pPr>
              <w:widowControl w:val="0"/>
              <w:spacing w:after="0" w:line="240" w:lineRule="auto"/>
              <w:rPr>
                <w:rFonts w:ascii="Times New Roman" w:eastAsia="Times New Roman" w:hAnsi="Times New Roman" w:cs="Times New Roman"/>
                <w:b/>
                <w:bCs/>
              </w:rPr>
            </w:pPr>
            <w:bookmarkStart w:id="259" w:name="_Hlk120895896"/>
            <w:bookmarkEnd w:id="258"/>
            <w:r w:rsidRPr="00597FFB">
              <w:rPr>
                <w:rFonts w:ascii="Times New Roman" w:eastAsia="Times New Roman" w:hAnsi="Times New Roman" w:cs="Times New Roman"/>
                <w:b/>
                <w:bCs/>
              </w:rPr>
              <w:t>H12. CEAXCPM</w:t>
            </w:r>
          </w:p>
        </w:tc>
        <w:tc>
          <w:tcPr>
            <w:tcW w:w="952" w:type="dxa"/>
            <w:tcMar>
              <w:top w:w="15" w:type="dxa"/>
              <w:left w:w="140" w:type="dxa"/>
              <w:bottom w:w="15" w:type="dxa"/>
              <w:right w:w="140" w:type="dxa"/>
            </w:tcMar>
            <w:vAlign w:val="center"/>
            <w:hideMark/>
          </w:tcPr>
          <w:p w14:paraId="3D76E519"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EA</w:t>
            </w:r>
          </w:p>
        </w:tc>
        <w:tc>
          <w:tcPr>
            <w:tcW w:w="668" w:type="dxa"/>
            <w:tcMar>
              <w:top w:w="15" w:type="dxa"/>
              <w:left w:w="140" w:type="dxa"/>
              <w:bottom w:w="15" w:type="dxa"/>
              <w:right w:w="140" w:type="dxa"/>
            </w:tcMar>
            <w:vAlign w:val="center"/>
            <w:hideMark/>
          </w:tcPr>
          <w:p w14:paraId="153FB266"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H</w:t>
            </w:r>
          </w:p>
        </w:tc>
        <w:tc>
          <w:tcPr>
            <w:tcW w:w="990" w:type="dxa"/>
            <w:tcMar>
              <w:top w:w="15" w:type="dxa"/>
              <w:left w:w="140" w:type="dxa"/>
              <w:bottom w:w="15" w:type="dxa"/>
              <w:right w:w="140" w:type="dxa"/>
            </w:tcMar>
            <w:vAlign w:val="center"/>
            <w:hideMark/>
          </w:tcPr>
          <w:p w14:paraId="47AB9D04"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KEWR</w:t>
            </w:r>
          </w:p>
        </w:tc>
        <w:tc>
          <w:tcPr>
            <w:tcW w:w="630" w:type="dxa"/>
            <w:tcMar>
              <w:top w:w="15" w:type="dxa"/>
              <w:left w:w="140" w:type="dxa"/>
              <w:bottom w:w="15" w:type="dxa"/>
              <w:right w:w="140" w:type="dxa"/>
            </w:tcMar>
            <w:vAlign w:val="center"/>
            <w:hideMark/>
          </w:tcPr>
          <w:p w14:paraId="1DB37181"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CA</w:t>
            </w:r>
          </w:p>
        </w:tc>
        <w:tc>
          <w:tcPr>
            <w:tcW w:w="810" w:type="dxa"/>
            <w:tcMar>
              <w:top w:w="15" w:type="dxa"/>
              <w:left w:w="140" w:type="dxa"/>
              <w:bottom w:w="15" w:type="dxa"/>
              <w:right w:w="140" w:type="dxa"/>
            </w:tcMar>
            <w:vAlign w:val="center"/>
            <w:hideMark/>
          </w:tcPr>
          <w:p w14:paraId="08162D8B"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TA</w:t>
            </w:r>
          </w:p>
        </w:tc>
        <w:tc>
          <w:tcPr>
            <w:tcW w:w="739" w:type="dxa"/>
            <w:tcMar>
              <w:top w:w="15" w:type="dxa"/>
              <w:left w:w="140" w:type="dxa"/>
              <w:bottom w:w="15" w:type="dxa"/>
              <w:right w:w="140" w:type="dxa"/>
            </w:tcMar>
            <w:vAlign w:val="center"/>
            <w:hideMark/>
          </w:tcPr>
          <w:p w14:paraId="55DDF281" w14:textId="77777777" w:rsidR="00EE5EE9" w:rsidRPr="00597FFB" w:rsidRDefault="00EE5EE9" w:rsidP="000E48F1">
            <w:pPr>
              <w:widowControl w:val="0"/>
              <w:spacing w:after="0" w:line="240" w:lineRule="auto"/>
              <w:jc w:val="right"/>
              <w:rPr>
                <w:rFonts w:ascii="Times New Roman" w:eastAsia="Times New Roman" w:hAnsi="Times New Roman" w:cs="Times New Roman"/>
                <w:b/>
                <w:bCs/>
              </w:rPr>
            </w:pPr>
            <w:r w:rsidRPr="00597FFB">
              <w:rPr>
                <w:rFonts w:ascii="Times New Roman" w:eastAsia="Times New Roman" w:hAnsi="Times New Roman" w:cs="Times New Roman"/>
                <w:b/>
                <w:bCs/>
              </w:rPr>
              <w:t>PM</w:t>
            </w:r>
          </w:p>
        </w:tc>
      </w:tr>
      <w:tr w:rsidR="00EE5EE9" w:rsidRPr="00597FFB" w14:paraId="3B76C14F" w14:textId="77777777" w:rsidTr="000E48F1">
        <w:trPr>
          <w:gridAfter w:val="1"/>
          <w:wAfter w:w="6" w:type="dxa"/>
        </w:trPr>
        <w:tc>
          <w:tcPr>
            <w:tcW w:w="2070" w:type="dxa"/>
            <w:tcMar>
              <w:top w:w="15" w:type="dxa"/>
              <w:left w:w="140" w:type="dxa"/>
              <w:bottom w:w="15" w:type="dxa"/>
              <w:right w:w="140" w:type="dxa"/>
            </w:tcMar>
            <w:vAlign w:val="center"/>
            <w:hideMark/>
          </w:tcPr>
          <w:p w14:paraId="1345CFCC"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PM</w:t>
            </w:r>
          </w:p>
        </w:tc>
        <w:tc>
          <w:tcPr>
            <w:tcW w:w="952" w:type="dxa"/>
            <w:tcMar>
              <w:top w:w="15" w:type="dxa"/>
              <w:left w:w="140" w:type="dxa"/>
              <w:bottom w:w="15" w:type="dxa"/>
              <w:right w:w="140" w:type="dxa"/>
            </w:tcMar>
            <w:vAlign w:val="center"/>
            <w:hideMark/>
          </w:tcPr>
          <w:p w14:paraId="784177E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668" w:type="dxa"/>
            <w:tcMar>
              <w:top w:w="15" w:type="dxa"/>
              <w:left w:w="140" w:type="dxa"/>
              <w:bottom w:w="15" w:type="dxa"/>
              <w:right w:w="140" w:type="dxa"/>
            </w:tcMar>
            <w:vAlign w:val="center"/>
            <w:hideMark/>
          </w:tcPr>
          <w:p w14:paraId="02A2055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990" w:type="dxa"/>
            <w:tcMar>
              <w:top w:w="15" w:type="dxa"/>
              <w:left w:w="140" w:type="dxa"/>
              <w:bottom w:w="15" w:type="dxa"/>
              <w:right w:w="140" w:type="dxa"/>
            </w:tcMar>
            <w:vAlign w:val="center"/>
            <w:hideMark/>
          </w:tcPr>
          <w:p w14:paraId="1CB33FB5"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w:t>
            </w:r>
          </w:p>
        </w:tc>
        <w:tc>
          <w:tcPr>
            <w:tcW w:w="630" w:type="dxa"/>
            <w:tcMar>
              <w:top w:w="15" w:type="dxa"/>
              <w:left w:w="140" w:type="dxa"/>
              <w:bottom w:w="15" w:type="dxa"/>
              <w:right w:w="140" w:type="dxa"/>
            </w:tcMar>
            <w:vAlign w:val="center"/>
            <w:hideMark/>
          </w:tcPr>
          <w:p w14:paraId="239FD494"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.711</w:t>
            </w:r>
          </w:p>
        </w:tc>
        <w:tc>
          <w:tcPr>
            <w:tcW w:w="810" w:type="dxa"/>
            <w:tcMar>
              <w:top w:w="15" w:type="dxa"/>
              <w:left w:w="140" w:type="dxa"/>
              <w:bottom w:w="15" w:type="dxa"/>
              <w:right w:w="140" w:type="dxa"/>
            </w:tcMar>
            <w:vAlign w:val="center"/>
            <w:hideMark/>
          </w:tcPr>
          <w:p w14:paraId="45AB09BB"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.000</w:t>
            </w:r>
          </w:p>
        </w:tc>
        <w:tc>
          <w:tcPr>
            <w:tcW w:w="739" w:type="dxa"/>
            <w:tcMar>
              <w:top w:w="15" w:type="dxa"/>
              <w:left w:w="140" w:type="dxa"/>
              <w:bottom w:w="15" w:type="dxa"/>
              <w:right w:w="140" w:type="dxa"/>
            </w:tcMar>
            <w:vAlign w:val="center"/>
            <w:hideMark/>
          </w:tcPr>
          <w:p w14:paraId="4DA12E37"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.001</w:t>
            </w:r>
          </w:p>
        </w:tc>
      </w:tr>
      <w:tr w:rsidR="00EE5EE9" w:rsidRPr="00597FFB" w14:paraId="2F7454C7" w14:textId="77777777" w:rsidTr="000E48F1">
        <w:trPr>
          <w:gridAfter w:val="1"/>
          <w:wAfter w:w="6" w:type="dxa"/>
        </w:trPr>
        <w:tc>
          <w:tcPr>
            <w:tcW w:w="2070" w:type="dxa"/>
            <w:tcMar>
              <w:top w:w="15" w:type="dxa"/>
              <w:left w:w="140" w:type="dxa"/>
              <w:bottom w:w="15" w:type="dxa"/>
              <w:right w:w="140" w:type="dxa"/>
            </w:tcMar>
            <w:vAlign w:val="center"/>
            <w:hideMark/>
          </w:tcPr>
          <w:p w14:paraId="55E2B88F" w14:textId="77777777" w:rsidR="00EE5EE9" w:rsidRPr="00597FFB" w:rsidRDefault="00EE5EE9" w:rsidP="000E48F1">
            <w:pPr>
              <w:widowControl w:val="0"/>
              <w:spacing w:after="0" w:line="240" w:lineRule="auto"/>
              <w:rPr>
                <w:rFonts w:ascii="Times New Roman" w:eastAsia="Times New Roman" w:hAnsi="Times New Roman" w:cs="Times New Roman"/>
              </w:rPr>
            </w:pPr>
            <w:r w:rsidRPr="00597FFB">
              <w:rPr>
                <w:rFonts w:ascii="Times New Roman" w:eastAsia="Times New Roman" w:hAnsi="Times New Roman" w:cs="Times New Roman"/>
              </w:rPr>
              <w:t>AD</w:t>
            </w:r>
          </w:p>
        </w:tc>
        <w:tc>
          <w:tcPr>
            <w:tcW w:w="952" w:type="dxa"/>
            <w:tcMar>
              <w:top w:w="15" w:type="dxa"/>
              <w:left w:w="140" w:type="dxa"/>
              <w:bottom w:w="15" w:type="dxa"/>
              <w:right w:w="140" w:type="dxa"/>
            </w:tcMar>
            <w:vAlign w:val="center"/>
            <w:hideMark/>
          </w:tcPr>
          <w:p w14:paraId="75CF1D03"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.198</w:t>
            </w:r>
          </w:p>
        </w:tc>
        <w:tc>
          <w:tcPr>
            <w:tcW w:w="668" w:type="dxa"/>
            <w:tcMar>
              <w:top w:w="15" w:type="dxa"/>
              <w:left w:w="140" w:type="dxa"/>
              <w:bottom w:w="15" w:type="dxa"/>
              <w:right w:w="140" w:type="dxa"/>
            </w:tcMar>
            <w:vAlign w:val="center"/>
            <w:hideMark/>
          </w:tcPr>
          <w:p w14:paraId="2598FED7"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.107</w:t>
            </w:r>
          </w:p>
        </w:tc>
        <w:tc>
          <w:tcPr>
            <w:tcW w:w="990" w:type="dxa"/>
            <w:tcMar>
              <w:top w:w="15" w:type="dxa"/>
              <w:left w:w="140" w:type="dxa"/>
              <w:bottom w:w="15" w:type="dxa"/>
              <w:right w:w="140" w:type="dxa"/>
            </w:tcMar>
            <w:vAlign w:val="center"/>
            <w:hideMark/>
          </w:tcPr>
          <w:p w14:paraId="79755698"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.001</w:t>
            </w:r>
          </w:p>
        </w:tc>
        <w:tc>
          <w:tcPr>
            <w:tcW w:w="630" w:type="dxa"/>
            <w:tcMar>
              <w:top w:w="15" w:type="dxa"/>
              <w:left w:w="140" w:type="dxa"/>
              <w:bottom w:w="15" w:type="dxa"/>
              <w:right w:w="140" w:type="dxa"/>
            </w:tcMar>
            <w:vAlign w:val="center"/>
            <w:hideMark/>
          </w:tcPr>
          <w:p w14:paraId="2587F2EA"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.965</w:t>
            </w:r>
          </w:p>
        </w:tc>
        <w:tc>
          <w:tcPr>
            <w:tcW w:w="810" w:type="dxa"/>
            <w:tcMar>
              <w:top w:w="15" w:type="dxa"/>
              <w:left w:w="140" w:type="dxa"/>
              <w:bottom w:w="15" w:type="dxa"/>
              <w:right w:w="140" w:type="dxa"/>
            </w:tcMar>
            <w:vAlign w:val="center"/>
            <w:hideMark/>
          </w:tcPr>
          <w:p w14:paraId="6B7ED1D9"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.030</w:t>
            </w:r>
          </w:p>
        </w:tc>
        <w:tc>
          <w:tcPr>
            <w:tcW w:w="739" w:type="dxa"/>
            <w:tcMar>
              <w:top w:w="15" w:type="dxa"/>
              <w:left w:w="140" w:type="dxa"/>
              <w:bottom w:w="15" w:type="dxa"/>
              <w:right w:w="140" w:type="dxa"/>
            </w:tcMar>
            <w:vAlign w:val="center"/>
            <w:hideMark/>
          </w:tcPr>
          <w:p w14:paraId="7B455FAC" w14:textId="77777777" w:rsidR="00EE5EE9" w:rsidRPr="00597FFB" w:rsidRDefault="00EE5EE9" w:rsidP="000E48F1">
            <w:pPr>
              <w:widowControl w:val="0"/>
              <w:spacing w:after="0" w:line="240" w:lineRule="auto"/>
              <w:jc w:val="right"/>
              <w:rPr>
                <w:rFonts w:ascii="Times New Roman" w:eastAsia="Times New Roman" w:hAnsi="Times New Roman" w:cs="Times New Roman"/>
                <w:sz w:val="20"/>
                <w:szCs w:val="20"/>
              </w:rPr>
            </w:pPr>
            <w:r w:rsidRPr="00597FFB">
              <w:rPr>
                <w:rFonts w:ascii="Times New Roman" w:eastAsia="Times New Roman" w:hAnsi="Times New Roman" w:cs="Times New Roman"/>
                <w:sz w:val="20"/>
                <w:szCs w:val="20"/>
              </w:rPr>
              <w:t>.004</w:t>
            </w:r>
          </w:p>
        </w:tc>
      </w:tr>
      <w:tr w:rsidR="00EE5EE9" w:rsidRPr="00597FFB" w14:paraId="1D916FC1" w14:textId="77777777" w:rsidTr="000E48F1">
        <w:trPr>
          <w:trHeight w:val="428"/>
        </w:trPr>
        <w:tc>
          <w:tcPr>
            <w:tcW w:w="6865" w:type="dxa"/>
            <w:gridSpan w:val="8"/>
            <w:tcBorders>
              <w:top w:val="single" w:sz="4" w:space="0" w:color="auto"/>
              <w:bottom w:val="single" w:sz="4" w:space="0" w:color="auto"/>
            </w:tcBorders>
            <w:tcMar>
              <w:top w:w="15" w:type="dxa"/>
              <w:left w:w="140" w:type="dxa"/>
              <w:bottom w:w="15" w:type="dxa"/>
              <w:right w:w="140" w:type="dxa"/>
            </w:tcMar>
            <w:vAlign w:val="center"/>
          </w:tcPr>
          <w:p w14:paraId="1CE5238C" w14:textId="77777777" w:rsidR="00EE5EE9" w:rsidRPr="00597FFB" w:rsidRDefault="00EE5EE9" w:rsidP="000E48F1">
            <w:pPr>
              <w:widowControl w:val="0"/>
              <w:spacing w:after="0" w:line="240" w:lineRule="auto"/>
              <w:rPr>
                <w:rFonts w:ascii="Times New Roman" w:eastAsia="Times New Roman" w:hAnsi="Times New Roman" w:cs="Times New Roman"/>
                <w:sz w:val="24"/>
                <w:szCs w:val="24"/>
              </w:rPr>
            </w:pPr>
            <w:r w:rsidRPr="00597FFB">
              <w:rPr>
                <w:rFonts w:ascii="Times New Roman" w:hAnsi="Times New Roman" w:cs="Times New Roman"/>
                <w:b/>
                <w:bCs/>
                <w:sz w:val="20"/>
                <w:szCs w:val="20"/>
              </w:rPr>
              <w:t>Notes:</w:t>
            </w:r>
            <w:r w:rsidRPr="00597FFB">
              <w:rPr>
                <w:rFonts w:ascii="Times New Roman" w:hAnsi="Times New Roman" w:cs="Times New Roman"/>
                <w:sz w:val="20"/>
                <w:szCs w:val="20"/>
              </w:rPr>
              <w:t xml:space="preserve"> TA Threat appraisal, CA Coping appraisal, PM Protection Motivation, EA Environment Assessment, KEWR Information/knowledge about EWR, H Habits, AD Adoption Of EWR Behavior.</w:t>
            </w:r>
          </w:p>
        </w:tc>
      </w:tr>
      <w:bookmarkEnd w:id="259"/>
    </w:tbl>
    <w:p w14:paraId="73AC41EA" w14:textId="77777777" w:rsidR="00EE5EE9" w:rsidRPr="00597FFB" w:rsidRDefault="00EE5EE9" w:rsidP="004E5E6B">
      <w:pPr>
        <w:widowControl w:val="0"/>
        <w:spacing w:after="0" w:line="480" w:lineRule="auto"/>
        <w:jc w:val="both"/>
        <w:rPr>
          <w:rFonts w:ascii="Times New Roman" w:hAnsi="Times New Roman" w:cs="Times New Roman"/>
          <w:sz w:val="24"/>
          <w:szCs w:val="24"/>
        </w:rPr>
      </w:pPr>
    </w:p>
    <w:p w14:paraId="2DD6F432" w14:textId="4D4BD36D" w:rsidR="00173FB8" w:rsidRPr="00597FFB" w:rsidRDefault="00173FB8" w:rsidP="004E5E6B">
      <w:pPr>
        <w:pStyle w:val="Heading2"/>
        <w:widowControl w:val="0"/>
        <w:spacing w:line="480" w:lineRule="auto"/>
        <w:ind w:left="576" w:hanging="576"/>
        <w:rPr>
          <w:rFonts w:ascii="Times New Roman" w:hAnsi="Times New Roman"/>
          <w:b/>
          <w:bCs/>
          <w:color w:val="000000"/>
          <w:sz w:val="24"/>
          <w:szCs w:val="24"/>
        </w:rPr>
      </w:pPr>
      <w:bookmarkStart w:id="260" w:name="_Toc127170367"/>
      <w:bookmarkStart w:id="261" w:name="_Hlk125718074"/>
      <w:r w:rsidRPr="00597FFB">
        <w:rPr>
          <w:rFonts w:ascii="Times New Roman" w:hAnsi="Times New Roman"/>
          <w:b/>
          <w:bCs/>
          <w:color w:val="auto"/>
          <w:sz w:val="24"/>
          <w:szCs w:val="24"/>
        </w:rPr>
        <w:t>5.</w:t>
      </w:r>
      <w:r w:rsidR="007B28DD" w:rsidRPr="00597FFB">
        <w:rPr>
          <w:rFonts w:ascii="Times New Roman" w:hAnsi="Times New Roman"/>
          <w:b/>
          <w:bCs/>
          <w:color w:val="auto"/>
          <w:sz w:val="24"/>
          <w:szCs w:val="24"/>
        </w:rPr>
        <w:t>5</w:t>
      </w:r>
      <w:r w:rsidR="000373F4" w:rsidRPr="00597FFB">
        <w:rPr>
          <w:rFonts w:ascii="Times New Roman" w:hAnsi="Times New Roman"/>
          <w:b/>
          <w:bCs/>
          <w:color w:val="auto"/>
          <w:sz w:val="24"/>
          <w:szCs w:val="24"/>
        </w:rPr>
        <w:t xml:space="preserve">. </w:t>
      </w:r>
      <w:r w:rsidRPr="00597FFB">
        <w:rPr>
          <w:rFonts w:ascii="Times New Roman" w:hAnsi="Times New Roman"/>
          <w:b/>
          <w:bCs/>
          <w:color w:val="000000"/>
          <w:sz w:val="24"/>
          <w:szCs w:val="24"/>
        </w:rPr>
        <w:t xml:space="preserve">Discussion </w:t>
      </w:r>
      <w:r w:rsidR="009B77A4">
        <w:rPr>
          <w:rFonts w:ascii="Times New Roman" w:hAnsi="Times New Roman"/>
          <w:b/>
          <w:bCs/>
          <w:color w:val="000000"/>
          <w:sz w:val="24"/>
          <w:szCs w:val="24"/>
        </w:rPr>
        <w:t>o</w:t>
      </w:r>
      <w:r w:rsidR="000373F4" w:rsidRPr="00597FFB">
        <w:rPr>
          <w:rFonts w:ascii="Times New Roman" w:hAnsi="Times New Roman"/>
          <w:b/>
          <w:bCs/>
          <w:color w:val="000000"/>
          <w:sz w:val="24"/>
          <w:szCs w:val="24"/>
        </w:rPr>
        <w:t xml:space="preserve">f </w:t>
      </w:r>
      <w:r w:rsidRPr="00597FFB">
        <w:rPr>
          <w:rFonts w:ascii="Times New Roman" w:hAnsi="Times New Roman"/>
          <w:b/>
          <w:bCs/>
          <w:color w:val="000000"/>
          <w:sz w:val="24"/>
          <w:szCs w:val="24"/>
        </w:rPr>
        <w:t>Findings</w:t>
      </w:r>
      <w:r w:rsidR="000373F4" w:rsidRPr="00597FFB">
        <w:rPr>
          <w:rFonts w:ascii="Times New Roman" w:hAnsi="Times New Roman"/>
          <w:b/>
          <w:bCs/>
          <w:color w:val="000000"/>
          <w:sz w:val="24"/>
          <w:szCs w:val="24"/>
        </w:rPr>
        <w:t>.</w:t>
      </w:r>
      <w:bookmarkEnd w:id="260"/>
    </w:p>
    <w:p w14:paraId="13E60547" w14:textId="610BE008" w:rsidR="004E5E6B" w:rsidRPr="00597FFB" w:rsidRDefault="004E5E6B" w:rsidP="004E5E6B">
      <w:pPr>
        <w:pStyle w:val="Heading3"/>
        <w:widowControl w:val="0"/>
        <w:spacing w:line="480" w:lineRule="auto"/>
        <w:ind w:left="720" w:hanging="720"/>
        <w:rPr>
          <w:rFonts w:ascii="Times New Roman" w:hAnsi="Times New Roman"/>
          <w:i/>
          <w:iCs/>
          <w:color w:val="auto"/>
          <w:sz w:val="24"/>
          <w:szCs w:val="24"/>
        </w:rPr>
      </w:pPr>
      <w:bookmarkStart w:id="262" w:name="_Toc127170368"/>
      <w:bookmarkStart w:id="263" w:name="_Hlk120959335"/>
      <w:bookmarkEnd w:id="261"/>
      <w:r w:rsidRPr="00597FFB">
        <w:rPr>
          <w:rFonts w:ascii="Times New Roman" w:hAnsi="Times New Roman"/>
          <w:i/>
          <w:iCs/>
          <w:color w:val="auto"/>
          <w:sz w:val="24"/>
          <w:szCs w:val="24"/>
        </w:rPr>
        <w:t xml:space="preserve">5.5.1. Discussion </w:t>
      </w:r>
      <w:r w:rsidR="00072848" w:rsidRPr="00597FFB">
        <w:rPr>
          <w:rFonts w:ascii="Times New Roman" w:hAnsi="Times New Roman"/>
          <w:i/>
          <w:iCs/>
          <w:color w:val="auto"/>
          <w:sz w:val="24"/>
          <w:szCs w:val="24"/>
        </w:rPr>
        <w:t>o</w:t>
      </w:r>
      <w:r w:rsidRPr="00597FFB">
        <w:rPr>
          <w:rFonts w:ascii="Times New Roman" w:hAnsi="Times New Roman"/>
          <w:i/>
          <w:iCs/>
          <w:color w:val="auto"/>
          <w:sz w:val="24"/>
          <w:szCs w:val="24"/>
        </w:rPr>
        <w:t>f Extended TPB Findings.</w:t>
      </w:r>
      <w:bookmarkEnd w:id="262"/>
    </w:p>
    <w:p w14:paraId="27746193" w14:textId="2A13E56B" w:rsidR="00E52362" w:rsidRPr="00597FFB" w:rsidRDefault="00E52362" w:rsidP="004E5E6B">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Utilizing the conceptual framework of the extended TPB presented in Figure </w:t>
      </w:r>
      <w:r w:rsidR="001F476F" w:rsidRPr="00597FFB">
        <w:rPr>
          <w:rFonts w:ascii="Times New Roman" w:hAnsi="Times New Roman" w:cs="Times New Roman"/>
          <w:sz w:val="24"/>
          <w:szCs w:val="24"/>
        </w:rPr>
        <w:t>12</w:t>
      </w:r>
      <w:r w:rsidRPr="00597FFB">
        <w:rPr>
          <w:rFonts w:ascii="Times New Roman" w:hAnsi="Times New Roman" w:cs="Times New Roman"/>
          <w:sz w:val="24"/>
          <w:szCs w:val="24"/>
        </w:rPr>
        <w:t>, the study sought to explore how environmental concern, attitude towards EWR, subjective norms, perceived behavioral control,</w:t>
      </w:r>
      <w:r w:rsidRPr="00597FFB">
        <w:t xml:space="preserve"> and </w:t>
      </w:r>
      <w:r w:rsidRPr="00597FFB">
        <w:rPr>
          <w:rFonts w:ascii="Times New Roman" w:hAnsi="Times New Roman" w:cs="Times New Roman"/>
          <w:sz w:val="24"/>
          <w:szCs w:val="24"/>
        </w:rPr>
        <w:t>incentives (financial/nonfinancial) influence millennials’ EWR intention and the adoption the behavior in UAE.</w:t>
      </w:r>
    </w:p>
    <w:p w14:paraId="36D00C7C" w14:textId="77777777" w:rsidR="00E52362" w:rsidRPr="00597FFB" w:rsidRDefault="00E52362" w:rsidP="00241031">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confirmation of attitude, subjective norm, and perceived behavioral control as having direct, positive effects on EWR behavioral intention is consistent with various other studies on pro-environmental behavior in general </w:t>
      </w:r>
      <w:r w:rsidRPr="00597FFB">
        <w:rPr>
          <w:rFonts w:ascii="Times New Roman" w:hAnsi="Times New Roman" w:cs="Times New Roman"/>
          <w:color w:val="000000"/>
          <w:sz w:val="24"/>
          <w:szCs w:val="24"/>
        </w:rPr>
        <w:t xml:space="preserve">(Rajaie et al., 2019; Strydom, 2018; Zhang et al., 2021), in household waste separation (Razali et al., 2020), and in the choice of visiting green hotels (Yarimoglu &amp; Gunay, 2020). </w:t>
      </w:r>
      <w:r w:rsidRPr="00597FFB">
        <w:rPr>
          <w:rFonts w:ascii="Times New Roman" w:hAnsi="Times New Roman" w:cs="Times New Roman"/>
          <w:sz w:val="24"/>
          <w:szCs w:val="24"/>
        </w:rPr>
        <w:t xml:space="preserve">Moreover, the findings provided sufficient support for the effect of millennials’ attitudes on the EWR intention. This result is in harmony with prior research that advocated for the strong role of attitudes in influencing the intention to perform pro-environmental behaviors. Zhang et al. (2021) confirmed that attitude toward recycling positively influence people’s behavioral intention from a mobile phone recycling perspective. Similarly, consumers’ attitudes were ascertained to positively influence their intention to consume green products (Rajaie et al., 2019). However, these results contradict Kumar and Dixit’s (2018) postulation that attitude does not have a positive influence on EWR intention. </w:t>
      </w:r>
      <w:r w:rsidRPr="00597FFB">
        <w:rPr>
          <w:rFonts w:ascii="Times New Roman" w:hAnsi="Times New Roman" w:cs="Times New Roman"/>
          <w:color w:val="000000"/>
          <w:sz w:val="24"/>
          <w:szCs w:val="24"/>
        </w:rPr>
        <w:t>The current study confirms and extends these findings on the basis of applying the TPB in EWR with focus on a specific age demographic of millennials drawn from an Arab country (UAE). The novelty behind the confirmation of the three TPB independent variables as predictors of EWR behavioral intention rests in the understanding that this is the first time such empirical evidence has been reported in the EWR discourse with focus on a unique demographic population.</w:t>
      </w:r>
    </w:p>
    <w:p w14:paraId="667BC0D8" w14:textId="0024FCAA" w:rsidR="00E52362" w:rsidRPr="00597FFB" w:rsidRDefault="00E52362" w:rsidP="00E52362">
      <w:pPr>
        <w:widowControl w:val="0"/>
        <w:spacing w:after="0" w:line="480" w:lineRule="auto"/>
        <w:ind w:firstLine="720"/>
        <w:jc w:val="both"/>
        <w:rPr>
          <w:rFonts w:ascii="Times New Roman" w:hAnsi="Times New Roman" w:cs="Times New Roman"/>
          <w:sz w:val="24"/>
          <w:szCs w:val="24"/>
        </w:rPr>
      </w:pPr>
      <w:r w:rsidRPr="00597FFB">
        <w:rPr>
          <w:rFonts w:ascii="Times New Roman" w:hAnsi="Times New Roman" w:cs="Times New Roman"/>
        </w:rPr>
        <w:t>The</w:t>
      </w:r>
      <w:r w:rsidRPr="00597FFB">
        <w:rPr>
          <w:rFonts w:ascii="Times New Roman" w:hAnsi="Times New Roman" w:cs="Times New Roman"/>
          <w:sz w:val="24"/>
          <w:szCs w:val="24"/>
        </w:rPr>
        <w:t xml:space="preserve"> positive relationship between EWR adoption and EWR behavioral intention among UAE millennials is a demonstration that a higher behavioral intention toward EWR is likely to influence higher adoption of EWR. In other words, UAE millennials who exhibit high-level behavioral tendencies towards recycling e-waste are more likely to actually engage in recycling e-waste more than their counterparts who may lack such high behavioral intention toward recycling e-waste. This finding is consistent with the findings of Razali et al. (2020) who indicated that intention predicts recycling behavior. Drawing from the non-EWR recycling work of Zhu et al. (2022) in the context of community involvement in pro-environmental behavior following high pro-environmental behavioral intentions, the findings of this study support this and demonstrate the possibility that application of the TPB is likely to yield similar results across diverse types of waste and not just e-waste and across different demographic groups. In other words, it is likely that the application of the TPB </w:t>
      </w:r>
      <w:r w:rsidR="00B7752C" w:rsidRPr="00597FFB">
        <w:rPr>
          <w:rFonts w:ascii="Times New Roman" w:hAnsi="Times New Roman" w:cs="Times New Roman"/>
          <w:sz w:val="24"/>
          <w:szCs w:val="24"/>
        </w:rPr>
        <w:t>in solid</w:t>
      </w:r>
      <w:r w:rsidRPr="00597FFB">
        <w:rPr>
          <w:rFonts w:ascii="Times New Roman" w:hAnsi="Times New Roman" w:cs="Times New Roman"/>
          <w:sz w:val="24"/>
          <w:szCs w:val="24"/>
        </w:rPr>
        <w:t xml:space="preserve"> waste and e-waste with different populations would likely demonstrate that recycling intention would mostly translate to actual recycling behavior. </w:t>
      </w:r>
    </w:p>
    <w:p w14:paraId="34A20978" w14:textId="34EEFADB" w:rsidR="00E52362" w:rsidRPr="00597FFB" w:rsidRDefault="00E52362" w:rsidP="00B7752C">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A remarkable finding of this study was the emergence of incentives as a strong, positive predictor of EWR behavioral intention and adoption among UAE millennials (H4 and H8). H4 was confirmed after a SEM analysis as there is statistical significance identified. This is consistent to prior findings that evidenced economic incentives to significantly impact consumer recycling behavior </w:t>
      </w:r>
      <w:r w:rsidRPr="00597FFB">
        <w:rPr>
          <w:rFonts w:ascii="Times New Roman" w:hAnsi="Times New Roman" w:cs="Times New Roman"/>
          <w:sz w:val="24"/>
          <w:szCs w:val="24"/>
        </w:rPr>
        <w:fldChar w:fldCharType="begin"/>
      </w:r>
      <w:r w:rsidR="004E18CF" w:rsidRPr="00597FFB">
        <w:rPr>
          <w:rFonts w:ascii="Times New Roman" w:hAnsi="Times New Roman" w:cs="Times New Roman"/>
          <w:sz w:val="24"/>
          <w:szCs w:val="24"/>
        </w:rPr>
        <w:instrText xml:space="preserve"> ADDIN ZOTERO_ITEM CSL_CITATION {"citationID":"53j8Adzw","properties":{"formattedCitation":"(D. Chen et al., 2020b)","plainCitation":"(D. Chen et al., 2020b)","noteIndex":0},"citationItems":[{"id":3171,"uris":["http://zotero.org/users/local/b6CRLSJH/items/5ZKY8FQC"],"itemData":{"id":3171,"type":"article-journal","abstract":"The majority of developing countries are facing enormous challenges in implementing sustainable waste electrical and electronic equipment (e-waste) management systems. Informal e-waste management practices in Ghana have become a critical challenge to the government and the various stakeholders owing to its environmental and health impacts. However, the effort to implement ewaste formalization management practices has been threatened with many barriers. This study aims to identify and evaluate barriers and pathways to the implementation of e-waste formalization management systems in Ghana. A three-phase methodology consisting of the Delphi method, the hybrid best–worst method and the fuzzy TOPSIS technique is employed. The first phase involves extensive literature review and the use of the Delphi method to identify barriers, pathways, and data collection for ewaste formalization. In the second phase, the best–worst method was employed to analyze the relative weight and ranking of the barriers. The third phase involves the application of fuzzy TOPSIS to rank and prioritize pathways to e-waste formalization systems. Fuzzy logic was applied to handle the subjectivity of decision-makers’ preferences. A sensitivity analysis was carried out to check the robustness of the framework and address any effect of bias. The outcome of the study indicates that economic and financial limitations are the most significant barriers to e-waste formalization. “Setting up resourced environmental government agencies for effective monitoring and auditing at the regional levels for appropriate e-waste management practices” is the most prominent pathway. The present study can potentially inform policy makers to develop systematic and strategic policies for the implementation of e-waste formalization management systems.","container-title":"Environmental Science and Pollution Research","DOI":"10.1007/s11356-020-10360-8","ISSN":"0944-1344, 1614-7499","issue":"35","journalAbbreviation":"Environ Sci Pollut Res","language":"en","note":"number: 35","page":"44561-44584","source":"DOI.org (Crossref)","title":"Evaluating critical barriers and pathways to implementation of e-waste formalization management systems in Ghana: a hybrid BWM and fuzzy TOPSIS approach","title-short":"Evaluating critical barriers and pathways to implementation of e-waste formalization management systems in Ghana","volume":"27","author":[{"family":"Chen","given":"Dehu"},{"family":"Faibil","given":"Daniel"},{"family":"Agyemang","given":"Martin"}],"issued":{"date-parts":[["2020",12]]}}}],"schema":"https://github.com/citation-style-language/schema/raw/master/csl-citation.json"} </w:instrText>
      </w:r>
      <w:r w:rsidRPr="00597FFB">
        <w:rPr>
          <w:rFonts w:ascii="Times New Roman" w:hAnsi="Times New Roman" w:cs="Times New Roman"/>
          <w:sz w:val="24"/>
          <w:szCs w:val="24"/>
        </w:rPr>
        <w:fldChar w:fldCharType="separate"/>
      </w:r>
      <w:r w:rsidR="004E18CF" w:rsidRPr="00597FFB">
        <w:rPr>
          <w:rFonts w:ascii="Times New Roman" w:hAnsi="Times New Roman" w:cs="Times New Roman"/>
          <w:sz w:val="24"/>
        </w:rPr>
        <w:t>(D. Chen et al., 2020b)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The confirmation of H4 contradicted the findings of Kianpour et al. (2017) who did not find support for any link between financial incentives and recycling intention. Nonetheless, it is important to note that the study by Kianpour et al. (2017) was specific to financial/economic incentives alone whereas the current study covered larger scope of incentives by including prompts about nonfinancial/noneconomic incentives and this could potentially be the rationale behind the inconsistency in the findings of this study and those of Kianpour et al. (2017). This potential rationale for the disparity, subsequently, informs the call for further research on the distinctive roles that financial/economic and nonfinancial/noneconomic incentives could play in influencing EWR behavioral intention and adoption of EWR by various populations and not just UAE millennials. This is because the scope of this study did not separate the effects of financial/economic and nonfinancial/noneconomic incentives on EWRBI and adoption of EWR, as it was beyond the scope of this research. One possible reason for this may emerge from a study of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{"citationID":"WGbxRqaV","properties":{"formattedCitation":"(Delcea et al., 2020)","plainCitation":"(Delcea et al., 2020)","dontUpdate":true,"noteIndex":0},"citationItems":[{"id":3822,"uris":["http://zotero.org/users/local/b6CRLSJH/items/Q6HSE8VA"],"itemData":{"id":3822,"type":"article-journal","abstract":"Due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Pr="00597FFB">
        <w:rPr>
          <w:rFonts w:ascii="Cambria Math" w:hAnsi="Cambria Math" w:cs="Cambria Math"/>
          <w:sz w:val="24"/>
          <w:szCs w:val="24"/>
        </w:rPr>
        <w:instrText>ﬃ</w:instrText>
      </w:r>
      <w:r w:rsidRPr="00597FFB">
        <w:rPr>
          <w:rFonts w:ascii="Times New Roman" w:hAnsi="Times New Roman" w:cs="Times New Roman"/>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Pr="00597FFB">
        <w:rPr>
          <w:rFonts w:ascii="Cambria Math" w:hAnsi="Cambria Math" w:cs="Cambria Math"/>
          <w:sz w:val="24"/>
          <w:szCs w:val="24"/>
        </w:rPr>
        <w:instrText>ﬀ</w:instrText>
      </w:r>
      <w:r w:rsidRPr="00597FFB">
        <w:rPr>
          <w:rFonts w:ascii="Times New Roman" w:hAnsi="Times New Roman" w:cs="Times New Roman"/>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system.","container-title":"Sustainability","DOI":"10.3390/su12072753","ISSN":"2071-1050","issue":"7","journalAbbreviation":"Sustainability","language":"en","note":"number: 7","page":"2753","source":"DOI.org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Delcea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suggesting that people appreciating extrinsic values including rewards more tend to engage in pro-environmental behavior. However, not only did respondents agreed to intend in the behavior, but also was the intention found to be mostly influenced by ones’ intrinsic pro-social values. Thus, economic incentives as drivers of EWR intention would have rather contradicted to the characteristics prevalent among millennials. Also, UAE millennials were found to highly care about the environment, which would, according to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{"citationID":"AMJ4lqlK","properties":{"formattedCitation":"(Delcea et al., 2020)","plainCitation":"(Delcea et al., 2020)","dontUpdate":true,"noteIndex":0},"citationItems":[{"id":3822,"uris":["http://zotero.org/users/local/b6CRLSJH/items/Q6HSE8VA"],"itemData":{"id":3822,"type":"article-journal","abstract":"Due to the increase of the amount of electrical and electronical equipment waste (e-waste), the understanding of individual consumers’ main decision triggers represents a key point in increasing the quantity of recycled e-waste. A series of studies from the literature have shown a positive relationship between the consumers’ attitude, awareness, self-e</w:instrText>
      </w:r>
      <w:r w:rsidRPr="00597FFB">
        <w:rPr>
          <w:rFonts w:ascii="Cambria Math" w:hAnsi="Cambria Math" w:cs="Cambria Math"/>
          <w:sz w:val="24"/>
          <w:szCs w:val="24"/>
        </w:rPr>
        <w:instrText>ﬃ</w:instrText>
      </w:r>
      <w:r w:rsidRPr="00597FFB">
        <w:rPr>
          <w:rFonts w:ascii="Times New Roman" w:hAnsi="Times New Roman" w:cs="Times New Roman"/>
          <w:sz w:val="24"/>
          <w:szCs w:val="24"/>
        </w:rPr>
        <w:instrText>cacy, social norms, and their e-waste recycling intention, as well as the positive inﬂuence between the intention and the manifested behavior. Additional to these determinants, in the present study, the inﬂuence of social media was analyzed along with the actions taken by the government and nongovernmental organizations, with the purpose to include and to capture, as much as possible, a high amount of determinants in the e-waste recycling process. Nevertheless, the demographic or socio-economic variables, such as age, gender, income, education, number of family members, etc., have shown over time to have a contribution to predicting the consumers’ pro-recycling behavior. As on one side, in the research literature, the opinions related to which of the demographic or socio-economic factors can have an impact on the recycling behavior have been divided and, on another side, a series of researchers believe that the discrepancies in the ﬁndings of di</w:instrText>
      </w:r>
      <w:r w:rsidRPr="00597FFB">
        <w:rPr>
          <w:rFonts w:ascii="Cambria Math" w:hAnsi="Cambria Math" w:cs="Cambria Math"/>
          <w:sz w:val="24"/>
          <w:szCs w:val="24"/>
        </w:rPr>
        <w:instrText>ﬀ</w:instrText>
      </w:r>
      <w:r w:rsidRPr="00597FFB">
        <w:rPr>
          <w:rFonts w:ascii="Times New Roman" w:hAnsi="Times New Roman" w:cs="Times New Roman"/>
          <w:sz w:val="24"/>
          <w:szCs w:val="24"/>
        </w:rPr>
        <w:instrText xml:space="preserve">erent studies can be due to culture in various countries, in this paper we conducted such an analysis with reference to the Romania’s case. The results have shown that the demographic variables, such as age and gender, can have a contribution to predicting residents’ pro-e-waste recycling behavior. Based on these ﬁndings, the policymakers can gain a better understanding of the e-waste recycling phenomenon and on its main triggers, with results in creating better policies for sustaining a proper e-waste managing system.","container-title":"Sustainability","DOI":"10.3390/su12072753","ISSN":"2071-1050","issue":"7","journalAbbreviation":"Sustainability","language":"en","note":"number: 7","page":"2753","source":"DOI.org (Crossref)","title":"Determinants of Individuals’ E-Waste Recycling Decision: A Case Study from Romania","title-short":"Determinants of Individuals’ E-Waste Recycling Decision","volume":"12","author":[{"family":"Delcea","given":"Camelia"},{"family":"Crăciun","given":"Liliana"},{"family":"Ioanăș","given":"Corina"},{"family":"Ferruzzi","given":"Gabriella"},{"family":"Cotfas","given":"Liviu-Adrian"}],"issued":{"date-parts":[["2020",4,1]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Delcea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result in a higher appreciation of “achievement” values including economic rewards. Thus, it is reasonable that strong impact could be recorded of incentives on intention. This does not, however, necessarily contradict prior research, as it may reflect the recent shift from selfish to more ethical consumers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{"citationID":"4DY5sIiQ","properties":{"formattedCitation":"(Falcone et al., 2020)","plainCitation":"(Falcone et al., 2020)","noteIndex":0},"citationItems":[{"id":3494,"uris":["http://zotero.org/users/local/b6CRLSJH/items/PUX5DQR9"],"itemData":{"id":3494,"type":"article-journal","abstract":"This study aims at capturing, through a multi-level perspective, potential drivers and barriers of the forest sector in Italy, in order to gain an in-depth understanding of the conditions influencing the sector's transition towards a circular bioeconomy. On the basis of this understanding, it draws potential new strategies for an effective transition. To operationalize our theoretical approach, we employed the single case study method, drawing on an in-depth literature review and a SWOT analysis (i.e. analysis of strengths, weaknesses, opportunities, and threats) of the Italian forest sector, validated by expert interviews and a questionnaire survey. The results show that the most effective strategies for the transition are: improving environmental and forest planning tools by defining viable methods of circular management; promoting investment in forest infrastructure; supporting entrepreneurship programs for forest professionals; and enhancing innovative forest-based value chains. The diversity of the identified policy strategies provides evidence of the necessity for policy makers to go beyond a simple “best option” approach, given the system complexity of the forest sector.","container-title":"Forest Policy and Economics","DOI":"10.1016/j.forpol.2019.04.014","ISSN":"13899341","journalAbbreviation":"Forest Policy and Economics","language":"en","page":"101910","source":"DOI.org (Crossref)","title":"Towards a sustainable forest-based bioeconomy in Italy: Findings from a SWOT analysis","title-short":"Towards a sustainable forest-based bioeconomy in Italy","volume":"110","author":[{"family":"Falcone","given":"Pasquale Marcello"},{"family":"Tani","given":"Almona"},{"family":"Tartiu","given":"Valentina Elena"},{"family":"Imbriani","given":"Cesare"}],"issued":{"date-parts":[["2020",1]]}}}],"schema":"https://github.com/citation-style-language/schema/raw/master/csl-citation.json"}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(Falcone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rendering the need for monetary incentives increasingly obsolete. </w:t>
      </w:r>
      <w:r w:rsidRPr="00597FFB">
        <w:rPr>
          <w:rFonts w:ascii="Times New Roman" w:hAnsi="Times New Roman" w:cs="Times New Roman"/>
          <w:color w:val="000000"/>
          <w:sz w:val="24"/>
          <w:szCs w:val="24"/>
        </w:rPr>
        <w:t xml:space="preserve">In line with Choi and Johnson (2019) who found incentives to be helpful in initiating recycling behavior, the confirmation of H4 and H8 in the current study inform the inference that incentives are essential in triggering EWR behavioral intentions of UAE millennials. That incentives emerged as having influence on both EWR behavioral intention (H4) and EWR adoption itself (H8) is an indication that EWR adoption rate among UAE millennials could increase significantly if incentivized. After all, </w:t>
      </w:r>
      <w:r w:rsidRPr="00597FFB">
        <w:rPr>
          <w:rFonts w:ascii="Times New Roman" w:hAnsi="Times New Roman" w:cs="Times New Roman"/>
          <w:sz w:val="24"/>
          <w:szCs w:val="24"/>
        </w:rPr>
        <w:t xml:space="preserve">to increase the EWR rate, economic incentives are used the motivational function, the dynamism of incentives bestowed robust augmentation to the application of TPB in the pro-environmental context (Arain et al., 2020). Economic incentives for the proper motivates compliance with the rules and instructions for a recycling defined by municipal return of e-waste products do not contrast with less consumption but complement it because the functional parts and modules can be redistributed, hereby enabling reduction in overall consumption based on reuse. The literature review showed that coupons, discounts, prizes, and gifts are used as economic incentives to increase collection rates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{"citationID":"EaXuUwPu","properties":{"formattedCitation":"(Singh et al., 2022)","plainCitation":"(Singh et al., 2022)","noteIndex":0},"citationItems":[{"id":4619,"uris":["http://zotero.org/users/local/b6CRLSJH/items/6A3EVQ5R"],"itemData":{"id":4619,"type":"article-journal","container-title":"Business Strategy and the Environment","DOI":"10.1002/bse.2906","ISSN":"0964-4733, 1099-0836","issue":"1","journalAbbreviation":"Bus Strat Env","language":"en","page":"500-514","source":"DOI.org (Crossref)","title":"Stakeholder pressure, green innovation, and performance in small and medium‐sized enterprises: The role of green dynamic capabilities","title-short":"Stakeholder pressure, green innovation, and performance in small and medium‐sized enterprises","volume":"31","author":[{"family":"Singh","given":"Sanjay Kumar"},{"family":"Del Giudice","given":"Manlio"},{"family":"Chiappetta Jabbour","given":"Charbel Jose"},{"family":"Latan","given":"Hengky"},{"family":"Sohal","given":"Amrik Singh"}],"issued":{"date-parts":[["2022",1]]}}}],"schema":"https://github.com/citation-style-language/schema/raw/master/csl-citation.json"}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(Singh et al., 2022)</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As an alternative to existing incentives, the study proposes to introduce an individual accumulative bonus card that acts as an economic incentive. The most crucial issue to be discussed is who will ultimately pay for the incentive that is created for the end user. One option is to share costs between distributors, manufacturers, and municipalities (as part of taxes) in the same way as collection costs are shared today, but this would depend on the country in question, and likely vary in the UAE context and across different regions.</w:t>
      </w:r>
    </w:p>
    <w:p w14:paraId="475202C1" w14:textId="77777777" w:rsidR="00E52362" w:rsidRPr="00597FFB" w:rsidRDefault="00E52362" w:rsidP="00E52362">
      <w:pPr>
        <w:widowControl w:val="0"/>
        <w:spacing w:line="480" w:lineRule="auto"/>
        <w:ind w:firstLine="720"/>
        <w:jc w:val="both"/>
        <w:rPr>
          <w:rFonts w:ascii="Times New Roman" w:hAnsi="Times New Roman" w:cs="Times New Roman"/>
          <w:sz w:val="24"/>
          <w:szCs w:val="24"/>
        </w:rPr>
      </w:pPr>
      <w:bookmarkStart w:id="264" w:name="_Hlk120965536"/>
      <w:bookmarkEnd w:id="263"/>
      <w:r w:rsidRPr="00597FFB">
        <w:rPr>
          <w:rFonts w:ascii="Times New Roman" w:hAnsi="Times New Roman" w:cs="Times New Roman"/>
          <w:sz w:val="24"/>
          <w:szCs w:val="24"/>
        </w:rPr>
        <w:t>The outcome of the correlation coefficient between EWR behavioral intention and adoption of EWR supports the outcome of the TPB thereby asserting that behavioral intention is the best predictor of behavior. The TPB postulates that behavioral intention is preceded by an individual’s attitude to perform a certain behavior, as well as subjective norms and perceived behavioral control to perform said behavior (Ajzen, 1991). This implies that the TPB is supported by the beliefs about the likely consequences or other attributes of behaviors, i.e., the favorable or unfavorable attitude towards a behavior (Ajzen, 2002).</w:t>
      </w:r>
    </w:p>
    <w:p w14:paraId="30408EDD" w14:textId="7777777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Literature indicated that those who are concerned for the environment and have knowledge about environmental problems and their causes have a higher likelihood of recycling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{"citationID":"jnktdtFj","properties":{"formattedCitation":"(M. G. Aboelmaged, 2020)","plainCitation":"(M. G. Aboelmaged, 2020)","dontUpdate":true,"noteIndex":0},"citationItems":[{"id":1894,"uris":["http://zotero.org/users/local/b6CRLSJH/items/7NPWIICQ"],"itemData":{"id":1894,"type":"paper-conference","abstract":"This paper integrates habits into the Theory of Planned Behavior and the Technology Acceptance Model to predict waste electrical and electronic equipment (WEEE) or the e-waste recycling intention among young adults. This study adopts the structural equation modelling (SEM) technique, using the partial least squares (PLS) approach as a multivariate statistical method to analyze the survey data. The findings show that the integrated model has good explanatory power and confirms its robustness in predicting the e-waste recycling intention among young adults. The role of habits and perceived usefulness are demonstrated as strong predictors of young adults’ e-waste recycling intention, as well as their attitudes. The paper concludes with several social and practical implications that can foster e-waste recycling initiatives in the UAE.","container-title":"2020 IEEE Conference on Technologies for Sustainability (SusTech)","DOI":"10.1109/SusTech47890.2020.9150485","event-place":"Santa Ana, CA, USA","event-title":"2020 IEEE Conference on Technologies for Sustainability (SusTech)","ISBN":"978-1-72813-108-5","language":"en","page":"1-6","publisher":"IEEE","publisher-place":"Santa Ana, CA, USA","source":"DOI.org (Crossref)","title":"Acceptance of E-waste Recycling Among Young Adults: An Empirical Study","title-short":"Acceptance of E-waste Recycling Among Young Adults","URL":"https://ieeexplore.ieee.org/document/9150485/","author":[{"family":"Aboelmaged","given":"Mohamed Gamal"}],"accessed":{"date-parts":[["2021",5,25]]},"issued":{"date-parts":[["2020",4]]}}}],"schema":"https://github.com/citation-style-language/schema/raw/master/csl-citation.json"}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(Aboelmaged,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Further, if one has a positive attitude towards a certain behavior, the more likely one is to engage in that behavior (Geiger et al., 2019). The literature also indicates that e-waste is not disposed of correctly, which negatively impacts the environment and humans, and that recycling is one of the most effective ways of reducing e-waste pollution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{"citationID":"JcvZXwRd","properties":{"formattedCitation":"(Abdallah et al., 2021)","plainCitation":"(Abdallah et al., 2021)","noteIndex":0},"citationItems":[{"id":4546,"uris":["http://zotero.org/users/local/b6CRLSJH/items/DMNVCXA9"],"itemData":{"id":4546,"type":"article-journal","container-title":"Journal of Cleaner Production","DOI":"10.1016/j.jclepro.2020.124714","ISSN":"09596526","journalAbbreviation":"Journal of Cleaner Production","language":"en","page":"124714","source":"DOI.org (Crossref)","title":"A multi-objective optimization model for strategic waste management master plans","volume":"284","author":[{"family":"Abdallah","given":"Mohamed"},{"family":"Hamdan","given":"Sadeque"},{"family":"Shabib","given":"Ahmad"}],"issued":{"date-parts":[["2021",2]]}}}],"schema":"https://github.com/citation-style-language/schema/raw/master/csl-citation.json"}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(Abdallah et al., 2021)</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Nguyen et al. (2018) found that attitude toward recycling positively influence consumers’ EWR intention.</w:t>
      </w:r>
    </w:p>
    <w:p w14:paraId="37B58B94" w14:textId="7A6B8993"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Since the outcome of the hypothesis in this study was supported, it can be concluded that attitude toward recycling significantly influences Behavioral Intention of EWR. Therefore, in this study, the TPB in respect of attitude being a good predictor of behavioral intention is supported, i.e., attitude does predict UAE millennials’ EWR behavioral intention.</w:t>
      </w:r>
      <w:r w:rsidRPr="00597FFB">
        <w:t xml:space="preserve"> </w:t>
      </w:r>
      <w:r w:rsidRPr="00597FFB">
        <w:rPr>
          <w:rFonts w:ascii="Times New Roman" w:hAnsi="Times New Roman" w:cs="Times New Roman"/>
          <w:sz w:val="24"/>
          <w:szCs w:val="24"/>
        </w:rPr>
        <w:t xml:space="preserve">The SEM results illustrated in Table </w:t>
      </w:r>
      <w:r w:rsidR="007A193D" w:rsidRPr="00597FFB">
        <w:rPr>
          <w:rFonts w:ascii="Times New Roman" w:hAnsi="Times New Roman" w:cs="Times New Roman"/>
          <w:sz w:val="24"/>
          <w:szCs w:val="24"/>
        </w:rPr>
        <w:t>15</w:t>
      </w:r>
      <w:r w:rsidRPr="00597FFB">
        <w:rPr>
          <w:rFonts w:ascii="Times New Roman" w:hAnsi="Times New Roman" w:cs="Times New Roman"/>
          <w:sz w:val="24"/>
          <w:szCs w:val="24"/>
        </w:rPr>
        <w:t xml:space="preserve"> show a strong positive relationship between the attitude construct and EWR intention, while Table </w:t>
      </w:r>
      <w:r w:rsidR="007A193D" w:rsidRPr="00597FFB">
        <w:rPr>
          <w:rFonts w:ascii="Times New Roman" w:hAnsi="Times New Roman" w:cs="Times New Roman"/>
          <w:sz w:val="24"/>
          <w:szCs w:val="24"/>
        </w:rPr>
        <w:t>16</w:t>
      </w:r>
      <w:r w:rsidRPr="00597FFB">
        <w:rPr>
          <w:rFonts w:ascii="Times New Roman" w:hAnsi="Times New Roman" w:cs="Times New Roman"/>
          <w:sz w:val="24"/>
          <w:szCs w:val="24"/>
        </w:rPr>
        <w:t xml:space="preserve"> indicates that attitude is a statistically significant influencer of the EWR intention of UAE’s millennials. This supports the conclusion that attitude is a good measure of </w:t>
      </w:r>
      <w:bookmarkStart w:id="265" w:name="_Hlk120963894"/>
      <w:r w:rsidRPr="00597FFB">
        <w:rPr>
          <w:rFonts w:ascii="Times New Roman" w:hAnsi="Times New Roman" w:cs="Times New Roman"/>
          <w:sz w:val="24"/>
          <w:szCs w:val="24"/>
        </w:rPr>
        <w:t>UAE millennials’ behavioral intentions</w:t>
      </w:r>
      <w:bookmarkEnd w:id="265"/>
      <w:r w:rsidRPr="00597FFB">
        <w:rPr>
          <w:rFonts w:ascii="Times New Roman" w:hAnsi="Times New Roman" w:cs="Times New Roman"/>
          <w:sz w:val="24"/>
          <w:szCs w:val="24"/>
        </w:rPr>
        <w:t xml:space="preserve">, and that these findings confirm relevant literature (Aboelmaged, 2020; Nguyen et al., 2018; </w:t>
      </w:r>
      <w:r w:rsidRPr="00597FFB">
        <w:rPr>
          <w:rFonts w:ascii="Times New Roman" w:hAnsi="Times New Roman" w:cs="Times New Roman"/>
          <w:color w:val="000000"/>
        </w:rPr>
        <w:t>Rajaie et al., 2019; Strydom, 2018; Zhang et al., 2021)</w:t>
      </w:r>
      <w:r w:rsidRPr="00597FFB">
        <w:rPr>
          <w:rFonts w:ascii="Times New Roman" w:hAnsi="Times New Roman" w:cs="Times New Roman"/>
          <w:sz w:val="24"/>
          <w:szCs w:val="24"/>
        </w:rPr>
        <w:t xml:space="preserve"> on the topic. The results of the SEM analysis suggest that subjective norm is one of the most significant predictors of EWR intention among UAE millennials. </w:t>
      </w:r>
    </w:p>
    <w:p w14:paraId="4AB877B2" w14:textId="7777777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As discussed in the literature review in Chapter 2 and 3, the TPB is supported by beliefs about normative expectations of other people who exert subjective norms (Ajzen, 2002). Geiger et al. (2019) found that people are more likely to recycle if they believe others do it or if they engage in pro-environment behavior, and if they want to gain social approval. This is supported by other studies which indicate that social norms (descriptive and injunctive norms) are positively related to recycling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{"citationID":"O6XfL7H4","properties":{"formattedCitation":"(Goworek et al., 2020)","plainCitation":"(Goworek et al., 2020)","noteIndex":0},"citationItems":[{"id":4584,"uris":["http://zotero.org/users/local/b6CRLSJH/items/XTAVZRZU"],"itemData":{"id":4584,"type":"article-journal","container-title":"Journal of Business Research","DOI":"10.1016/j.jbusres.2018.07.021","ISSN":"01482963","journalAbbreviation":"Journal of Business Research","language":"en","page":"629-641","source":"DOI.org (Crossref)","title":"Managing sustainability in the fashion business: Challenges in product development for clothing longevity in the UK","title-short":"Managing sustainability in the fashion business","volume":"117","author":[{"family":"Goworek","given":"Helen"},{"family":"Oxborrow","given":"L."},{"family":"Claxton","given":"S."},{"family":"McLaren","given":"A."},{"family":"Cooper","given":"T."},{"family":"Hill","given":"H."}],"issued":{"date-parts":[["2020",9]]}}}],"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(Goworek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The SN construct in this study showed strong significance in influencing EWR Behavioral Intention, as illustrated in the SEM regression model. This result supports the positive result of H2, suggesting that subjective norms influences EWR behavioral intention. This result is further supported by a reasonably solid and positive correlation coefficient, indicating that subjective norms positively influences the EWR behavioral of UAE millennials.</w:t>
      </w:r>
    </w:p>
    <w:p w14:paraId="21D4B3B8" w14:textId="09402F92"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This finding is aligned with </w:t>
      </w:r>
      <w:r w:rsidRPr="00597FFB">
        <w:rPr>
          <w:rFonts w:ascii="Times New Roman" w:hAnsi="Times New Roman" w:cs="Times New Roman"/>
          <w:sz w:val="24"/>
          <w:szCs w:val="24"/>
        </w:rPr>
        <w:fldChar w:fldCharType="begin"/>
      </w:r>
      <w:r w:rsidR="0002538C" w:rsidRPr="00597FFB">
        <w:rPr>
          <w:rFonts w:ascii="Times New Roman" w:hAnsi="Times New Roman" w:cs="Times New Roman"/>
          <w:sz w:val="24"/>
          <w:szCs w:val="24"/>
        </w:rPr>
        <w:instrText xml:space="preserve"> ADDIN ZOTERO_ITEM CSL_CITATION {"citationID":"KRvINr4w","properties":{"formattedCitation":"(Borthakur &amp; Govind, 2018)","plainCitation":"(Borthakur &amp; Govind, 2018)","dontUpdate":true,"noteIndex":0},"citationItems":[{"id":3722,"uris":["http://zotero.org/users/local/b6CRLSJH/items/2E94Q6NZ"],"itemData":{"id":3722,"type":"article-journal","abstract":"Responsible management of electronic waste (E-waste) is a major apprehension in contemporary urban India. As a toxic waste stream, E-waste calls for conscientious management practices in order to avoid possible human health and environmental consequences. Publics' consumption, disposal behaviour and awareness/perception are central to any successful E-waste management initiative. This paper is a journey from a review of existing literature on some signiﬁcant aspects of E-waste (including some widely used conceptual frameworks for waste management studies) towards a new conceptual framework of ‘public understandings of E-waste and its disposal’ in urban India. Accordingly, the paper is divided into two parts: 1) In-depth literature review on a few important aspects of E-waste and 2) Review of publics' perceptions of E-waste and the determinants of their consumption and disposal intention with the help of speciﬁc theoretical underpinnings. The concluding conceptual framework underlying our work uses elements that stem from the ideas of the theory of planned behaviour (TPB) and conspicuous consumption. Further, a case study carried out in the city of Bangalore is considered to validate the relevance of the new conceptual framework. Thus, the paper is an attempt not to restrict ourselves to the review of the existing literature alone, but also to test the new conceptual framework formulated through the literature review against a primary ﬁeld study.","container-title":"Journal of Cleaner Production","DOI":"10.1016/j.jclepro.2017.10.218","ISSN":"09596526","journalAbbreviation":"Journal of Cleaner Production","language":"en","page":"1053-1066","source":"DOI.org (Crossref)","title":"Public understandings of E-waste and its disposal in urban India: From a review towards a conceptual framework","title-short":"Public understandings of E-waste and its disposal in urban India","volume":"172","author":[{"family":"Borthakur","given":"Anwesha"},{"family":"Govind","given":"Madhav"}],"issued":{"date-parts":[["2018",1]]}}}],"schema":"https://github.com/citation-style-language/schema/raw/master/csl-citation.json"}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Borthakur and Govind (2018)</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and particularly the significant effect of subjective norms on UAE millennials’ recycling behavior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{"citationID":"epvnXh9e","properties":{"formattedCitation":"(Cheng et al., 2020)","plainCitation":"(Cheng et al., 2020)","noteIndex":0},"citationItems":[{"id":3516,"uris":["http://zotero.org/users/local/b6CRLSJH/items/67GGLPAQ"],"itemData":{"id":3516,"type":"article-journal","abstract":"Previous studies have explored consumers’ environmentally responsible intentions regarding many industries and products; however, research on the sustainability of smartphones is limited. This article develops an integrated cross-level model to assess the factors that foster environmentally responsible consumer behavior, which is demonstrated by the willingness to recycle smartphones. Data from 358 consumers were collected and analyzed using hierarchical linear modeling and the decomposed theory of planned behavior, which take into account antecedent factors. The outcomes of this article may provide a better understanding of consumer attitudes on smartphone recycling, such that expedient engineering and public policies can be put in place to facilitate it.","container-title":"IEEE Transactions on Engineering Management","DOI":"10.1109/TEM.2020.3007605","ISSN":"0018-9391, 1558-0040","journalAbbreviation":"IEEE Trans. Eng. Manage.","language":"en","page":"1-11","source":"DOI.org (Crossref)","title":"Fostering Environmentally Responsible Consumer Behavior: A Hierarchical Approach Toward Smartphone Recycling","title-short":"Fostering Environmentally Responsible Consumer Behavior","author":[{"family":"Cheng","given":"Min-Jhih"},{"family":"Hung","given":"Shiu-Wan"},{"family":"Tsai","given":"Her-Her"},{"family":"Chou","given":"Yin-Chen"}],"issued":{"date-parts":[["2020"]]}}}],"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(Cheng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UAE millennials are motivated to recycle their e-waste if they are concerned about the environmental norms of their community. Therefore, institutions of learning might develop programs that emphasize normative influences via social network and media to promote e-waste recycling. Policymakers in such institutions of learning might design campaigns to encourage students to urge their friends and other community members to recycle their e-waste or even work with communities of their institutions of learning to encourage them to take up EWR.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{"citationID":"7sxwqdcm","properties":{"formattedCitation":"(Gunarathne et al., 2020)","plainCitation":"(Gunarathne et al., 2020)","dontUpdate":true,"noteIndex":0},"citationItems":[{"id":2517,"uris":["http://zotero.org/users/local/b6CRLSJH/items/QLF5CWD4"],"itemData":{"id":2517,"type":"article-journal","abstract":"While much has been written on e-waste in developed countries and some developing countries, the challenges of sustainable urban mining in e-waste in Sri Lanka remain largely unexplored. However, understanding these challenges is a complex process owing to the large number of stakeholders involved and intricate macro environmental factors. Hence, a systematic approach is needed to understand the multifaceted, multi-stakeholder challenges in e-waste recycling in Sri Lanka. This study explores the challenges inhibiting sustainable urban mining in e-waste recycling in Sri Lanka and remedial action to address these challenges with the help of the integrated sustainable waste management model [ISWMM]. Using a case study approach to the entire e-waste recycling industry in Sri Lanka, this study collected data through various methods including interviews, site visits and document analyses. The collected data was analysed thematically using a modiﬁed version of ISWMM revealing the interrelationship between the multidimensional challenges stemming from stakeholders, e-waste management processes and the local enabling environment. Since all these challenges are closely knit in a vicious circle, a few ad-hoc initiatives to overcome them would not sufﬁce to produce the desired change towards the goal of a sustainable urban mining in e-waste. Thus, the possible strategies to overcome these challenges should include policy formulation, law enforcement, adoption of the extended producer responsibility principle, capacity building, awareness creation and education, import controls, industry regularization and public-privatepartnership. These strategies need to be urgently initiated by the Sri Lankan government, business organizations, consumers and civil society so as to overcome any environmental and social issues associated with urban mining of e-waste while harnessing its business potential.","container-title":"Journal of Cleaner Production","DOI":"10.1016/j.jclepro.2019.119641","ISSN":"09596526","journalAbbreviation":"Journal of Cleaner Production","language":"en","page":"119641","source":"DOI.org (Crossref)","title":"Challenges facing sustainable urban mining in the e-waste recycling industry in Sri Lanka","volume":"251","author":[{"family":"Gunarathne","given":"Nuwan"},{"family":"Alwis","given":"Ajith","non-dropping-particle":"de"},{"family":"Alahakoon","given":"Yasanthi"}],"issued":{"date-parts":[["2020",4]]}}}],"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Gunarathne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suggested that social norms stimulate pro-environmental actions “in some contexts, for some behaviors, and for some individuals” due to other macro-level dynamics factors such as socioeconomic forces that influence how individuals interact with social norms prompts. Moreover, consistent with the normative conduct theory, the impact of social norms hangs on their saliency, particularly when socially unfavorable behaviors in certain community become prevalent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{"citationID":"EQL75HLF","properties":{"formattedCitation":"(Ananno et al., 2021)","plainCitation":"(Ananno et al., 2021)","dontUpdate":true,"noteIndex":0},"citationItems":[{"id":2423,"uris":["http://zotero.org/users/local/b6CRLSJH/items/RLWDPUMZ"],"itemData":{"id":2423,"type":"article-journal","abstract":"This paper aims to establish consumer’s perception of electric waste recycling and management on a national scale in Bangladesh. The attitude, willingness to pay (WTP) and consumers’ behaviour were explored by con­ ducting a questionnaire-based survey. The conclusions are based on 915 valid responses out of 2000 online survey invitations. Interestingly, 37.9% of the respondents indicated that they would accept to pay for electronic waste recycling. Analysis also shows that the preferred WTP would cover 5–10% of the recycling cost. Factors like environmental awareness, monthly income, and education level affect the consumers’ WTP. Nevertheless, most of the participants believe that the Government should share the recycling cost. The study suggests that ewaste recycling can be stimulated by promoting environmental awareness, educating the public about the benefits of recycling e-waste, and making e-waste recycling more convenient. However, additional measures will likely be needed to tackle the e-waste problem. Thus, support for environmental education is imperative in order to promote environmental awareness and increase the WTP of consumers. The study outlines key characteristics of consumer-focused e-waste management archetypes and proposes an effective road map for Bangladesh.","container-title":"Journal of Environmental Management","DOI":"10.1016/j.jenvman.2021.111943","ISSN":"03014797","journalAbbreviation":"Journal of Environmental Management","language":"en","page":"111943","source":"DOI.org (Crossref)","title":"Survey and analysis of consumers’ behaviour for electronic waste management in Bangladesh","volume":"282","author":[{"family":"Ananno","given":"Anan Ashrabi"},{"family":"Masud","given":"Mahadi Hasan"},{"family":"Dabnichki","given":"Peter"},{"family":"Mahjabeen","given":"Mosarrat"},{"family":"Chowdhury","given":"Sami Ahbab"}],"issued":{"date-parts":[["2021",3]]}}}],"schema":"https://github.com/citation-style-language/schema/raw/master/csl-citation.json"}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Ananno et al., 2021)</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This contextual view may advocate for the immature nature and awareness of e-waste recycling issue in developing economies, which may yield mixed results. An alternative view suggests that social pressures may indirectly motivate pro-environmental behavior through personal norms that reflect an individual’s moral obligation for right and wrong behavior in a specific situation </w:t>
      </w:r>
      <w:r w:rsidRPr="00597FFB">
        <w:rPr>
          <w:rFonts w:ascii="Times New Roman" w:hAnsi="Times New Roman" w:cs="Times New Roman"/>
          <w:sz w:val="24"/>
          <w:szCs w:val="24"/>
        </w:rPr>
        <w:fldChar w:fldCharType="begin"/>
      </w:r>
      <w:r w:rsidR="0002538C" w:rsidRPr="00597FFB">
        <w:rPr>
          <w:rFonts w:ascii="Times New Roman" w:hAnsi="Times New Roman" w:cs="Times New Roman"/>
          <w:sz w:val="24"/>
          <w:szCs w:val="24"/>
        </w:rPr>
        <w:instrText xml:space="preserve"> ADDIN ZOTERO_ITEM CSL_CITATION {"citationID":"J9n8UcOR","properties":{"formattedCitation":"(M. Aboelmaged, 2021)","plainCitation":"(M. Aboelmaged, 2021)","dontUpdate":true,"noteIndex":0},"citationItems":[{"id":3566,"uris":["http://zotero.org/users/local/b6CRLSJH/items/JVJFVCUF"],"itemData":{"id":3566,"type":"article-journal","abstract":"This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rPr>
        <w:t>(Aboelmaged, 2021)</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This view reinforces that young consumers tend to make decisions based on their preferences, rather than adhering to social pressures and expectations of family and friends and the same would apply to UAE millennials and adoption of EWR behavior.</w:t>
      </w:r>
    </w:p>
    <w:p w14:paraId="77FF5B54" w14:textId="7777777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SEM CFA confirmed that PCB affects EWRBI. From its conceptualization in the TPB, the PCB is a reflection of the confidence and control that people would have over a given behavior and its adoption such as the EWRBI and EWR adoption (Ajzen, 1985). Thus, the confirmation of the PCB</w:t>
      </w:r>
      <w:r w:rsidRPr="00597FFB">
        <w:rPr>
          <w:rFonts w:ascii="Times New Roman" w:hAnsi="Times New Roman" w:cs="Times New Roman"/>
          <w:sz w:val="24"/>
          <w:szCs w:val="24"/>
        </w:rPr>
        <w:sym w:font="Wingdings" w:char="F0E0"/>
      </w:r>
      <w:r w:rsidRPr="00597FFB">
        <w:rPr>
          <w:rFonts w:ascii="Times New Roman" w:hAnsi="Times New Roman" w:cs="Times New Roman"/>
          <w:sz w:val="24"/>
          <w:szCs w:val="24"/>
        </w:rPr>
        <w:t>EWRBI (H3) and PCB</w:t>
      </w:r>
      <w:r w:rsidRPr="00597FFB">
        <w:rPr>
          <w:rFonts w:ascii="Times New Roman" w:hAnsi="Times New Roman" w:cs="Times New Roman"/>
          <w:sz w:val="24"/>
          <w:szCs w:val="24"/>
        </w:rPr>
        <w:sym w:font="Wingdings" w:char="F0E0"/>
      </w:r>
      <w:r w:rsidRPr="00597FFB">
        <w:rPr>
          <w:rFonts w:ascii="Times New Roman" w:hAnsi="Times New Roman" w:cs="Times New Roman"/>
          <w:sz w:val="24"/>
          <w:szCs w:val="24"/>
        </w:rPr>
        <w:t>AD (H7) can be interpreted to mean that UAE millennials are likely to engage in EWRBI and adopt EWR behavior when they feel that they have control over EWR. The confirmation of H3 is consistent with Alves and Coutinho (2019) who found that behavioral control was a predictor of consumer intention to recycle, reuse, an/or repair obsolete electronic devices. Similar findings were reported by Zhang et al. (2021) concerning recycling of mobile phones intention. The questionnaire items prompted for such control in the form of EWR convenience, ease of succeeding in undertaking EWR, knowledge of EWR point/location, familiarity with acceptable materials and ease of finding time to recycle. In this regard, it is evident that the combination of these factors would enhance the chances of UAE millennials engaging in EWR. This finding was also in harmony with other studies that reported an effect of perceived behavioral control on the intention based on the ABC-Hypothesis where unfavorable external conditions such as those captured in this study’s questionnaire would impact on attitudes (A) and behavior (B) and cause them to be weak (Dhir et al., 2021). Interventions to surge the millennials’ behavioral control requires sufficient knowledge concerning how to conduct certain behavior and to make it more accessible. The lack of knowledge dissemination from local authorities concerning EWR programs, centers, procedures, etc. may restrain the effect of behavioral control on the recycling intention.</w:t>
      </w:r>
    </w:p>
    <w:p w14:paraId="1A5F9C48" w14:textId="7777777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Millennials may also have limited awareness or preference concerning informal EWR channels such as flexible home or online collections which are designed to fit the scope and scale of household e-waste recycling (Chi et al., 2014). The gap between intention and actual recycling behavior can also weaken the impact of behavioral control due to individual’s inactive information-seeking behavior (Rosenthal, 2017) or lack of resource availability (Strydom, 2018). Moreover, individuals’ e-waste recycling intention may hinge on their perceived behavioral control when they are satisfied with their local e-waste recycling infrastructure and facilities. Stoeva and Alriksson (2017) revealed that poor waste recycling facilities lead to a weak effect of behavioral control owing to the decline of household contribution to waste recycling activities. Such satisfaction reflects sufficiency and eminence of waste collection and separation facilities, which in turn improve customer’s collection and recycling rates. Another plausible interpretation of the insignificant impact of behavioral control could be occupied with the e-waste recycling infrastructure in the UAE, which is neither sufficiently widespread nor conveniently accessible by residents. This result reinforces Wang et al.’s (2011, 2016) call for governmental intervention to facilitate formal and informal e-waste recycling.</w:t>
      </w:r>
    </w:p>
    <w:p w14:paraId="60FB25E2" w14:textId="4DB7E4EC"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Existing research investigating the relationship between intentions and adoption recycling behavior is inconclusive. EWR behavioral intentions had a significant positive influence on EWR adoption behavior; the path coefficient was 0.022, and H9 was supported. The factor loadings were also acceptable high for items of intention ranging from 0.540 to 0.738 (see Table </w:t>
      </w:r>
      <w:r w:rsidR="00DF3437" w:rsidRPr="00597FFB">
        <w:rPr>
          <w:rFonts w:ascii="Times New Roman" w:hAnsi="Times New Roman" w:cs="Times New Roman"/>
          <w:sz w:val="24"/>
          <w:szCs w:val="24"/>
        </w:rPr>
        <w:t>1</w:t>
      </w:r>
      <w:r w:rsidR="00F276B7" w:rsidRPr="00597FFB">
        <w:rPr>
          <w:rFonts w:ascii="Times New Roman" w:hAnsi="Times New Roman" w:cs="Times New Roman"/>
          <w:sz w:val="24"/>
          <w:szCs w:val="24"/>
        </w:rPr>
        <w:t>5</w:t>
      </w:r>
      <w:r w:rsidRPr="00597FFB">
        <w:rPr>
          <w:rFonts w:ascii="Times New Roman" w:hAnsi="Times New Roman" w:cs="Times New Roman"/>
          <w:sz w:val="24"/>
          <w:szCs w:val="24"/>
        </w:rPr>
        <w:t xml:space="preserve">). These statistics indicate that increased EWRBI can significantly improve the adoption behavior, which is the focus for future EWR work. Some studies argue that intention does not mediate recycling behavior. Therefore, they use either intention or behavior as independent variables, but not both (Largo-Wight et al., 2012; Tonglet et al., 2004). This study provides some clarification on this issue because the results show that in an e-waste context, EWR behavioral intention mediates the effect of attitude, subjective norm, perceived behavioral control and incentives on adoption of EWR. However, the results of this study indicate that there is a weak relationship between EWR intention and behavior (standard estimate = 0.022), which implied that an increase in EWR behavioral intention by one standard deviation would only trigger a 0.022 standard deviation increase in EWR adoption. Bagozzi and Yi (1989) explain the reasoning behind the poor relationship between intention and behavior as the respondents’ lack of consideration to the pros and cons of the behavior due to the formulation of intention construct (Davies et al., 2002). The respondents intend to recycle e-waste regularly, drop-off e-waste at the nearby station, and return e-waste to the retailer or manufacturer. </w:t>
      </w:r>
    </w:p>
    <w:p w14:paraId="1DE943FE" w14:textId="71E4E437" w:rsidR="00E52362" w:rsidRPr="00597FFB" w:rsidRDefault="00E52362" w:rsidP="00E52362">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However, they prefer donating, reselling or storing e-waste. This finding is not surprising since “people do not always perform in a manner consistent with their beliefs, values, attitudes, or intentions” (Kuhl and Beckman, 1985, p.1). According to the descriptive statistics, the majority of the respondents agreed that they store e-waste (see Table </w:t>
      </w:r>
      <w:r w:rsidR="0078121D" w:rsidRPr="00597FFB">
        <w:rPr>
          <w:rFonts w:ascii="Times New Roman" w:hAnsi="Times New Roman" w:cs="Times New Roman"/>
          <w:sz w:val="24"/>
          <w:szCs w:val="24"/>
        </w:rPr>
        <w:t>1</w:t>
      </w:r>
      <w:r w:rsidR="00400747" w:rsidRPr="00597FFB">
        <w:rPr>
          <w:rFonts w:ascii="Times New Roman" w:hAnsi="Times New Roman" w:cs="Times New Roman"/>
          <w:sz w:val="24"/>
          <w:szCs w:val="24"/>
        </w:rPr>
        <w:t>5</w:t>
      </w:r>
      <w:r w:rsidRPr="00597FFB">
        <w:rPr>
          <w:rFonts w:ascii="Times New Roman" w:hAnsi="Times New Roman" w:cs="Times New Roman"/>
          <w:sz w:val="24"/>
          <w:szCs w:val="24"/>
        </w:rPr>
        <w:t>). A possible explanation for this behavior could be the lack of knowledge about the information on EWR, EWR locations and how to recycle e-waste. Therefore, the authorities might consider providing drop-off points, and setting up collection and recycling events.</w:t>
      </w:r>
    </w:p>
    <w:p w14:paraId="18E2288A" w14:textId="04554ED4" w:rsidR="00E52362" w:rsidRPr="00597FFB" w:rsidRDefault="00E52362" w:rsidP="00783933">
      <w:pPr>
        <w:widowControl w:val="0"/>
        <w:spacing w:line="480" w:lineRule="auto"/>
        <w:jc w:val="both"/>
        <w:rPr>
          <w:rFonts w:ascii="Times New Roman" w:hAnsi="Times New Roman" w:cs="Times New Roman"/>
          <w:sz w:val="24"/>
          <w:szCs w:val="24"/>
        </w:rPr>
      </w:pPr>
      <w:r w:rsidRPr="00597FFB">
        <w:rPr>
          <w:rFonts w:ascii="Times New Roman" w:hAnsi="Times New Roman" w:cs="Times New Roman"/>
          <w:sz w:val="24"/>
          <w:szCs w:val="24"/>
        </w:rPr>
        <w:t xml:space="preserve">Lastly, a contribution of environmental concern on intention was detected which was high (β = 0.313; t = 9.487, </w:t>
      </w:r>
      <w:r w:rsidRPr="00597FFB">
        <w:rPr>
          <w:rFonts w:ascii="Times New Roman" w:hAnsi="Times New Roman" w:cs="Times New Roman"/>
          <w:i/>
          <w:iCs/>
          <w:sz w:val="24"/>
          <w:szCs w:val="24"/>
        </w:rPr>
        <w:t xml:space="preserve">p </w:t>
      </w:r>
      <w:r w:rsidRPr="00597FFB">
        <w:rPr>
          <w:rFonts w:ascii="Times New Roman" w:hAnsi="Times New Roman" w:cs="Times New Roman"/>
          <w:sz w:val="24"/>
          <w:szCs w:val="24"/>
        </w:rPr>
        <w:t xml:space="preserve">&lt; 0.05) and is common when researching specific environmental related behavior </w:t>
      </w:r>
      <w:r w:rsidRPr="00597FFB">
        <w:rPr>
          <w:rFonts w:ascii="Times New Roman" w:hAnsi="Times New Roman" w:cs="Times New Roman"/>
          <w:sz w:val="24"/>
          <w:szCs w:val="24"/>
        </w:rPr>
        <w:fldChar w:fldCharType="begin"/>
      </w:r>
      <w:r w:rsidR="00173BF9" w:rsidRPr="00597FFB">
        <w:rPr>
          <w:rFonts w:ascii="Times New Roman" w:hAnsi="Times New Roman" w:cs="Times New Roman"/>
          <w:sz w:val="24"/>
          <w:szCs w:val="24"/>
        </w:rPr>
        <w:instrText xml:space="preserve"> ADDIN ZOTERO_ITEM CSL_CITATION {"citationID":"SvfX1aKk","properties":{"formattedCitation":"(M. H. Ali et al., 2019a)","plainCitation":"(M. H. Ali et al., 2019a)","noteIndex":0},"citationItems":[{"id":3976,"uris":["http://zotero.org/users/local/b6CRLSJH/items/22P4XJQM"],"itemData":{"id":3976,"type":"article-journal","abstract":"The management of waste, energy, and resources has received special attention from academics and practitioners due to the growing evidence for its e</w:instrText>
      </w:r>
      <w:r w:rsidR="00173BF9" w:rsidRPr="00597FFB">
        <w:rPr>
          <w:rFonts w:ascii="Cambria Math" w:hAnsi="Cambria Math" w:cs="Cambria Math"/>
          <w:sz w:val="24"/>
          <w:szCs w:val="24"/>
        </w:rPr>
        <w:instrText>↵</w:instrText>
      </w:r>
      <w:r w:rsidR="00173BF9" w:rsidRPr="00597FFB">
        <w:rPr>
          <w:rFonts w:ascii="Times New Roman" w:hAnsi="Times New Roman" w:cs="Times New Roman"/>
          <w:sz w:val="24"/>
          <w:szCs w:val="24"/>
        </w:rPr>
        <w:instrText>ects on the environment. The aim of this study is to investigate the environmental drivers of waste, energy, and resource management and, in turn, its e</w:instrText>
      </w:r>
      <w:r w:rsidR="00173BF9" w:rsidRPr="00597FFB">
        <w:rPr>
          <w:rFonts w:ascii="Cambria Math" w:hAnsi="Cambria Math" w:cs="Cambria Math"/>
          <w:sz w:val="24"/>
          <w:szCs w:val="24"/>
        </w:rPr>
        <w:instrText>↵</w:instrText>
      </w:r>
      <w:r w:rsidR="00173BF9" w:rsidRPr="00597FFB">
        <w:rPr>
          <w:rFonts w:ascii="Times New Roman" w:hAnsi="Times New Roman" w:cs="Times New Roman"/>
          <w:sz w:val="24"/>
          <w:szCs w:val="24"/>
        </w:rPr>
        <w:instrText>ect on the sustainable performance of manufacturing ﬁrms. The data were collected from a survey of 173 large manufacturing ﬁrms in Malaysia and analysed using partial least squares. The results indicate that although environmental regulatory pressure, customer pressure, environmental uncertainty, and expected business beneﬁts have positive e</w:instrText>
      </w:r>
      <w:r w:rsidR="00173BF9" w:rsidRPr="00597FFB">
        <w:rPr>
          <w:rFonts w:ascii="Cambria Math" w:hAnsi="Cambria Math" w:cs="Cambria Math"/>
          <w:sz w:val="24"/>
          <w:szCs w:val="24"/>
        </w:rPr>
        <w:instrText>↵</w:instrText>
      </w:r>
      <w:r w:rsidR="00173BF9" w:rsidRPr="00597FFB">
        <w:rPr>
          <w:rFonts w:ascii="Times New Roman" w:hAnsi="Times New Roman" w:cs="Times New Roman"/>
          <w:sz w:val="24"/>
          <w:szCs w:val="24"/>
        </w:rPr>
        <w:instrText>ects on the extent of waste, energy, and resource management, social responsibility has no e</w:instrText>
      </w:r>
      <w:r w:rsidR="00173BF9" w:rsidRPr="00597FFB">
        <w:rPr>
          <w:rFonts w:ascii="Cambria Math" w:hAnsi="Cambria Math" w:cs="Cambria Math"/>
          <w:sz w:val="24"/>
          <w:szCs w:val="24"/>
        </w:rPr>
        <w:instrText>↵</w:instrText>
      </w:r>
      <w:r w:rsidR="00173BF9" w:rsidRPr="00597FFB">
        <w:rPr>
          <w:rFonts w:ascii="Times New Roman" w:hAnsi="Times New Roman" w:cs="Times New Roman"/>
          <w:sz w:val="24"/>
          <w:szCs w:val="24"/>
        </w:rPr>
        <w:instrText>ect. Furthermore, waste, energy, and resource management has a positive e</w:instrText>
      </w:r>
      <w:r w:rsidR="00173BF9" w:rsidRPr="00597FFB">
        <w:rPr>
          <w:rFonts w:ascii="Cambria Math" w:hAnsi="Cambria Math" w:cs="Cambria Math"/>
          <w:sz w:val="24"/>
          <w:szCs w:val="24"/>
        </w:rPr>
        <w:instrText>↵</w:instrText>
      </w:r>
      <w:r w:rsidR="00173BF9" w:rsidRPr="00597FFB">
        <w:rPr>
          <w:rFonts w:ascii="Times New Roman" w:hAnsi="Times New Roman" w:cs="Times New Roman"/>
          <w:sz w:val="24"/>
          <w:szCs w:val="24"/>
        </w:rPr>
        <w:instrText xml:space="preserve">ect on the sustainable performance of large manufacturing ﬁrms. The ﬁndings of this study extend the knowledge of the drivers and outcomes of waste, energy, and resource management. The results can help policymakers to adjust policies and strategies in a way to inspire managers to implement waste, energy, and resource management.","container-title":"Sustainability","DOI":"10.3390/su11082443","ISSN":"2071-1050","issue":"8","journalAbbreviation":"Sustainability","language":"en","note":"number: 8","page":"2443","source":"DOI.org (Crossref)","title":"Impacts of Environmental Factors on Waste, Energy, and Resource Management and Sustainable Performance","volume":"11","author":[{"family":"Ali","given":"Mohd Helmi"},{"family":"Zailani","given":"Suhaiza"},{"family":"Iranmanesh","given":"Mohammad"},{"family":"Foroughi","given":"Behzad"}],"issued":{"date-parts":[["2019",4,25]]}}}],"schema":"https://github.com/citation-style-language/schema/raw/master/csl-citation.json"} </w:instrText>
      </w:r>
      <w:r w:rsidRPr="00597FFB">
        <w:rPr>
          <w:rFonts w:ascii="Times New Roman" w:hAnsi="Times New Roman" w:cs="Times New Roman"/>
          <w:sz w:val="24"/>
          <w:szCs w:val="24"/>
        </w:rPr>
        <w:fldChar w:fldCharType="separate"/>
      </w:r>
      <w:r w:rsidR="00173BF9" w:rsidRPr="00597FFB">
        <w:rPr>
          <w:rFonts w:ascii="Times New Roman" w:hAnsi="Times New Roman" w:cs="Times New Roman"/>
          <w:sz w:val="24"/>
        </w:rPr>
        <w:t>(Ali et al., 2019a)</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From the theoretical perspective, the research demonstrates the effects of </w:t>
      </w:r>
      <w:bookmarkStart w:id="266" w:name="_Hlk120818745"/>
      <w:r w:rsidRPr="00597FFB">
        <w:rPr>
          <w:rFonts w:ascii="Times New Roman" w:hAnsi="Times New Roman" w:cs="Times New Roman"/>
          <w:sz w:val="24"/>
          <w:szCs w:val="24"/>
        </w:rPr>
        <w:t xml:space="preserve">environmental concern </w:t>
      </w:r>
      <w:bookmarkEnd w:id="266"/>
      <w:r w:rsidRPr="00597FFB">
        <w:rPr>
          <w:rFonts w:ascii="Times New Roman" w:hAnsi="Times New Roman" w:cs="Times New Roman"/>
          <w:sz w:val="24"/>
          <w:szCs w:val="24"/>
        </w:rPr>
        <w:t xml:space="preserve">on </w:t>
      </w:r>
      <w:bookmarkStart w:id="267" w:name="_Hlk116318745"/>
      <w:r w:rsidR="00091105" w:rsidRPr="00597FFB">
        <w:rPr>
          <w:rFonts w:ascii="Times New Roman" w:hAnsi="Times New Roman" w:cs="Times New Roman"/>
          <w:sz w:val="24"/>
          <w:szCs w:val="24"/>
        </w:rPr>
        <w:t>m</w:t>
      </w:r>
      <w:r w:rsidRPr="00597FFB">
        <w:rPr>
          <w:rFonts w:ascii="Times New Roman" w:hAnsi="Times New Roman" w:cs="Times New Roman"/>
          <w:sz w:val="24"/>
          <w:szCs w:val="24"/>
        </w:rPr>
        <w:t>illennials’ EWR intention</w:t>
      </w:r>
      <w:bookmarkEnd w:id="267"/>
      <w:r w:rsidRPr="00597FFB">
        <w:rPr>
          <w:rFonts w:ascii="Times New Roman" w:hAnsi="Times New Roman" w:cs="Times New Roman"/>
          <w:sz w:val="24"/>
          <w:szCs w:val="24"/>
        </w:rPr>
        <w:t xml:space="preserve">, thus gives a more comprehensive understanding of EWR behavior. This study found a positive signiﬁcant effect of environmental concern on EWR intentions. It means that the more people are aware of the consequences of e-waste, then the greater the people’s intent to safely dispose of e-waste. After conducting a study on e-waste in African countries, </w:t>
      </w:r>
      <w:r w:rsidR="00783933" w:rsidRPr="00597FFB">
        <w:rPr>
          <w:rFonts w:ascii="Times New Roman" w:hAnsi="Times New Roman" w:cs="Times New Roman"/>
          <w:sz w:val="24"/>
          <w:szCs w:val="24"/>
          <w:lang w:val="en-GB"/>
        </w:rPr>
        <w:t>Alao</w:t>
      </w:r>
      <w:r w:rsidRPr="00597FFB">
        <w:rPr>
          <w:rFonts w:ascii="Times New Roman" w:hAnsi="Times New Roman" w:cs="Times New Roman"/>
          <w:sz w:val="24"/>
          <w:szCs w:val="24"/>
        </w:rPr>
        <w:t xml:space="preserve"> et al. (2021) suggested including e-waste awareness in educational curriculums to make the young generation aware about the harmful effects. To increase the safe disposal attitude, the government, the e-waste manufacturers, and educational institutions can play a major role in raising consumers’ awareness through advertisements and organizing awareness campaigns for both the consumers and the unorganized e-waste recyclers. The communication of e-waste management information would increase in millennials’ EWR participation towards e-waste management (Awasthi et al., 2021), the determinants of individuals’ actual recycling behaviors should be further explored in future studies.</w:t>
      </w:r>
    </w:p>
    <w:p w14:paraId="471F3763" w14:textId="2E9AFB21" w:rsidR="004E5E6B" w:rsidRPr="00597FFB" w:rsidRDefault="004E5E6B" w:rsidP="0024408F">
      <w:pPr>
        <w:pStyle w:val="Heading3"/>
        <w:widowControl w:val="0"/>
        <w:spacing w:line="480" w:lineRule="auto"/>
        <w:ind w:left="720" w:hanging="720"/>
        <w:rPr>
          <w:rFonts w:ascii="Times New Roman" w:hAnsi="Times New Roman"/>
          <w:i/>
          <w:iCs/>
          <w:color w:val="auto"/>
          <w:sz w:val="24"/>
          <w:szCs w:val="24"/>
        </w:rPr>
      </w:pPr>
      <w:bookmarkStart w:id="268" w:name="_Toc127170369"/>
      <w:bookmarkStart w:id="269" w:name="_Hlk120959515"/>
      <w:r w:rsidRPr="00597FFB">
        <w:rPr>
          <w:rFonts w:ascii="Times New Roman" w:hAnsi="Times New Roman"/>
          <w:i/>
          <w:iCs/>
          <w:color w:val="auto"/>
          <w:sz w:val="24"/>
          <w:szCs w:val="24"/>
        </w:rPr>
        <w:t xml:space="preserve">5.5.2. Discussion </w:t>
      </w:r>
      <w:r w:rsidR="00072848" w:rsidRPr="00597FFB">
        <w:rPr>
          <w:rFonts w:ascii="Times New Roman" w:hAnsi="Times New Roman"/>
          <w:i/>
          <w:iCs/>
          <w:color w:val="auto"/>
          <w:sz w:val="24"/>
          <w:szCs w:val="24"/>
        </w:rPr>
        <w:t>o</w:t>
      </w:r>
      <w:r w:rsidRPr="00597FFB">
        <w:rPr>
          <w:rFonts w:ascii="Times New Roman" w:hAnsi="Times New Roman"/>
          <w:i/>
          <w:iCs/>
          <w:color w:val="auto"/>
          <w:sz w:val="24"/>
          <w:szCs w:val="24"/>
        </w:rPr>
        <w:t>f Extended NAT Findings.</w:t>
      </w:r>
      <w:bookmarkEnd w:id="268"/>
    </w:p>
    <w:p w14:paraId="3739F1A0" w14:textId="39E4A6BC"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extension of the NAT has predominantly featured the inclusion of the TPB in previous studies (Dhir et al., 2021; Zhang et al., 2021) although there has been notable inclusion of stimulus factors to help explain intention to adopt a given behavior in some studies </w:t>
      </w:r>
      <w:r w:rsidRPr="00597FFB">
        <w:rPr>
          <w:rFonts w:ascii="Times New Roman" w:eastAsia="Times New Roman" w:hAnsi="Times New Roman" w:cs="Times New Roman"/>
          <w:bCs/>
          <w:color w:val="000000"/>
          <w:sz w:val="24"/>
          <w:szCs w:val="24"/>
        </w:rPr>
        <w:t>(</w:t>
      </w:r>
      <w:r w:rsidRPr="00597FFB">
        <w:rPr>
          <w:rFonts w:ascii="Times New Roman" w:hAnsi="Times New Roman" w:cs="Times New Roman"/>
          <w:color w:val="000000"/>
          <w:sz w:val="24"/>
          <w:szCs w:val="24"/>
        </w:rPr>
        <w:t>Chao et al., 2021; Chillakuri, 2020; Elhoushy &amp; Lanzini, 2021; Esfandiar et al., 2020), as was the case in the current study</w:t>
      </w:r>
      <w:r w:rsidRPr="00597FFB">
        <w:rPr>
          <w:rFonts w:ascii="Times New Roman" w:hAnsi="Times New Roman" w:cs="Times New Roman"/>
          <w:sz w:val="24"/>
          <w:szCs w:val="24"/>
        </w:rPr>
        <w:t>.</w:t>
      </w:r>
      <w:bookmarkEnd w:id="269"/>
      <w:r w:rsidRPr="00597FFB">
        <w:t xml:space="preserve"> </w:t>
      </w:r>
      <w:r w:rsidRPr="00597FFB">
        <w:rPr>
          <w:rFonts w:ascii="Times New Roman" w:hAnsi="Times New Roman" w:cs="Times New Roman"/>
          <w:sz w:val="24"/>
          <w:szCs w:val="24"/>
        </w:rPr>
        <w:t>The goodness of fit indices supporting the adequacy of the extended NAT model that as developed in this study is a first line indication that the model is suitable for explaining UAE millennials’ EWR behavioral intentions and the factors that could account for it. It means that this model could be used to explain EWR intentions among millennials, specifically in UAE. There is also a notable difference compared to the original model, where AC could directly correlate to PN.</w:t>
      </w:r>
    </w:p>
    <w:p w14:paraId="44F76982"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malleability of NAT could be observed through various interpretation in different contexts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{"citationID":"kaMvgEpx","properties":{"formattedCitation":"(Cheng et al., 2020)","plainCitation":"(Cheng et al., 2020)","noteIndex":0},"citationItems":[{"id":3516,"uris":["http://zotero.org/users/local/b6CRLSJH/items/67GGLPAQ"],"itemData":{"id":3516,"type":"article-journal","abstract":"Previous studies have explored consumers’ environmentally responsible intentions regarding many industries and products; however, research on the sustainability of smartphones is limited. This article develops an integrated cross-level model to assess the factors that foster environmentally responsible consumer behavior, which is demonstrated by the willingness to recycle smartphones. Data from 358 consumers were collected and analyzed using hierarchical linear modeling and the decomposed theory of planned behavior, which take into account antecedent factors. The outcomes of this article may provide a better understanding of consumer attitudes on smartphone recycling, such that expedient engineering and public policies can be put in place to facilitate it.","container-title":"IEEE Transactions on Engineering Management","DOI":"10.1109/TEM.2020.3007605","ISSN":"0018-9391, 1558-0040","journalAbbreviation":"IEEE Trans. Eng. Manage.","language":"en","page":"1-11","source":"DOI.org (Crossref)","title":"Fostering Environmentally Responsible Consumer Behavior: A Hierarchical Approach Toward Smartphone Recycling","title-short":"Fostering Environmentally Responsible Consumer Behavior","author":[{"family":"Cheng","given":"Min-Jhih"},{"family":"Hung","given":"Shiu-Wan"},{"family":"Tsai","given":"Her-Her"},{"family":"Chou","given":"Yin-Chen"}],"issued":{"date-parts":[["2020"]]}}}],"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(Cheng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 sample of different interpretation is how NAT could be applied as a mediator model or moderator model. A mediator model would be interpreted as what has been applied in this study. As for moderator model, interpret NAT where PN correlates with </w:t>
      </w:r>
      <w:bookmarkStart w:id="270" w:name="_Hlk120905911"/>
      <w:r w:rsidRPr="00597FFB">
        <w:rPr>
          <w:rFonts w:ascii="Times New Roman" w:hAnsi="Times New Roman" w:cs="Times New Roman"/>
          <w:sz w:val="24"/>
          <w:szCs w:val="24"/>
        </w:rPr>
        <w:t xml:space="preserve">EWR intentions </w:t>
      </w:r>
      <w:bookmarkEnd w:id="270"/>
      <w:r w:rsidRPr="00597FFB">
        <w:rPr>
          <w:rFonts w:ascii="Times New Roman" w:hAnsi="Times New Roman" w:cs="Times New Roman"/>
          <w:sz w:val="24"/>
          <w:szCs w:val="24"/>
        </w:rPr>
        <w:t>with mediating effect of PC. It is not quite surprising to see that the mediator model could be interpreted in a different population as there are many possibilities of other interpretation other than these two.</w:t>
      </w:r>
    </w:p>
    <w:p w14:paraId="629766A8" w14:textId="70A540DC"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In line with previous literature </w:t>
      </w:r>
      <w:r w:rsidRPr="00597FFB">
        <w:rPr>
          <w:rFonts w:ascii="Times New Roman" w:hAnsi="Times New Roman" w:cs="Times New Roman"/>
          <w:sz w:val="24"/>
          <w:szCs w:val="24"/>
        </w:rPr>
        <w:fldChar w:fldCharType="begin"/>
      </w:r>
      <w:r w:rsidR="00173BF9" w:rsidRPr="00597FFB">
        <w:rPr>
          <w:rFonts w:ascii="Times New Roman" w:hAnsi="Times New Roman" w:cs="Times New Roman"/>
          <w:sz w:val="24"/>
          <w:szCs w:val="24"/>
        </w:rPr>
        <w:instrText xml:space="preserve"> ADDIN ZOTERO_ITEM CSL_CITATION {"citationID":"6Y1V1Q4L","properties":{"formattedCitation":"(Ananno et al., 2021c)","plainCitation":"(Ananno et al., 2021c)","noteIndex":0},"citationItems":[{"id":3514,"uris":["http://zotero.org/users/local/b6CRLSJH/items/Z56RMHCG"],"itemData":{"id":3514,"type":"article-journal","abstract":"This paper aims to establish consumer’s perception of electric waste recycling and management on a national scale in Bangladesh. The attitude, willingness to pay (WTP) and consumers’ behaviour were explored by con­ ducting a questionnaire-based survey. The conclusions are based on 915 valid responses out of 2000 online survey invitations. Interestingly, 37.9% of the respondents indicated that they would accept to pay for electronic waste recycling. Analysis also shows that the preferred WTP would cover 5–10% of the recycling cost. Factors like environmental awareness, monthly income, and education level affect the consumers’ WTP. Nevertheless, most of the participants believe that the Government should share the recycling cost. The study suggests that ewaste recycling can be stimulated by promoting environmental awareness, educating the public about the benefits of recycling e-waste, and making e-waste recycling more convenient. However, additional measures will likely be needed to tackle the e-waste problem. Thus, support for environmental education is imperative in order to promote environmental awareness and increase the WTP of consumers. The study outlines key characteristics of consumer-focused e-waste management archetypes and proposes an effective road map for Bangladesh.","container-title":"Journal of Environmental Management","DOI":"10.1016/j.jenvman.2021.111943","ISSN":"03014797","journalAbbreviation":"Journal of Environmental Management","language":"en","page":"111943","source":"DOI.org (Crossref)","title":"Survey and analysis of consumers’ behaviour for electronic waste management in Bangladesh","volume":"282","author":[{"family":"Ananno","given":"Anan Ashrabi"},{"family":"Masud","given":"Mahadi Hasan"},{"family":"Dabnichki","given":"Peter"},{"family":"Mahjabeen","given":"Mosarrat"},{"family":"Chowdhury","given":"Sami Ahbab"}],"issued":{"date-parts":[["2021",3]]}}}],"schema":"https://github.com/citation-style-language/schema/raw/master/csl-citation.json"} </w:instrText>
      </w:r>
      <w:r w:rsidRPr="00597FFB">
        <w:rPr>
          <w:rFonts w:ascii="Times New Roman" w:hAnsi="Times New Roman" w:cs="Times New Roman"/>
          <w:sz w:val="24"/>
          <w:szCs w:val="24"/>
        </w:rPr>
        <w:fldChar w:fldCharType="separate"/>
      </w:r>
      <w:r w:rsidR="00173BF9" w:rsidRPr="00597FFB">
        <w:rPr>
          <w:rFonts w:ascii="Times New Roman" w:hAnsi="Times New Roman" w:cs="Times New Roman"/>
          <w:sz w:val="24"/>
        </w:rPr>
        <w:t>(Ananno et al., 2021c)</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 moral obligation to perform EWR could be evidenced which is particularly higher among </w:t>
      </w:r>
      <w:bookmarkStart w:id="271" w:name="_Hlk120971498"/>
      <w:r w:rsidRPr="00597FFB">
        <w:rPr>
          <w:rFonts w:ascii="Times New Roman" w:hAnsi="Times New Roman" w:cs="Times New Roman"/>
          <w:sz w:val="24"/>
          <w:szCs w:val="24"/>
        </w:rPr>
        <w:t xml:space="preserve">millennials. </w:t>
      </w:r>
      <w:bookmarkEnd w:id="271"/>
      <w:r w:rsidRPr="00597FFB">
        <w:rPr>
          <w:rFonts w:ascii="Times New Roman" w:hAnsi="Times New Roman" w:cs="Times New Roman"/>
          <w:sz w:val="24"/>
          <w:szCs w:val="24"/>
        </w:rPr>
        <w:t xml:space="preserve">This may be caused by millennials’ heightened importance of their physical appearance resulting in an increased electronic consumption </w:t>
      </w:r>
      <w:r w:rsidRPr="00597FFB">
        <w:rPr>
          <w:rFonts w:ascii="Times New Roman" w:hAnsi="Times New Roman" w:cs="Times New Roman"/>
          <w:sz w:val="24"/>
          <w:szCs w:val="24"/>
        </w:rPr>
        <w:fldChar w:fldCharType="begin"/>
      </w:r>
      <w:r w:rsidR="006D6A1C" w:rsidRPr="00597FFB">
        <w:rPr>
          <w:rFonts w:ascii="Times New Roman" w:hAnsi="Times New Roman" w:cs="Times New Roman"/>
          <w:sz w:val="24"/>
          <w:szCs w:val="24"/>
        </w:rPr>
        <w:instrText xml:space="preserve"> ADDIN ZOTERO_ITEM CSL_CITATION {"citationID":"IF3n1Gd8","properties":{"formattedCitation":"(B\\uc0\\u259{}tae et al., 2021b)","plainCitation":"(Bătae et al., 2021b)","noteIndex":0},"citationItems":[{"id":4556,"uris":["http://zotero.org/users/local/b6CRLSJH/items/UYVY7ENQ"],"itemData":{"id":4556,"type":"article-journal","container-title":"Journal of Cleaner Production","DOI":"10.1016/j.jclepro.2021.125791","ISSN":"09596526","journalAbbreviation":"Journal of Cleaner Production","language":"en","page":"125791","source":"DOI.org (Crossref)","title":"The relationship between environmental, social, and financial performance in the banking sector: A European study","title-short":"The relationship between environmental, social, and financial performance in the banking sector","volume":"290","author":[{"family":"Bătae","given":"Oana Marina"},{"family":"Dragomir","given":"Voicu Dan"},{"family":"Feleagă","given":"Liliana"}],"issued":{"date-parts":[["2021",3]]}}}],"schema":"https://github.com/citation-style-language/schema/raw/master/csl-citation.json"} </w:instrText>
      </w:r>
      <w:r w:rsidRPr="00597FFB">
        <w:rPr>
          <w:rFonts w:ascii="Times New Roman" w:hAnsi="Times New Roman" w:cs="Times New Roman"/>
          <w:sz w:val="24"/>
          <w:szCs w:val="24"/>
        </w:rPr>
        <w:fldChar w:fldCharType="separate"/>
      </w:r>
      <w:r w:rsidR="006D6A1C" w:rsidRPr="00597FFB">
        <w:rPr>
          <w:rFonts w:ascii="Times New Roman" w:hAnsi="Times New Roman" w:cs="Times New Roman"/>
          <w:sz w:val="24"/>
          <w:szCs w:val="24"/>
        </w:rPr>
        <w:t>(Bătae et al., 2021b)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enhanced by the fast technology industry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{"citationID":"bUqDxAF2","properties":{"formattedCitation":"(Bocken &amp; Short, 2021)","plainCitation":"(Bocken &amp; Short, 2021)","noteIndex":0},"citationItems":[{"id":4366,"uris":["http://zotero.org/users/local/b6CRLSJH/items/6EHHCMBY"],"itemData":{"id":4366,"type":"article-journal","container-title":"Journal of Cleaner Production","DOI":"10.1016/j.jclepro.2021.127828","ISSN":"09596526","journalAbbreviation":"Journal of Cleaner Production","language":"en","page":"127828","source":"DOI.org (Crossref)","title":"Unsustainable business models – Recognising and resolving institutionalised social and environmental harm","volume":"312","author":[{"family":"Bocken","given":"Nancy M.P."},{"family":"Short","given":"Samuel W."}],"issued":{"date-parts":[["2021",8]]}}}],"schema":"https://github.com/citation-style-language/schema/raw/master/csl-citation.json"}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(Bocken &amp; Short, 2021)</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Accordingly, consumers aged between 18 and 24 feel morally more obliged than middle-aged consumers to engage in EWR. As negative impacts of e-waste on environment aggravated crucially in the last 20 years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{"citationID":"aKA80n35","properties":{"formattedCitation":"(Bombaerts et al., 2020)","plainCitation":"(Bombaerts et al., 2020)","noteIndex":0},"citationItems":[{"id":2566,"uris":["http://zotero.org/users/local/b6CRLSJH/items/CGRTX8VL"],"itemData":{"id":2566,"type":"book","event-place":"Cham","ISBN":"978-3-030-24020-2","language":"en","note":"DOI: 10.1007/978-3-030-24021-9","publisher":"Springer International Publishing","publisher-place":"Cham","source":"DOI.org (Crossref)","title":"Energy Justice Across Borders","URL":"http://link.springer.com/10.1007/978-3-030-24021-9","editor":[{"family":"Bombaerts","given":"Gunter"},{"family":"Jenkins","given":"Kirsten"},{"family":"Sanusi","given":"Yekeen A."},{"family":"Guoyu","given":"Wang"}],"accessed":{"date-parts":[["2021",5,25]]},"issued":{"date-parts":[["2020"]]}}}],"schema":"https://github.com/citation-style-language/schema/raw/master/csl-citation.json"}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(Bombaerts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and fast e-waste industry hit the headlines negatively especially within recent years accompanied by the rise of social media, this finding is reasonable. It similarly relies on our finding that moral norms most influences young consumers. Also, they are the ones that need to take actions to handle these environmental issues in the future. Literature suggests that the feeling to behave morally appropriate is principally influenced by AC and AR (Stern et al., 1999; Harland, 2001; Schwartz, 1977) and subjective norm (Bamberg &amp; Möser, 2007; Harland et al., 1999). With a considerable low variation in responses, millennials is highly aware of the consequences of appropriate clothing recycling behavior, which is fostered by EWRBI, shaping personal values respectively. Consequently, it can be argued that it is very likely that millennials experiences an intrinsic motivation towards performing EWRBI as they consider EWR as way to solve environmental problems </w:t>
      </w:r>
      <w:r w:rsidRPr="00597FFB">
        <w:rPr>
          <w:rFonts w:ascii="Times New Roman" w:hAnsi="Times New Roman" w:cs="Times New Roman"/>
          <w:sz w:val="24"/>
          <w:szCs w:val="24"/>
        </w:rPr>
        <w:fldChar w:fldCharType="begin"/>
      </w:r>
      <w:r w:rsidR="00DE5C1D" w:rsidRPr="00597FFB">
        <w:rPr>
          <w:rFonts w:ascii="Times New Roman" w:hAnsi="Times New Roman" w:cs="Times New Roman"/>
          <w:sz w:val="24"/>
          <w:szCs w:val="24"/>
        </w:rPr>
        <w:instrText xml:space="preserve"> ADDIN ZOTERO_ITEM CSL_CITATION {"citationID":"3vuXMNCy","properties":{"formattedCitation":"(Ahmad et al., 2019b)","plainCitation":"(Ahmad et al., 2019b)","noteIndex":0},"citationItems":[{"id":4375,"uris":["http://zotero.org/users/local/b6CRLSJH/items/9IS9UQI5"],"itemData":{"id":4375,"type":"article-journal","abstract":"Purpose\n              The purpose of this paper was to review the indicators for the three aspects (environment, economy and society) of sustainability (the triple-bottom line (TBL) perspective) for manufacturing sectors. In addition, this paper aimed to: document the sustainability indicators for manufacturing sectors; perform an analysis of these indicators to show their evolutional progress and maturity in terms of their consistent, repeated and standardized usage; and highlight the further work needed to make them mature and more standardized.\n            \n            \n              Design/methodology/approach\n              The following keywords were used to explore and find the relevant articles: sustainable manufacturing evaluation, sustainability indicators, life cycle assessment, tools for sustainability assessment, and economic and social evaluation in industries. To find articles within this sample, the major focus remained on the terms “indicators,” “metrics,” and “performance measures.” This paper systematically reviewed the studies and analyzed the different sustainability indicators from the TBL viewpoint. Following this, the documented indicators were critically discussed along with their evolutional progress and maturity level.\n            \n            \n              Findings\n              The results showed that solid waste was the least used and immature aspect in the environmental category, whereas the more frequently used and developed indicators were related to material used, energy used and air emissions. Economic assessment was most of the time limited to cost-based indicators. From a social viewpoint, most of the reviewed studies were based on workers and local community and society related indicators rather than consumers-based indicators. From a sectoral viewpoint, comparatively, studies for metal manufacturing industries were more focused on all three dimensions of sustainability. On an overall basis, of the 144 discussed indicators, almost 34 percent (49) were used just once. Comparatively, the usage of indicators was more mature in manufacturing activities of developed countries than developing ones. Moreover, the usage of indicators was more common at the product level than at the other levels.\n            \n            \n              Originality/value\n              Unlike previous sustainability indicator sets which were generally long lists of proposed indicators rather than applicable and measurable ones, this paper reported the indicator sets based on studies for manufacturing sectors. Moreover, in contrast to previous reviews on indicators which were mostly based on the environmental dimension, this paper included all three dimensions of sustainability in one comprehensive review while focusing on recent studies published from 2007 to 2017. This paper has explored the recent evolutional progress and maturity of sustainability indicators, and provided insights into their development in manufacturing sectors.","container-title":"Journal of Manufacturing Technology Management","DOI":"10.1108/JMTM-03-2018-0091","ISSN":"1741-038X","issue":"2","journalAbbreviation":"JMTM","language":"en","page":"312-334","source":"DOI.org (Crossref)","title":"Sustainability indicators for manufacturing sectors: A literature survey and maturity analysis from the triple-bottom line perspective","title-short":"Sustainability indicators for manufacturing sectors","volume":"30","author":[{"family":"Ahmad","given":"Shamraiz"},{"family":"Wong","given":"Kuan Yew"},{"family":"Rajoo","given":"Srithar"}],"issued":{"date-parts":[["2019",2,28]]}}}],"schema":"https://github.com/citation-style-language/schema/raw/master/csl-citation.json"} </w:instrText>
      </w:r>
      <w:r w:rsidRPr="00597FFB">
        <w:rPr>
          <w:rFonts w:ascii="Times New Roman" w:hAnsi="Times New Roman" w:cs="Times New Roman"/>
          <w:sz w:val="24"/>
          <w:szCs w:val="24"/>
        </w:rPr>
        <w:fldChar w:fldCharType="separate"/>
      </w:r>
      <w:r w:rsidR="00DE5C1D" w:rsidRPr="00597FFB">
        <w:rPr>
          <w:rFonts w:ascii="Times New Roman" w:hAnsi="Times New Roman" w:cs="Times New Roman"/>
          <w:sz w:val="24"/>
        </w:rPr>
        <w:t>(Ahmad et al., 2019b)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This is in line with the current societal development including the heightened public sensitivity towards environmental problems resulting in the increase importance and appreciation of sustainable business practices such as EWR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{"citationID":"9iKfLm4N","properties":{"formattedCitation":"(Bao et al., 2020)","plainCitation":"(Bao et al., 2020)","noteIndex":0},"citationItems":[{"id":1451,"uris":["http://zotero.org/users/local/b6CRLSJH/items/UFENVDCU"],"itemData":{"id":1451,"type":"article-journal","container-title":"Asian Journal of Technology Innovation","DOI":"10.1080/19761597.2019.1700383","ISSN":"1976-1597, 2158-6721","issue":"1","journalAbbreviation":"Asian Journal of Technology Innovation","language":"en","page":"60-76","source":"DOI.org (Crossref)","title":"Slack resources and growth performance: The mediating roles of product and process innovation capabilities","title-short":"Slack resources and growth performance","volume":"28","author":[{"family":"Bao","given":"Gongmin"},{"family":"Zhang","given":"Wen"},{"family":"Xiao","given":"Zengrui"},{"family":"Hine","given":"Damian"}],"issued":{"date-parts":[["2020",1,2]]}}}],"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(Bao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Based on available literature (Park &amp; Ha, 2014), a direct correlation between AC and personal was expected and was postulated for any indirect effect that AC may have on intention.</w:t>
      </w:r>
    </w:p>
    <w:p w14:paraId="654A3157"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result showed that AC positively correlates directly to PN. </w:t>
      </w:r>
      <w:bookmarkStart w:id="272" w:name="_Hlk120906004"/>
      <w:r w:rsidRPr="00597FFB">
        <w:rPr>
          <w:rFonts w:ascii="Times New Roman" w:hAnsi="Times New Roman" w:cs="Times New Roman"/>
          <w:sz w:val="24"/>
          <w:szCs w:val="24"/>
        </w:rPr>
        <w:t>Millennials</w:t>
      </w:r>
      <w:bookmarkEnd w:id="272"/>
      <w:r w:rsidRPr="00597FFB">
        <w:rPr>
          <w:rFonts w:ascii="Times New Roman" w:hAnsi="Times New Roman" w:cs="Times New Roman"/>
          <w:sz w:val="24"/>
          <w:szCs w:val="24"/>
        </w:rPr>
        <w:t xml:space="preserve"> in UAE might have enough environmental education on the knowledge level to behave pro-environmentally. Therefore, it can be assumed that eliciting EWR intentions requires a belief of responsible self for the consequence one might cause of acting pro-environmentally. This aligning with the original model could also be caused by the fact that millennials are abstract able to comprehend concrete concepts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{"citationID":"GBCQDAya","properties":{"formattedCitation":"(Gunarathne et al., 2020)","plainCitation":"(Gunarathne et al., 2020)","dontUpdate":true,"noteIndex":0},"citationItems":[{"id":2517,"uris":["http://zotero.org/users/local/b6CRLSJH/items/QLF5CWD4"],"itemData":{"id":2517,"type":"article-journal","abstract":"While much has been written on e-waste in developed countries and some developing countries, the challenges of sustainable urban mining in e-waste in Sri Lanka remain largely unexplored. However, understanding these challenges is a complex process owing to the large number of stakeholders involved and intricate macro environmental factors. Hence, a systematic approach is needed to understand the multifaceted, multi-stakeholder challenges in e-waste recycling in Sri Lanka. This study explores the challenges inhibiting sustainable urban mining in e-waste recycling in Sri Lanka and remedial action to address these challenges with the help of the integrated sustainable waste management model [ISWMM]. Using a case study approach to the entire e-waste recycling industry in Sri Lanka, this study collected data through various methods including interviews, site visits and document analyses. The collected data was analysed thematically using a modiﬁed version of ISWMM revealing the interrelationship between the multidimensional challenges stemming from stakeholders, e-waste management processes and the local enabling environment. Since all these challenges are closely knit in a vicious circle, a few ad-hoc initiatives to overcome them would not sufﬁce to produce the desired change towards the goal of a sustainable urban mining in e-waste. Thus, the possible strategies to overcome these challenges should include policy formulation, law enforcement, adoption of the extended producer responsibility principle, capacity building, awareness creation and education, import controls, industry regularization and public-privatepartnership. These strategies need to be urgently initiated by the Sri Lankan government, business organizations, consumers and civil society so as to overcome any environmental and social issues associated with urban mining of e-waste while harnessing its business potential.","container-title":"Journal of Cleaner Production","DOI":"10.1016/j.jclepro.2019.119641","ISSN":"09596526","journalAbbreviation":"Journal of Cleaner Production","language":"en","page":"119641","source":"DOI.org (Crossref)","title":"Challenges facing sustainable urban mining in the e-waste recycling industry in Sri Lanka","volume":"251","author":[{"family":"Gunarathne","given":"Nuwan"},{"family":"Alwis","given":"Ajith","non-dropping-particle":"de"},{"family":"Alahakoon","given":"Yasanthi"}],"issued":{"date-parts":[["2020",4]]}}}],"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Gunarathne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Thus, they able to differ a sense of obligation (PN). </w:t>
      </w:r>
    </w:p>
    <w:p w14:paraId="6A53CF8A" w14:textId="56346B31"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It is evident from the results, that on average millennials experiences a feeling of responsibility for the consequences of their behavior. This means that they feel at least some guilt for the ineffective e-waste disposal behavior that aggravated in the last years and crucially impacted the environment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{"citationID":"kEH6oB5d","properties":{"formattedCitation":"(Alves &amp; Coutinho, 2019)","plainCitation":"(Alves &amp; Coutinho, 2019)","noteIndex":0},"citationItems":[{"id":4078,"uris":["http://zotero.org/users/local/b6CRLSJH/items/UP5RRKCZ"],"itemData":{"id":4078,"type":"article-journal","container-title":"Minerals Engineering","DOI":"10.1016/j.mineng.2018.11.041","ISSN":"08926875","journalAbbreviation":"Minerals Engineering","language":"en","page":"275-283","source":"DOI.org (Crossref)","title":"Life cycle assessment of niobium: A mining and production case study in Brazil","title-short":"Life cycle assessment of niobium","volume":"132","author":[{"family":"Alves","given":"Adilson Rangel"},{"family":"Coutinho","given":"Aparecido dos Reis"}],"issued":{"date-parts":[["2019",3]]}}}],"schema":"https://github.com/citation-style-language/schema/raw/master/csl-citation.json"}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(Alves &amp; Coutinho, 2019)</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Even if Vining and Ebreo (1992) failed to prove any relationship regarding AR and recycling intention, this study has proven that AR (β= -.016) influences personal norm negatively, which carried forth for any indirect effect on EWR behavioral intention. One possible explanation is that as intention differs among recycling schemes, so does the influence of its indirect as well as direct antecedents (Shim, 1995; </w:t>
      </w:r>
      <w:r w:rsidRPr="00597FFB">
        <w:rPr>
          <w:rFonts w:ascii="Times New Roman" w:hAnsi="Times New Roman" w:cs="Times New Roman"/>
          <w:sz w:val="24"/>
          <w:szCs w:val="24"/>
        </w:rPr>
        <w:fldChar w:fldCharType="begin"/>
      </w:r>
      <w:r w:rsidR="0002538C" w:rsidRPr="00597FFB">
        <w:rPr>
          <w:rFonts w:ascii="Times New Roman" w:hAnsi="Times New Roman" w:cs="Times New Roman"/>
          <w:sz w:val="24"/>
          <w:szCs w:val="24"/>
        </w:rPr>
        <w:instrText xml:space="preserve"> ADDIN ZOTERO_ITEM CSL_CITATION {"citationID":"AbYZHt6q","properties":{"formattedCitation":"(Alam, 2020)","plainCitation":"(Alam, 2020)","dontUpdate":true,"noteIndex":0},"citationItems":[{"id":4466,"uris":["http://zotero.org/users/local/b6CRLSJH/items/P44HZHVF"],"itemData":{"id":4466,"type":"article-journal","abstract":"Purpose\n              The study aims to explore the case study method with the formation of questions, data collection procedures and analysis, followed by how and on which position the saturation is achieved in developing a centralized Shariah governance framework for Islamic banks in Bangladesh.\n            \n            \n              Design/methodology/approach\n              Using purposive and snowball sampling procedures, data have been collected from 17 respondents who are working in the central bank and Islamic banks of Bangladesh through face-to-face and semi-structured interviews.\n            \n            \n              Findings\n              The study claims that researchers can form the research questions by using “what” question mark in qualitative research. Besides, the qualitative research and case study could explore the answers of “what” questions along with the “why” and “how” more broadly, descriptively and extensively about a phenomenon. Similarly, saturation can be considered attaining the ultimate point of data collection by the researchers without adding anything in the databank. Overall, this study proposes three stages of saturation: First, information redundancy. Second, referring the respondents (already considered in the study) without knowing anything about the data collection and their responses. Third, through the NVivo open coding process due to the decrease of reference or quotes in a certain position or in the saturation position as a result of fewer outcomes or insufficient information. The saturation is thus achieved in the diversified positions, i.e. three respondents for regulatory, nine for Shariah scholars and officers and five for the experts concerning the responses and respondents.\n            \n            \n              Research limitations/implications\n              The study has potential implications on the qualitative research method, including the case study, saturation process and points, NVivo analysis and qualitative questions formation.\n            \n            \n              Originality/value\n              This research defines a case study with the inclusion of “what” and illustrates the saturation process in diverse positions. The qualitative research questions can also be formed with “what” in addition “why” and “how”.","container-title":"Qualitative Research in Organizations and Management: An International Journal","DOI":"10.1108/QROM-09-2019-1825","ISSN":"1746-5648","issue":"1","journalAbbreviation":"QROM","language":"en","page":"1-31","source":"DOI.org (Crossref)","title":"A systematic qualitative case study: questions, data collection, NVivo analysis and saturation","title-short":"A systematic qualitative case study","volume":"16","author":[{"family":"Alam","given":"Md. Kausar"}],"issued":{"date-parts":[["2020",8,20]]}}}],"schema":"https://github.com/citation-style-language/schema/raw/master/csl-citation.json"}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Alam,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As authors mostly excluded the concept when predicting recycling intentions </w:t>
      </w:r>
      <w:r w:rsidRPr="00597FFB">
        <w:rPr>
          <w:rFonts w:ascii="Times New Roman" w:hAnsi="Times New Roman" w:cs="Times New Roman"/>
          <w:sz w:val="24"/>
          <w:szCs w:val="24"/>
        </w:rPr>
        <w:fldChar w:fldCharType="begin"/>
      </w:r>
      <w:r w:rsidR="004E18CF" w:rsidRPr="00597FFB">
        <w:rPr>
          <w:rFonts w:ascii="Times New Roman" w:hAnsi="Times New Roman" w:cs="Times New Roman"/>
          <w:sz w:val="24"/>
          <w:szCs w:val="24"/>
        </w:rPr>
        <w:instrText xml:space="preserve"> ADDIN ZOTERO_ITEM CSL_CITATION {"citationID":"Fxqv0vPp","properties":{"formattedCitation":"(D. Chen et al., 2020c)","plainCitation":"(D. Chen et al., 2020c)","noteIndex":0},"citationItems":[{"id":1768,"uris":["http://zotero.org/users/local/b6CRLSJH/items/VQYQ8DCL"],"itemData":{"id":1768,"type":"article-journal","abstract":"The majority of developing countries are facing enormous challenges in implementing sustainable waste electrical and electronic equipment (e-waste) management systems. Informal e-waste management practices in Ghana have become a critical challenge to the government and the various stakeholders owing to its environmental and health impacts. However, the effort to implement ewaste formalization management practices has been threatened with many barriers. This study aims to identify and evaluate barriers and pathways to the implementation of e-waste formalization management systems in Ghana. A three-phase methodology consisting of the Delphi method, the hybrid best–worst method and the fuzzy TOPSIS technique is employed. The first phase involves extensive literature review and the use of the Delphi method to identify barriers, pathways, and data collection for ewaste formalization. In the second phase, the best–worst method was employed to analyze the relative weight and ranking of the barriers. The third phase involves the application of fuzzy TOPSIS to rank and prioritize pathways to e-waste formalization systems. Fuzzy logic was applied to handle the subjectivity of decision-makers’ preferences. A sensitivity analysis was carried out to check the robustness of the framework and address any effect of bias. The outcome of the study indicates that economic and financial limitations are the most significant barriers to e-waste formalization. “Setting up resourced environmental government agencies for effective monitoring and auditing at the regional levels for appropriate e-waste management practices” is the most prominent pathway. The present study can potentially inform policy makers to develop systematic and strategic policies for the implementation of e-waste formalization management systems.","container-title":"Environmental Science and Pollution Research","DOI":"10.1007/s11356-020-10360-8","ISSN":"0944-1344, 1614-7499","issue":"35","journalAbbreviation":"Environ Sci Pollut Res","language":"en","page":"44561-44584","source":"DOI.org (Crossref)","title":"Evaluating critical barriers and pathways to implementation of e-waste formalization management systems in Ghana: a hybrid BWM and fuzzy TOPSIS approach","title-short":"Evaluating critical barriers and pathways to implementation of e-waste formalization management systems in Ghana","volume":"27","author":[{"family":"Chen","given":"Dehu"},{"family":"Faibil","given":"Daniel"},{"family":"Agyemang","given":"Martin"}],"issued":{"date-parts":[["2020",12]]}}}],"schema":"https://github.com/citation-style-language/schema/raw/master/csl-citation.json"} </w:instrText>
      </w:r>
      <w:r w:rsidRPr="00597FFB">
        <w:rPr>
          <w:rFonts w:ascii="Times New Roman" w:hAnsi="Times New Roman" w:cs="Times New Roman"/>
          <w:sz w:val="24"/>
          <w:szCs w:val="24"/>
        </w:rPr>
        <w:fldChar w:fldCharType="separate"/>
      </w:r>
      <w:r w:rsidR="004E18CF" w:rsidRPr="00597FFB">
        <w:rPr>
          <w:rFonts w:ascii="Times New Roman" w:hAnsi="Times New Roman" w:cs="Times New Roman"/>
          <w:sz w:val="24"/>
        </w:rPr>
        <w:t>(D. Chen et al., 2020c)</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this study belongs to one of the unique studies that provide actual relevance of AR in the field of recycling, especially EWR and with this substantially contributes to e-waste disposal literature which is so far not sufficiently established </w:t>
      </w:r>
      <w:r w:rsidRPr="00597FFB">
        <w:rPr>
          <w:rFonts w:ascii="Times New Roman" w:hAnsi="Times New Roman" w:cs="Times New Roman"/>
          <w:sz w:val="24"/>
          <w:szCs w:val="24"/>
        </w:rPr>
        <w:fldChar w:fldCharType="begin"/>
      </w:r>
      <w:r w:rsidR="00DE5C1D" w:rsidRPr="00597FFB">
        <w:rPr>
          <w:rFonts w:ascii="Times New Roman" w:hAnsi="Times New Roman" w:cs="Times New Roman"/>
          <w:sz w:val="24"/>
          <w:szCs w:val="24"/>
        </w:rPr>
        <w:instrText xml:space="preserve"> ADDIN ZOTERO_ITEM CSL_CITATION {"citationID":"AwLveb5N","properties":{"formattedCitation":"(Ahmad et al., 2019b)","plainCitation":"(Ahmad et al., 2019b)","noteIndex":0},"citationItems":[{"id":4375,"uris":["http://zotero.org/users/local/b6CRLSJH/items/9IS9UQI5"],"itemData":{"id":4375,"type":"article-journal","abstract":"Purpose\n              The purpose of this paper was to review the indicators for the three aspects (environment, economy and society) of sustainability (the triple-bottom line (TBL) perspective) for manufacturing sectors. In addition, this paper aimed to: document the sustainability indicators for manufacturing sectors; perform an analysis of these indicators to show their evolutional progress and maturity in terms of their consistent, repeated and standardized usage; and highlight the further work needed to make them mature and more standardized.\n            \n            \n              Design/methodology/approach\n              The following keywords were used to explore and find the relevant articles: sustainable manufacturing evaluation, sustainability indicators, life cycle assessment, tools for sustainability assessment, and economic and social evaluation in industries. To find articles within this sample, the major focus remained on the terms “indicators,” “metrics,” and “performance measures.” This paper systematically reviewed the studies and analyzed the different sustainability indicators from the TBL viewpoint. Following this, the documented indicators were critically discussed along with their evolutional progress and maturity level.\n            \n            \n              Findings\n              The results showed that solid waste was the least used and immature aspect in the environmental category, whereas the more frequently used and developed indicators were related to material used, energy used and air emissions. Economic assessment was most of the time limited to cost-based indicators. From a social viewpoint, most of the reviewed studies were based on workers and local community and society related indicators rather than consumers-based indicators. From a sectoral viewpoint, comparatively, studies for metal manufacturing industries were more focused on all three dimensions of sustainability. On an overall basis, of the 144 discussed indicators, almost 34 percent (49) were used just once. Comparatively, the usage of indicators was more mature in manufacturing activities of developed countries than developing ones. Moreover, the usage of indicators was more common at the product level than at the other levels.\n            \n            \n              Originality/value\n              Unlike previous sustainability indicator sets which were generally long lists of proposed indicators rather than applicable and measurable ones, this paper reported the indicator sets based on studies for manufacturing sectors. Moreover, in contrast to previous reviews on indicators which were mostly based on the environmental dimension, this paper included all three dimensions of sustainability in one comprehensive review while focusing on recent studies published from 2007 to 2017. This paper has explored the recent evolutional progress and maturity of sustainability indicators, and provided insights into their development in manufacturing sectors.","container-title":"Journal of Manufacturing Technology Management","DOI":"10.1108/JMTM-03-2018-0091","ISSN":"1741-038X","issue":"2","journalAbbreviation":"JMTM","language":"en","page":"312-334","source":"DOI.org (Crossref)","title":"Sustainability indicators for manufacturing sectors: A literature survey and maturity analysis from the triple-bottom line perspective","title-short":"Sustainability indicators for manufacturing sectors","volume":"30","author":[{"family":"Ahmad","given":"Shamraiz"},{"family":"Wong","given":"Kuan Yew"},{"family":"Rajoo","given":"Srithar"}],"issued":{"date-parts":[["2019",2,28]]}}}],"schema":"https://github.com/citation-style-language/schema/raw/master/csl-citation.json"} </w:instrText>
      </w:r>
      <w:r w:rsidRPr="00597FFB">
        <w:rPr>
          <w:rFonts w:ascii="Times New Roman" w:hAnsi="Times New Roman" w:cs="Times New Roman"/>
          <w:sz w:val="24"/>
          <w:szCs w:val="24"/>
        </w:rPr>
        <w:fldChar w:fldCharType="separate"/>
      </w:r>
      <w:r w:rsidR="00DE5C1D" w:rsidRPr="00597FFB">
        <w:rPr>
          <w:rFonts w:ascii="Times New Roman" w:hAnsi="Times New Roman" w:cs="Times New Roman"/>
          <w:sz w:val="24"/>
        </w:rPr>
        <w:t>(Ahmad et al., 2019b)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It further justifies that we added AR to the framework since EWR is a recycling scheme not yet examined sufficiently.</w:t>
      </w:r>
    </w:p>
    <w:p w14:paraId="2C4DC16B" w14:textId="3F1B2FC8"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Also, multiple regression revealed a direct contribution of AC (β = 0.152) and AR (β = 0.024) to the explanation of EWR intention. Thus, it is crucial that consumers become aware of the environmental consequences emerging from their e-waste disposal behavior to establish a feeling of personal responsibility. This importance has already been stressed in various recycling studies (Chen &amp; Tung, 2010; Davies et al., 2002; Wan et al., 2012). To work towards a more sustainable EWR retailers may increase AR and AC by providing more information on the relatively new recycling concept, reasonable as all three factors directly affect intention. Findings further contribute to prior recycling research that mostly excluded the concept AR from their studies </w:t>
      </w:r>
      <w:r w:rsidRPr="00597FFB">
        <w:rPr>
          <w:rFonts w:ascii="Times New Roman" w:hAnsi="Times New Roman" w:cs="Times New Roman"/>
          <w:sz w:val="24"/>
          <w:szCs w:val="24"/>
        </w:rPr>
        <w:fldChar w:fldCharType="begin"/>
      </w:r>
      <w:r w:rsidR="00D214FD" w:rsidRPr="00597FFB">
        <w:rPr>
          <w:rFonts w:ascii="Times New Roman" w:hAnsi="Times New Roman" w:cs="Times New Roman"/>
          <w:sz w:val="24"/>
          <w:szCs w:val="24"/>
        </w:rPr>
        <w:instrText xml:space="preserve"> ADDIN ZOTERO_ITEM CSL_CITATION {"citationID":"iyz9Ohc9","properties":{"formattedCitation":"(Aidonis et al., 2019b)","plainCitation":"(Aidonis et al., 2019b)","noteIndex":0},"citationItems":[{"id":3966,"uris":["http://zotero.org/users/local/b6CRLSJH/items/3R5BQIDH"],"itemData":{"id":3966,"type":"article-journal","abstract":"Waste of electrical and electronic equipment (WEEE) is a constantly increasing component of the total volume of municipal solid waste. E-waste streams are expected to continue escalating in the near future. The underlining paradox lies in the fact that end-of-life electrical and electronic equipment constitute a critical waste stream owing to the contained hazardous and toxic elements, but they also present an important source of valuable raw materials. Therefore, identiﬁcation of alternative scenarios for integrated WEEE management is imperative. To that end, this research develops a methodological approach that focuses on determining the optimal WEEE management scheme, among available alternatives, applicable to the speciﬁc case of Greece. In particular, a binary linear programming model is formulated that maximizes the performance of 9 alternative WEEE management scenarios. The mathematical model considers 12 performance assessment criteria identiﬁed across ﬁnancial, technical, social, and environmental dimensions. Priority levels are assigned to each criterion based on the input of 19 involved experts. A range of “what-if” analyses indicate that mechanical recycling of WEEE, in tandem with exporting of residues, is the most e cient e-waste management strategy in the case of Greece. The research ﬁndings indicate that the joint cooperation of all stakeholders, together with political will and e</w:instrText>
      </w:r>
      <w:r w:rsidR="00D214FD" w:rsidRPr="00597FFB">
        <w:rPr>
          <w:rFonts w:ascii="Cambria Math" w:hAnsi="Cambria Math" w:cs="Cambria Math"/>
          <w:sz w:val="24"/>
          <w:szCs w:val="24"/>
        </w:rPr>
        <w:instrText>↵</w:instrText>
      </w:r>
      <w:r w:rsidR="00D214FD" w:rsidRPr="00597FFB">
        <w:rPr>
          <w:rFonts w:ascii="Times New Roman" w:hAnsi="Times New Roman" w:cs="Times New Roman"/>
          <w:sz w:val="24"/>
          <w:szCs w:val="24"/>
        </w:rPr>
        <w:instrText xml:space="preserve">ectiveness, is required for the integrated WEEE management at a national level.","container-title":"Sustainability","DOI":"10.3390/su11123364","ISSN":"2071-1050","issue":"12","journalAbbreviation":"Sustainability","language":"en","note":"number: 12","page":"3364","source":"DOI.org (Crossref)","title":"Decision Support Model for Evaluating Alternative Waste Electrical and Electronic Equipment Management Schemes—A Case Study","volume":"11","author":[{"family":"Aidonis","given":"Dimitrios"},{"family":"Achillas","given":"Charisios"},{"family":"Folinas","given":"Dimitrios"},{"family":"Keramydas","given":"Christos"},{"family":"Tsolakis","given":"Naoum"}],"issued":{"date-parts":[["2019",6,18]]}}}],"schema":"https://github.com/citation-style-language/schema/raw/master/csl-citation.json"} </w:instrText>
      </w:r>
      <w:r w:rsidRPr="00597FFB">
        <w:rPr>
          <w:rFonts w:ascii="Times New Roman" w:hAnsi="Times New Roman" w:cs="Times New Roman"/>
          <w:sz w:val="24"/>
          <w:szCs w:val="24"/>
        </w:rPr>
        <w:fldChar w:fldCharType="separate"/>
      </w:r>
      <w:r w:rsidR="00D214FD" w:rsidRPr="00597FFB">
        <w:rPr>
          <w:rFonts w:ascii="Times New Roman" w:hAnsi="Times New Roman" w:cs="Times New Roman"/>
          <w:sz w:val="24"/>
        </w:rPr>
        <w:t>(Aidonis et al., 2019b)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by reporting a significant and large influence on recycling intention. Additionally, it has been proven that AC and AR indirectly impact intention, which is mediated by personal norm. </w:t>
      </w:r>
    </w:p>
    <w:p w14:paraId="3E01E902" w14:textId="653246F4"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In line with prior e-waste disposal studies </w:t>
      </w:r>
      <w:r w:rsidRPr="00597FFB">
        <w:rPr>
          <w:rFonts w:ascii="Times New Roman" w:hAnsi="Times New Roman" w:cs="Times New Roman"/>
          <w:sz w:val="24"/>
          <w:szCs w:val="24"/>
        </w:rPr>
        <w:fldChar w:fldCharType="begin"/>
      </w:r>
      <w:r w:rsidR="00836980" w:rsidRPr="00597FFB">
        <w:rPr>
          <w:rFonts w:ascii="Times New Roman" w:hAnsi="Times New Roman" w:cs="Times New Roman"/>
          <w:sz w:val="24"/>
          <w:szCs w:val="24"/>
        </w:rPr>
        <w:instrText xml:space="preserve"> ADDIN ZOTERO_ITEM CSL_CITATION {"citationID":"Qd4XJMbL","properties":{"formattedCitation":"(Asibey et al., 2021b)","plainCitation":"(Asibey et al., 2021b)","noteIndex":0},"citationItems":[{"id":3520,"uris":["http://zotero.org/users/local/b6CRLSJH/items/JE7CAD6I"],"itemData":{"id":3520,"type":"article-journal","abstract":"This paper examines urban planners' perspectives on the e-waste conundrum and corresponding urban planning response towards promoting e-waste inclusivity and managing associated impacts. The paper is based on an extensive review of nine urban planning documents and interviews with five environment and/or e-waste related institutions and informal e-waste recyclers at the Agbogbloshie Processing Site in Accra, Ghana. Findings of the paper showed that urban planning has been ineffective in positively shaping Ghana's e-waste sector. Urban planning initiatives on e-waste management have remained reactionary, instead of becoming future-oriented. There is insufficient e-waste related policies and a general lack of focus on e-waste management. Officials reported of logistical and financial constraints, weak agency framework and coordination; a situation which have hampered efforts in employing urban planning as a tool to managing Ghana's e-waste sector. An important entry point is the need to consciously understand, localise and integrate e-waste issues into urban planning efforts. This should be done by recognising the importance of improving awareness on e-waste issues; finding a place for informal e-waste recycling through re-examination of existing planning regimes; and developing a clear and efficient institutional framework for an improved sector and a more sustainable urban environment.","container-title":"Cities","DOI":"10.1016/j.cities.2020.102943","ISSN":"02642751","journalAbbreviation":"Cities","language":"en","page":"102943","source":"DOI.org (Crossref)","title":"Urban planning trends on e-waste management in Ghanaian cities","volume":"108","author":[{"family":"Asibey","given":"Michael Osei"},{"family":"King","given":"Rudith Sylvana"},{"family":"Lykke","given":"Anne Mette"},{"family":"Inkoom","given":"Daniel Kweku Baah"}],"issued":{"date-parts":[["2021",1]]}}}],"schema":"https://github.com/citation-style-language/schema/raw/master/csl-citation.json"} </w:instrText>
      </w:r>
      <w:r w:rsidRPr="00597FFB">
        <w:rPr>
          <w:rFonts w:ascii="Times New Roman" w:hAnsi="Times New Roman" w:cs="Times New Roman"/>
          <w:sz w:val="24"/>
          <w:szCs w:val="24"/>
        </w:rPr>
        <w:fldChar w:fldCharType="separate"/>
      </w:r>
      <w:r w:rsidR="00836980" w:rsidRPr="00597FFB">
        <w:rPr>
          <w:rFonts w:ascii="Times New Roman" w:hAnsi="Times New Roman" w:cs="Times New Roman"/>
          <w:sz w:val="24"/>
        </w:rPr>
        <w:t>(Asibey et al., 2021b)</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personal norm was found to be highly influential on EWR intention (β = 0.309) correlating with alternative recycling studies recording similar importance of normative self-expectations with regards to recycling intentions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{"citationID":"BHfOGYtA","properties":{"formattedCitation":"(Dalvi-Esfahani et al., 2020)","plainCitation":"(Dalvi-Esfahani et al., 2020)","noteIndex":0},"citationItems":[{"id":3508,"uris":["http://zotero.org/users/local/b6CRLSJH/items/UF8GEQVL"],"itemData":{"id":3508,"type":"article-journal","abstract":"Adoption of green information technology (Green IT) as an initiative of pro-environmental behavior is quite sparse among Malaysian students. Due to the need to integrate personality traits in environmental behavioral studies, the current study deriving from the planned behavior theory attempts to investigate the inﬂuence of attitudinal factors on students’ pro-ecological behavioral intention to practice Green IT. Extremely few studies explored the moderating role of personality traits in the context of Green IT adoption and thus this study attempts to ﬁll the current research gap. The personality traits of openness, agreeableness and conscientiousness were included in the research model as moderating variables. A number of 262 pieces of data were collected from students. Based on the partial least squares approach and bootstrapping method, the results revealed that except social norms, other variables greatly inﬂuenced the intention to practice Green IT. Moreover, the moderating effects analysis showed that the personality trait of conscientiousness was the only trait that signiﬁcantly moderated the relationships in the proposed model.","container-title":"Journal of Cleaner Production","DOI":"10.1016/j.jclepro.2020.120406","ISSN":"09596526","journalAbbreviation":"Journal of Cleaner Production","language":"en","page":"120406","source":"DOI.org (Crossref)","title":"Students’ green information technology behavior: Beliefs and personality traits","title-short":"Students’ green information technology behavior","volume":"257","author":[{"family":"Dalvi-Esfahani","given":"Mohammad"},{"family":"Alaedini","given":"Zohre"},{"family":"Nilashi","given":"Mehrbakhsh"},{"family":"Samad","given":"Sarminah"},{"family":"Asadi","given":"Shahla"},{"family":"Mohammadi","given":"Majid"}],"issued":{"date-parts":[["2020",6]]}}}],"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(Dalvi-Esfahani et al.,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Similar to previous research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{"citationID":"rznhOST5","properties":{"formattedCitation":"(Bocken &amp; Short, 2020)","plainCitation":"(Bocken &amp; Short, 2020)","noteIndex":0},"citationItems":[{"id":3413,"uris":["http://zotero.org/users/local/b6CRLSJH/items/PHJSMN4N"],"itemData":{"id":3413,"type":"chapter","abstract":"Business model innovation for a circular economy has become core to contemporary sustainability research and practice, but does it go far enough? While circular economy initiatives have closed and narrowed resource loops to some extent, overall consumption continues to rise offsetting much of the benefits. A further paradigm shift is necessary, going beyond existing solutions, towards a broader societal-wide approach to deliver a sufficiency-based circular economy. That is, a society where excessive levels of consumption (and production) are curtailed at their root cause to better satisfy the health and wellbeing needs of the individual consumer, broader society and global environment. We present sufficiency examples in the food and clothing sector and explore how such approaches can augment existing circular economy solutions. We present a framework to better understand how industry, society and policymakers might collaborate more effectively in designing and implementing long-term initiatives for moving towards a sufficiency-based circular economy.","container-title":"Handbook of the Circular Economy","ISBN":"978-1-78897-272-7","language":"en","note":"Book Authors: _:n5887\nDOI: 10.4337/9781788972727.00028","page":"250-265","publisher":"Edward Elgar Publishing","source":"DOI.org (Crossref)","title":"Transforming business models: towards a sufficiency-based circular economy","title-short":"Transforming business models","URL":"https://www.elgaronline.com/view/edcoll/9781788972710/9781788972710.00028.xml","author":[{"family":"Bocken","given":"Nancy M.P."},{"family":"Short","given":"Samuel W."}],"container-author":[{"family":"Brandão","given":"Miguel"},{"family":"Lazarevic","given":"David"},{"family":"Finnveden","given":"Göran"}],"accessed":{"date-parts":[["2021",5,25]]},"issued":{"date-parts":[["2020"]]}}}],"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(Bocken &amp; Short, 2020)</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xml:space="preserve"> personal norm could even be identified as the most relevant factor determining millennials EWR intention. A possible reason for this may be the recent shift from selfish towards ethical millennials feeling more responsible for the environment and society which is reflected in deliberate consumption choices based on moral and personal convictions </w:t>
      </w:r>
      <w:r w:rsidRPr="00597FFB">
        <w:rPr>
          <w:rFonts w:ascii="Times New Roman" w:hAnsi="Times New Roman" w:cs="Times New Roman"/>
          <w:sz w:val="24"/>
          <w:szCs w:val="24"/>
        </w:rPr>
        <w:fldChar w:fldCharType="begin"/>
      </w:r>
      <w:r w:rsidRPr="00597FFB">
        <w:rPr>
          <w:rFonts w:ascii="Times New Roman" w:hAnsi="Times New Roman" w:cs="Times New Roman"/>
          <w:sz w:val="24"/>
          <w:szCs w:val="24"/>
        </w:rPr>
        <w:instrText xml:space="preserve"> ADDIN ZOTERO_ITEM CSL_CITATION {"citationID":"3G9WsFNc","properties":{"formattedCitation":"(Borusiak et al., 2021)","plainCitation":"(Borusiak et al., 2021)","noteIndex":0},"citationItems":[{"id":4186,"uris":["http://zotero.org/users/local/b6CRLSJH/items/CDRWGCNE"],"itemData":{"id":4186,"type":"article-journal","abstract":"The plastic bottles that are used for packaging water are harmful to the environment. The objective of this study was to examine the influence of consumers’ environmental concern on both their intention to reduce consumption of water sold in single-use plastic bottles and their actual behaviour. An extended version of the theory of planned behaviour is used as the main theoretical framework. Structural equation modelling is employed based on data gathered in 2020 from 1011 Polish respondents to test the study’s hypotheses. The results support the model, as all tested relations are statistically significant. More specifically, we confirm the indirect impact of environmental concern on both intention and behaviour concerning bottled water consumption (BWC): environmental concern is positively related to attitudes towards reducing BWC, subjective norms regarding reduction in BWC, perceived behavioural control over BWC, and perceived moral obligation to protect natural resources, all of which, in turn, are positively related to intention to reduce BWC. We also prove that intention to reduce BWC is positively related to consumption of non-bottled water. The results may serve to guide decision makers seeking to promote ecologically friendly behaviour.","container-title":"Energies","DOI":"10.3390/en14071985","ISSN":"1996-1073","issue":"7","journalAbbreviation":"Energies","language":"en","page":"1985","source":"DOI.org (Crossref)","title":"The Impact of Environmental Concern on Intention to Reduce Consumption of Single-Use Bottled Water","volume":"14","author":[{"family":"Borusiak","given":"Barbara"},{"family":"Szymkowiak","given":"Andrzej"},{"family":"Pierański","given":"Bartłomiej"},{"family":"Szalonka","given":"Katarzyna"}],"issued":{"date-parts":[["2021",4,2]]}}}],"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(Borusiak et al., 2021)</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w:t>
      </w:r>
    </w:p>
    <w:p w14:paraId="6A54C1F9" w14:textId="12DA09A9" w:rsidR="00E52362" w:rsidRPr="00597FFB" w:rsidRDefault="00E52362" w:rsidP="0024408F">
      <w:pPr>
        <w:widowControl w:val="0"/>
        <w:spacing w:line="480" w:lineRule="auto"/>
        <w:jc w:val="both"/>
        <w:rPr>
          <w:rFonts w:ascii="Times New Roman" w:hAnsi="Times New Roman" w:cs="Times New Roman"/>
          <w:sz w:val="24"/>
          <w:szCs w:val="24"/>
        </w:rPr>
      </w:pPr>
      <w:r w:rsidRPr="00597FFB">
        <w:rPr>
          <w:rFonts w:ascii="Times New Roman" w:hAnsi="Times New Roman" w:cs="Times New Roman"/>
          <w:sz w:val="24"/>
          <w:szCs w:val="24"/>
        </w:rPr>
        <w:t xml:space="preserve"> </w:t>
      </w:r>
      <w:r w:rsidRPr="00597FFB">
        <w:rPr>
          <w:rFonts w:ascii="Times New Roman" w:hAnsi="Times New Roman" w:cs="Times New Roman"/>
          <w:sz w:val="24"/>
          <w:szCs w:val="24"/>
        </w:rPr>
        <w:tab/>
        <w:t xml:space="preserve">These findings are also in line with previous research on recycling intentions in terms of an enhanced explanatory power when using NAT constructs (Harland et al., 1999; Wall et al., 2007) as personal norm was found to significantly contribute to the explanation of the intention variable (Kopaei et al., 2021). Thus, including it in this study was reasonable as it allowed to examine millennials intention towards EWR in a more detailed manner which would not have been possible by solely applying the NAT model. It also confirms that EWR intentions not only stem from individuals’ self-interest, but additionally from their moral-based beliefs as stressed in prior pro-environmental behavior research </w:t>
      </w:r>
      <w:r w:rsidRPr="00597FFB">
        <w:rPr>
          <w:rFonts w:ascii="Times New Roman" w:hAnsi="Times New Roman" w:cs="Times New Roman"/>
          <w:sz w:val="24"/>
          <w:szCs w:val="24"/>
        </w:rPr>
        <w:fldChar w:fldCharType="begin"/>
      </w:r>
      <w:r w:rsidR="0002538C" w:rsidRPr="00597FFB">
        <w:rPr>
          <w:rFonts w:ascii="Times New Roman" w:hAnsi="Times New Roman" w:cs="Times New Roman"/>
          <w:sz w:val="24"/>
          <w:szCs w:val="24"/>
        </w:rPr>
        <w:instrText xml:space="preserve"> ADDIN ZOTERO_ITEM CSL_CITATION {"citationID":"pqheDyGB","properties":{"formattedCitation":"(Alghazo et al., 2019)","plainCitation":"(Alghazo et al., 2019)","dontUpdate":true,"noteIndex":0},"citationItems":[{"id":3838,"uris":["http://zotero.org/users/local/b6CRLSJH/items/MR67BK24"],"itemData":{"id":3838,"type":"article-journal","abstract":"This paper for the first time aims to valorize the environmental and economic values of electronic waste recycling for member states of the Gulf Cooperation Council (GCC) from the year 2018 up to 2040. GCC countries have a unique situation due to the significant economic growth with the resulting urbanization and population growth accompanied by high standards of living that in turn increase all types of waste. A direct link among the living standards and quantity of electronic waste production is observed in the GCC states. The annual growth of electronic waste in GCC is 3–5% while the current estimated electronic waste generation exceeds 52.2 million metric tonnes (Mt). In 2018, GCC states generated 857 kilotonnes (kt) electronic waste that would be 1.094 Mt by 2040. KSA, among the GCC states, generated the highest amount of electronic waste (533 kt) in 2018 that would be 675 kt by 2040. GCC countries are on the right track of developing policies and regulations for managing electronic waste. However, more efforts are required to ensure the implementation of these regulations. The findings of this study would be a base for the future studies in the electronic waste sector in the GCC region and a novel initiative for GCC to develop a unified free zone for the electronic waste recycling that will meet the local, regional, and international standards and regulations. This unified GCC initiative has substantial economic and environmental benefits for the region.","container-title":"Environmental Science and Pollution Research","DOI":"10.1007/s11356-019-04956-y","ISSN":"0944-1344, 1614-7499","issue":"35","journalAbbreviation":"Environ Sci Pollut Res","language":"en","note":"number: 35","page":"35610-35619","source":"DOI.org (Crossref)","title":"Potential of electronic waste recycling in Gulf Cooperation Council states: an environmental and economic analysis","title-short":"Potential of electronic waste recycling in Gulf Cooperation Council states","volume":"26","author":[{"family":"Alghazo","given":"Jaafar"},{"family":"Ouda","given":"Omar"},{"family":"Alanezi","given":"Faisal"},{"family":"Asam","given":"Zaki-ul-Zaman"},{"family":"Rehan","given":"Mohammad"},{"family":"Salameh","given":"Muamar Hasan"},{"family":"Nizami","given":"Abdul-Sattar"}],"issued":{"date-parts":[["2019",12]]}}},{"id":3842,"uris":["http://zotero.org/users/local/b6CRLSJH/items/65N9KR6V"],"itemData":{"id":3842,"type":"article-journal","abstract":"The United States lacks a set of uniﬁed electronic waste recycling laws, contributing in part to the observed low rate of e-waste recycling behaviors among consumers. Individual factors of consumers contributing to the low recycling rates are not well understood. The objective of this study was to evaluate consumer behaviors, including barriers, surrounding e-waste recycling at a large Midwestern university in the United States. A survey was administered to faculty, graduate students, undergraduate students, and staff to determine their personal recycling habits, knowledge, and beliefs. The results indicate that free access to disposal, lack of consumer knowledge about products and disposal sites, and access to a recycling facility within a reasonable distance are all important factors in consumer decisions. Policymakers and waste management professionals should focus on promotion of e-waste recycling behaviors through increased access to free or low-cost recycling as well as through the creation of recycling incentives.","container-title":"Waste Management","DOI":"10.1016/j.wasman.2020.02.002","ISSN":"0956053X","journalAbbreviation":"Waste Management","language":"en","page":"119-127","source":"DOI.org (Crossref)","title":"Analysis of e-waste recycling behavior based on survey at a Midwestern US University","volume":"105","author":[{"family":"Arain","given":"A.L."},{"family":"Pummill","given":"R."},{"family":"Adu-Brimpong","given":"J."},{"family":"Becker","given":"S."},{"family":"Green","given":"M."},{"family":"Ilardi","given":"M."},{"family":"Van Dam","given":"E."},{"family":"Neitzel","given":"R.L."}],"issued":{"date-parts":[["2020",3]]}}}],"schema":"https://github.com/citation-style-language/schema/raw/master/csl-citation.json"} </w:instrText>
      </w:r>
      <w:r w:rsidRPr="00597FFB">
        <w:rPr>
          <w:rFonts w:ascii="Times New Roman" w:hAnsi="Times New Roman" w:cs="Times New Roman"/>
          <w:sz w:val="24"/>
          <w:szCs w:val="24"/>
        </w:rPr>
        <w:fldChar w:fldCharType="separate"/>
      </w:r>
      <w:r w:rsidRPr="00597FFB">
        <w:rPr>
          <w:rFonts w:ascii="Times New Roman" w:hAnsi="Times New Roman" w:cs="Times New Roman"/>
          <w:sz w:val="24"/>
          <w:szCs w:val="24"/>
        </w:rPr>
        <w:t>; Alghazo et al., 2019</w:t>
      </w:r>
      <w:r w:rsidRPr="00597FFB">
        <w:rPr>
          <w:rFonts w:ascii="Times New Roman" w:hAnsi="Times New Roman" w:cs="Times New Roman"/>
          <w:sz w:val="24"/>
          <w:szCs w:val="24"/>
        </w:rPr>
        <w:fldChar w:fldCharType="end"/>
      </w:r>
      <w:r w:rsidRPr="00597FFB">
        <w:rPr>
          <w:rFonts w:ascii="Times New Roman" w:hAnsi="Times New Roman" w:cs="Times New Roman"/>
          <w:sz w:val="24"/>
          <w:szCs w:val="24"/>
        </w:rPr>
        <w:t>; Thøgersen, 1999).</w:t>
      </w:r>
    </w:p>
    <w:p w14:paraId="198CE3B0" w14:textId="0051D5BE" w:rsidR="00001571" w:rsidRPr="00597FFB" w:rsidRDefault="00001571" w:rsidP="0024408F">
      <w:pPr>
        <w:pStyle w:val="Heading3"/>
        <w:widowControl w:val="0"/>
        <w:spacing w:line="480" w:lineRule="auto"/>
        <w:ind w:left="720" w:hanging="720"/>
        <w:rPr>
          <w:rFonts w:ascii="Times New Roman" w:hAnsi="Times New Roman"/>
          <w:i/>
          <w:iCs/>
          <w:color w:val="auto"/>
          <w:sz w:val="24"/>
          <w:szCs w:val="24"/>
        </w:rPr>
      </w:pPr>
      <w:bookmarkStart w:id="273" w:name="_Toc127170370"/>
      <w:r w:rsidRPr="00597FFB">
        <w:rPr>
          <w:rFonts w:ascii="Times New Roman" w:hAnsi="Times New Roman"/>
          <w:i/>
          <w:iCs/>
          <w:color w:val="auto"/>
          <w:sz w:val="24"/>
          <w:szCs w:val="24"/>
        </w:rPr>
        <w:t xml:space="preserve">5.5.3. Discussion </w:t>
      </w:r>
      <w:r w:rsidR="00072848" w:rsidRPr="00597FFB">
        <w:rPr>
          <w:rFonts w:ascii="Times New Roman" w:hAnsi="Times New Roman"/>
          <w:i/>
          <w:iCs/>
          <w:color w:val="auto"/>
          <w:sz w:val="24"/>
          <w:szCs w:val="24"/>
        </w:rPr>
        <w:t>o</w:t>
      </w:r>
      <w:r w:rsidRPr="00597FFB">
        <w:rPr>
          <w:rFonts w:ascii="Times New Roman" w:hAnsi="Times New Roman"/>
          <w:i/>
          <w:iCs/>
          <w:color w:val="auto"/>
          <w:sz w:val="24"/>
          <w:szCs w:val="24"/>
        </w:rPr>
        <w:t>f Extended PMT Findings.</w:t>
      </w:r>
      <w:bookmarkEnd w:id="273"/>
    </w:p>
    <w:p w14:paraId="50A25BE7" w14:textId="0A4CB48B"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Combining the confirmation of the effect of threat appraisal on protection motivation (H1) and on intent to adopt EWR (H7) and the conceptualization of threat appraisal in terms of severity, frequency, and exposure probability in the PMT (1975) informs the view that UAE millennials being aware of the risks posed by e-waste would most likely engage in EWR or be inclined to increased intent to undertake EWR. This is consistent with literature (Tchetchik et al., 2021; Zhu et al., 2022) on the potential of perceived threat (e-waste in this case) as a motivator for UAE millennials to engage </w:t>
      </w:r>
      <w:r w:rsidR="00072848" w:rsidRPr="00597FFB">
        <w:rPr>
          <w:rFonts w:ascii="Times New Roman" w:hAnsi="Times New Roman" w:cs="Times New Roman"/>
          <w:sz w:val="24"/>
          <w:szCs w:val="24"/>
        </w:rPr>
        <w:t>in pro</w:t>
      </w:r>
      <w:r w:rsidRPr="00597FFB">
        <w:rPr>
          <w:rFonts w:ascii="Times New Roman" w:hAnsi="Times New Roman" w:cs="Times New Roman"/>
          <w:sz w:val="24"/>
          <w:szCs w:val="24"/>
        </w:rPr>
        <w:t xml:space="preserve">-environmental behavior (EWR in the current study’s perspective). In the same line, this could be interpreted to mean that the UAE millennials who might have already engaged in EWR at low intensities would likely be </w:t>
      </w:r>
      <w:r w:rsidR="00001571" w:rsidRPr="00597FFB">
        <w:rPr>
          <w:rFonts w:ascii="Times New Roman" w:hAnsi="Times New Roman" w:cs="Times New Roman"/>
          <w:sz w:val="24"/>
          <w:szCs w:val="24"/>
        </w:rPr>
        <w:t>motivated</w:t>
      </w:r>
      <w:r w:rsidRPr="00597FFB">
        <w:rPr>
          <w:rFonts w:ascii="Times New Roman" w:hAnsi="Times New Roman" w:cs="Times New Roman"/>
          <w:sz w:val="24"/>
          <w:szCs w:val="24"/>
        </w:rPr>
        <w:t xml:space="preserve"> to engage or actually engage more in EWR and at higher intensities if they perceived themselves to be vulnerable to frequent threats of e-waste (Tchetchik et al., 2021). Given that the severity of risk is a constituent component of threat appraisal as a construct in the PMT model and that threat appraisal emerged as a positive, significant predictor of protection motivation, it can then be inferred that UAE millennials would likely be motivated to engage in EWR when they are cognizant of the threat that is posed by e-waste to the planet. However, it is important to note that the descriptive statistics shown in Table </w:t>
      </w:r>
      <w:r w:rsidR="00A63408" w:rsidRPr="00597FFB">
        <w:rPr>
          <w:rFonts w:ascii="Times New Roman" w:hAnsi="Times New Roman" w:cs="Times New Roman"/>
          <w:sz w:val="24"/>
          <w:szCs w:val="24"/>
        </w:rPr>
        <w:t>21</w:t>
      </w:r>
      <w:r w:rsidRPr="00597FFB">
        <w:rPr>
          <w:rFonts w:ascii="Times New Roman" w:hAnsi="Times New Roman" w:cs="Times New Roman"/>
          <w:sz w:val="24"/>
          <w:szCs w:val="24"/>
        </w:rPr>
        <w:t xml:space="preserve"> revealed that the UAE millennials scored the threat appraisal and protection motivation at means that were interpreted to imply that they perceived the threat appraisal and protection motivation factors to be moderate given that they agreed with the prompts moderately. Altogether, it is evident from the findings that an increase in the threat appraisal of e-waste by UAE millennials would trigger an increase in the protection motivation against e-waste and intent to engage in EWR in consistency with the conceptualization the PMT (Rogers, 1975; Tchetchik et al., 2021).</w:t>
      </w:r>
    </w:p>
    <w:p w14:paraId="7FAC7CB7"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In line with H2 and H8, coping appraisal was found to have a significant, direct and positive effect on both UAE millennials’ EWR PMT and intention to adopt EWR. Literature on PMT (MacCaughey et al., 2017; Pakmehr et al., 2020; Zhang et al., 2018) shows that coping appraisal encompasses beliefs concerning response efficacy, self-efficacy, and maladaptive beliefs as elaborated in Chapter 3. In their study on pro-environmental behavior, Tchetchik et al. (2021) found that coping appraisal, which was considered as including all three aspects, was a motivator for undertaking pro-environmental behavior. While their research was not about EWR, their findings on the effect of coping appraisal on the motivation to engage in pro-environmental behavior are consistent with those of this research in the sense that coping appraisal was found to have a positive effect on the motivation of UAE millennials to engage in EWR. Accordingly, it is inferred that an increase in the perceived self-efficacy and collective response efficacy coupled by a decline in maladaptive belief are likely to increase both the motivation and the intention of UAE millennials to engage in EWR. Altogether, it is noteworthy that the means of the constructs for both coping appraisal and protection motivation demonstrated moderate agreement with the factors of these constructs by the UAE millennials. It follows, then, that while coping appraisal has a significant, direct and positive effect on protection motivation and intention to engage in EWR, there is need to revamp the perceptions of UAE millennials towards their perceived self-efficacy, collective response efficacy, and their maladaptive beliefs, as this would likely result in more motivation and intent to adopt in EWR in consistency with findings of Zhu et al. (2022) on motivating small rural tourism enterprises to engage in pro-environmental behavior.</w:t>
      </w:r>
    </w:p>
    <w:p w14:paraId="1739637B"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 xml:space="preserve">The findings also showed that information/knowledge had a positive and direct effect on protection motivation (H3 and H9). As proposed in the PMT (Rogers, 1978; </w:t>
      </w:r>
      <w:r w:rsidRPr="00597FFB">
        <w:rPr>
          <w:rFonts w:ascii="Times New Roman" w:hAnsi="Times New Roman" w:cs="Times New Roman"/>
          <w:color w:val="000000"/>
          <w:sz w:val="24"/>
          <w:szCs w:val="24"/>
        </w:rPr>
        <w:t>Tchetchik et al., 2021</w:t>
      </w:r>
      <w:r w:rsidRPr="00597FFB">
        <w:rPr>
          <w:rFonts w:ascii="Times New Roman" w:hAnsi="Times New Roman" w:cs="Times New Roman"/>
          <w:sz w:val="24"/>
          <w:szCs w:val="24"/>
        </w:rPr>
        <w:t xml:space="preserve">) increasing the enhanced threat appraisal and coping appraisal as to motivate protection measures against the perceived threat and increase intent to adopt pro-environmental behavior is largely influenced by knowledge/information. The confirmation of H3 and H9 complements previous literature </w:t>
      </w:r>
      <w:r w:rsidRPr="00597FFB">
        <w:rPr>
          <w:rFonts w:ascii="Times New Roman" w:hAnsi="Times New Roman" w:cs="Times New Roman"/>
          <w:color w:val="000000"/>
          <w:sz w:val="24"/>
          <w:szCs w:val="24"/>
        </w:rPr>
        <w:t>(Islam et al., 2021; Oke &amp; Kruijsen, 2016; Rosenthal, 2018; Tchetchik et al., 2021)</w:t>
      </w:r>
      <w:r w:rsidRPr="00597FFB">
        <w:rPr>
          <w:rFonts w:ascii="Times New Roman" w:hAnsi="Times New Roman" w:cs="Times New Roman"/>
          <w:sz w:val="24"/>
          <w:szCs w:val="24"/>
        </w:rPr>
        <w:t xml:space="preserve"> that increased information/knowledge about recycling would result in increased motivation to act and intent to adopt recycling behavior. In the context of this research, this would translate to increased knowledge/information about EWR (including formal recycling facilities and their locations) among UAE millennials would motivate them to engage in EWR and increase their intent to adopt EWR as a recycling behavior. On the converse, and in consistency with Azodo et al. (2017), lack of or inadequate information and awareness about the threat of e-waste and the EWR coping appraisals by UAE millennials would affect their motivation and intent to engage in EWR negatively. In simple terms, this means that UAE millennials are likely to be motivated to engage more in EWR when they have more information/knowledge about e-waste and EWR especially within the UAE. Therefore, government, policymakers, and pro-environmental activists should channel more efforts and resources toward increasing information/knowledge about EWR to UAE millennials in an effort to motivate them to adopt EWR more. After all, Islam et al. (2021) found severe lack of knowledge about extant recycling programs and collection points to be the reason behind a disconnect between consumer attitudes and recycling habits.</w:t>
      </w:r>
    </w:p>
    <w:p w14:paraId="0FAA27D9"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Based on H5, habits were found to have a negative effect on intent to adopt EWR of EWR. This finding was contradictory to Aboelmaged (2021) who found that recycling habits were a strong predictor of EWR intention of young UAE adult consumers. This was an unexpected outcome even in this research, as it had been postulated that recycling habits would have significant, direct and positive effect on intention to adopt EWR by UAE millennials. This controversial rejection of the perceived effect of recycling habits on the intent to adopt EWR warrants a call for further investigation into the rationale or explanation behind this given that engagement in recycling habits would likely lead to increased intent to adopt EWR. While this was beyond the scope of this quantitative research, it still provides an avenue through which the recycling habits and intent to adopt EWR can be studied more within the context of UAE millennials. Altogether, the inference in this research is that an increase in recycling habits does not translate to increased intent to adopt EWR. The novelty of this finding is that this is the first time that habits have been investigated as potential predictors of intent to adopt EWR among young people in the UAE and the wider Arab region to the best of the researcher’s research and knowledge.</w:t>
      </w:r>
    </w:p>
    <w:p w14:paraId="3775A5A3" w14:textId="415F6FEB" w:rsidR="00E52362" w:rsidRPr="00597FFB" w:rsidRDefault="00E52362" w:rsidP="0024408F">
      <w:pPr>
        <w:widowControl w:val="0"/>
        <w:spacing w:line="480" w:lineRule="auto"/>
        <w:ind w:firstLine="576"/>
        <w:jc w:val="both"/>
        <w:rPr>
          <w:rFonts w:ascii="Times New Roman" w:hAnsi="Times New Roman" w:cs="Times New Roman"/>
          <w:sz w:val="24"/>
          <w:szCs w:val="24"/>
        </w:rPr>
      </w:pPr>
      <w:r w:rsidRPr="00597FFB">
        <w:rPr>
          <w:rFonts w:ascii="Times New Roman" w:hAnsi="Times New Roman" w:cs="Times New Roman"/>
          <w:sz w:val="24"/>
          <w:szCs w:val="24"/>
        </w:rPr>
        <w:t>The confirmation of H6 led to the understanding that enhanced environment assessment causes a decline in the intent to adopt EWR. Whether this is the case of the disconnect between intention/attitude and adoption as found by Islam et al. (2021), could not be established in this research. However, the confirmation of H10, H11, and H12 where environment assessment was confirmed as a significant mediator and moderator of the relationship between protection motivation and intent to adopt EWR. This finding is somewhat consistent with Dhir et al. (2021) who reported that environment assessment played an important moderation role in the relationship between reasons for engaging in EWR and intention to undertake EWR. This confirms that environment assessment is an important factor in strengthening the likelihood of UAE millennials transcending from motivation to engage in EWR into actually adopting and engaging in EWR.  This is because the moderation effect of environment assessment on the effect of protection motivation on intent to adopt EWR actually means that enhanced environment assessment could strengthen the impact of motivation on intent.</w:t>
      </w:r>
      <w:bookmarkEnd w:id="264"/>
    </w:p>
    <w:p w14:paraId="191559CE" w14:textId="28F771F0" w:rsidR="00E262D9" w:rsidRPr="00597FFB" w:rsidRDefault="00E262D9" w:rsidP="0024408F">
      <w:pPr>
        <w:pStyle w:val="Heading2"/>
        <w:widowControl w:val="0"/>
        <w:spacing w:line="480" w:lineRule="auto"/>
        <w:ind w:left="576" w:hanging="576"/>
      </w:pPr>
      <w:bookmarkStart w:id="274" w:name="_Toc127170371"/>
      <w:r w:rsidRPr="00597FFB">
        <w:rPr>
          <w:rFonts w:ascii="Times New Roman" w:hAnsi="Times New Roman"/>
          <w:b/>
          <w:bCs/>
          <w:color w:val="auto"/>
          <w:sz w:val="24"/>
          <w:szCs w:val="24"/>
        </w:rPr>
        <w:t>5.</w:t>
      </w:r>
      <w:r w:rsidR="00240DC5" w:rsidRPr="00597FFB">
        <w:rPr>
          <w:rFonts w:ascii="Times New Roman" w:hAnsi="Times New Roman"/>
          <w:b/>
          <w:bCs/>
          <w:color w:val="auto"/>
          <w:sz w:val="24"/>
          <w:szCs w:val="24"/>
        </w:rPr>
        <w:t>6</w:t>
      </w:r>
      <w:r w:rsidRPr="00597FFB">
        <w:rPr>
          <w:rFonts w:ascii="Times New Roman" w:hAnsi="Times New Roman"/>
          <w:b/>
          <w:bCs/>
          <w:color w:val="auto"/>
          <w:sz w:val="24"/>
          <w:szCs w:val="24"/>
        </w:rPr>
        <w:t xml:space="preserve">. </w:t>
      </w:r>
      <w:r w:rsidRPr="00597FFB">
        <w:rPr>
          <w:rFonts w:ascii="Times New Roman" w:hAnsi="Times New Roman"/>
          <w:b/>
          <w:bCs/>
          <w:color w:val="000000"/>
          <w:sz w:val="24"/>
          <w:szCs w:val="24"/>
        </w:rPr>
        <w:t>General Summary</w:t>
      </w:r>
      <w:r w:rsidR="00B571D5" w:rsidRPr="00597FFB">
        <w:rPr>
          <w:rFonts w:ascii="Times New Roman" w:hAnsi="Times New Roman"/>
          <w:b/>
          <w:bCs/>
          <w:color w:val="000000"/>
          <w:sz w:val="24"/>
          <w:szCs w:val="24"/>
        </w:rPr>
        <w:t>.</w:t>
      </w:r>
      <w:bookmarkEnd w:id="274"/>
    </w:p>
    <w:p w14:paraId="7F173C7D"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In this chapter, the analysis and results of findings were presented in accordance with the three extended models of the TPB, NAT, and PMT, as conceptualized in Chapter 3 of this study. Data collected using a questionnaire resulted in a valid sample of 505 respondents (N= 505) with majority being male (n = 353, 69.9%), aged between 22 and 30 years (n = 324, 64.2%), mostly master degree holders (n = 218, 43.2%), and whose household income was USD 8,000 and below (n = 402, 79.6%). For most respondents, they stored e-waste at home.</w:t>
      </w:r>
    </w:p>
    <w:p w14:paraId="397895A0" w14:textId="77777777" w:rsidR="00E52362"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All three SEM models were found to exhibit good fit indices, validity, and reliability thereby warranting the continuation of the hypotheses. The results of the extended TPB model presented in section 5.2 led to the confirmation of all 15 hypotheses in this regard. In section 5.3, the analysis and results led to the confirmation of all the 14 relevant hypotheses in this regard. In section 5.4, data analysis and results pertaining to the extended PMT model of EWR were presented. In the next chapter, the conclusions and recommendations made from findings presented in this chapter.</w:t>
      </w:r>
    </w:p>
    <w:p w14:paraId="3B7958F5" w14:textId="5A6AE7B7" w:rsidR="00AE20B9" w:rsidRPr="00597FFB" w:rsidRDefault="00E52362" w:rsidP="0024408F">
      <w:pPr>
        <w:widowControl w:val="0"/>
        <w:spacing w:line="480" w:lineRule="auto"/>
        <w:ind w:firstLine="720"/>
        <w:jc w:val="both"/>
        <w:rPr>
          <w:rFonts w:ascii="Times New Roman" w:hAnsi="Times New Roman" w:cs="Times New Roman"/>
          <w:sz w:val="24"/>
          <w:szCs w:val="24"/>
        </w:rPr>
      </w:pPr>
      <w:r w:rsidRPr="00597FFB">
        <w:rPr>
          <w:rFonts w:ascii="Times New Roman" w:hAnsi="Times New Roman" w:cs="Times New Roman"/>
          <w:sz w:val="24"/>
          <w:szCs w:val="24"/>
        </w:rPr>
        <w:t>The results of the extended TPB (section 5.2) revealed that attitude, subjective norm, perceived behavioral control, and incentives were all significant predictors of EWR behavioral intention and adoption of EWR by UAE millennials. In addition, the findings showed that EWR behavioral intention was a significant mediator of the relationship between attitude, subjective norm, perceived behavioral control, and incentives and adoption of EWR by UAE millennials. The findings also led to the confirmation of environmental concern as a significant moderator of the relationship between EWR behavioral intention and adoption of EWR behavior among UAE millennials. Table 2</w:t>
      </w:r>
      <w:r w:rsidR="009C61C4" w:rsidRPr="00597FFB">
        <w:rPr>
          <w:rFonts w:ascii="Times New Roman" w:hAnsi="Times New Roman" w:cs="Times New Roman"/>
          <w:sz w:val="24"/>
          <w:szCs w:val="24"/>
        </w:rPr>
        <w:t>6</w:t>
      </w:r>
      <w:r w:rsidRPr="00597FFB">
        <w:rPr>
          <w:rFonts w:ascii="Times New Roman" w:hAnsi="Times New Roman" w:cs="Times New Roman"/>
          <w:sz w:val="24"/>
          <w:szCs w:val="24"/>
        </w:rPr>
        <w:t xml:space="preserve"> below presents a summary of all three theories that were applied in this research, constructs, added variables, mediators and moderators, results, and hypotheses with respective the status of confirmation/rejection.</w:t>
      </w:r>
    </w:p>
    <w:p w14:paraId="1F94EE71" w14:textId="0FFE6177" w:rsidR="00E52362" w:rsidRPr="00597FFB" w:rsidRDefault="00E52362" w:rsidP="00DF2975">
      <w:pPr>
        <w:widowControl w:val="0"/>
        <w:spacing w:after="0" w:line="240" w:lineRule="auto"/>
        <w:rPr>
          <w:rFonts w:ascii="Times New Roman" w:hAnsi="Times New Roman" w:cs="Times New Roman"/>
          <w:i/>
          <w:iCs/>
        </w:rPr>
      </w:pPr>
      <w:r w:rsidRPr="00597FFB">
        <w:rPr>
          <w:rFonts w:ascii="Times New Roman" w:hAnsi="Times New Roman" w:cs="Times New Roman"/>
          <w:b/>
          <w:bCs/>
        </w:rPr>
        <w:t>Table 2</w:t>
      </w:r>
      <w:r w:rsidR="00607DF3" w:rsidRPr="00597FFB">
        <w:rPr>
          <w:rFonts w:ascii="Times New Roman" w:hAnsi="Times New Roman" w:cs="Times New Roman"/>
          <w:b/>
          <w:bCs/>
        </w:rPr>
        <w:t>6</w:t>
      </w:r>
      <w:r w:rsidRPr="00597FFB">
        <w:rPr>
          <w:rFonts w:ascii="Times New Roman" w:hAnsi="Times New Roman" w:cs="Times New Roman"/>
          <w:b/>
          <w:bCs/>
        </w:rPr>
        <w:t>:</w:t>
      </w:r>
      <w:r w:rsidRPr="00597FFB">
        <w:rPr>
          <w:rFonts w:ascii="Times New Roman" w:hAnsi="Times New Roman" w:cs="Times New Roman"/>
        </w:rPr>
        <w:t xml:space="preserve"> </w:t>
      </w:r>
      <w:r w:rsidRPr="00597FFB">
        <w:rPr>
          <w:rFonts w:ascii="Times New Roman" w:hAnsi="Times New Roman" w:cs="Times New Roman"/>
          <w:i/>
          <w:iCs/>
        </w:rPr>
        <w:t xml:space="preserve">Summary </w:t>
      </w:r>
      <w:r w:rsidR="00072848" w:rsidRPr="00597FFB">
        <w:rPr>
          <w:rFonts w:ascii="Times New Roman" w:hAnsi="Times New Roman" w:cs="Times New Roman"/>
          <w:i/>
          <w:iCs/>
        </w:rPr>
        <w:t>o</w:t>
      </w:r>
      <w:r w:rsidRPr="00597FFB">
        <w:rPr>
          <w:rFonts w:ascii="Times New Roman" w:hAnsi="Times New Roman" w:cs="Times New Roman"/>
          <w:i/>
          <w:iCs/>
        </w:rPr>
        <w:t xml:space="preserve">f Theories Applied </w:t>
      </w:r>
      <w:r w:rsidR="00072848" w:rsidRPr="00597FFB">
        <w:rPr>
          <w:rFonts w:ascii="Times New Roman" w:hAnsi="Times New Roman" w:cs="Times New Roman"/>
          <w:i/>
          <w:iCs/>
        </w:rPr>
        <w:t>i</w:t>
      </w:r>
      <w:r w:rsidRPr="00597FFB">
        <w:rPr>
          <w:rFonts w:ascii="Times New Roman" w:hAnsi="Times New Roman" w:cs="Times New Roman"/>
          <w:i/>
          <w:iCs/>
        </w:rPr>
        <w:t>n This Research,</w:t>
      </w:r>
      <w:r w:rsidRPr="00597FFB">
        <w:rPr>
          <w:rFonts w:ascii="Times New Roman" w:hAnsi="Times New Roman" w:cs="Times New Roman"/>
          <w:b/>
          <w:bCs/>
          <w:i/>
          <w:iCs/>
        </w:rPr>
        <w:t xml:space="preserve"> </w:t>
      </w:r>
      <w:r w:rsidRPr="00597FFB">
        <w:rPr>
          <w:rFonts w:ascii="Times New Roman" w:hAnsi="Times New Roman" w:cs="Times New Roman"/>
          <w:i/>
          <w:iCs/>
        </w:rPr>
        <w:t xml:space="preserve">Respective Constructs, Added Variables, Mediators </w:t>
      </w:r>
      <w:r w:rsidR="00072848" w:rsidRPr="00597FFB">
        <w:rPr>
          <w:rFonts w:ascii="Times New Roman" w:hAnsi="Times New Roman" w:cs="Times New Roman"/>
          <w:i/>
          <w:iCs/>
        </w:rPr>
        <w:t>a</w:t>
      </w:r>
      <w:r w:rsidRPr="00597FFB">
        <w:rPr>
          <w:rFonts w:ascii="Times New Roman" w:hAnsi="Times New Roman" w:cs="Times New Roman"/>
          <w:i/>
          <w:iCs/>
        </w:rPr>
        <w:t xml:space="preserve">nd Moderators, Results, </w:t>
      </w:r>
      <w:r w:rsidR="00072848" w:rsidRPr="00597FFB">
        <w:rPr>
          <w:rFonts w:ascii="Times New Roman" w:hAnsi="Times New Roman" w:cs="Times New Roman"/>
          <w:i/>
          <w:iCs/>
        </w:rPr>
        <w:t>a</w:t>
      </w:r>
      <w:r w:rsidRPr="00597FFB">
        <w:rPr>
          <w:rFonts w:ascii="Times New Roman" w:hAnsi="Times New Roman" w:cs="Times New Roman"/>
          <w:i/>
          <w:iCs/>
        </w:rPr>
        <w:t xml:space="preserve">nd Hypotheses With Status </w:t>
      </w:r>
      <w:r w:rsidR="00072848" w:rsidRPr="00597FFB">
        <w:rPr>
          <w:rFonts w:ascii="Times New Roman" w:hAnsi="Times New Roman" w:cs="Times New Roman"/>
          <w:i/>
          <w:iCs/>
        </w:rPr>
        <w:t>o</w:t>
      </w:r>
      <w:r w:rsidRPr="00597FFB">
        <w:rPr>
          <w:rFonts w:ascii="Times New Roman" w:hAnsi="Times New Roman" w:cs="Times New Roman"/>
          <w:i/>
          <w:iCs/>
        </w:rPr>
        <w:t>f Confirmation/Rejection</w:t>
      </w:r>
      <w:r w:rsidR="000373F4" w:rsidRPr="00597FFB">
        <w:rPr>
          <w:rFonts w:ascii="Times New Roman" w:hAnsi="Times New Roman" w:cs="Times New Roman"/>
          <w:i/>
          <w:iCs/>
        </w:rPr>
        <w:t>.</w:t>
      </w:r>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700"/>
        <w:gridCol w:w="1350"/>
      </w:tblGrid>
      <w:tr w:rsidR="00EE5EE9" w:rsidRPr="00597FFB" w14:paraId="7F87F711" w14:textId="77777777" w:rsidTr="000E48F1">
        <w:trPr>
          <w:tblHeader/>
        </w:trPr>
        <w:tc>
          <w:tcPr>
            <w:tcW w:w="3505" w:type="dxa"/>
          </w:tcPr>
          <w:p w14:paraId="2521752D"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sz w:val="20"/>
                <w:szCs w:val="20"/>
              </w:rPr>
              <w:t>Hypothesis</w:t>
            </w:r>
          </w:p>
        </w:tc>
        <w:tc>
          <w:tcPr>
            <w:tcW w:w="2700" w:type="dxa"/>
            <w:vAlign w:val="center"/>
          </w:tcPr>
          <w:p w14:paraId="0F98F4C6"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Results</w:t>
            </w:r>
          </w:p>
        </w:tc>
        <w:tc>
          <w:tcPr>
            <w:tcW w:w="1350" w:type="dxa"/>
          </w:tcPr>
          <w:p w14:paraId="79F316F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sz w:val="20"/>
                <w:szCs w:val="20"/>
              </w:rPr>
              <w:t>Confirmed/</w:t>
            </w:r>
          </w:p>
          <w:p w14:paraId="7DC4BCB2"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sz w:val="20"/>
                <w:szCs w:val="20"/>
              </w:rPr>
              <w:t>Rejected</w:t>
            </w:r>
          </w:p>
        </w:tc>
      </w:tr>
      <w:tr w:rsidR="00EE5EE9" w:rsidRPr="00597FFB" w14:paraId="7C221075" w14:textId="77777777" w:rsidTr="000E48F1">
        <w:tc>
          <w:tcPr>
            <w:tcW w:w="7555" w:type="dxa"/>
            <w:gridSpan w:val="3"/>
            <w:vAlign w:val="center"/>
          </w:tcPr>
          <w:p w14:paraId="1E1E3180" w14:textId="77777777" w:rsidR="00EE5EE9" w:rsidRPr="00597FFB" w:rsidRDefault="00EE5EE9" w:rsidP="000E48F1">
            <w:pPr>
              <w:widowControl w:val="0"/>
              <w:spacing w:after="0" w:line="240" w:lineRule="auto"/>
              <w:jc w:val="center"/>
              <w:rPr>
                <w:rFonts w:ascii="Times New Roman" w:hAnsi="Times New Roman" w:cs="Times New Roman"/>
                <w:b/>
                <w:bCs/>
                <w:sz w:val="20"/>
                <w:szCs w:val="20"/>
              </w:rPr>
            </w:pPr>
            <w:r w:rsidRPr="00597FFB">
              <w:rPr>
                <w:rFonts w:ascii="Times New Roman" w:hAnsi="Times New Roman" w:cs="Times New Roman"/>
                <w:b/>
                <w:bCs/>
                <w:sz w:val="20"/>
                <w:szCs w:val="20"/>
              </w:rPr>
              <w:t>Extended TPB</w:t>
            </w:r>
          </w:p>
          <w:p w14:paraId="075DCBC1"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Principal variables:</w:t>
            </w:r>
          </w:p>
          <w:p w14:paraId="345E4CD5"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Independent variables: Attitude (AT), subjective norm (SN), and Perceived behavioral control (PCB)</w:t>
            </w:r>
          </w:p>
          <w:p w14:paraId="20B6572E"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Dependent/mediator variable: Behavior intention (modified to EWR behavioral intention (EWRBI))</w:t>
            </w:r>
          </w:p>
          <w:p w14:paraId="0E3B4459"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 variable: Behavior adoption (modified to Adoption of EWR Behavior (AD))</w:t>
            </w:r>
          </w:p>
          <w:p w14:paraId="12B9CC7F"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Added variables:</w:t>
            </w:r>
          </w:p>
          <w:p w14:paraId="7CE6E685"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Independent variable: Incentives (financial/nonfinancial) (IN)</w:t>
            </w:r>
          </w:p>
          <w:p w14:paraId="412679F9"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Moderator/Mediator: Environmental concern (EC)</w:t>
            </w:r>
          </w:p>
        </w:tc>
      </w:tr>
      <w:tr w:rsidR="00EE5EE9" w:rsidRPr="00597FFB" w14:paraId="41E0DCAF" w14:textId="77777777" w:rsidTr="000E48F1">
        <w:tc>
          <w:tcPr>
            <w:tcW w:w="3505" w:type="dxa"/>
          </w:tcPr>
          <w:p w14:paraId="41DE51E3"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w:t>
            </w:r>
            <w:r w:rsidRPr="00597FFB">
              <w:rPr>
                <w:rFonts w:ascii="Times New Roman" w:hAnsi="Times New Roman" w:cs="Times New Roman"/>
                <w:bCs/>
                <w:iCs/>
                <w:sz w:val="20"/>
                <w:szCs w:val="20"/>
              </w:rPr>
              <w:t xml:space="preserve"> Recycling attitude (AT) has a significant impact on </w:t>
            </w:r>
            <w:r w:rsidRPr="00597FFB">
              <w:rPr>
                <w:rFonts w:ascii="Times New Roman" w:hAnsi="Times New Roman" w:cs="Times New Roman"/>
                <w:iCs/>
                <w:color w:val="000000"/>
                <w:sz w:val="20"/>
                <w:szCs w:val="20"/>
              </w:rPr>
              <w:t xml:space="preserve">EWR Behavior Intentions (EWRBI) among millennials </w:t>
            </w:r>
          </w:p>
        </w:tc>
        <w:tc>
          <w:tcPr>
            <w:tcW w:w="2700" w:type="dxa"/>
            <w:vAlign w:val="center"/>
          </w:tcPr>
          <w:p w14:paraId="08F85533"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0.073; t = 2.909, p &lt; 0.01</w:t>
            </w:r>
          </w:p>
        </w:tc>
        <w:tc>
          <w:tcPr>
            <w:tcW w:w="1350" w:type="dxa"/>
          </w:tcPr>
          <w:p w14:paraId="39E92FF0"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77AD741" w14:textId="77777777" w:rsidTr="000E48F1">
        <w:tc>
          <w:tcPr>
            <w:tcW w:w="3505" w:type="dxa"/>
          </w:tcPr>
          <w:p w14:paraId="6A7EFEE3"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H2:</w:t>
            </w:r>
            <w:r w:rsidRPr="00597FFB">
              <w:rPr>
                <w:rFonts w:ascii="Times New Roman" w:hAnsi="Times New Roman" w:cs="Times New Roman"/>
                <w:bCs/>
                <w:iCs/>
                <w:sz w:val="20"/>
                <w:szCs w:val="20"/>
              </w:rPr>
              <w:t xml:space="preserve"> Subjective Norm (SN) has a significant impact on </w:t>
            </w:r>
            <w:r w:rsidRPr="00597FFB">
              <w:rPr>
                <w:rFonts w:ascii="Times New Roman" w:hAnsi="Times New Roman" w:cs="Times New Roman"/>
                <w:iCs/>
                <w:color w:val="000000"/>
                <w:sz w:val="20"/>
                <w:szCs w:val="20"/>
              </w:rPr>
              <w:t>EWR Behavior Intentions (EWRBI) among millennials</w:t>
            </w:r>
          </w:p>
        </w:tc>
        <w:tc>
          <w:tcPr>
            <w:tcW w:w="2700" w:type="dxa"/>
            <w:vAlign w:val="center"/>
          </w:tcPr>
          <w:p w14:paraId="25053816"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0.083; t = 2.864, p &lt; 0.001</w:t>
            </w:r>
          </w:p>
        </w:tc>
        <w:tc>
          <w:tcPr>
            <w:tcW w:w="1350" w:type="dxa"/>
          </w:tcPr>
          <w:p w14:paraId="544573DD"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8BF1CA3" w14:textId="77777777" w:rsidTr="000E48F1">
        <w:tc>
          <w:tcPr>
            <w:tcW w:w="3505" w:type="dxa"/>
          </w:tcPr>
          <w:p w14:paraId="0EA096A8"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H3:</w:t>
            </w:r>
            <w:r w:rsidRPr="00597FFB">
              <w:rPr>
                <w:rFonts w:ascii="Times New Roman" w:hAnsi="Times New Roman" w:cs="Times New Roman"/>
                <w:bCs/>
                <w:iCs/>
                <w:sz w:val="20"/>
                <w:szCs w:val="20"/>
              </w:rPr>
              <w:t xml:space="preserve"> Perceived Behavioral Control (PCB) has a significant impact on </w:t>
            </w:r>
            <w:r w:rsidRPr="00597FFB">
              <w:rPr>
                <w:rFonts w:ascii="Times New Roman" w:hAnsi="Times New Roman" w:cs="Times New Roman"/>
                <w:iCs/>
                <w:color w:val="000000"/>
                <w:sz w:val="20"/>
                <w:szCs w:val="20"/>
              </w:rPr>
              <w:t>EWR Behavior Intentions (EWRBI) among millennials</w:t>
            </w:r>
          </w:p>
        </w:tc>
        <w:tc>
          <w:tcPr>
            <w:tcW w:w="2700" w:type="dxa"/>
            <w:vAlign w:val="center"/>
          </w:tcPr>
          <w:p w14:paraId="41C06DCB"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0.098; t = 3.045, p &lt; 0.01</w:t>
            </w:r>
          </w:p>
        </w:tc>
        <w:tc>
          <w:tcPr>
            <w:tcW w:w="1350" w:type="dxa"/>
          </w:tcPr>
          <w:p w14:paraId="0E40D885"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A790274" w14:textId="77777777" w:rsidTr="000E48F1">
        <w:tc>
          <w:tcPr>
            <w:tcW w:w="3505" w:type="dxa"/>
          </w:tcPr>
          <w:p w14:paraId="06BA8D82"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H4:</w:t>
            </w:r>
            <w:r w:rsidRPr="00597FFB">
              <w:rPr>
                <w:rFonts w:ascii="Times New Roman" w:hAnsi="Times New Roman" w:cs="Times New Roman"/>
                <w:bCs/>
                <w:iCs/>
                <w:sz w:val="20"/>
                <w:szCs w:val="20"/>
              </w:rPr>
              <w:t xml:space="preserve"> Incentives (IN) (financial/nonfinancial) have a significant impact on </w:t>
            </w:r>
            <w:r w:rsidRPr="00597FFB">
              <w:rPr>
                <w:rFonts w:ascii="Times New Roman" w:hAnsi="Times New Roman" w:cs="Times New Roman"/>
                <w:iCs/>
                <w:color w:val="000000"/>
                <w:sz w:val="20"/>
                <w:szCs w:val="20"/>
              </w:rPr>
              <w:t>EWR Behavior Intentions (EWRBI) among millennials</w:t>
            </w:r>
          </w:p>
        </w:tc>
        <w:tc>
          <w:tcPr>
            <w:tcW w:w="2700" w:type="dxa"/>
            <w:vAlign w:val="center"/>
          </w:tcPr>
          <w:p w14:paraId="3DD3641B"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0.397; t = 14.921, p &lt; 0.001</w:t>
            </w:r>
          </w:p>
        </w:tc>
        <w:tc>
          <w:tcPr>
            <w:tcW w:w="1350" w:type="dxa"/>
          </w:tcPr>
          <w:p w14:paraId="71B43C44"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39A6B19D" w14:textId="77777777" w:rsidTr="000E48F1">
        <w:tc>
          <w:tcPr>
            <w:tcW w:w="3505" w:type="dxa"/>
          </w:tcPr>
          <w:p w14:paraId="7F5FD874"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H5:</w:t>
            </w:r>
            <w:r w:rsidRPr="00597FFB">
              <w:rPr>
                <w:rFonts w:ascii="Times New Roman" w:hAnsi="Times New Roman" w:cs="Times New Roman"/>
                <w:bCs/>
                <w:iCs/>
                <w:sz w:val="20"/>
                <w:szCs w:val="20"/>
              </w:rPr>
              <w:t xml:space="preserve"> Recycling Attitude (AT) has a significant impact on </w:t>
            </w:r>
            <w:r w:rsidRPr="00597FFB">
              <w:rPr>
                <w:rFonts w:ascii="Times New Roman" w:hAnsi="Times New Roman" w:cs="Times New Roman"/>
                <w:iCs/>
                <w:color w:val="000000"/>
                <w:sz w:val="20"/>
                <w:szCs w:val="20"/>
              </w:rPr>
              <w:t>adoption of EWR behavioral intentions (EWRBI).</w:t>
            </w:r>
          </w:p>
        </w:tc>
        <w:tc>
          <w:tcPr>
            <w:tcW w:w="2700" w:type="dxa"/>
          </w:tcPr>
          <w:p w14:paraId="1AFFE2D0"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0.017; t = 3.517, p &lt; 0.01</w:t>
            </w:r>
          </w:p>
        </w:tc>
        <w:tc>
          <w:tcPr>
            <w:tcW w:w="1350" w:type="dxa"/>
          </w:tcPr>
          <w:p w14:paraId="65AD0506"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417AC4C" w14:textId="77777777" w:rsidTr="000E48F1">
        <w:tc>
          <w:tcPr>
            <w:tcW w:w="3505" w:type="dxa"/>
          </w:tcPr>
          <w:p w14:paraId="4AF8A63B"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H6:</w:t>
            </w:r>
            <w:r w:rsidRPr="00597FFB">
              <w:rPr>
                <w:rFonts w:ascii="Times New Roman" w:hAnsi="Times New Roman" w:cs="Times New Roman"/>
                <w:bCs/>
                <w:iCs/>
                <w:sz w:val="20"/>
                <w:szCs w:val="20"/>
              </w:rPr>
              <w:t xml:space="preserve"> Subjective Norm (SN) has a significant impact on </w:t>
            </w:r>
            <w:r w:rsidRPr="00597FFB">
              <w:rPr>
                <w:rFonts w:ascii="Times New Roman" w:hAnsi="Times New Roman" w:cs="Times New Roman"/>
                <w:iCs/>
                <w:color w:val="000000"/>
                <w:sz w:val="20"/>
                <w:szCs w:val="20"/>
              </w:rPr>
              <w:t>Adoption of EWR behavior.</w:t>
            </w:r>
          </w:p>
        </w:tc>
        <w:tc>
          <w:tcPr>
            <w:tcW w:w="2700" w:type="dxa"/>
          </w:tcPr>
          <w:p w14:paraId="400E093D"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0.014; t = 3.391, p &lt; 0.01</w:t>
            </w:r>
          </w:p>
        </w:tc>
        <w:tc>
          <w:tcPr>
            <w:tcW w:w="1350" w:type="dxa"/>
          </w:tcPr>
          <w:p w14:paraId="758540E6"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C5E0AC6" w14:textId="77777777" w:rsidTr="000E48F1">
        <w:tc>
          <w:tcPr>
            <w:tcW w:w="3505" w:type="dxa"/>
          </w:tcPr>
          <w:p w14:paraId="6B39931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H7:</w:t>
            </w:r>
            <w:r w:rsidRPr="00597FFB">
              <w:rPr>
                <w:rFonts w:ascii="Times New Roman" w:hAnsi="Times New Roman" w:cs="Times New Roman"/>
                <w:bCs/>
                <w:iCs/>
                <w:sz w:val="20"/>
                <w:szCs w:val="20"/>
              </w:rPr>
              <w:t xml:space="preserve"> Perceived Behavioral Control (PCB) has a significant impact on </w:t>
            </w:r>
            <w:r w:rsidRPr="00597FFB">
              <w:rPr>
                <w:rFonts w:ascii="Times New Roman" w:hAnsi="Times New Roman" w:cs="Times New Roman"/>
                <w:iCs/>
                <w:color w:val="000000"/>
                <w:sz w:val="20"/>
                <w:szCs w:val="20"/>
              </w:rPr>
              <w:t>adoption of EWR behavior.</w:t>
            </w:r>
          </w:p>
        </w:tc>
        <w:tc>
          <w:tcPr>
            <w:tcW w:w="2700" w:type="dxa"/>
          </w:tcPr>
          <w:p w14:paraId="1ACC84AB"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0.014; t = 1.332, p &lt; 0.001</w:t>
            </w:r>
          </w:p>
        </w:tc>
        <w:tc>
          <w:tcPr>
            <w:tcW w:w="1350" w:type="dxa"/>
          </w:tcPr>
          <w:p w14:paraId="330A474C"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BD98E1A" w14:textId="77777777" w:rsidTr="000E48F1">
        <w:tc>
          <w:tcPr>
            <w:tcW w:w="3505" w:type="dxa"/>
          </w:tcPr>
          <w:p w14:paraId="2ED01171"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H8:</w:t>
            </w:r>
            <w:r w:rsidRPr="00597FFB">
              <w:rPr>
                <w:rFonts w:ascii="Times New Roman" w:hAnsi="Times New Roman" w:cs="Times New Roman"/>
                <w:bCs/>
                <w:iCs/>
                <w:sz w:val="20"/>
                <w:szCs w:val="20"/>
              </w:rPr>
              <w:t xml:space="preserve"> Incentives (IN) (financial/nonfinancial) has a significant impact on </w:t>
            </w:r>
            <w:r w:rsidRPr="00597FFB">
              <w:rPr>
                <w:rFonts w:ascii="Times New Roman" w:hAnsi="Times New Roman" w:cs="Times New Roman"/>
                <w:iCs/>
                <w:color w:val="000000"/>
                <w:sz w:val="20"/>
                <w:szCs w:val="20"/>
              </w:rPr>
              <w:t>Adoption of EWR behavior.</w:t>
            </w:r>
          </w:p>
        </w:tc>
        <w:tc>
          <w:tcPr>
            <w:tcW w:w="2700" w:type="dxa"/>
          </w:tcPr>
          <w:p w14:paraId="7F39E8C6"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0.065; t = 5.582, p &lt; 0.001</w:t>
            </w:r>
          </w:p>
        </w:tc>
        <w:tc>
          <w:tcPr>
            <w:tcW w:w="1350" w:type="dxa"/>
          </w:tcPr>
          <w:p w14:paraId="6BA3F421"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677180F" w14:textId="77777777" w:rsidTr="000E48F1">
        <w:tc>
          <w:tcPr>
            <w:tcW w:w="3505" w:type="dxa"/>
          </w:tcPr>
          <w:p w14:paraId="342D3584"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H9:</w:t>
            </w:r>
            <w:r w:rsidRPr="00597FFB">
              <w:rPr>
                <w:rFonts w:ascii="Times New Roman" w:hAnsi="Times New Roman" w:cs="Times New Roman"/>
                <w:bCs/>
                <w:iCs/>
                <w:sz w:val="20"/>
                <w:szCs w:val="20"/>
              </w:rPr>
              <w:t xml:space="preserve"> EWRBI Has a Significant Impact on </w:t>
            </w:r>
            <w:r w:rsidRPr="00597FFB">
              <w:rPr>
                <w:rFonts w:ascii="Times New Roman" w:hAnsi="Times New Roman" w:cs="Times New Roman"/>
                <w:iCs/>
                <w:color w:val="000000"/>
                <w:sz w:val="20"/>
                <w:szCs w:val="20"/>
              </w:rPr>
              <w:t>Adoption of EWR behavioral intention.</w:t>
            </w:r>
          </w:p>
        </w:tc>
        <w:tc>
          <w:tcPr>
            <w:tcW w:w="2700" w:type="dxa"/>
          </w:tcPr>
          <w:p w14:paraId="456ADA07"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0.002; t = 6.037, p &lt; 0.01</w:t>
            </w:r>
          </w:p>
        </w:tc>
        <w:tc>
          <w:tcPr>
            <w:tcW w:w="1350" w:type="dxa"/>
          </w:tcPr>
          <w:p w14:paraId="2F3B068D"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2834C00" w14:textId="77777777" w:rsidTr="000E48F1">
        <w:tc>
          <w:tcPr>
            <w:tcW w:w="3505" w:type="dxa"/>
          </w:tcPr>
          <w:p w14:paraId="21E299D8"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H10:</w:t>
            </w:r>
            <w:r w:rsidRPr="00597FFB">
              <w:rPr>
                <w:rFonts w:ascii="Times New Roman" w:hAnsi="Times New Roman" w:cs="Times New Roman"/>
                <w:bCs/>
                <w:iCs/>
                <w:sz w:val="20"/>
                <w:szCs w:val="20"/>
              </w:rPr>
              <w:t xml:space="preserve"> Environmental Concern has a significant impact on </w:t>
            </w:r>
            <w:r w:rsidRPr="00597FFB">
              <w:rPr>
                <w:rFonts w:ascii="Times New Roman" w:hAnsi="Times New Roman" w:cs="Times New Roman"/>
                <w:iCs/>
                <w:color w:val="000000"/>
                <w:sz w:val="20"/>
                <w:szCs w:val="20"/>
              </w:rPr>
              <w:t>Adoption of EWR behavioral intention.</w:t>
            </w:r>
          </w:p>
        </w:tc>
        <w:tc>
          <w:tcPr>
            <w:tcW w:w="2700" w:type="dxa"/>
          </w:tcPr>
          <w:p w14:paraId="0D34B542"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0.313; t = 9.487, p &lt; 0.001</w:t>
            </w:r>
          </w:p>
        </w:tc>
        <w:tc>
          <w:tcPr>
            <w:tcW w:w="1350" w:type="dxa"/>
          </w:tcPr>
          <w:p w14:paraId="3A1A6AE3"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5D15362" w14:textId="77777777" w:rsidTr="000E48F1">
        <w:tc>
          <w:tcPr>
            <w:tcW w:w="3505" w:type="dxa"/>
          </w:tcPr>
          <w:p w14:paraId="2207650F"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H11:</w:t>
            </w:r>
            <w:r w:rsidRPr="00597FFB">
              <w:rPr>
                <w:rFonts w:ascii="Times New Roman" w:hAnsi="Times New Roman" w:cs="Times New Roman"/>
                <w:bCs/>
                <w:iCs/>
                <w:sz w:val="20"/>
                <w:szCs w:val="20"/>
              </w:rPr>
              <w:t xml:space="preserve"> EWR Behavioral Intentions (EWRBI) mediate the relationship between attitude (at) and adoption of EWR behavior </w:t>
            </w:r>
            <w:r w:rsidRPr="00597FFB">
              <w:rPr>
                <w:rFonts w:ascii="Times New Roman" w:hAnsi="Times New Roman" w:cs="Times New Roman"/>
                <w:iCs/>
                <w:color w:val="000000"/>
                <w:sz w:val="20"/>
                <w:szCs w:val="20"/>
              </w:rPr>
              <w:t>among millennials</w:t>
            </w:r>
          </w:p>
        </w:tc>
        <w:tc>
          <w:tcPr>
            <w:tcW w:w="2700" w:type="dxa"/>
          </w:tcPr>
          <w:p w14:paraId="10BCA7C0"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0.000; t = 1.989, p &lt; 0.001</w:t>
            </w:r>
          </w:p>
        </w:tc>
        <w:tc>
          <w:tcPr>
            <w:tcW w:w="1350" w:type="dxa"/>
          </w:tcPr>
          <w:p w14:paraId="307C262D"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EB2E245" w14:textId="77777777" w:rsidTr="000E48F1">
        <w:tc>
          <w:tcPr>
            <w:tcW w:w="3505" w:type="dxa"/>
          </w:tcPr>
          <w:p w14:paraId="6A789191"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H12:</w:t>
            </w:r>
            <w:r w:rsidRPr="00597FFB">
              <w:rPr>
                <w:rFonts w:ascii="Times New Roman" w:hAnsi="Times New Roman" w:cs="Times New Roman"/>
                <w:bCs/>
                <w:iCs/>
                <w:sz w:val="20"/>
                <w:szCs w:val="20"/>
              </w:rPr>
              <w:t xml:space="preserve"> EWR Behavioral Intentions (EWRBI) mediate the relationship between Subjective Norm (SN) and adoption of EWR behavior among millennials</w:t>
            </w:r>
          </w:p>
        </w:tc>
        <w:tc>
          <w:tcPr>
            <w:tcW w:w="2700" w:type="dxa"/>
          </w:tcPr>
          <w:p w14:paraId="2E756602"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0.000; t = 2.001, p &lt; 0.001</w:t>
            </w:r>
          </w:p>
        </w:tc>
        <w:tc>
          <w:tcPr>
            <w:tcW w:w="1350" w:type="dxa"/>
          </w:tcPr>
          <w:p w14:paraId="68D717A4"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588F395B" w14:textId="77777777" w:rsidTr="000E48F1">
        <w:tc>
          <w:tcPr>
            <w:tcW w:w="3505" w:type="dxa"/>
          </w:tcPr>
          <w:p w14:paraId="4F9F35ED"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H13:</w:t>
            </w:r>
            <w:r w:rsidRPr="00597FFB">
              <w:rPr>
                <w:rFonts w:ascii="Times New Roman" w:hAnsi="Times New Roman" w:cs="Times New Roman"/>
                <w:bCs/>
                <w:iCs/>
                <w:sz w:val="20"/>
                <w:szCs w:val="20"/>
              </w:rPr>
              <w:t xml:space="preserve"> EWR Behavioral Intentions (EWRBI) mediate the relationship between Perceived Behavioral Control (PCB) And adoption of EWR behavior among millennials</w:t>
            </w:r>
          </w:p>
        </w:tc>
        <w:tc>
          <w:tcPr>
            <w:tcW w:w="2700" w:type="dxa"/>
          </w:tcPr>
          <w:p w14:paraId="29E49C2A"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0.000; t = 2.120, p &lt; 0.001</w:t>
            </w:r>
          </w:p>
        </w:tc>
        <w:tc>
          <w:tcPr>
            <w:tcW w:w="1350" w:type="dxa"/>
          </w:tcPr>
          <w:p w14:paraId="4247D3A5"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CF9C7F9" w14:textId="77777777" w:rsidTr="000E48F1">
        <w:tc>
          <w:tcPr>
            <w:tcW w:w="3505" w:type="dxa"/>
          </w:tcPr>
          <w:p w14:paraId="09983ECA"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H14:</w:t>
            </w:r>
            <w:r w:rsidRPr="00597FFB">
              <w:rPr>
                <w:rFonts w:ascii="Times New Roman" w:hAnsi="Times New Roman" w:cs="Times New Roman"/>
                <w:bCs/>
                <w:iCs/>
                <w:sz w:val="20"/>
                <w:szCs w:val="20"/>
              </w:rPr>
              <w:t xml:space="preserve"> EWR Behavioral Intentions (EWRBI) mediate the relationship between incentives (IN) (financial/nonfinancial) and adoption of EWR behavior among millennials</w:t>
            </w:r>
          </w:p>
        </w:tc>
        <w:tc>
          <w:tcPr>
            <w:tcW w:w="2700" w:type="dxa"/>
          </w:tcPr>
          <w:p w14:paraId="30AD7FFC"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0.001; t = 3.045, p &lt; 0.001</w:t>
            </w:r>
          </w:p>
        </w:tc>
        <w:tc>
          <w:tcPr>
            <w:tcW w:w="1350" w:type="dxa"/>
          </w:tcPr>
          <w:p w14:paraId="0B13ADA8"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525A6E1F" w14:textId="77777777" w:rsidTr="000E48F1">
        <w:tc>
          <w:tcPr>
            <w:tcW w:w="3505" w:type="dxa"/>
          </w:tcPr>
          <w:p w14:paraId="657948F0"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H15:</w:t>
            </w:r>
            <w:r w:rsidRPr="00597FFB">
              <w:rPr>
                <w:rFonts w:ascii="Times New Roman" w:hAnsi="Times New Roman" w:cs="Times New Roman"/>
                <w:bCs/>
                <w:iCs/>
                <w:sz w:val="20"/>
                <w:szCs w:val="20"/>
              </w:rPr>
              <w:t xml:space="preserve"> Environmental Concern (EC) moderates the relationship between </w:t>
            </w:r>
            <w:r w:rsidRPr="00597FFB">
              <w:rPr>
                <w:rFonts w:ascii="Times New Roman" w:hAnsi="Times New Roman" w:cs="Times New Roman"/>
                <w:sz w:val="20"/>
                <w:szCs w:val="20"/>
              </w:rPr>
              <w:t xml:space="preserve">EWR Behavioral Intentions (EWRBI) and </w:t>
            </w:r>
            <w:r w:rsidRPr="00597FFB">
              <w:rPr>
                <w:rFonts w:ascii="Times New Roman" w:hAnsi="Times New Roman" w:cs="Times New Roman"/>
                <w:bCs/>
                <w:iCs/>
                <w:sz w:val="20"/>
                <w:szCs w:val="20"/>
              </w:rPr>
              <w:t xml:space="preserve">adoption of EWR behavior </w:t>
            </w:r>
            <w:r w:rsidRPr="00597FFB">
              <w:rPr>
                <w:rFonts w:ascii="Times New Roman" w:hAnsi="Times New Roman" w:cs="Times New Roman"/>
                <w:iCs/>
                <w:color w:val="000000"/>
                <w:sz w:val="20"/>
                <w:szCs w:val="20"/>
              </w:rPr>
              <w:t>among millennials</w:t>
            </w:r>
          </w:p>
        </w:tc>
        <w:tc>
          <w:tcPr>
            <w:tcW w:w="2700" w:type="dxa"/>
            <w:vAlign w:val="center"/>
          </w:tcPr>
          <w:p w14:paraId="78F002D7"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0.000,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0.001</w:t>
            </w:r>
          </w:p>
        </w:tc>
        <w:tc>
          <w:tcPr>
            <w:tcW w:w="1350" w:type="dxa"/>
          </w:tcPr>
          <w:p w14:paraId="2AA9E246"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2911FC1" w14:textId="77777777" w:rsidTr="000E48F1">
        <w:tc>
          <w:tcPr>
            <w:tcW w:w="7555" w:type="dxa"/>
            <w:gridSpan w:val="3"/>
            <w:vAlign w:val="center"/>
          </w:tcPr>
          <w:p w14:paraId="723F7B2B" w14:textId="77777777" w:rsidR="00EE5EE9" w:rsidRPr="00597FFB" w:rsidRDefault="00EE5EE9" w:rsidP="000E48F1">
            <w:pPr>
              <w:widowControl w:val="0"/>
              <w:spacing w:after="0" w:line="240" w:lineRule="auto"/>
              <w:jc w:val="center"/>
              <w:rPr>
                <w:rFonts w:ascii="Times New Roman" w:hAnsi="Times New Roman" w:cs="Times New Roman"/>
                <w:b/>
                <w:bCs/>
                <w:sz w:val="20"/>
                <w:szCs w:val="20"/>
              </w:rPr>
            </w:pPr>
            <w:r w:rsidRPr="00597FFB">
              <w:rPr>
                <w:rFonts w:ascii="Times New Roman" w:hAnsi="Times New Roman" w:cs="Times New Roman"/>
                <w:b/>
                <w:bCs/>
                <w:sz w:val="20"/>
                <w:szCs w:val="20"/>
              </w:rPr>
              <w:t>Extended NAT</w:t>
            </w:r>
          </w:p>
          <w:p w14:paraId="08650DA5"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Principal variables:</w:t>
            </w:r>
          </w:p>
          <w:p w14:paraId="27C93182"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Independent variables: Ascription of responsibility (AR) and Awareness of consequences (AC) </w:t>
            </w:r>
          </w:p>
          <w:p w14:paraId="6C7D1566"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Dependent/Mediator variable: Personal norm (PN)</w:t>
            </w:r>
          </w:p>
          <w:p w14:paraId="15AAEDB5"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 variable: Behavior (modified to Intentions towards EWR behavior</w:t>
            </w:r>
          </w:p>
          <w:p w14:paraId="596DF1C6"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Added variables:</w:t>
            </w:r>
          </w:p>
          <w:p w14:paraId="69E11B88"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Independent variable: Moral Norm (MN)</w:t>
            </w:r>
          </w:p>
          <w:p w14:paraId="7BEA321B"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Moderator variable: Privacy concern (PC)</w:t>
            </w:r>
          </w:p>
        </w:tc>
      </w:tr>
      <w:tr w:rsidR="00EE5EE9" w:rsidRPr="00597FFB" w14:paraId="65811FB3" w14:textId="77777777" w:rsidTr="000E48F1">
        <w:tc>
          <w:tcPr>
            <w:tcW w:w="3505" w:type="dxa"/>
          </w:tcPr>
          <w:p w14:paraId="747C2952"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w:t>
            </w:r>
            <w:r w:rsidRPr="00597FFB">
              <w:rPr>
                <w:rFonts w:ascii="Times New Roman" w:hAnsi="Times New Roman" w:cs="Times New Roman"/>
                <w:bCs/>
                <w:iCs/>
                <w:sz w:val="20"/>
                <w:szCs w:val="20"/>
              </w:rPr>
              <w:t xml:space="preserve"> Ascription of responsibility (AR) has a significant impact on </w:t>
            </w:r>
            <w:r w:rsidRPr="00597FFB">
              <w:rPr>
                <w:rFonts w:ascii="Times New Roman" w:hAnsi="Times New Roman" w:cs="Times New Roman"/>
                <w:iCs/>
                <w:color w:val="000000"/>
                <w:sz w:val="20"/>
                <w:szCs w:val="20"/>
              </w:rPr>
              <w:t>personal norm among millennials</w:t>
            </w:r>
          </w:p>
        </w:tc>
        <w:tc>
          <w:tcPr>
            <w:tcW w:w="2700" w:type="dxa"/>
          </w:tcPr>
          <w:p w14:paraId="5A4A1271"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-.016; t = 2.657,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0.01</w:t>
            </w:r>
          </w:p>
        </w:tc>
        <w:tc>
          <w:tcPr>
            <w:tcW w:w="1350" w:type="dxa"/>
          </w:tcPr>
          <w:p w14:paraId="66B2695E"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78208A03" w14:textId="77777777" w:rsidTr="000E48F1">
        <w:tc>
          <w:tcPr>
            <w:tcW w:w="3505" w:type="dxa"/>
          </w:tcPr>
          <w:p w14:paraId="25AA0D17" w14:textId="77777777" w:rsidR="00EE5EE9" w:rsidRPr="00597FFB" w:rsidRDefault="00EE5EE9" w:rsidP="000E48F1">
            <w:pPr>
              <w:widowControl w:val="0"/>
              <w:spacing w:after="0" w:line="240" w:lineRule="auto"/>
              <w:jc w:val="both"/>
              <w:rPr>
                <w:rFonts w:ascii="Times New Roman" w:hAnsi="Times New Roman" w:cs="Times New Roman"/>
                <w:sz w:val="20"/>
                <w:szCs w:val="20"/>
              </w:rPr>
            </w:pPr>
            <w:bookmarkStart w:id="275" w:name="_Hlk114671611"/>
            <w:r w:rsidRPr="00597FFB">
              <w:rPr>
                <w:rFonts w:ascii="Times New Roman" w:hAnsi="Times New Roman" w:cs="Times New Roman"/>
                <w:b/>
                <w:iCs/>
                <w:sz w:val="20"/>
                <w:szCs w:val="20"/>
              </w:rPr>
              <w:t>H2:</w:t>
            </w:r>
            <w:r w:rsidRPr="00597FFB">
              <w:rPr>
                <w:rFonts w:ascii="Times New Roman" w:hAnsi="Times New Roman" w:cs="Times New Roman"/>
                <w:bCs/>
                <w:iCs/>
                <w:sz w:val="20"/>
                <w:szCs w:val="20"/>
              </w:rPr>
              <w:t xml:space="preserve"> Awareness of consequences (AC) has a significant impact on personal norm</w:t>
            </w:r>
            <w:r w:rsidRPr="00597FFB">
              <w:rPr>
                <w:rFonts w:ascii="Times New Roman" w:hAnsi="Times New Roman" w:cs="Times New Roman"/>
                <w:iCs/>
                <w:color w:val="000000"/>
                <w:sz w:val="20"/>
                <w:szCs w:val="20"/>
              </w:rPr>
              <w:t xml:space="preserve"> among </w:t>
            </w:r>
            <w:bookmarkEnd w:id="275"/>
            <w:r w:rsidRPr="00597FFB">
              <w:rPr>
                <w:rFonts w:ascii="Times New Roman" w:hAnsi="Times New Roman" w:cs="Times New Roman"/>
                <w:iCs/>
                <w:color w:val="000000"/>
                <w:sz w:val="20"/>
                <w:szCs w:val="20"/>
              </w:rPr>
              <w:t>millennials</w:t>
            </w:r>
          </w:p>
        </w:tc>
        <w:tc>
          <w:tcPr>
            <w:tcW w:w="2700" w:type="dxa"/>
          </w:tcPr>
          <w:p w14:paraId="07C4F6E3"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.078; t = 1.978,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0.01</w:t>
            </w:r>
          </w:p>
        </w:tc>
        <w:tc>
          <w:tcPr>
            <w:tcW w:w="1350" w:type="dxa"/>
          </w:tcPr>
          <w:p w14:paraId="2A40198A"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70E3685" w14:textId="77777777" w:rsidTr="000E48F1">
        <w:tc>
          <w:tcPr>
            <w:tcW w:w="3505" w:type="dxa"/>
          </w:tcPr>
          <w:p w14:paraId="135B8EDA"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H3:</w:t>
            </w:r>
            <w:r w:rsidRPr="00597FFB">
              <w:rPr>
                <w:rFonts w:ascii="Times New Roman" w:hAnsi="Times New Roman" w:cs="Times New Roman"/>
                <w:sz w:val="20"/>
                <w:szCs w:val="20"/>
              </w:rPr>
              <w:t xml:space="preserve"> Moral Norm (MN) has a significant impact on personal norm among millennials </w:t>
            </w:r>
          </w:p>
        </w:tc>
        <w:tc>
          <w:tcPr>
            <w:tcW w:w="2700" w:type="dxa"/>
          </w:tcPr>
          <w:p w14:paraId="3A83FB1E"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.649; t = 14.460,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0.001</w:t>
            </w:r>
          </w:p>
        </w:tc>
        <w:tc>
          <w:tcPr>
            <w:tcW w:w="1350" w:type="dxa"/>
          </w:tcPr>
          <w:p w14:paraId="74457108"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3228A88" w14:textId="77777777" w:rsidTr="000E48F1">
        <w:tc>
          <w:tcPr>
            <w:tcW w:w="3505" w:type="dxa"/>
          </w:tcPr>
          <w:p w14:paraId="674E5478"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H4:</w:t>
            </w:r>
            <w:r w:rsidRPr="00597FFB">
              <w:rPr>
                <w:rFonts w:ascii="Times New Roman" w:hAnsi="Times New Roman" w:cs="Times New Roman"/>
                <w:bCs/>
                <w:iCs/>
                <w:sz w:val="20"/>
                <w:szCs w:val="20"/>
              </w:rPr>
              <w:t xml:space="preserve"> Personal Norm </w:t>
            </w:r>
            <w:r w:rsidRPr="00597FFB">
              <w:rPr>
                <w:rFonts w:ascii="Times New Roman" w:hAnsi="Times New Roman" w:cs="Times New Roman"/>
                <w:sz w:val="20"/>
                <w:szCs w:val="20"/>
              </w:rPr>
              <w:t>has a significant impact on intentions towards EWR behavior among</w:t>
            </w:r>
            <w:r w:rsidRPr="00597FFB">
              <w:rPr>
                <w:rFonts w:ascii="Times New Roman" w:hAnsi="Times New Roman" w:cs="Times New Roman"/>
                <w:bCs/>
                <w:iCs/>
                <w:sz w:val="20"/>
                <w:szCs w:val="20"/>
              </w:rPr>
              <w:t xml:space="preserve"> millennials</w:t>
            </w:r>
          </w:p>
        </w:tc>
        <w:tc>
          <w:tcPr>
            <w:tcW w:w="2700" w:type="dxa"/>
          </w:tcPr>
          <w:p w14:paraId="430B7CB9"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.309; t = 12.184,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0.001</w:t>
            </w:r>
          </w:p>
        </w:tc>
        <w:tc>
          <w:tcPr>
            <w:tcW w:w="1350" w:type="dxa"/>
          </w:tcPr>
          <w:p w14:paraId="2ABCAC16"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4E773CA7" w14:textId="77777777" w:rsidTr="000E48F1">
        <w:tc>
          <w:tcPr>
            <w:tcW w:w="3505" w:type="dxa"/>
          </w:tcPr>
          <w:p w14:paraId="7F294244"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H5:</w:t>
            </w:r>
            <w:r w:rsidRPr="00597FFB">
              <w:rPr>
                <w:rFonts w:ascii="Times New Roman" w:hAnsi="Times New Roman" w:cs="Times New Roman"/>
                <w:bCs/>
                <w:iCs/>
                <w:sz w:val="20"/>
                <w:szCs w:val="20"/>
              </w:rPr>
              <w:t xml:space="preserve"> Privacy concern (PC) has a significant impact on intentions towards EWR behavior among millennials</w:t>
            </w:r>
          </w:p>
        </w:tc>
        <w:tc>
          <w:tcPr>
            <w:tcW w:w="2700" w:type="dxa"/>
          </w:tcPr>
          <w:p w14:paraId="6CE03A1D"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.317; t = 9.378,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0.001</w:t>
            </w:r>
          </w:p>
        </w:tc>
        <w:tc>
          <w:tcPr>
            <w:tcW w:w="1350" w:type="dxa"/>
          </w:tcPr>
          <w:p w14:paraId="71225DD9"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4F49C5B7" w14:textId="77777777" w:rsidTr="000E48F1">
        <w:tc>
          <w:tcPr>
            <w:tcW w:w="3505" w:type="dxa"/>
          </w:tcPr>
          <w:p w14:paraId="4F5E9F0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H6:</w:t>
            </w:r>
            <w:r w:rsidRPr="00597FFB">
              <w:rPr>
                <w:rFonts w:ascii="Times New Roman" w:hAnsi="Times New Roman" w:cs="Times New Roman"/>
                <w:bCs/>
                <w:iCs/>
                <w:sz w:val="20"/>
                <w:szCs w:val="20"/>
              </w:rPr>
              <w:t xml:space="preserve"> Ascription of responsibility (AR) has a significant impact </w:t>
            </w:r>
            <w:r w:rsidRPr="00597FFB">
              <w:rPr>
                <w:rFonts w:ascii="Times New Roman" w:hAnsi="Times New Roman" w:cs="Times New Roman"/>
                <w:sz w:val="20"/>
                <w:szCs w:val="20"/>
              </w:rPr>
              <w:t xml:space="preserve">on </w:t>
            </w:r>
            <w:r w:rsidRPr="00597FFB">
              <w:rPr>
                <w:rFonts w:ascii="Times New Roman" w:hAnsi="Times New Roman" w:cs="Times New Roman"/>
                <w:bCs/>
                <w:iCs/>
                <w:sz w:val="20"/>
                <w:szCs w:val="20"/>
              </w:rPr>
              <w:t>intentions towards EWR behavior among millennials</w:t>
            </w:r>
          </w:p>
        </w:tc>
        <w:tc>
          <w:tcPr>
            <w:tcW w:w="2700" w:type="dxa"/>
          </w:tcPr>
          <w:p w14:paraId="7C07602C"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.024; t = 1.992,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0.01</w:t>
            </w:r>
          </w:p>
        </w:tc>
        <w:tc>
          <w:tcPr>
            <w:tcW w:w="1350" w:type="dxa"/>
          </w:tcPr>
          <w:p w14:paraId="420184A0"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68BB347" w14:textId="77777777" w:rsidTr="000E48F1">
        <w:trPr>
          <w:trHeight w:val="746"/>
        </w:trPr>
        <w:tc>
          <w:tcPr>
            <w:tcW w:w="3505" w:type="dxa"/>
          </w:tcPr>
          <w:p w14:paraId="5C32E448"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H7:</w:t>
            </w:r>
            <w:r w:rsidRPr="00597FFB">
              <w:rPr>
                <w:rFonts w:ascii="Times New Roman" w:hAnsi="Times New Roman" w:cs="Times New Roman"/>
                <w:bCs/>
                <w:iCs/>
                <w:sz w:val="20"/>
                <w:szCs w:val="20"/>
              </w:rPr>
              <w:t xml:space="preserve"> Awareness of consequences (AC) has a significant impact on intentions towards EWR behavior among millennials</w:t>
            </w:r>
          </w:p>
        </w:tc>
        <w:tc>
          <w:tcPr>
            <w:tcW w:w="2700" w:type="dxa"/>
          </w:tcPr>
          <w:p w14:paraId="276C8017"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.322; t = 6.951,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0.001</w:t>
            </w:r>
          </w:p>
        </w:tc>
        <w:tc>
          <w:tcPr>
            <w:tcW w:w="1350" w:type="dxa"/>
          </w:tcPr>
          <w:p w14:paraId="087AB558"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F2600D5" w14:textId="77777777" w:rsidTr="000E48F1">
        <w:tc>
          <w:tcPr>
            <w:tcW w:w="3505" w:type="dxa"/>
          </w:tcPr>
          <w:p w14:paraId="1869A17B"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H8:</w:t>
            </w:r>
            <w:r w:rsidRPr="00597FFB">
              <w:rPr>
                <w:rFonts w:ascii="Times New Roman" w:hAnsi="Times New Roman" w:cs="Times New Roman"/>
                <w:sz w:val="20"/>
                <w:szCs w:val="20"/>
              </w:rPr>
              <w:t xml:space="preserve"> Moral Norm (MN) has a significant impact on </w:t>
            </w:r>
            <w:r w:rsidRPr="00597FFB">
              <w:rPr>
                <w:rFonts w:ascii="Times New Roman" w:hAnsi="Times New Roman" w:cs="Times New Roman"/>
                <w:bCs/>
                <w:iCs/>
                <w:sz w:val="20"/>
                <w:szCs w:val="20"/>
              </w:rPr>
              <w:t>intentions towards EWR behavior among millennials</w:t>
            </w:r>
          </w:p>
        </w:tc>
        <w:tc>
          <w:tcPr>
            <w:tcW w:w="2700" w:type="dxa"/>
          </w:tcPr>
          <w:p w14:paraId="2764BABC"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-.016; t = 2.657, </w:t>
            </w:r>
            <w:r w:rsidRPr="00597FFB">
              <w:rPr>
                <w:rFonts w:ascii="Times New Roman" w:hAnsi="Times New Roman" w:cs="Times New Roman"/>
                <w:i/>
                <w:iCs/>
                <w:sz w:val="20"/>
                <w:szCs w:val="20"/>
              </w:rPr>
              <w:t>p</w:t>
            </w:r>
            <w:r w:rsidRPr="00597FFB">
              <w:rPr>
                <w:rFonts w:ascii="Times New Roman" w:hAnsi="Times New Roman" w:cs="Times New Roman"/>
                <w:sz w:val="20"/>
                <w:szCs w:val="20"/>
              </w:rPr>
              <w:t xml:space="preserve"> &lt; 0.01</w:t>
            </w:r>
          </w:p>
        </w:tc>
        <w:tc>
          <w:tcPr>
            <w:tcW w:w="1350" w:type="dxa"/>
          </w:tcPr>
          <w:p w14:paraId="5E5C89F9"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0191C18" w14:textId="77777777" w:rsidTr="000E48F1">
        <w:tc>
          <w:tcPr>
            <w:tcW w:w="3505" w:type="dxa"/>
          </w:tcPr>
          <w:p w14:paraId="0FFAAA06"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H9:</w:t>
            </w:r>
            <w:r w:rsidRPr="00597FFB">
              <w:rPr>
                <w:rFonts w:ascii="Times New Roman" w:hAnsi="Times New Roman" w:cs="Times New Roman"/>
                <w:bCs/>
                <w:iCs/>
                <w:sz w:val="20"/>
                <w:szCs w:val="20"/>
              </w:rPr>
              <w:t xml:space="preserve"> Personal norm mediates the relationship between ascription of responsibility (AR) and intentions towards EWR behavior among millennials</w:t>
            </w:r>
          </w:p>
        </w:tc>
        <w:tc>
          <w:tcPr>
            <w:tcW w:w="2700" w:type="dxa"/>
          </w:tcPr>
          <w:p w14:paraId="1E5955F7"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.198, </w:t>
            </w:r>
            <w:r w:rsidRPr="00597FFB">
              <w:rPr>
                <w:rFonts w:ascii="Times New Roman" w:hAnsi="Times New Roman" w:cs="Times New Roman"/>
                <w:i/>
                <w:iCs/>
                <w:sz w:val="20"/>
                <w:szCs w:val="20"/>
              </w:rPr>
              <w:t xml:space="preserve">p </w:t>
            </w:r>
            <w:r w:rsidRPr="00597FFB">
              <w:rPr>
                <w:rFonts w:ascii="Times New Roman" w:hAnsi="Times New Roman" w:cs="Times New Roman"/>
                <w:sz w:val="20"/>
                <w:szCs w:val="20"/>
              </w:rPr>
              <w:t>&lt; 0.001</w:t>
            </w:r>
          </w:p>
        </w:tc>
        <w:tc>
          <w:tcPr>
            <w:tcW w:w="1350" w:type="dxa"/>
          </w:tcPr>
          <w:p w14:paraId="64439788"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31247010" w14:textId="77777777" w:rsidTr="000E48F1">
        <w:tc>
          <w:tcPr>
            <w:tcW w:w="3505" w:type="dxa"/>
          </w:tcPr>
          <w:p w14:paraId="2E577679"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H0:</w:t>
            </w:r>
            <w:r w:rsidRPr="00597FFB">
              <w:rPr>
                <w:rFonts w:ascii="Times New Roman" w:hAnsi="Times New Roman" w:cs="Times New Roman"/>
                <w:bCs/>
                <w:iCs/>
                <w:sz w:val="20"/>
                <w:szCs w:val="20"/>
              </w:rPr>
              <w:t xml:space="preserve"> personal norm mediates the relationship between awareness of consequences (AC) and intentions towards EWR behavior among millennials</w:t>
            </w:r>
          </w:p>
        </w:tc>
        <w:tc>
          <w:tcPr>
            <w:tcW w:w="2700" w:type="dxa"/>
          </w:tcPr>
          <w:p w14:paraId="6C68CACF"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.206, </w:t>
            </w:r>
            <w:r w:rsidRPr="00597FFB">
              <w:rPr>
                <w:rFonts w:ascii="Times New Roman" w:hAnsi="Times New Roman" w:cs="Times New Roman"/>
                <w:i/>
                <w:iCs/>
                <w:sz w:val="20"/>
                <w:szCs w:val="20"/>
              </w:rPr>
              <w:t xml:space="preserve">p </w:t>
            </w:r>
            <w:r w:rsidRPr="00597FFB">
              <w:rPr>
                <w:rFonts w:ascii="Times New Roman" w:hAnsi="Times New Roman" w:cs="Times New Roman"/>
                <w:sz w:val="20"/>
                <w:szCs w:val="20"/>
              </w:rPr>
              <w:t>&lt; 0.001</w:t>
            </w:r>
          </w:p>
        </w:tc>
        <w:tc>
          <w:tcPr>
            <w:tcW w:w="1350" w:type="dxa"/>
          </w:tcPr>
          <w:p w14:paraId="0B3952A6"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F0D9D04" w14:textId="77777777" w:rsidTr="000E48F1">
        <w:tc>
          <w:tcPr>
            <w:tcW w:w="3505" w:type="dxa"/>
          </w:tcPr>
          <w:p w14:paraId="5DEBF3C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H11:</w:t>
            </w:r>
            <w:r w:rsidRPr="00597FFB">
              <w:rPr>
                <w:rFonts w:ascii="Times New Roman" w:hAnsi="Times New Roman" w:cs="Times New Roman"/>
                <w:bCs/>
                <w:iCs/>
                <w:sz w:val="20"/>
                <w:szCs w:val="20"/>
              </w:rPr>
              <w:t xml:space="preserve"> Personal norm mediate the relationship between privacy concern (PN) and intentions towards EWR behavior among millennials</w:t>
            </w:r>
          </w:p>
        </w:tc>
        <w:tc>
          <w:tcPr>
            <w:tcW w:w="2700" w:type="dxa"/>
          </w:tcPr>
          <w:p w14:paraId="3FF3C43A"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 xml:space="preserve">β = .025, </w:t>
            </w:r>
            <w:r w:rsidRPr="00597FFB">
              <w:rPr>
                <w:rFonts w:ascii="Times New Roman" w:hAnsi="Times New Roman" w:cs="Times New Roman"/>
                <w:i/>
                <w:iCs/>
                <w:sz w:val="20"/>
                <w:szCs w:val="20"/>
              </w:rPr>
              <w:t xml:space="preserve">p </w:t>
            </w:r>
            <w:r w:rsidRPr="00597FFB">
              <w:rPr>
                <w:rFonts w:ascii="Times New Roman" w:hAnsi="Times New Roman" w:cs="Times New Roman"/>
                <w:sz w:val="20"/>
                <w:szCs w:val="20"/>
              </w:rPr>
              <w:t>&lt; 0.001</w:t>
            </w:r>
          </w:p>
        </w:tc>
        <w:tc>
          <w:tcPr>
            <w:tcW w:w="1350" w:type="dxa"/>
          </w:tcPr>
          <w:p w14:paraId="05BBC1FC"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01D85E1" w14:textId="77777777" w:rsidTr="000E48F1">
        <w:tc>
          <w:tcPr>
            <w:tcW w:w="3505" w:type="dxa"/>
          </w:tcPr>
          <w:p w14:paraId="184D6C56"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H12:</w:t>
            </w:r>
            <w:r w:rsidRPr="00597FFB">
              <w:rPr>
                <w:rFonts w:ascii="Times New Roman" w:hAnsi="Times New Roman" w:cs="Times New Roman"/>
                <w:sz w:val="20"/>
                <w:szCs w:val="20"/>
              </w:rPr>
              <w:t xml:space="preserve"> </w:t>
            </w:r>
            <w:bookmarkStart w:id="276" w:name="_Hlk116318333"/>
            <w:r w:rsidRPr="00597FFB">
              <w:rPr>
                <w:rFonts w:ascii="Times New Roman" w:hAnsi="Times New Roman" w:cs="Times New Roman"/>
                <w:sz w:val="20"/>
                <w:szCs w:val="20"/>
              </w:rPr>
              <w:t xml:space="preserve">Privacy concern (PN) </w:t>
            </w:r>
            <w:bookmarkEnd w:id="276"/>
            <w:r w:rsidRPr="00597FFB">
              <w:rPr>
                <w:rFonts w:ascii="Times New Roman" w:hAnsi="Times New Roman" w:cs="Times New Roman"/>
                <w:sz w:val="20"/>
                <w:szCs w:val="20"/>
              </w:rPr>
              <w:t xml:space="preserve">moderate the relationship between </w:t>
            </w:r>
            <w:r w:rsidRPr="00597FFB">
              <w:rPr>
                <w:rFonts w:ascii="Times New Roman" w:hAnsi="Times New Roman" w:cs="Times New Roman"/>
                <w:bCs/>
                <w:iCs/>
                <w:sz w:val="20"/>
                <w:szCs w:val="20"/>
              </w:rPr>
              <w:t xml:space="preserve">ascription of responsibility (AR) </w:t>
            </w:r>
            <w:r w:rsidRPr="00597FFB">
              <w:rPr>
                <w:rFonts w:ascii="Times New Roman" w:hAnsi="Times New Roman" w:cs="Times New Roman"/>
                <w:sz w:val="20"/>
                <w:szCs w:val="20"/>
              </w:rPr>
              <w:t>personal norm towards EWR behavior among millennials</w:t>
            </w:r>
          </w:p>
        </w:tc>
        <w:tc>
          <w:tcPr>
            <w:tcW w:w="2700" w:type="dxa"/>
          </w:tcPr>
          <w:p w14:paraId="6D41D676"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.317, p &lt; 0.001</w:t>
            </w:r>
          </w:p>
        </w:tc>
        <w:tc>
          <w:tcPr>
            <w:tcW w:w="1350" w:type="dxa"/>
          </w:tcPr>
          <w:p w14:paraId="11CD680D"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761BA3EF" w14:textId="77777777" w:rsidTr="000E48F1">
        <w:tc>
          <w:tcPr>
            <w:tcW w:w="3505" w:type="dxa"/>
          </w:tcPr>
          <w:p w14:paraId="57A5C35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H13:</w:t>
            </w:r>
            <w:r w:rsidRPr="00597FFB">
              <w:rPr>
                <w:rFonts w:ascii="Times New Roman" w:hAnsi="Times New Roman" w:cs="Times New Roman"/>
                <w:sz w:val="20"/>
                <w:szCs w:val="20"/>
              </w:rPr>
              <w:t xml:space="preserve"> Privacy concern (PN) moderate the relationship between awareness of consequences and personal norm towards EWR behavior among millennials</w:t>
            </w:r>
          </w:p>
        </w:tc>
        <w:tc>
          <w:tcPr>
            <w:tcW w:w="2700" w:type="dxa"/>
          </w:tcPr>
          <w:p w14:paraId="0D436F5F"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.317, p &lt; 0.001</w:t>
            </w:r>
          </w:p>
        </w:tc>
        <w:tc>
          <w:tcPr>
            <w:tcW w:w="1350" w:type="dxa"/>
          </w:tcPr>
          <w:p w14:paraId="6F143AAB"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6817CDB" w14:textId="77777777" w:rsidTr="000E48F1">
        <w:tc>
          <w:tcPr>
            <w:tcW w:w="3505" w:type="dxa"/>
          </w:tcPr>
          <w:p w14:paraId="1D6D04BB"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H14:</w:t>
            </w:r>
            <w:r w:rsidRPr="00597FFB">
              <w:rPr>
                <w:rFonts w:ascii="Times New Roman" w:hAnsi="Times New Roman" w:cs="Times New Roman"/>
                <w:sz w:val="20"/>
                <w:szCs w:val="20"/>
              </w:rPr>
              <w:t xml:space="preserve"> Privacy concern (PN) moderate the relationship between moral norm and personal norm towards EWR behavior among millennials</w:t>
            </w:r>
          </w:p>
        </w:tc>
        <w:tc>
          <w:tcPr>
            <w:tcW w:w="2700" w:type="dxa"/>
          </w:tcPr>
          <w:p w14:paraId="7A5B4BFA"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.317, p &lt; 0.001</w:t>
            </w:r>
          </w:p>
        </w:tc>
        <w:tc>
          <w:tcPr>
            <w:tcW w:w="1350" w:type="dxa"/>
          </w:tcPr>
          <w:p w14:paraId="1B7EB20E"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480B3C01" w14:textId="77777777" w:rsidTr="000E48F1">
        <w:tc>
          <w:tcPr>
            <w:tcW w:w="7555" w:type="dxa"/>
            <w:gridSpan w:val="3"/>
            <w:vAlign w:val="center"/>
          </w:tcPr>
          <w:p w14:paraId="109FB920"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b/>
                <w:bCs/>
                <w:sz w:val="20"/>
                <w:szCs w:val="20"/>
              </w:rPr>
              <w:t>Extended PMT</w:t>
            </w:r>
          </w:p>
          <w:p w14:paraId="5A8DB2C0"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Principal variables</w:t>
            </w:r>
          </w:p>
          <w:p w14:paraId="090F5D73"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Independent variables: Threat appraisal (TA; with severity, exposure, and vulnerability as antecedents), Coping appraisal (CA; with self-efficacy and collective response as antecedents), information/knowledge (modified to Information/knowledge about EWR (KEWR), and past habits (modified to habits (H))</w:t>
            </w:r>
          </w:p>
          <w:p w14:paraId="2D80B542"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Dependent/Mediator: Protection motivation (PM)</w:t>
            </w:r>
          </w:p>
          <w:p w14:paraId="3DB66C75"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Dependent variable: Intent to adopt recommended response (modified to Intent to adopt EWR (AD))</w:t>
            </w:r>
          </w:p>
          <w:p w14:paraId="1A6BA949" w14:textId="77777777" w:rsidR="00EE5EE9" w:rsidRPr="00597FFB" w:rsidRDefault="00EE5EE9" w:rsidP="000E48F1">
            <w:pPr>
              <w:widowControl w:val="0"/>
              <w:spacing w:after="0" w:line="240" w:lineRule="auto"/>
              <w:jc w:val="center"/>
              <w:rPr>
                <w:rFonts w:ascii="Times New Roman" w:hAnsi="Times New Roman" w:cs="Times New Roman"/>
                <w:sz w:val="20"/>
                <w:szCs w:val="20"/>
              </w:rPr>
            </w:pPr>
            <w:r w:rsidRPr="00597FFB">
              <w:rPr>
                <w:rFonts w:ascii="Times New Roman" w:hAnsi="Times New Roman" w:cs="Times New Roman"/>
                <w:sz w:val="20"/>
                <w:szCs w:val="20"/>
              </w:rPr>
              <w:t>Added variables.</w:t>
            </w:r>
          </w:p>
          <w:p w14:paraId="2F4A14C3"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Moderator/independent variable: Environment assessment (EA)</w:t>
            </w:r>
          </w:p>
        </w:tc>
      </w:tr>
      <w:tr w:rsidR="00EE5EE9" w:rsidRPr="00597FFB" w14:paraId="468D7556" w14:textId="77777777" w:rsidTr="000E48F1">
        <w:tc>
          <w:tcPr>
            <w:tcW w:w="3505" w:type="dxa"/>
          </w:tcPr>
          <w:p w14:paraId="7209D0EC"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w:t>
            </w:r>
            <w:r w:rsidRPr="00597FFB">
              <w:rPr>
                <w:rFonts w:ascii="Times New Roman" w:hAnsi="Times New Roman" w:cs="Times New Roman"/>
                <w:bCs/>
                <w:iCs/>
                <w:sz w:val="20"/>
                <w:szCs w:val="20"/>
              </w:rPr>
              <w:t xml:space="preserve"> Threat appraisal (TA) has a significant impact on </w:t>
            </w:r>
            <w:r w:rsidRPr="00597FFB">
              <w:rPr>
                <w:rFonts w:ascii="Times New Roman" w:hAnsi="Times New Roman" w:cs="Times New Roman"/>
                <w:iCs/>
                <w:color w:val="000000"/>
                <w:sz w:val="20"/>
                <w:szCs w:val="20"/>
              </w:rPr>
              <w:t>protection motivation (PM) among millennials</w:t>
            </w:r>
          </w:p>
        </w:tc>
        <w:tc>
          <w:tcPr>
            <w:tcW w:w="2700" w:type="dxa"/>
          </w:tcPr>
          <w:p w14:paraId="7DA0D069"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.225; t = 4.327, p &lt; 0.01</w:t>
            </w:r>
          </w:p>
        </w:tc>
        <w:tc>
          <w:tcPr>
            <w:tcW w:w="1350" w:type="dxa"/>
          </w:tcPr>
          <w:p w14:paraId="1D6854E4"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70A4A21A" w14:textId="77777777" w:rsidTr="000E48F1">
        <w:tc>
          <w:tcPr>
            <w:tcW w:w="3505" w:type="dxa"/>
          </w:tcPr>
          <w:p w14:paraId="3BDB3B29"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H2:</w:t>
            </w:r>
            <w:r w:rsidRPr="00597FFB">
              <w:rPr>
                <w:rFonts w:ascii="Times New Roman" w:hAnsi="Times New Roman" w:cs="Times New Roman"/>
                <w:bCs/>
                <w:iCs/>
                <w:sz w:val="20"/>
                <w:szCs w:val="20"/>
              </w:rPr>
              <w:t xml:space="preserve"> </w:t>
            </w:r>
            <w:bookmarkStart w:id="277" w:name="_Hlk114673852"/>
            <w:r w:rsidRPr="00597FFB">
              <w:rPr>
                <w:rFonts w:ascii="Times New Roman" w:hAnsi="Times New Roman" w:cs="Times New Roman"/>
                <w:bCs/>
                <w:iCs/>
                <w:sz w:val="20"/>
                <w:szCs w:val="20"/>
              </w:rPr>
              <w:t xml:space="preserve">Coping appraisal </w:t>
            </w:r>
            <w:bookmarkEnd w:id="277"/>
            <w:r w:rsidRPr="00597FFB">
              <w:rPr>
                <w:rFonts w:ascii="Times New Roman" w:hAnsi="Times New Roman" w:cs="Times New Roman"/>
                <w:bCs/>
                <w:iCs/>
                <w:sz w:val="20"/>
                <w:szCs w:val="20"/>
              </w:rPr>
              <w:t>(CA) has a significant impact on protection motivation (PM) among millennials</w:t>
            </w:r>
          </w:p>
        </w:tc>
        <w:tc>
          <w:tcPr>
            <w:tcW w:w="2700" w:type="dxa"/>
          </w:tcPr>
          <w:p w14:paraId="64796258"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.715; t = 8.126, p &lt; 0.01</w:t>
            </w:r>
          </w:p>
        </w:tc>
        <w:tc>
          <w:tcPr>
            <w:tcW w:w="1350" w:type="dxa"/>
          </w:tcPr>
          <w:p w14:paraId="1FBEAAA1"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33447FF" w14:textId="77777777" w:rsidTr="000E48F1">
        <w:tc>
          <w:tcPr>
            <w:tcW w:w="3505" w:type="dxa"/>
          </w:tcPr>
          <w:p w14:paraId="76EBA173"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H3:</w:t>
            </w:r>
            <w:r w:rsidRPr="00597FFB">
              <w:rPr>
                <w:rFonts w:ascii="Times New Roman" w:hAnsi="Times New Roman" w:cs="Times New Roman"/>
                <w:bCs/>
                <w:iCs/>
                <w:sz w:val="20"/>
                <w:szCs w:val="20"/>
              </w:rPr>
              <w:t xml:space="preserve"> Information/knowledge about EWR (KEWR) has a significant impact on protection motivation (PM) among millennials</w:t>
            </w:r>
          </w:p>
        </w:tc>
        <w:tc>
          <w:tcPr>
            <w:tcW w:w="2700" w:type="dxa"/>
          </w:tcPr>
          <w:p w14:paraId="489DA918"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.036; t = 0.064, p &lt; 0.05</w:t>
            </w:r>
          </w:p>
        </w:tc>
        <w:tc>
          <w:tcPr>
            <w:tcW w:w="1350" w:type="dxa"/>
          </w:tcPr>
          <w:p w14:paraId="636CE258"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63242AEB" w14:textId="77777777" w:rsidTr="000E48F1">
        <w:tc>
          <w:tcPr>
            <w:tcW w:w="3505" w:type="dxa"/>
          </w:tcPr>
          <w:p w14:paraId="67BAEF68"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H4:</w:t>
            </w:r>
            <w:r w:rsidRPr="00597FFB">
              <w:rPr>
                <w:rFonts w:ascii="Times New Roman" w:hAnsi="Times New Roman" w:cs="Times New Roman"/>
                <w:bCs/>
                <w:iCs/>
                <w:sz w:val="20"/>
                <w:szCs w:val="20"/>
              </w:rPr>
              <w:t xml:space="preserve"> Protection motivation (PM) has a significant impact on intention to adopt EWR behavior (AD) among millennials</w:t>
            </w:r>
          </w:p>
        </w:tc>
        <w:tc>
          <w:tcPr>
            <w:tcW w:w="2700" w:type="dxa"/>
          </w:tcPr>
          <w:p w14:paraId="097F4698"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.305; t = 7.029, p &lt; 0.01</w:t>
            </w:r>
          </w:p>
        </w:tc>
        <w:tc>
          <w:tcPr>
            <w:tcW w:w="1350" w:type="dxa"/>
          </w:tcPr>
          <w:p w14:paraId="72C3F894"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51E6E22E" w14:textId="77777777" w:rsidTr="000E48F1">
        <w:tc>
          <w:tcPr>
            <w:tcW w:w="3505" w:type="dxa"/>
          </w:tcPr>
          <w:p w14:paraId="7D8F5B99"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 xml:space="preserve">H5: </w:t>
            </w:r>
            <w:r w:rsidRPr="00597FFB">
              <w:rPr>
                <w:rFonts w:ascii="Times New Roman" w:hAnsi="Times New Roman" w:cs="Times New Roman"/>
                <w:bCs/>
                <w:iCs/>
                <w:sz w:val="20"/>
                <w:szCs w:val="20"/>
              </w:rPr>
              <w:t>Habits (H) have a significant impact on intention to adopt EWR behavior (AD) among millennials</w:t>
            </w:r>
          </w:p>
        </w:tc>
        <w:tc>
          <w:tcPr>
            <w:tcW w:w="2700" w:type="dxa"/>
          </w:tcPr>
          <w:p w14:paraId="7FBA01CD"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-.061; t = -3.419, p &lt; 0.01</w:t>
            </w:r>
          </w:p>
        </w:tc>
        <w:tc>
          <w:tcPr>
            <w:tcW w:w="1350" w:type="dxa"/>
          </w:tcPr>
          <w:p w14:paraId="1DE4142E"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0A8AF68" w14:textId="77777777" w:rsidTr="000E48F1">
        <w:tc>
          <w:tcPr>
            <w:tcW w:w="3505" w:type="dxa"/>
          </w:tcPr>
          <w:p w14:paraId="217FE4C4"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 xml:space="preserve">H6: </w:t>
            </w:r>
            <w:r w:rsidRPr="00597FFB">
              <w:rPr>
                <w:rFonts w:ascii="Times New Roman" w:hAnsi="Times New Roman" w:cs="Times New Roman"/>
                <w:sz w:val="20"/>
                <w:szCs w:val="20"/>
              </w:rPr>
              <w:t xml:space="preserve">Environmental assessment (EA) has a significant </w:t>
            </w:r>
            <w:r w:rsidRPr="00597FFB">
              <w:rPr>
                <w:rFonts w:ascii="Times New Roman" w:hAnsi="Times New Roman" w:cs="Times New Roman"/>
                <w:bCs/>
                <w:iCs/>
                <w:sz w:val="20"/>
                <w:szCs w:val="20"/>
              </w:rPr>
              <w:t>impact on intention to adopt EWR behavior (AD) among millennials</w:t>
            </w:r>
          </w:p>
        </w:tc>
        <w:tc>
          <w:tcPr>
            <w:tcW w:w="2700" w:type="dxa"/>
          </w:tcPr>
          <w:p w14:paraId="4277F5D1"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-.306; t = -1.665, p &lt; 0.01</w:t>
            </w:r>
          </w:p>
        </w:tc>
        <w:tc>
          <w:tcPr>
            <w:tcW w:w="1350" w:type="dxa"/>
          </w:tcPr>
          <w:p w14:paraId="0F1E18C3"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33BB8E70" w14:textId="77777777" w:rsidTr="000E48F1">
        <w:tc>
          <w:tcPr>
            <w:tcW w:w="3505" w:type="dxa"/>
          </w:tcPr>
          <w:p w14:paraId="325DF5F5"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 xml:space="preserve">H7: </w:t>
            </w:r>
            <w:r w:rsidRPr="00597FFB">
              <w:rPr>
                <w:rFonts w:ascii="Times New Roman" w:hAnsi="Times New Roman" w:cs="Times New Roman"/>
                <w:sz w:val="20"/>
                <w:szCs w:val="20"/>
              </w:rPr>
              <w:t xml:space="preserve">Threat Appraisal (TA) has a significant </w:t>
            </w:r>
            <w:r w:rsidRPr="00597FFB">
              <w:rPr>
                <w:rFonts w:ascii="Times New Roman" w:hAnsi="Times New Roman" w:cs="Times New Roman"/>
                <w:bCs/>
                <w:iCs/>
                <w:sz w:val="20"/>
                <w:szCs w:val="20"/>
              </w:rPr>
              <w:t>impact on intention to adopt EWR behavior (AD) among millennials</w:t>
            </w:r>
          </w:p>
        </w:tc>
        <w:tc>
          <w:tcPr>
            <w:tcW w:w="2700" w:type="dxa"/>
          </w:tcPr>
          <w:p w14:paraId="59B1954A"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.165; t = 3.104, p &lt; 0.05</w:t>
            </w:r>
          </w:p>
        </w:tc>
        <w:tc>
          <w:tcPr>
            <w:tcW w:w="1350" w:type="dxa"/>
          </w:tcPr>
          <w:p w14:paraId="0CB91732"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379C4D72" w14:textId="77777777" w:rsidTr="000E48F1">
        <w:tc>
          <w:tcPr>
            <w:tcW w:w="3505" w:type="dxa"/>
          </w:tcPr>
          <w:p w14:paraId="3D543E26"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 xml:space="preserve">H8: </w:t>
            </w:r>
            <w:r w:rsidRPr="00597FFB">
              <w:rPr>
                <w:rFonts w:ascii="Times New Roman" w:hAnsi="Times New Roman" w:cs="Times New Roman"/>
                <w:sz w:val="20"/>
                <w:szCs w:val="20"/>
              </w:rPr>
              <w:t xml:space="preserve">Coping appraisal (CA) has a significant </w:t>
            </w:r>
            <w:r w:rsidRPr="00597FFB">
              <w:rPr>
                <w:rFonts w:ascii="Times New Roman" w:hAnsi="Times New Roman" w:cs="Times New Roman"/>
                <w:bCs/>
                <w:iCs/>
                <w:sz w:val="20"/>
                <w:szCs w:val="20"/>
              </w:rPr>
              <w:t>impact on intention to adopt EWR behavior (AD) among millennials</w:t>
            </w:r>
          </w:p>
        </w:tc>
        <w:tc>
          <w:tcPr>
            <w:tcW w:w="2700" w:type="dxa"/>
          </w:tcPr>
          <w:p w14:paraId="63E0FB03"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.683; t = 2.288, p &lt; 0.05</w:t>
            </w:r>
          </w:p>
        </w:tc>
        <w:tc>
          <w:tcPr>
            <w:tcW w:w="1350" w:type="dxa"/>
          </w:tcPr>
          <w:p w14:paraId="490A9FAB"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3F6239B7" w14:textId="77777777" w:rsidTr="000E48F1">
        <w:tc>
          <w:tcPr>
            <w:tcW w:w="3505" w:type="dxa"/>
          </w:tcPr>
          <w:p w14:paraId="0253DE97"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bCs/>
                <w:sz w:val="20"/>
                <w:szCs w:val="20"/>
              </w:rPr>
              <w:t xml:space="preserve">H9: </w:t>
            </w:r>
            <w:r w:rsidRPr="00597FFB">
              <w:rPr>
                <w:rFonts w:ascii="Times New Roman" w:hAnsi="Times New Roman" w:cs="Times New Roman"/>
                <w:bCs/>
                <w:iCs/>
                <w:sz w:val="20"/>
                <w:szCs w:val="20"/>
              </w:rPr>
              <w:t>Information/knowledge about EWR (KEWR) has a significant impact on intention to adopt EWR behavior (AD) among millennials</w:t>
            </w:r>
          </w:p>
        </w:tc>
        <w:tc>
          <w:tcPr>
            <w:tcW w:w="2700" w:type="dxa"/>
          </w:tcPr>
          <w:p w14:paraId="668F07F7"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β = .007; t = 0.055, p &lt; 0.01</w:t>
            </w:r>
          </w:p>
        </w:tc>
        <w:tc>
          <w:tcPr>
            <w:tcW w:w="1350" w:type="dxa"/>
          </w:tcPr>
          <w:p w14:paraId="18318905"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18FA6CF1" w14:textId="77777777" w:rsidTr="000E48F1">
        <w:tc>
          <w:tcPr>
            <w:tcW w:w="3505" w:type="dxa"/>
          </w:tcPr>
          <w:p w14:paraId="364D0476"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H10:</w:t>
            </w:r>
            <w:r w:rsidRPr="00597FFB">
              <w:rPr>
                <w:rFonts w:ascii="Times New Roman" w:hAnsi="Times New Roman" w:cs="Times New Roman"/>
                <w:bCs/>
                <w:iCs/>
                <w:sz w:val="20"/>
                <w:szCs w:val="20"/>
              </w:rPr>
              <w:t xml:space="preserve"> Protection motivation (PM) mediates the relationship between threat appraisal (TA) and intention to adopt EWR behavior (AD) among millennials</w:t>
            </w:r>
          </w:p>
        </w:tc>
        <w:tc>
          <w:tcPr>
            <w:tcW w:w="2700" w:type="dxa"/>
          </w:tcPr>
          <w:p w14:paraId="43B0FAAF"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p &lt; 0.001</w:t>
            </w:r>
          </w:p>
        </w:tc>
        <w:tc>
          <w:tcPr>
            <w:tcW w:w="1350" w:type="dxa"/>
          </w:tcPr>
          <w:p w14:paraId="778DE0EA"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26E02229" w14:textId="77777777" w:rsidTr="000E48F1">
        <w:tc>
          <w:tcPr>
            <w:tcW w:w="3505" w:type="dxa"/>
          </w:tcPr>
          <w:p w14:paraId="5A321DCF"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H11:</w:t>
            </w:r>
            <w:r w:rsidRPr="00597FFB">
              <w:rPr>
                <w:rFonts w:ascii="Times New Roman" w:hAnsi="Times New Roman" w:cs="Times New Roman"/>
                <w:bCs/>
                <w:iCs/>
                <w:sz w:val="20"/>
                <w:szCs w:val="20"/>
              </w:rPr>
              <w:t xml:space="preserve"> Protection motivation (PM) mediates the relationship between coping appraisal (CA) and intention to adopt EWR behavior (AD) among millennials</w:t>
            </w:r>
          </w:p>
        </w:tc>
        <w:tc>
          <w:tcPr>
            <w:tcW w:w="2700" w:type="dxa"/>
          </w:tcPr>
          <w:p w14:paraId="4FAE7A3F"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p &lt; 0.001</w:t>
            </w:r>
          </w:p>
        </w:tc>
        <w:tc>
          <w:tcPr>
            <w:tcW w:w="1350" w:type="dxa"/>
          </w:tcPr>
          <w:p w14:paraId="739499E0"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r w:rsidR="00EE5EE9" w:rsidRPr="00597FFB" w14:paraId="024D7680" w14:textId="77777777" w:rsidTr="000E48F1">
        <w:tc>
          <w:tcPr>
            <w:tcW w:w="3505" w:type="dxa"/>
          </w:tcPr>
          <w:p w14:paraId="7F8B3510" w14:textId="77777777" w:rsidR="00EE5EE9" w:rsidRPr="00597FFB" w:rsidRDefault="00EE5EE9" w:rsidP="000E48F1">
            <w:pPr>
              <w:widowControl w:val="0"/>
              <w:spacing w:after="0" w:line="240" w:lineRule="auto"/>
              <w:jc w:val="both"/>
              <w:rPr>
                <w:rFonts w:ascii="Times New Roman" w:hAnsi="Times New Roman" w:cs="Times New Roman"/>
                <w:sz w:val="20"/>
                <w:szCs w:val="20"/>
              </w:rPr>
            </w:pPr>
            <w:r w:rsidRPr="00597FFB">
              <w:rPr>
                <w:rFonts w:ascii="Times New Roman" w:hAnsi="Times New Roman" w:cs="Times New Roman"/>
                <w:b/>
                <w:iCs/>
                <w:sz w:val="20"/>
                <w:szCs w:val="20"/>
              </w:rPr>
              <w:t>H12:</w:t>
            </w:r>
            <w:r w:rsidRPr="00597FFB">
              <w:rPr>
                <w:rFonts w:ascii="Times New Roman" w:hAnsi="Times New Roman" w:cs="Times New Roman"/>
                <w:bCs/>
                <w:iCs/>
                <w:sz w:val="20"/>
                <w:szCs w:val="20"/>
              </w:rPr>
              <w:t xml:space="preserve"> Environment assessment (EA) moderates the relationship between </w:t>
            </w:r>
            <w:r w:rsidRPr="00597FFB">
              <w:rPr>
                <w:rFonts w:ascii="Times New Roman" w:hAnsi="Times New Roman" w:cs="Times New Roman"/>
                <w:sz w:val="20"/>
                <w:szCs w:val="20"/>
              </w:rPr>
              <w:t xml:space="preserve">protection motivation and </w:t>
            </w:r>
            <w:r w:rsidRPr="00597FFB">
              <w:rPr>
                <w:rFonts w:ascii="Times New Roman" w:hAnsi="Times New Roman" w:cs="Times New Roman"/>
                <w:bCs/>
                <w:iCs/>
                <w:sz w:val="20"/>
                <w:szCs w:val="20"/>
              </w:rPr>
              <w:t>intention to adopt EWR behavior (AD) among millennials</w:t>
            </w:r>
          </w:p>
        </w:tc>
        <w:tc>
          <w:tcPr>
            <w:tcW w:w="2700" w:type="dxa"/>
          </w:tcPr>
          <w:p w14:paraId="1A7FB388" w14:textId="77777777" w:rsidR="00EE5EE9" w:rsidRPr="00597FFB" w:rsidRDefault="00EE5EE9" w:rsidP="000E48F1">
            <w:pPr>
              <w:widowControl w:val="0"/>
              <w:spacing w:after="0" w:line="240" w:lineRule="auto"/>
              <w:rPr>
                <w:rFonts w:ascii="Times New Roman" w:hAnsi="Times New Roman" w:cs="Times New Roman"/>
                <w:sz w:val="20"/>
                <w:szCs w:val="20"/>
              </w:rPr>
            </w:pPr>
            <w:r w:rsidRPr="00597FFB">
              <w:rPr>
                <w:rFonts w:ascii="Times New Roman" w:hAnsi="Times New Roman" w:cs="Times New Roman"/>
                <w:sz w:val="20"/>
                <w:szCs w:val="20"/>
              </w:rPr>
              <w:t>p &lt; 0.001</w:t>
            </w:r>
          </w:p>
        </w:tc>
        <w:tc>
          <w:tcPr>
            <w:tcW w:w="1350" w:type="dxa"/>
          </w:tcPr>
          <w:p w14:paraId="301720AE" w14:textId="77777777" w:rsidR="00EE5EE9" w:rsidRPr="00597FFB" w:rsidRDefault="00EE5EE9" w:rsidP="000E48F1">
            <w:pPr>
              <w:widowControl w:val="0"/>
              <w:spacing w:after="0" w:line="240" w:lineRule="auto"/>
              <w:jc w:val="right"/>
              <w:rPr>
                <w:rFonts w:ascii="Times New Roman" w:hAnsi="Times New Roman" w:cs="Times New Roman"/>
                <w:sz w:val="20"/>
                <w:szCs w:val="20"/>
              </w:rPr>
            </w:pPr>
            <w:r w:rsidRPr="00597FFB">
              <w:rPr>
                <w:rFonts w:ascii="Times New Roman" w:hAnsi="Times New Roman" w:cs="Times New Roman"/>
                <w:sz w:val="20"/>
                <w:szCs w:val="20"/>
              </w:rPr>
              <w:t>Confirmed</w:t>
            </w:r>
          </w:p>
        </w:tc>
      </w:tr>
    </w:tbl>
    <w:p w14:paraId="70C7C452" w14:textId="77777777" w:rsidR="00EE5EE9" w:rsidRPr="00597FFB" w:rsidRDefault="00EE5EE9" w:rsidP="00EE5EE9">
      <w:pPr>
        <w:widowControl w:val="0"/>
        <w:spacing w:line="480" w:lineRule="auto"/>
        <w:jc w:val="both"/>
        <w:rPr>
          <w:rFonts w:ascii="Times New Roman" w:hAnsi="Times New Roman" w:cs="Times New Roman"/>
          <w:sz w:val="24"/>
          <w:szCs w:val="24"/>
        </w:rPr>
      </w:pPr>
    </w:p>
    <w:p w14:paraId="712A2CFB" w14:textId="77777777" w:rsidR="00AD56DC" w:rsidRPr="00597FFB" w:rsidRDefault="00AD56DC" w:rsidP="00AD56DC">
      <w:pPr>
        <w:spacing w:line="480" w:lineRule="auto"/>
        <w:jc w:val="both"/>
        <w:rPr>
          <w:rFonts w:ascii="Times New Roman" w:hAnsi="Times New Roman" w:cs="Times New Roman"/>
          <w:sz w:val="24"/>
          <w:szCs w:val="24"/>
        </w:rPr>
        <w:sectPr w:rsidR="00AD56DC" w:rsidRPr="00597FFB" w:rsidSect="003A2D76">
          <w:pgSz w:w="11909" w:h="16834" w:code="9"/>
          <w:pgMar w:top="1800" w:right="2160" w:bottom="1800" w:left="2160" w:header="720" w:footer="720" w:gutter="0"/>
          <w:lnNumType w:countBy="1" w:restart="continuous"/>
          <w:cols w:space="720"/>
          <w:docGrid w:linePitch="360"/>
        </w:sectPr>
      </w:pPr>
    </w:p>
    <w:p w14:paraId="3CAA4015" w14:textId="61169F4F" w:rsidR="005C1C07" w:rsidRPr="00597FFB" w:rsidRDefault="003C4CA7" w:rsidP="00397DAB">
      <w:pPr>
        <w:keepNext/>
        <w:widowControl w:val="0"/>
        <w:spacing w:after="0" w:line="480" w:lineRule="auto"/>
        <w:ind w:left="432" w:hanging="432"/>
        <w:jc w:val="center"/>
        <w:outlineLvl w:val="0"/>
        <w:rPr>
          <w:rFonts w:ascii="Times New Roman" w:eastAsia="Times New Roman" w:hAnsi="Times New Roman" w:cs="Times New Roman"/>
          <w:b/>
          <w:bCs/>
          <w:kern w:val="32"/>
          <w:sz w:val="28"/>
          <w:szCs w:val="28"/>
        </w:rPr>
      </w:pPr>
      <w:bookmarkStart w:id="278" w:name="_Toc127170372"/>
      <w:r w:rsidRPr="00597FFB">
        <w:rPr>
          <w:rFonts w:ascii="Times New Roman" w:eastAsia="Times New Roman" w:hAnsi="Times New Roman" w:cs="Times New Roman"/>
          <w:b/>
          <w:bCs/>
          <w:kern w:val="32"/>
          <w:sz w:val="28"/>
          <w:szCs w:val="28"/>
        </w:rPr>
        <w:t>CHAPTER 6</w:t>
      </w:r>
      <w:bookmarkEnd w:id="278"/>
    </w:p>
    <w:p w14:paraId="37F8AACF" w14:textId="52920581" w:rsidR="003C4CA7" w:rsidRPr="00597FFB" w:rsidRDefault="00397DAB" w:rsidP="003A2926">
      <w:pPr>
        <w:keepNext/>
        <w:widowControl w:val="0"/>
        <w:spacing w:after="0" w:line="480" w:lineRule="auto"/>
        <w:ind w:left="432" w:hanging="432"/>
        <w:jc w:val="center"/>
        <w:outlineLvl w:val="0"/>
        <w:rPr>
          <w:rFonts w:ascii="Times New Roman" w:eastAsia="Times New Roman" w:hAnsi="Times New Roman" w:cs="Times New Roman"/>
          <w:b/>
          <w:bCs/>
          <w:color w:val="000000" w:themeColor="text1"/>
          <w:kern w:val="32"/>
          <w:sz w:val="26"/>
          <w:szCs w:val="26"/>
        </w:rPr>
      </w:pPr>
      <w:bookmarkStart w:id="279" w:name="_Toc127170373"/>
      <w:r w:rsidRPr="00597FFB">
        <w:rPr>
          <w:rFonts w:ascii="Times New Roman" w:eastAsia="Times New Roman" w:hAnsi="Times New Roman" w:cs="Times New Roman"/>
          <w:b/>
          <w:bCs/>
          <w:kern w:val="32"/>
          <w:sz w:val="26"/>
          <w:szCs w:val="26"/>
        </w:rPr>
        <w:t xml:space="preserve">Summary </w:t>
      </w:r>
      <w:r w:rsidR="00AE2E8D">
        <w:rPr>
          <w:rFonts w:ascii="Times New Roman" w:eastAsia="Times New Roman" w:hAnsi="Times New Roman" w:cs="Times New Roman"/>
          <w:b/>
          <w:bCs/>
          <w:kern w:val="32"/>
          <w:sz w:val="26"/>
          <w:szCs w:val="26"/>
        </w:rPr>
        <w:t>a</w:t>
      </w:r>
      <w:r w:rsidR="003C4CA7" w:rsidRPr="00597FFB">
        <w:rPr>
          <w:rFonts w:ascii="Times New Roman" w:eastAsia="Times New Roman" w:hAnsi="Times New Roman" w:cs="Times New Roman"/>
          <w:b/>
          <w:bCs/>
          <w:kern w:val="32"/>
          <w:sz w:val="26"/>
          <w:szCs w:val="26"/>
        </w:rPr>
        <w:t xml:space="preserve">nd </w:t>
      </w:r>
      <w:r w:rsidRPr="00597FFB">
        <w:rPr>
          <w:rFonts w:ascii="Times New Roman" w:eastAsia="Times New Roman" w:hAnsi="Times New Roman" w:cs="Times New Roman"/>
          <w:b/>
          <w:bCs/>
          <w:color w:val="000000" w:themeColor="text1"/>
          <w:kern w:val="32"/>
          <w:sz w:val="26"/>
          <w:szCs w:val="26"/>
        </w:rPr>
        <w:t>Conclusions</w:t>
      </w:r>
      <w:bookmarkEnd w:id="279"/>
      <w:r w:rsidRPr="00597FFB">
        <w:rPr>
          <w:rFonts w:ascii="Times New Roman" w:eastAsia="Times New Roman" w:hAnsi="Times New Roman" w:cs="Times New Roman"/>
          <w:b/>
          <w:bCs/>
          <w:color w:val="000000" w:themeColor="text1"/>
          <w:kern w:val="32"/>
          <w:sz w:val="26"/>
          <w:szCs w:val="26"/>
        </w:rPr>
        <w:t xml:space="preserve"> </w:t>
      </w:r>
    </w:p>
    <w:p w14:paraId="64F5658F" w14:textId="77777777" w:rsidR="00397DAB" w:rsidRPr="00597FFB" w:rsidRDefault="00397DAB" w:rsidP="00397DAB">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w:t>
      </w:r>
      <w:r w:rsidRPr="00597FFB">
        <w:rPr>
          <w:rFonts w:eastAsiaTheme="minorHAnsi"/>
          <w:i/>
          <w:iCs/>
        </w:rPr>
        <w:t xml:space="preserve"> </w:t>
      </w:r>
      <w:r w:rsidRPr="00597FFB">
        <w:rPr>
          <w:rFonts w:asciiTheme="majorBidi" w:eastAsiaTheme="minorHAnsi" w:hAnsiTheme="majorBidi" w:cstheme="majorBidi"/>
          <w:i/>
          <w:iCs/>
          <w:sz w:val="24"/>
          <w:szCs w:val="24"/>
        </w:rPr>
        <w:t>A society is defined not only by what it</w:t>
      </w:r>
    </w:p>
    <w:p w14:paraId="35461ABB" w14:textId="77777777" w:rsidR="00397DAB" w:rsidRPr="00597FFB" w:rsidRDefault="00397DAB" w:rsidP="00397DAB">
      <w:pPr>
        <w:spacing w:after="0" w:line="480" w:lineRule="auto"/>
        <w:ind w:left="360" w:hanging="360"/>
        <w:jc w:val="center"/>
        <w:rPr>
          <w:rFonts w:asciiTheme="majorBidi" w:eastAsiaTheme="minorHAnsi" w:hAnsiTheme="majorBidi" w:cstheme="majorBidi"/>
          <w:i/>
          <w:iCs/>
          <w:sz w:val="24"/>
          <w:szCs w:val="24"/>
        </w:rPr>
      </w:pPr>
      <w:r w:rsidRPr="00597FFB">
        <w:rPr>
          <w:rFonts w:asciiTheme="majorBidi" w:eastAsiaTheme="minorHAnsi" w:hAnsiTheme="majorBidi" w:cstheme="majorBidi"/>
          <w:i/>
          <w:iCs/>
          <w:sz w:val="24"/>
          <w:szCs w:val="24"/>
        </w:rPr>
        <w:t>creates, but by what it refuses to destroy." (John Sawhill)</w:t>
      </w:r>
    </w:p>
    <w:p w14:paraId="5D7C5478" w14:textId="77777777" w:rsidR="00397DAB" w:rsidRPr="00597FFB" w:rsidRDefault="00397DAB" w:rsidP="00916622">
      <w:pPr>
        <w:keepNext/>
        <w:spacing w:after="0" w:line="480" w:lineRule="auto"/>
        <w:ind w:left="432"/>
        <w:outlineLvl w:val="0"/>
        <w:rPr>
          <w:rFonts w:ascii="Times New Roman" w:eastAsia="Times New Roman" w:hAnsi="Times New Roman" w:cs="Times New Roman"/>
          <w:b/>
          <w:bCs/>
          <w:vanish/>
          <w:kern w:val="32"/>
          <w:sz w:val="24"/>
          <w:szCs w:val="24"/>
        </w:rPr>
      </w:pPr>
    </w:p>
    <w:p w14:paraId="0CC1819D" w14:textId="63311B4B" w:rsidR="00E13B5D" w:rsidRPr="00597FFB" w:rsidRDefault="00E13B5D" w:rsidP="00B7752C">
      <w:pPr>
        <w:pStyle w:val="Heading2"/>
        <w:spacing w:line="480" w:lineRule="auto"/>
        <w:rPr>
          <w:rFonts w:asciiTheme="majorBidi" w:hAnsiTheme="majorBidi"/>
          <w:b/>
          <w:bCs/>
          <w:color w:val="000000" w:themeColor="text1"/>
          <w:sz w:val="24"/>
          <w:szCs w:val="24"/>
        </w:rPr>
      </w:pPr>
      <w:bookmarkStart w:id="280" w:name="_Toc127170374"/>
      <w:r w:rsidRPr="00597FFB">
        <w:rPr>
          <w:rFonts w:asciiTheme="majorBidi" w:hAnsiTheme="majorBidi"/>
          <w:b/>
          <w:bCs/>
          <w:color w:val="000000" w:themeColor="text1"/>
          <w:sz w:val="24"/>
          <w:szCs w:val="24"/>
        </w:rPr>
        <w:t>6.0. Introduction</w:t>
      </w:r>
      <w:r w:rsidR="00256727" w:rsidRPr="00597FFB">
        <w:rPr>
          <w:rFonts w:asciiTheme="majorBidi" w:hAnsiTheme="majorBidi"/>
          <w:b/>
          <w:bCs/>
          <w:color w:val="000000" w:themeColor="text1"/>
          <w:sz w:val="24"/>
          <w:szCs w:val="24"/>
        </w:rPr>
        <w:t>.</w:t>
      </w:r>
      <w:bookmarkEnd w:id="280"/>
    </w:p>
    <w:p w14:paraId="6E6ACBC4" w14:textId="66F188E7" w:rsidR="00397DAB" w:rsidRPr="00597FFB" w:rsidRDefault="00E13B5D" w:rsidP="00916622">
      <w:pPr>
        <w:widowControl w:val="0"/>
        <w:tabs>
          <w:tab w:val="left" w:pos="3690"/>
        </w:tabs>
        <w:spacing w:after="0" w:line="480" w:lineRule="auto"/>
        <w:jc w:val="both"/>
        <w:rPr>
          <w:rFonts w:ascii="Times New Roman" w:eastAsia="Calibri" w:hAnsi="Times New Roman" w:cs="Times New Roman"/>
          <w:sz w:val="24"/>
          <w:szCs w:val="24"/>
        </w:rPr>
      </w:pPr>
      <w:r w:rsidRPr="00597FFB">
        <w:rPr>
          <w:rFonts w:ascii="Times New Roman" w:eastAsia="Times New Roman" w:hAnsi="Times New Roman" w:cs="Times New Roman"/>
          <w:b/>
          <w:bCs/>
          <w:sz w:val="24"/>
          <w:szCs w:val="24"/>
        </w:rPr>
        <w:t xml:space="preserve">    </w:t>
      </w:r>
      <w:r w:rsidR="00397DAB" w:rsidRPr="00597FFB">
        <w:rPr>
          <w:rFonts w:ascii="Times New Roman" w:eastAsia="Calibri" w:hAnsi="Times New Roman" w:cs="Times New Roman"/>
          <w:sz w:val="24"/>
          <w:szCs w:val="24"/>
        </w:rPr>
        <w:t>In the previous chapter, the analysis, results, and discussion of findings were presented. In section 5.1, the respondents’ characteristics were presented based on the sample size (</w:t>
      </w:r>
      <w:r w:rsidR="00397DAB" w:rsidRPr="00597FFB">
        <w:rPr>
          <w:rFonts w:ascii="Times New Roman" w:eastAsia="Calibri" w:hAnsi="Times New Roman" w:cs="Times New Roman"/>
          <w:i/>
          <w:iCs/>
          <w:sz w:val="24"/>
          <w:szCs w:val="24"/>
        </w:rPr>
        <w:t>N</w:t>
      </w:r>
      <w:r w:rsidR="00397DAB" w:rsidRPr="00597FFB">
        <w:rPr>
          <w:rFonts w:ascii="Times New Roman" w:eastAsia="Calibri" w:hAnsi="Times New Roman" w:cs="Times New Roman"/>
          <w:sz w:val="24"/>
          <w:szCs w:val="24"/>
        </w:rPr>
        <w:t xml:space="preserve"> = 505), age, education, and household income. Section 5.2 was a presentation of the analysis, results, and discussion of findings related to the SEM outcomes of the extended TPB model and in line with the 15 hypotheses that were confirmed. Section 5.3 contained the analysis, results, and discussion of findings based on the extended NAT model and the 14 confirmed hypotheses. In section 5.4, the analysis, results, and discussion of findings of the extended PMT model were presented in line with the 12 confirmed hypotheses. The chapter summary was presented in section 5.5.</w:t>
      </w:r>
    </w:p>
    <w:p w14:paraId="3E767A04" w14:textId="79BCB497" w:rsidR="00397DAB" w:rsidRPr="00597FFB" w:rsidRDefault="00397DAB" w:rsidP="00916622">
      <w:pPr>
        <w:widowControl w:val="0"/>
        <w:tabs>
          <w:tab w:val="left" w:pos="3690"/>
        </w:tabs>
        <w:spacing w:after="0" w:line="480" w:lineRule="auto"/>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This chapter is about the study summary and conclusions that were arrived based on the findings of this research (refer to Chapter 5). This chapter commences with a study summary section in section 6.1. The conclusions of this study are in section 6.2 while the theoretical, practical, and methodological contributions of this study are in section 6.3. In section 6.4, the implications for theory, implications for practice, and societal implications are presented. Sections 6.5, 6.6, and 6.7 are about the research limitations, the suggestions for further research, and the summary of the chapter respectively.</w:t>
      </w:r>
    </w:p>
    <w:p w14:paraId="6233CA03" w14:textId="0401B62F" w:rsidR="00397DAB" w:rsidRPr="00597FFB" w:rsidRDefault="00397DAB" w:rsidP="00916622">
      <w:pPr>
        <w:keepNext/>
        <w:spacing w:after="0" w:line="480" w:lineRule="auto"/>
        <w:outlineLvl w:val="1"/>
        <w:rPr>
          <w:rFonts w:ascii="Times New Roman" w:eastAsia="Times New Roman" w:hAnsi="Times New Roman" w:cs="Times New Roman"/>
          <w:b/>
          <w:bCs/>
          <w:sz w:val="24"/>
          <w:szCs w:val="24"/>
        </w:rPr>
      </w:pPr>
      <w:bookmarkStart w:id="281" w:name="_Toc127170375"/>
      <w:r w:rsidRPr="00597FFB">
        <w:rPr>
          <w:rFonts w:ascii="Times New Roman" w:eastAsia="Times New Roman" w:hAnsi="Times New Roman" w:cs="Times New Roman"/>
          <w:b/>
          <w:bCs/>
          <w:sz w:val="24"/>
          <w:szCs w:val="24"/>
        </w:rPr>
        <w:t xml:space="preserve">6.1. </w:t>
      </w:r>
      <w:r w:rsidR="007E1A2A">
        <w:rPr>
          <w:rFonts w:ascii="Times New Roman" w:eastAsia="Times New Roman" w:hAnsi="Times New Roman" w:cs="Times New Roman"/>
          <w:b/>
          <w:bCs/>
          <w:sz w:val="24"/>
          <w:szCs w:val="24"/>
        </w:rPr>
        <w:t>Research</w:t>
      </w:r>
      <w:r w:rsidRPr="00597FFB">
        <w:rPr>
          <w:rFonts w:ascii="Times New Roman" w:eastAsia="Times New Roman" w:hAnsi="Times New Roman" w:cs="Times New Roman"/>
          <w:b/>
          <w:bCs/>
          <w:sz w:val="24"/>
          <w:szCs w:val="24"/>
        </w:rPr>
        <w:t xml:space="preserve"> Summary</w:t>
      </w:r>
      <w:r w:rsidR="00256727" w:rsidRPr="00597FFB">
        <w:rPr>
          <w:rFonts w:ascii="Times New Roman" w:eastAsia="Times New Roman" w:hAnsi="Times New Roman" w:cs="Times New Roman"/>
          <w:b/>
          <w:bCs/>
          <w:sz w:val="24"/>
          <w:szCs w:val="24"/>
        </w:rPr>
        <w:t>.</w:t>
      </w:r>
      <w:bookmarkEnd w:id="281"/>
    </w:p>
    <w:p w14:paraId="77D9B7C4" w14:textId="5A87D500" w:rsidR="00397DAB" w:rsidRPr="00597FFB" w:rsidRDefault="00E8583B" w:rsidP="00916622">
      <w:pPr>
        <w:widowControl w:val="0"/>
        <w:tabs>
          <w:tab w:val="left" w:pos="3690"/>
        </w:tabs>
        <w:spacing w:line="480" w:lineRule="auto"/>
        <w:jc w:val="both"/>
        <w:rPr>
          <w:rFonts w:ascii="Times New Roman" w:eastAsia="Calibri" w:hAnsi="Times New Roman" w:cs="Times New Roman"/>
          <w:sz w:val="24"/>
          <w:szCs w:val="24"/>
        </w:rPr>
      </w:pPr>
      <w:bookmarkStart w:id="282" w:name="_Hlk114915500"/>
      <w:r w:rsidRPr="00597FFB">
        <w:rPr>
          <w:rFonts w:ascii="Times New Roman" w:eastAsia="Calibri" w:hAnsi="Times New Roman" w:cs="Times New Roman"/>
          <w:sz w:val="24"/>
          <w:szCs w:val="24"/>
        </w:rPr>
        <w:t xml:space="preserve">      </w:t>
      </w:r>
      <w:r w:rsidR="00397DAB" w:rsidRPr="00597FFB">
        <w:rPr>
          <w:rFonts w:ascii="Times New Roman" w:eastAsia="Calibri" w:hAnsi="Times New Roman" w:cs="Times New Roman"/>
          <w:sz w:val="24"/>
          <w:szCs w:val="24"/>
        </w:rPr>
        <w:t>This study was prompted by the need to promote sustainable management of electronic waste. Increasing concerns about the environmental impact of human activities in the areas of consumption and disposal has prompted the need to consider sustainable consumption and disposal patterns in the quest to meet the needs of humanity, while preserving natural and human capital. In this perspective, the practice of sustainable principles will only be effective as long as it is capable of promoting changes in the consumption and disposal patterns of millennials.</w:t>
      </w:r>
    </w:p>
    <w:p w14:paraId="766BE2DF" w14:textId="7DD26CEC" w:rsidR="00397DAB" w:rsidRPr="00597FFB" w:rsidRDefault="00E8583B" w:rsidP="00916622">
      <w:pPr>
        <w:widowControl w:val="0"/>
        <w:tabs>
          <w:tab w:val="left" w:pos="3690"/>
        </w:tabs>
        <w:spacing w:line="480" w:lineRule="auto"/>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       </w:t>
      </w:r>
      <w:r w:rsidR="00397DAB" w:rsidRPr="00597FFB">
        <w:rPr>
          <w:rFonts w:ascii="Times New Roman" w:eastAsia="Calibri" w:hAnsi="Times New Roman" w:cs="Times New Roman"/>
          <w:sz w:val="24"/>
          <w:szCs w:val="24"/>
        </w:rPr>
        <w:t>E-waste, generated by the disposal of old electronic equipment has been increasing rapidly. This is because the complex construction of electronic equipment, the manner in which it is disposed has major consequences for the environment and human beings. For instance, it is widely considered normal to dispose of this waste through traditional means such as landfills. However, this is causing dangerous chemicals to be released into the soil,</w:t>
      </w:r>
      <w:r w:rsidR="00397DAB" w:rsidRPr="00597FFB">
        <w:rPr>
          <w:rFonts w:ascii="Calibri" w:eastAsia="Calibri" w:hAnsi="Calibri" w:cs="Arial"/>
        </w:rPr>
        <w:t xml:space="preserve"> </w:t>
      </w:r>
      <w:r w:rsidR="00397DAB" w:rsidRPr="00597FFB">
        <w:rPr>
          <w:rFonts w:ascii="Times New Roman" w:eastAsia="Calibri" w:hAnsi="Times New Roman" w:cs="Times New Roman"/>
          <w:sz w:val="24"/>
          <w:szCs w:val="24"/>
        </w:rPr>
        <w:t>which is being transferred to agriculture and livestock that humans in turn consume. Another challenge is driven by the fact that these goods are constructed from valuable materials that can be a source of income for some. Informal recyclers utilize dangerous and rudimentary techniques to gain access to these valuable materials which are hazardous to them and further degrade the environment.</w:t>
      </w:r>
    </w:p>
    <w:p w14:paraId="23EB6AD7"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ICT equipment such as laptops, tablets and mobile phone usage is increasing among the youth, who contribute significantly to ICT consumption and waste generation. Replacement reasons and disposal behavior of the youth is characterized by obsolescence; getting access to newer technology, and the latest features. Consequently, ICT related waste is mostly functioning making it desirable to swap, donate, sell as second hand to others or sent to collection points. The recycling of e-waste is a more constructive means to dispose of electronic goods and with minimal impact on both humans and the environment. This also supports the global initiative of sustainable consumption and production motivated by the United Nation’s Sustainable Development Goals (UNSDGs). Even though some countries such as the UAE, South Korea, and Japan have passed laws, regulations and policies regarding the recycling of e-waste, a further understanding of how to influence people to partake in such initiatives is fundamental to making them viable in the longer term.</w:t>
      </w:r>
    </w:p>
    <w:p w14:paraId="196E8E41" w14:textId="3C66BF17" w:rsidR="00397DAB" w:rsidRPr="00597FFB" w:rsidRDefault="00F03130" w:rsidP="00916622">
      <w:pPr>
        <w:widowControl w:val="0"/>
        <w:tabs>
          <w:tab w:val="left" w:pos="3690"/>
        </w:tabs>
        <w:spacing w:line="480" w:lineRule="auto"/>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       </w:t>
      </w:r>
      <w:r w:rsidR="00397DAB" w:rsidRPr="00597FFB">
        <w:rPr>
          <w:rFonts w:ascii="Times New Roman" w:eastAsia="Calibri" w:hAnsi="Times New Roman" w:cs="Times New Roman"/>
          <w:sz w:val="24"/>
          <w:szCs w:val="24"/>
        </w:rPr>
        <w:t xml:space="preserve">Adoption of EWR requires flows of waste from the generating points to guarantee the quality and quantity of reusable components and other resources. Millennials’ perception towards waste management practices and their intentions to engage in EWR practices have considerable influence on the sustainability of any waste management system. Through the lens of sustainable development, waste management hierarchy, extended producer responsibility, planned behavior, norm activation, and protection motivation theories, the purpose of the study was to examine the practices, analyze the drivers and barriers to electronic waste management practices among millennials. </w:t>
      </w:r>
    </w:p>
    <w:p w14:paraId="4154066A" w14:textId="04BA42E6" w:rsidR="00397DAB" w:rsidRPr="00597FFB" w:rsidRDefault="00F03130" w:rsidP="00916622">
      <w:pPr>
        <w:widowControl w:val="0"/>
        <w:tabs>
          <w:tab w:val="left" w:pos="3690"/>
        </w:tabs>
        <w:spacing w:line="480" w:lineRule="auto"/>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       </w:t>
      </w:r>
      <w:r w:rsidR="00397DAB" w:rsidRPr="00597FFB">
        <w:rPr>
          <w:rFonts w:ascii="Times New Roman" w:eastAsia="Calibri" w:hAnsi="Times New Roman" w:cs="Times New Roman"/>
          <w:sz w:val="24"/>
          <w:szCs w:val="24"/>
        </w:rPr>
        <w:t>The purpose of the study was to analyze the determinants of sustainable EWR intentions among millennials. The study was guided by the following research objectives:</w:t>
      </w:r>
    </w:p>
    <w:p w14:paraId="4F86F031" w14:textId="77777777" w:rsidR="00397DAB" w:rsidRPr="00597FFB" w:rsidRDefault="00397DAB" w:rsidP="00916622">
      <w:pPr>
        <w:widowControl w:val="0"/>
        <w:numPr>
          <w:ilvl w:val="0"/>
          <w:numId w:val="21"/>
        </w:numPr>
        <w:tabs>
          <w:tab w:val="left" w:pos="720"/>
        </w:tabs>
        <w:spacing w:line="480" w:lineRule="auto"/>
        <w:contextualSpacing/>
        <w:jc w:val="both"/>
        <w:rPr>
          <w:rFonts w:ascii="Times New Roman" w:eastAsia="Calibri" w:hAnsi="Times New Roman" w:cs="Times New Roman"/>
          <w:sz w:val="24"/>
          <w:szCs w:val="24"/>
        </w:rPr>
      </w:pPr>
      <w:bookmarkStart w:id="283" w:name="_Hlk122618769"/>
      <w:r w:rsidRPr="00597FFB">
        <w:rPr>
          <w:rFonts w:ascii="Times New Roman" w:eastAsia="Calibri" w:hAnsi="Times New Roman" w:cs="Times New Roman"/>
          <w:sz w:val="24"/>
          <w:szCs w:val="24"/>
        </w:rPr>
        <w:t>To examine the practices prevalent in EWR in UAE, and analyze the effect of environmental values, social norms, perceived behavioral control and EWR intentions.</w:t>
      </w:r>
    </w:p>
    <w:p w14:paraId="06B95FEC" w14:textId="77777777" w:rsidR="00397DAB" w:rsidRPr="00597FFB" w:rsidRDefault="00397DAB" w:rsidP="00916622">
      <w:pPr>
        <w:widowControl w:val="0"/>
        <w:numPr>
          <w:ilvl w:val="0"/>
          <w:numId w:val="21"/>
        </w:numPr>
        <w:tabs>
          <w:tab w:val="left" w:pos="720"/>
        </w:tabs>
        <w:spacing w:line="480" w:lineRule="auto"/>
        <w:contextualSpacing/>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To explore whether the factors influencing EWR intentions, environmental concern, personal norms, knowledge, awareness,</w:t>
      </w:r>
      <w:r w:rsidRPr="00597FFB">
        <w:rPr>
          <w:rFonts w:ascii="Calibri" w:eastAsia="Calibri" w:hAnsi="Calibri" w:cs="Arial"/>
        </w:rPr>
        <w:t xml:space="preserve"> </w:t>
      </w:r>
      <w:r w:rsidRPr="00597FFB">
        <w:rPr>
          <w:rFonts w:ascii="Times New Roman" w:eastAsia="Calibri" w:hAnsi="Times New Roman" w:cs="Times New Roman"/>
          <w:sz w:val="24"/>
          <w:szCs w:val="24"/>
        </w:rPr>
        <w:t>responsibility, privacy concern, moral norms, attitude towards EWR positively influence the EWR behavioral intention of UAE’s millennials.</w:t>
      </w:r>
    </w:p>
    <w:p w14:paraId="10A1853A" w14:textId="77777777" w:rsidR="00397DAB" w:rsidRPr="00597FFB" w:rsidRDefault="00397DAB" w:rsidP="00916622">
      <w:pPr>
        <w:widowControl w:val="0"/>
        <w:numPr>
          <w:ilvl w:val="0"/>
          <w:numId w:val="21"/>
        </w:numPr>
        <w:tabs>
          <w:tab w:val="left" w:pos="720"/>
        </w:tabs>
        <w:spacing w:line="480" w:lineRule="auto"/>
        <w:contextualSpacing/>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To investigate the extent to which threat appraisal and coping appraisal influence the e-waste protection motivation and EWR behavioral intention of UAE millennials. </w:t>
      </w:r>
    </w:p>
    <w:p w14:paraId="1F80C728" w14:textId="77777777" w:rsidR="00397DAB" w:rsidRPr="00597FFB" w:rsidRDefault="00397DAB" w:rsidP="00916622">
      <w:pPr>
        <w:widowControl w:val="0"/>
        <w:numPr>
          <w:ilvl w:val="0"/>
          <w:numId w:val="21"/>
        </w:numPr>
        <w:tabs>
          <w:tab w:val="left" w:pos="720"/>
        </w:tabs>
        <w:spacing w:line="480" w:lineRule="auto"/>
        <w:contextualSpacing/>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To examine the role of past recycling experience and habits on the EWR intention of UAE’s millennials.</w:t>
      </w:r>
    </w:p>
    <w:p w14:paraId="2A650F24" w14:textId="77777777" w:rsidR="00397DAB" w:rsidRPr="00597FFB" w:rsidRDefault="00397DAB" w:rsidP="00916622">
      <w:pPr>
        <w:widowControl w:val="0"/>
        <w:numPr>
          <w:ilvl w:val="0"/>
          <w:numId w:val="21"/>
        </w:numPr>
        <w:tabs>
          <w:tab w:val="left" w:pos="720"/>
        </w:tabs>
        <w:spacing w:line="480" w:lineRule="auto"/>
        <w:contextualSpacing/>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To examine the interacting role, mediation and moderation role of behavioral control factors on the relationship between EWR intention and adoption.</w:t>
      </w:r>
    </w:p>
    <w:bookmarkEnd w:id="283"/>
    <w:p w14:paraId="0202A81B" w14:textId="77777777" w:rsidR="00397DAB" w:rsidRPr="00597FFB" w:rsidRDefault="00397DAB" w:rsidP="00916622">
      <w:pPr>
        <w:widowControl w:val="0"/>
        <w:spacing w:line="480" w:lineRule="auto"/>
        <w:ind w:firstLine="36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A cross-sectional, quantitative research using a survey to collect data from UAE millennials was performed. Three extended frameworks based on the TPB, NAT, and PMT models were tested based on corresponding sets of hypotheses. Data were coded in SPSS where descriptive statistics, exploratory factor analysis, reliability statistics were also performed. Hypotheses testing performed using SmartPLS V3.</w:t>
      </w:r>
    </w:p>
    <w:p w14:paraId="3AF7C6FC"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With respect of the first objective, environmental values, social norms, and perceived behavioral control were found to influence EWR intentions positively in most instances whereas EWR intentions were found to wield positive effect on adoption of EWR behavior. The findings of this first objective were distributed across multiple hypotheses across the three extended models that were tested. For instance, the confirmation of H10 and H15 under the extended TPB model revealed the effect of environmental concern, which could be equated to an environmental value, had significant, direct and positive effect on both EWR behavioral intention and adoption. In addition, the significant mediation and moderation effect of environment assessment in the relationship between protection motivation and intent to adopt EWR that was realized following the confirmation of H10, H11, and H12 under the extended PMT model also supported the view that environmental values were instrumental in driving EWR behavior intention and adoption.</w:t>
      </w:r>
    </w:p>
    <w:p w14:paraId="4E998DB6"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Concerning the second objective, the findings of this research confirmed that environmental concern, personal norms, knowledge, awareness,</w:t>
      </w:r>
      <w:r w:rsidRPr="00597FFB">
        <w:rPr>
          <w:rFonts w:ascii="Calibri" w:eastAsia="Calibri" w:hAnsi="Calibri" w:cs="Arial"/>
        </w:rPr>
        <w:t xml:space="preserve"> </w:t>
      </w:r>
      <w:r w:rsidRPr="00597FFB">
        <w:rPr>
          <w:rFonts w:ascii="Times New Roman" w:eastAsia="Calibri" w:hAnsi="Times New Roman" w:cs="Times New Roman"/>
          <w:sz w:val="24"/>
          <w:szCs w:val="24"/>
        </w:rPr>
        <w:t>responsibility, privacy concern, moral norms, attitude towards EWR positively influence the EWR behavioral intention of UAE’s millennials. As was the case with the first objective, all three extended models of TPB, NAT, and PMT were useful in achieving this objective through the various hypotheses that were confirmed under the respective models. For instance, under the extended TPB model, environmental concern registered a significant, direct, and positive impact on EWR behavior adoption (H10) while attitude had a positive and direct effect on both EWR behavioral intention (H1) and adoption of EWR behavior (H5). From the extended NAT model, the hypotheses confirming the direct, positive effect of personal norm (H4), privacy concern (H5), ascription of responsibility (H6), awareness of consequences (H7), and moral norm (H8) on EWR behavioral intention all contributed to the second objective of this research by addressing the effects of personal norms, awareness, privacy concern, responsibility, and moral norm on EWR behavioral intention among UAE millennials. For the extended PMT model, the contribution to the second objective was in terms of confirming the significant positive effect of information/knowledge on intent to adopt EWR (H9).</w:t>
      </w:r>
    </w:p>
    <w:p w14:paraId="73DE59A1"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In accordance with the third research objective, the investigation of the extent to which threat appraisal and coping appraisal influence the e-waste protection motivation and EWR behavioral intention of UAE millennials in line with the achievement of the third objective was confirmed through the extended PMT model. Firstly, H7 of the extended PMT model was confirmed to indicate that threat appraisal had a significant positive effect on intent to adopt EWR. Secondly, H8 led to the confirmation of coping appraisal as a significant, positive and direct influencer of intent to adopt EWR behavior.</w:t>
      </w:r>
    </w:p>
    <w:p w14:paraId="34215F83"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The fourth research objective was about examining the role played by past recycling experience and habits on the EWR intention of UAE millennials. The findings pertaining to this fourth objective were obtained from the extended PMT model. Habits were used to represent EWR recycling experience and habits in the model and the SEM results showed that, indeed, habits play a significant role in influencing the intent of UAE millennials to adopt EWR based on H5. However, the specific role of habits on EWR intention of UAE millennials based on the findings of this research shows that such recycling experiences and habits trigger a negative effect on intent to adopt EWR.</w:t>
      </w:r>
    </w:p>
    <w:p w14:paraId="17D7943C" w14:textId="4818F846" w:rsidR="001248FA"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Finally, objective 5 was on the interacting role, mediation and moderation role of behavioral control factors on the relationship between EWR intention and adoption. The findings that culminated in the achievement of this objective were obtained from the confirmation of various hypotheses from the extended TPB, NAT, and PMT models. For instance, environmental concern was found to be a significant moderator of the strength of the effect of EWR behavioral intention and adoption (H15) under the extended TPB model. From the extended NAT model, personal norm was found to mediate the effect of ascription of responsibility (H9), awareness of consequences (H10), and privacy concern (H11) on EWR behavioral intention. Similarly, under the extended PMT model, environment assessment was confirmed to be a significant moderator of the strength of the effect of protection motivation on intent to adopt EWR by UAE millennials (H12).</w:t>
      </w:r>
    </w:p>
    <w:p w14:paraId="3B4D7AA7" w14:textId="78D60343" w:rsidR="001248FA" w:rsidRPr="00597FFB" w:rsidRDefault="007746F2" w:rsidP="00916622">
      <w:pPr>
        <w:pStyle w:val="Heading2"/>
        <w:spacing w:line="480" w:lineRule="auto"/>
        <w:rPr>
          <w:rFonts w:asciiTheme="majorBidi" w:hAnsiTheme="majorBidi"/>
          <w:b/>
          <w:bCs/>
          <w:color w:val="000000" w:themeColor="text1"/>
          <w:sz w:val="24"/>
          <w:szCs w:val="24"/>
        </w:rPr>
      </w:pPr>
      <w:bookmarkStart w:id="284" w:name="_Toc127170376"/>
      <w:r w:rsidRPr="00597FFB">
        <w:rPr>
          <w:rFonts w:asciiTheme="majorBidi" w:hAnsiTheme="majorBidi"/>
          <w:b/>
          <w:bCs/>
          <w:color w:val="000000" w:themeColor="text1"/>
          <w:sz w:val="24"/>
          <w:szCs w:val="24"/>
        </w:rPr>
        <w:t>6.2. Conclusions</w:t>
      </w:r>
      <w:r w:rsidR="00256727" w:rsidRPr="00597FFB">
        <w:rPr>
          <w:rFonts w:asciiTheme="majorBidi" w:hAnsiTheme="majorBidi"/>
          <w:b/>
          <w:bCs/>
          <w:color w:val="000000" w:themeColor="text1"/>
          <w:sz w:val="24"/>
          <w:szCs w:val="24"/>
        </w:rPr>
        <w:t>.</w:t>
      </w:r>
      <w:bookmarkEnd w:id="284"/>
    </w:p>
    <w:bookmarkEnd w:id="282"/>
    <w:p w14:paraId="69B37E14" w14:textId="37ADAE23"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sz w:val="24"/>
          <w:szCs w:val="24"/>
        </w:rPr>
        <w:t>The</w:t>
      </w:r>
      <w:r w:rsidRPr="00597FFB">
        <w:rPr>
          <w:rFonts w:ascii="Times New Roman" w:eastAsia="Calibri" w:hAnsi="Times New Roman" w:cs="Times New Roman"/>
          <w:b/>
          <w:bCs/>
          <w:sz w:val="24"/>
          <w:szCs w:val="24"/>
        </w:rPr>
        <w:t xml:space="preserve"> </w:t>
      </w:r>
      <w:r w:rsidRPr="00597FFB">
        <w:rPr>
          <w:rFonts w:ascii="Times New Roman" w:eastAsia="Calibri" w:hAnsi="Times New Roman" w:cs="Times New Roman"/>
          <w:sz w:val="24"/>
          <w:szCs w:val="24"/>
        </w:rPr>
        <w:t xml:space="preserve">perception and adoption of EWR intentions of </w:t>
      </w:r>
      <w:bookmarkStart w:id="285" w:name="_Hlk120912604"/>
      <w:r w:rsidRPr="00597FFB">
        <w:rPr>
          <w:rFonts w:ascii="Times New Roman" w:eastAsia="Calibri" w:hAnsi="Times New Roman" w:cs="Times New Roman"/>
          <w:sz w:val="24"/>
          <w:szCs w:val="24"/>
        </w:rPr>
        <w:t xml:space="preserve">millennials </w:t>
      </w:r>
      <w:bookmarkEnd w:id="285"/>
      <w:r w:rsidRPr="00597FFB">
        <w:rPr>
          <w:rFonts w:ascii="Times New Roman" w:eastAsia="Calibri" w:hAnsi="Times New Roman" w:cs="Times New Roman"/>
          <w:sz w:val="24"/>
          <w:szCs w:val="24"/>
        </w:rPr>
        <w:t>during the end-of-life stages of their electronic possessions have implications for the success of e-waste recovery and recycling programs. E-waste is perceived as largely unwanted and discarded electronic and electrical equipment, which are usually abandoned, consciously stored, buried, donated or sold as scrap or for reuse.</w:t>
      </w:r>
      <w:r w:rsidRPr="00597FFB">
        <w:rPr>
          <w:rFonts w:ascii="Calibri" w:eastAsia="Calibri" w:hAnsi="Calibri" w:cs="Arial"/>
        </w:rPr>
        <w:t xml:space="preserve"> </w:t>
      </w:r>
      <w:r w:rsidRPr="00597FFB">
        <w:rPr>
          <w:rFonts w:ascii="Times New Roman" w:eastAsia="Calibri" w:hAnsi="Times New Roman" w:cs="Times New Roman"/>
          <w:sz w:val="24"/>
          <w:szCs w:val="24"/>
        </w:rPr>
        <w:t xml:space="preserve">This study conducted a questionnaire-based survey to explore factors affecting millennials’ EWR intentions of obsolete e-waste in the UAE. The survey results revealed that just 10% of total respondents chose to recycle their last obsolete e-waste through various formal recycling channels. It is inspiring to find that the participation rate of recycling in UAE is less, which may attribute to the shortage of various formal recycling channels. Analysis on the determinants of millennials’ EWR intentions suggested that recycling attitude, perceived behavioral control, subjective norm, moral norm, and environmental concern all have a positive influence on intention and adoption of EWR behavior. </w:t>
      </w:r>
      <w:r w:rsidRPr="00597FFB">
        <w:rPr>
          <w:rFonts w:ascii="Times New Roman" w:eastAsia="Calibri" w:hAnsi="Times New Roman" w:cs="Times New Roman"/>
          <w:color w:val="000000"/>
          <w:sz w:val="24"/>
          <w:szCs w:val="24"/>
        </w:rPr>
        <w:t>The negative effect of recycling habits on intent to adopt EWR behavior opposed the researcher’s initial intuitive feelings and the findings reported in previous studies (Aboelmaged, 2021; Islam et al., 2021).</w:t>
      </w:r>
    </w:p>
    <w:p w14:paraId="25F8A5ED"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Millennials are becoming aware of the negative environmental and health implications of the increasing consumption of electronic products. However, the increasing awareness and the hazardous nature of the waste generated does not seemingly influence how they managed the waste. Increased income has been associated with higher consumption of electronic and electrical equipment, and higher generation of e-waste as a consequence. Also, increasing income propels people to seek out knowledge and ways to minimize </w:t>
      </w:r>
      <w:bookmarkStart w:id="286" w:name="_Hlk120912793"/>
      <w:r w:rsidRPr="00597FFB">
        <w:rPr>
          <w:rFonts w:ascii="Times New Roman" w:eastAsia="Calibri" w:hAnsi="Times New Roman" w:cs="Times New Roman"/>
          <w:sz w:val="24"/>
          <w:szCs w:val="24"/>
        </w:rPr>
        <w:t xml:space="preserve">millennial’s </w:t>
      </w:r>
      <w:bookmarkEnd w:id="286"/>
      <w:r w:rsidRPr="00597FFB">
        <w:rPr>
          <w:rFonts w:ascii="Times New Roman" w:eastAsia="Calibri" w:hAnsi="Times New Roman" w:cs="Times New Roman"/>
          <w:sz w:val="24"/>
          <w:szCs w:val="24"/>
        </w:rPr>
        <w:t>environmental impact of waste generation. Although one would generally expect that young adults, due to higher participation in social media and increased access to information, will show higher awareness, youth in the middle-age category showed higher awareness of e-waste probably because most of the people in this category are described as working-class or as an economically active population.</w:t>
      </w:r>
    </w:p>
    <w:p w14:paraId="4F0234B6"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Also, the psychological ownership perspective was brought to the fore in the findings given that behavior and its antecedents such as attitudes, subjective norm, habits, threat appraisal, coping appraisal, and protection motivation are all rooted in psychology (Canova et al., 2020; Jiang et al., 2018; Khan et al., 2019). Largely overlooked in extant literature (Kumar, 2019; Liu et al., 2019; Zhang et al., 2019)</w:t>
      </w:r>
      <w:r w:rsidRPr="00597FFB">
        <w:rPr>
          <w:rFonts w:eastAsiaTheme="minorHAnsi"/>
        </w:rPr>
        <w:t xml:space="preserve"> </w:t>
      </w:r>
      <w:r w:rsidRPr="00597FFB">
        <w:rPr>
          <w:rFonts w:ascii="Times New Roman" w:eastAsia="Calibri" w:hAnsi="Times New Roman" w:cs="Times New Roman"/>
          <w:sz w:val="24"/>
          <w:szCs w:val="24"/>
        </w:rPr>
        <w:t xml:space="preserve">the psychological aspect of the human-object relationship has been mainly focused on millennials’ perception and management practices of their e-waste until now. Preference for keeping or selling reflects the sentimental and instrumental attachment to electronic possessions. Enduring emotional bonds causes consumers to protect their possessions against damage, theft, and become anxious when physically separated from one’s possessions. Also, most respondents in this study preferred selling their e-waste as scrap. This is an indication that millennials generally will not pay for their e-waste to be recycled. Further, the findings of this research suggest that e-waste management policies should consider a reusable electronic products buyback scheme. </w:t>
      </w:r>
    </w:p>
    <w:p w14:paraId="22AD0C20"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EWR intentions of millennials to engage in proper EWR was less than actual sustainable e-waste management. Thus, a clear gap between intention and actual behavior exists. The determinants of EWR intentions were environmental values and injunctive norms. Perceived behavioral control and descriptive norms were not significant determinants. Comparatively, environmental values recorded the highest effect on EWR intentions. While EWR intentions was not significant predictor of sustainable e-waste management behavior, perceived control over recycling, privacy concern, as represented in the extending TPB model in this study, and facilitating conditions were the major influencers of sustainable EWR behavior.</w:t>
      </w:r>
    </w:p>
    <w:p w14:paraId="63B6F194"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Analysis of the intention-behavior gap shows that the effect of EWR intentions on adoption and sustenance of pro-EWR behavior was significant when the relationship was transmitted through actual control over behavior. In other words, intentions cause one to seek procedures, appropriate information and the required skill to engage in the desired behavior. Control over behavior is described as the ease with which one can sort its millennials waste, reduce where necessary and engage in appropriate sustainable EWR. Since intentions did directly influence sustainable adoption in this context, the finding agrees the assumption of the theory of planned behavior. The finding supported the argument that the transition from intentions to actual behavior interacts with an individuals’ control beliefs and environmental factors. The three extended theoretical models are relevant for understanding the intention-behavior relationship toward e-waste among UAE millennials. </w:t>
      </w:r>
    </w:p>
    <w:p w14:paraId="5512DD7C" w14:textId="0EEA71BB"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bookmarkStart w:id="287" w:name="_Hlk114916542"/>
      <w:r w:rsidRPr="00597FFB">
        <w:rPr>
          <w:rFonts w:ascii="Times New Roman" w:eastAsia="Calibri" w:hAnsi="Times New Roman" w:cs="Times New Roman"/>
          <w:sz w:val="24"/>
          <w:szCs w:val="24"/>
        </w:rPr>
        <w:t xml:space="preserve">Overall, this study contributes to the understanding of the role of millennials in the e-waste value chain and electronic waste management in UAE. Efforts towards the development of a sustainable solid waste management system require a better understanding of management practices, perception and factors that will motivate millennials to improve upon the current system of managing their e-waste. Finally, based on the findings, the study reveals the key actors in sustainable waste management to include consumers, society, firms, and government. This would create synergy in approaching the involvement of millennials as key actors in EWR from multiple angles such as consumer action on EWR, societal influences through subjective norm and shaping of attitudes, provision of longer life and recyclable electronic and electrical products by firms, and development and enforcement of favorable incentive/reward mechanisms, policies, regulations, and legislations by the government to encourage millennials’ involvement in EWR. Environmental values and perceived control over behavior are individual characteristics. </w:t>
      </w:r>
    </w:p>
    <w:p w14:paraId="5C235A2B" w14:textId="1FF00C2A" w:rsidR="002E4409" w:rsidRPr="00597FFB" w:rsidRDefault="00256727" w:rsidP="00916622">
      <w:pPr>
        <w:pStyle w:val="Heading2"/>
        <w:spacing w:line="480" w:lineRule="auto"/>
        <w:rPr>
          <w:rFonts w:asciiTheme="majorBidi" w:hAnsiTheme="majorBidi"/>
          <w:b/>
          <w:bCs/>
          <w:color w:val="000000" w:themeColor="text1"/>
          <w:sz w:val="24"/>
          <w:szCs w:val="24"/>
        </w:rPr>
      </w:pPr>
      <w:bookmarkStart w:id="288" w:name="_Toc127170377"/>
      <w:r w:rsidRPr="00597FFB">
        <w:rPr>
          <w:rFonts w:asciiTheme="majorBidi" w:hAnsiTheme="majorBidi"/>
          <w:b/>
          <w:bCs/>
          <w:color w:val="000000" w:themeColor="text1"/>
          <w:sz w:val="24"/>
          <w:szCs w:val="24"/>
        </w:rPr>
        <w:t xml:space="preserve">6.3. </w:t>
      </w:r>
      <w:r w:rsidR="00252AC3" w:rsidRPr="00597FFB">
        <w:rPr>
          <w:rFonts w:asciiTheme="majorBidi" w:hAnsiTheme="majorBidi"/>
          <w:b/>
          <w:bCs/>
          <w:color w:val="000000" w:themeColor="text1"/>
          <w:sz w:val="24"/>
          <w:szCs w:val="24"/>
        </w:rPr>
        <w:t xml:space="preserve">Contribution </w:t>
      </w:r>
      <w:r w:rsidR="00715149" w:rsidRPr="00597FFB">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 xml:space="preserve">f </w:t>
      </w:r>
      <w:r w:rsidR="00715149" w:rsidRPr="00597FFB">
        <w:rPr>
          <w:rFonts w:asciiTheme="majorBidi" w:hAnsiTheme="majorBidi"/>
          <w:b/>
          <w:bCs/>
          <w:color w:val="000000" w:themeColor="text1"/>
          <w:sz w:val="24"/>
          <w:szCs w:val="24"/>
        </w:rPr>
        <w:t>t</w:t>
      </w:r>
      <w:r w:rsidR="00252AC3" w:rsidRPr="00597FFB">
        <w:rPr>
          <w:rFonts w:asciiTheme="majorBidi" w:hAnsiTheme="majorBidi"/>
          <w:b/>
          <w:bCs/>
          <w:color w:val="000000" w:themeColor="text1"/>
          <w:sz w:val="24"/>
          <w:szCs w:val="24"/>
        </w:rPr>
        <w:t xml:space="preserve">he </w:t>
      </w:r>
      <w:r w:rsidR="00EE3D3D">
        <w:rPr>
          <w:rFonts w:asciiTheme="majorBidi" w:hAnsiTheme="majorBidi"/>
          <w:b/>
          <w:bCs/>
          <w:color w:val="000000" w:themeColor="text1"/>
          <w:sz w:val="24"/>
          <w:szCs w:val="24"/>
        </w:rPr>
        <w:t>Research</w:t>
      </w:r>
      <w:r w:rsidRPr="00597FFB">
        <w:rPr>
          <w:rFonts w:asciiTheme="majorBidi" w:hAnsiTheme="majorBidi"/>
          <w:b/>
          <w:bCs/>
          <w:color w:val="000000" w:themeColor="text1"/>
          <w:sz w:val="24"/>
          <w:szCs w:val="24"/>
        </w:rPr>
        <w:t>.</w:t>
      </w:r>
      <w:bookmarkEnd w:id="288"/>
    </w:p>
    <w:bookmarkEnd w:id="287"/>
    <w:p w14:paraId="3F83E77E" w14:textId="3E1D2200"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The study contributes to theory, policy and methods. To illustrate this comprehensively, this section has been divided into three subjections. Respectively, the three sections cover the theoretical, practical, and methodological contributions of this study.</w:t>
      </w:r>
    </w:p>
    <w:p w14:paraId="4254B5E6" w14:textId="782BE2EC" w:rsidR="00397DAB" w:rsidRPr="00597FFB" w:rsidRDefault="00256727" w:rsidP="00916622">
      <w:pPr>
        <w:keepNext/>
        <w:spacing w:after="0" w:line="480" w:lineRule="auto"/>
        <w:outlineLvl w:val="2"/>
        <w:rPr>
          <w:rFonts w:ascii="Times New Roman" w:eastAsia="Times New Roman" w:hAnsi="Times New Roman" w:cs="Times New Roman"/>
          <w:i/>
          <w:iCs/>
          <w:sz w:val="24"/>
          <w:szCs w:val="24"/>
        </w:rPr>
      </w:pPr>
      <w:bookmarkStart w:id="289" w:name="_Toc127170378"/>
      <w:r w:rsidRPr="00597FFB">
        <w:rPr>
          <w:rFonts w:ascii="Times New Roman" w:eastAsia="Times New Roman" w:hAnsi="Times New Roman" w:cs="Times New Roman"/>
          <w:i/>
          <w:iCs/>
          <w:sz w:val="24"/>
          <w:szCs w:val="24"/>
        </w:rPr>
        <w:t xml:space="preserve">6.3.1. </w:t>
      </w:r>
      <w:r w:rsidR="00397DAB" w:rsidRPr="00597FFB">
        <w:rPr>
          <w:rFonts w:ascii="Times New Roman" w:eastAsia="Times New Roman" w:hAnsi="Times New Roman" w:cs="Times New Roman"/>
          <w:i/>
          <w:iCs/>
          <w:sz w:val="24"/>
          <w:szCs w:val="24"/>
        </w:rPr>
        <w:t xml:space="preserve">Theoretical </w:t>
      </w:r>
      <w:r w:rsidRPr="00597FFB">
        <w:rPr>
          <w:rFonts w:ascii="Times New Roman" w:eastAsia="Times New Roman" w:hAnsi="Times New Roman" w:cs="Times New Roman"/>
          <w:i/>
          <w:iCs/>
          <w:sz w:val="24"/>
          <w:szCs w:val="24"/>
        </w:rPr>
        <w:t>Contributions.</w:t>
      </w:r>
      <w:bookmarkEnd w:id="289"/>
    </w:p>
    <w:p w14:paraId="46D30C53"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First, this study extends the TPB application in waste management by exploring the significance of environmental concern, incentives (financial/nonfinancial) and environmental values. </w:t>
      </w:r>
      <w:bookmarkStart w:id="290" w:name="_Hlk116068528"/>
      <w:r w:rsidRPr="00597FFB">
        <w:rPr>
          <w:rFonts w:ascii="Times New Roman" w:eastAsia="Calibri" w:hAnsi="Times New Roman" w:cs="Times New Roman"/>
          <w:sz w:val="24"/>
          <w:szCs w:val="24"/>
        </w:rPr>
        <w:t>In previous research EWR intention and behavior based on extended TPB, researchers (Aboelmaged, 2021; Arain et al., 2020; Kumar, 2019) where researchers employed extended versions of the TPB, only Arain et al., (2020) considered the potential role played by incentives in influencing intention to recycle. Even then, the potential effect of incentives on intention to recycle was not tested using any inferential statistics. Instead, it was presented descriptively based on its importance to the respondents. However, in the current research’s extended TPB model, incentives were modelled as one of the predictors of EWR intention thereby contributing to extant theory and practice about the extent to which the use of incentives could enhance intention to recycle e-waste among UAE millennials.</w:t>
      </w:r>
    </w:p>
    <w:p w14:paraId="298CA8D7"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Literature (</w:t>
      </w:r>
      <w:r w:rsidRPr="00597FFB">
        <w:rPr>
          <w:rFonts w:ascii="Times New Roman" w:eastAsia="Calibri" w:hAnsi="Times New Roman" w:cs="Times New Roman"/>
          <w:color w:val="000000"/>
        </w:rPr>
        <w:t>Afroz et al., 2017; Asadi et al., 2021; Borusiak et al., 2020; Khan et al., 2019; Sharma et al., 2020</w:t>
      </w:r>
      <w:r w:rsidRPr="00597FFB">
        <w:rPr>
          <w:rFonts w:ascii="Times New Roman" w:eastAsia="Calibri" w:hAnsi="Times New Roman" w:cs="Times New Roman"/>
          <w:sz w:val="24"/>
          <w:szCs w:val="24"/>
        </w:rPr>
        <w:t>) shows that environmental concern is a significant predictor of recycling behavior. However, the current research introduces environmental concern as a potential moderator of the strength of the relationship between EWR behavioral intention and actual EWR behavior. Given that millennials have marked concern for the environment in general, the expectation that their level of concern for the environment would potentially enhance their transitioning from just intention to undertake EWR and actually recycle e-waste. Since this hypothesis (H10) was confirmed under the extended TPB, this demonstrates that inculcating genuine concern for the environment among UAE millennials is vital in bridging the gap between EWR intention and actual behavior.</w:t>
      </w:r>
    </w:p>
    <w:bookmarkEnd w:id="290"/>
    <w:p w14:paraId="14360E09"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Second, this study contributes to theory by providing empirical evidence about the importance of privacy concern in understanding EWR behavioral intentions and adoption. Dhir et al., (2021) portrayed privacy issues related to e-waste recycling as an inhibiting risk barrier. Zhang et al., (2021) found privacy concern to have direct effect positive effect on formal recycling intention. The current research model makes two novel contributions from the privacy concern perspective. First, it postulates that privacy concern over EWR has an effect on personal norm. Second, the current research makes a novel contribution to extant literature by postulating that personal norm mediates the effect of privacy concerns on EWR intention among UAE millennials.</w:t>
      </w:r>
    </w:p>
    <w:p w14:paraId="78C51F25"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Finally, the only study where environment assessment was included was in Dhir et al., (2021) and it was found to moderate the relationship between reasons for EWR and intentions for EWR. In the current research, novelty is introduced through this model by including environment assessment as a moderator of the relationship between protection motivation and EWR behavioral intentions of UAE millennials. This supposition is novel to EWR research and has the potential to advance the application of the PMT theory in understanding recycling behavioral intention.</w:t>
      </w:r>
    </w:p>
    <w:p w14:paraId="3D48D144" w14:textId="310D9239" w:rsidR="00397DAB" w:rsidRPr="00597FFB" w:rsidRDefault="00256727" w:rsidP="00916622">
      <w:pPr>
        <w:keepNext/>
        <w:spacing w:after="0" w:line="480" w:lineRule="auto"/>
        <w:outlineLvl w:val="2"/>
        <w:rPr>
          <w:rFonts w:ascii="Times New Roman" w:eastAsia="Calibri" w:hAnsi="Times New Roman" w:cs="Times New Roman"/>
          <w:i/>
          <w:iCs/>
          <w:sz w:val="24"/>
          <w:szCs w:val="24"/>
        </w:rPr>
      </w:pPr>
      <w:bookmarkStart w:id="291" w:name="_Toc127170379"/>
      <w:r w:rsidRPr="00597FFB">
        <w:rPr>
          <w:rFonts w:ascii="Times New Roman" w:eastAsia="Calibri" w:hAnsi="Times New Roman" w:cs="Times New Roman"/>
          <w:i/>
          <w:iCs/>
          <w:sz w:val="24"/>
          <w:szCs w:val="24"/>
        </w:rPr>
        <w:t xml:space="preserve">6.3.2. </w:t>
      </w:r>
      <w:r w:rsidR="00397DAB" w:rsidRPr="00597FFB">
        <w:rPr>
          <w:rFonts w:ascii="Times New Roman" w:eastAsia="Calibri" w:hAnsi="Times New Roman" w:cs="Times New Roman"/>
          <w:i/>
          <w:iCs/>
          <w:sz w:val="24"/>
          <w:szCs w:val="24"/>
        </w:rPr>
        <w:t xml:space="preserve">Practical </w:t>
      </w:r>
      <w:r w:rsidRPr="00597FFB">
        <w:rPr>
          <w:rFonts w:ascii="Times New Roman" w:eastAsia="Calibri" w:hAnsi="Times New Roman" w:cs="Times New Roman"/>
          <w:i/>
          <w:iCs/>
          <w:sz w:val="24"/>
          <w:szCs w:val="24"/>
        </w:rPr>
        <w:t>Contributions.</w:t>
      </w:r>
      <w:bookmarkEnd w:id="291"/>
    </w:p>
    <w:p w14:paraId="2D90FD3D" w14:textId="196EDBEE"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The development and testing of the extended TPB, NAT, and PMT models and their respective outcomes provide an avenue through which electronic firms, government, and other EWR actors can better understand the UAE millennial within the perspective of EWR recycling. With the millennial population likely being the largest consumer base for electrical and electronic goods and, especially technological gadgets and devices, understanding their behavioral intentions towards EWR is vital for the UAE to address the growing e-waste challenge. In conclusion, these extended TPB, NAT, and PMT models particularly target the “new” ethical consumer who deliberately makes consumption choices based on their moral and personal conviction </w:t>
      </w:r>
      <w:r w:rsidRPr="00597FFB">
        <w:rPr>
          <w:rFonts w:ascii="Times New Roman" w:eastAsia="Calibri" w:hAnsi="Times New Roman" w:cs="Times New Roman"/>
          <w:sz w:val="24"/>
          <w:szCs w:val="24"/>
        </w:rPr>
        <w:fldChar w:fldCharType="begin"/>
      </w:r>
      <w:r w:rsidR="0002538C" w:rsidRPr="00597FFB">
        <w:rPr>
          <w:rFonts w:ascii="Times New Roman" w:eastAsia="Calibri" w:hAnsi="Times New Roman" w:cs="Times New Roman"/>
          <w:sz w:val="24"/>
          <w:szCs w:val="24"/>
        </w:rPr>
        <w:instrText xml:space="preserve"> ADDIN ZOTERO_ITEM CSL_CITATION {"citationID":"nOOLlU9z","properties":{"formattedCitation":"(Amirmokhtar Radi &amp; Shokouhyar, 2021a)","plainCitation":"(Amirmokhtar Radi &amp; Shokouhyar, 2021a)","dontUpdate":true,"noteIndex":0},"citationItems":[{"id":3316,"uris":["http://zotero.org/users/local/b6CRLSJH/items/UUVXI8X9"],"itemData":{"id":3316,"type":"article-journal","container-title":"Sustainable Production and Consumption","DOI":"10.1016/j.spc.2020.08.012","ISSN":"23525509","journalAbbreviation":"Sustainable Production and Consumption","language":"en","page":"217-233","source":"DOI.org (Crossref)","title":"Toward consumer perception of cellphones sustainability: A social media analytics","title-short":"Toward consumer perception of cellphones sustainability","volume":"25","author":[{"family":"Amirmokhtar Radi","given":"Sanaz"},{"family":"Shokouhyar","given":"Sajjad"}],"issued":{"date-parts":[["2021",1]]}}}],"schema":"https://github.com/citation-style-language/schema/raw/master/csl-citation.json"} </w:instrText>
      </w:r>
      <w:r w:rsidRPr="00597FFB">
        <w:rPr>
          <w:rFonts w:ascii="Times New Roman" w:eastAsia="Calibri" w:hAnsi="Times New Roman" w:cs="Times New Roman"/>
          <w:sz w:val="24"/>
          <w:szCs w:val="24"/>
        </w:rPr>
        <w:fldChar w:fldCharType="separate"/>
      </w:r>
      <w:r w:rsidRPr="00597FFB">
        <w:rPr>
          <w:rFonts w:ascii="Times New Roman" w:eastAsia="Calibri" w:hAnsi="Times New Roman" w:cs="Times New Roman"/>
          <w:sz w:val="24"/>
        </w:rPr>
        <w:t>(Amirmokhtar, Radi &amp; Shokouhyar, 2021a)</w:t>
      </w:r>
      <w:r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With this, it responds to the recent shift from a selfish to an ethical consumer </w:t>
      </w:r>
      <w:r w:rsidRPr="00597FFB">
        <w:rPr>
          <w:rFonts w:ascii="Times New Roman" w:eastAsia="Calibri" w:hAnsi="Times New Roman" w:cs="Times New Roman"/>
          <w:sz w:val="24"/>
          <w:szCs w:val="24"/>
        </w:rPr>
        <w:fldChar w:fldCharType="begin"/>
      </w:r>
      <w:r w:rsidR="00F93F1F" w:rsidRPr="00597FFB">
        <w:rPr>
          <w:rFonts w:ascii="Times New Roman" w:eastAsia="Calibri" w:hAnsi="Times New Roman" w:cs="Times New Roman"/>
          <w:sz w:val="24"/>
          <w:szCs w:val="24"/>
        </w:rPr>
        <w:instrText xml:space="preserve"> ADDIN ZOTERO_ITEM CSL_CITATION {"citationID":"FyMGpKnL","properties":{"formattedCitation":"(Adanu, 2020b)","plainCitation":"(Adanu, 2020b)","noteIndex":0},"citationItems":[{"id":2804,"uris":["http://zotero.org/users/local/b6CRLSJH/items/PRTEURA7"],"itemData":{"id":2804,"type":"article-journal","abstract":"The study investigated why sustainable technologies are not used to collect, dismantle and sell e-waste at Agbogbloshie given the risk of injury and extensive environmental pollution associated with handling of electronic waste. The study objectives were to examine the nature of technologies adopted to manage e-waste, assess challenges faced in adopting sustainable technologies; determine the missing links between formal and informal e-waste workers. Research questions were; what is the current level of technology adopted to manage e-waste and challenges limiting the adoption of sustainable technologies; and what are the missing links between the formal and informal sectors that limit adoption of sustainable e-waste management strategies. Data collection involved use of questionnaire to gather data on technologies used for e-waste management, challenges faced in using such technologies and what the workers consider as solutions to sustainable e-waste management. Field observations helped to explain waste management operations and questionnaire responses were analyzed using descriptive statistics. Study results show most of the e-waste workers are youthful and not much educated. The use of unsustainable technologies to manage e-waste has contributed to physical injuries to workers and pollution of the environment. A major challenge limiting the use of sustainable technologies is lack of ﬁnancial resources to acquire modern equipment despite the laborious nature of the work. The paper concludes that sustainable solutions to electronic waste management requires support from government to subsidize the cost of sustainable technologies in e-waste management.","language":"en","page":"7","source":"Zotero","title":"Challenges of adopting sustainable technologies in e-waste management at Agbogbloshie, Ghana","author":[{"family":"Adanu","given":"Selase Kofi"}],"issued":{"date-parts":[["2020"]]}}}],"schema":"https://github.com/citation-style-language/schema/raw/master/csl-citation.json"} </w:instrText>
      </w:r>
      <w:r w:rsidRPr="00597FFB">
        <w:rPr>
          <w:rFonts w:ascii="Times New Roman" w:eastAsia="Calibri" w:hAnsi="Times New Roman" w:cs="Times New Roman"/>
          <w:sz w:val="24"/>
          <w:szCs w:val="24"/>
        </w:rPr>
        <w:fldChar w:fldCharType="separate"/>
      </w:r>
      <w:r w:rsidR="00F93F1F" w:rsidRPr="00597FFB">
        <w:rPr>
          <w:rFonts w:ascii="Times New Roman" w:hAnsi="Times New Roman" w:cs="Times New Roman"/>
          <w:sz w:val="24"/>
        </w:rPr>
        <w:t>(Adanu, 2020b)</w:t>
      </w:r>
      <w:r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as the model especially highlights the importance of factors that are perceived as morally appropriate rather than those stemming from individuals’ self-interest.</w:t>
      </w:r>
    </w:p>
    <w:p w14:paraId="2E4FD757"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The findings of this research have practical implications on understanding the role of PCB in enhancing EWR among the operations of e-waste management companies in the UAE and, especially, Enviroserve, which is the only integrated facility for EWR in Africa and the Middle East and domiciled in the UAE. The Enviroserve network is divided into three tiers where Tier 1 areas are those that Enviroserve services directly, Tier II are those that Enviroserve services in partnership with other partners, and Tier III are remote or difficult locations where Enviroserve works with approved and audited subcontractors (Enviroserve, 2022). The findings of this research point to the significance of PCB in predicting EWR behavioral intention and adoption and this covers such aspects as convenience and ease of accessing formal EWR facilities. Thus, the findings this research underscore the importance of Enviroserve expanding its scope and enhancing the capacity of its Tier II and Tier III partners and subcontractors to ensure that formal recycling facilities are more accessible and within reach of the UAE residents. This can be achieved, for instance, by expanding the coverage scope of the Enviroserve Green Truck, which is a subscription-based weekly household waste collection system for all recyclable items (Enviroserve, 2022), to reach more Tier II and Tier III households. This would enhance the PCB of UAE millennials and their households to potentially increase their willingness to engage in EWR.</w:t>
      </w:r>
    </w:p>
    <w:p w14:paraId="4804F7B3" w14:textId="52065086"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The findings of this study reiterated the significance of personal norm as the most influential predictor of norm-oriented behavior as postulated in the original NAT. Given that personal norm constitutes an internalized norm that results from self-expectations concerning morally appropriate behavior that is motivated intrinsically (Schwartz, 1977), it denotes practical relevance for </w:t>
      </w:r>
      <w:r w:rsidR="00321A99" w:rsidRPr="00597FFB">
        <w:rPr>
          <w:rFonts w:ascii="Times New Roman" w:eastAsia="Calibri" w:hAnsi="Times New Roman" w:cs="Times New Roman"/>
          <w:sz w:val="24"/>
          <w:szCs w:val="24"/>
        </w:rPr>
        <w:t>local municipalities</w:t>
      </w:r>
      <w:r w:rsidRPr="00597FFB">
        <w:rPr>
          <w:rFonts w:ascii="Times New Roman" w:eastAsia="Calibri" w:hAnsi="Times New Roman" w:cs="Times New Roman"/>
          <w:sz w:val="24"/>
          <w:szCs w:val="24"/>
        </w:rPr>
        <w:t xml:space="preserve"> in the UAE to encourage and enforce moral norm through campaigns and education systems to improve the EWR practice at the household level. The importance of working around enhancing personal norm among the UAE millennials from household level can also be backed up by incentives (financial/nonfinancial), which were also found to be significant in influencing EWR behavioral intention and adoption. Such campaigns, education, and incentivization would sustain the practice of EWR-related behavior as an internalized norm on an ongoing basis.</w:t>
      </w:r>
    </w:p>
    <w:p w14:paraId="019F78BB" w14:textId="55E50491" w:rsidR="00397DAB" w:rsidRPr="00597FFB" w:rsidRDefault="00397DAB" w:rsidP="00916622">
      <w:pPr>
        <w:keepNext/>
        <w:spacing w:after="0" w:line="480" w:lineRule="auto"/>
        <w:outlineLvl w:val="2"/>
        <w:rPr>
          <w:rFonts w:ascii="Times New Roman" w:eastAsia="Calibri" w:hAnsi="Times New Roman" w:cs="Times New Roman"/>
          <w:i/>
          <w:iCs/>
          <w:sz w:val="24"/>
          <w:szCs w:val="24"/>
        </w:rPr>
      </w:pPr>
      <w:bookmarkStart w:id="292" w:name="_Toc127170380"/>
      <w:r w:rsidRPr="00597FFB">
        <w:rPr>
          <w:rFonts w:ascii="Times New Roman" w:eastAsia="Calibri" w:hAnsi="Times New Roman" w:cs="Times New Roman"/>
          <w:i/>
          <w:iCs/>
          <w:sz w:val="24"/>
          <w:szCs w:val="24"/>
        </w:rPr>
        <w:t xml:space="preserve">6.3.3 Methodological </w:t>
      </w:r>
      <w:r w:rsidR="00715149" w:rsidRPr="00597FFB">
        <w:rPr>
          <w:rFonts w:ascii="Times New Roman" w:eastAsia="Calibri" w:hAnsi="Times New Roman" w:cs="Times New Roman"/>
          <w:i/>
          <w:iCs/>
          <w:sz w:val="24"/>
          <w:szCs w:val="24"/>
        </w:rPr>
        <w:t>C</w:t>
      </w:r>
      <w:r w:rsidRPr="00597FFB">
        <w:rPr>
          <w:rFonts w:ascii="Times New Roman" w:eastAsia="Calibri" w:hAnsi="Times New Roman" w:cs="Times New Roman"/>
          <w:i/>
          <w:iCs/>
          <w:sz w:val="24"/>
          <w:szCs w:val="24"/>
        </w:rPr>
        <w:t>ontribution</w:t>
      </w:r>
      <w:bookmarkEnd w:id="292"/>
    </w:p>
    <w:p w14:paraId="6146ABD4" w14:textId="7566CE18" w:rsidR="00256727"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To the best knowledge of the researcher, the current study was among the pioneer to test multiple behavioral theories that are rooted in psychology using PLS-SEM and based on multiple factor analysis. In previous literature (Aboelmaged, 2021; Arain et al., 2020; Deyshappriya &amp; Kumari, 2019; Kumar, 2019) used only a single model to investigate and explain behavioral intention. While such studies may have achieved comparatively higher precision than the current study in terms of addressing a small number of factors and fewer hypotheses, the current study provides greater robustness and demonstrates the methodological approaches and techniques that can be employed to investigate one principal issue (EWR behavior) using multiple models. The current study also contributes to the growing body of methodologies for studying EWR behavior by demonstrating the application of PLS-SEM as a way of modeling both behavioral intention and behavior adoption albeit from an EWR perspective. </w:t>
      </w:r>
    </w:p>
    <w:p w14:paraId="54559080" w14:textId="124DAB49" w:rsidR="003111A4" w:rsidRPr="00597FFB" w:rsidRDefault="003111A4" w:rsidP="00916622">
      <w:pPr>
        <w:pStyle w:val="Heading2"/>
        <w:spacing w:line="480" w:lineRule="auto"/>
        <w:rPr>
          <w:rFonts w:asciiTheme="majorBidi" w:hAnsiTheme="majorBidi"/>
          <w:b/>
          <w:bCs/>
          <w:color w:val="000000" w:themeColor="text1"/>
          <w:sz w:val="24"/>
          <w:szCs w:val="24"/>
        </w:rPr>
      </w:pPr>
      <w:bookmarkStart w:id="293" w:name="_Toc127170381"/>
      <w:r w:rsidRPr="00597FFB">
        <w:rPr>
          <w:rFonts w:asciiTheme="majorBidi" w:hAnsiTheme="majorBidi"/>
          <w:b/>
          <w:bCs/>
          <w:color w:val="000000" w:themeColor="text1"/>
          <w:sz w:val="24"/>
          <w:szCs w:val="24"/>
        </w:rPr>
        <w:t xml:space="preserve">6.4. Implications </w:t>
      </w:r>
      <w:r w:rsidR="00362D59">
        <w:rPr>
          <w:rFonts w:asciiTheme="majorBidi" w:hAnsiTheme="majorBidi"/>
          <w:b/>
          <w:bCs/>
          <w:color w:val="000000" w:themeColor="text1"/>
          <w:sz w:val="24"/>
          <w:szCs w:val="24"/>
        </w:rPr>
        <w:t>o</w:t>
      </w:r>
      <w:r w:rsidRPr="00597FFB">
        <w:rPr>
          <w:rFonts w:asciiTheme="majorBidi" w:hAnsiTheme="majorBidi"/>
          <w:b/>
          <w:bCs/>
          <w:color w:val="000000" w:themeColor="text1"/>
          <w:sz w:val="24"/>
          <w:szCs w:val="24"/>
        </w:rPr>
        <w:t xml:space="preserve">f </w:t>
      </w:r>
      <w:bookmarkStart w:id="294" w:name="_Hlk120988546"/>
      <w:r w:rsidR="00F234AC">
        <w:rPr>
          <w:rFonts w:asciiTheme="majorBidi" w:hAnsiTheme="majorBidi"/>
          <w:b/>
          <w:bCs/>
          <w:color w:val="000000" w:themeColor="text1"/>
          <w:sz w:val="24"/>
          <w:szCs w:val="24"/>
        </w:rPr>
        <w:t>the Research</w:t>
      </w:r>
      <w:r w:rsidR="00256727" w:rsidRPr="00597FFB">
        <w:rPr>
          <w:rFonts w:asciiTheme="majorBidi" w:hAnsiTheme="majorBidi"/>
          <w:b/>
          <w:bCs/>
          <w:color w:val="000000" w:themeColor="text1"/>
          <w:sz w:val="24"/>
          <w:szCs w:val="24"/>
        </w:rPr>
        <w:t>.</w:t>
      </w:r>
      <w:bookmarkEnd w:id="293"/>
    </w:p>
    <w:p w14:paraId="2617832E" w14:textId="4860E7B3" w:rsidR="00397DAB" w:rsidRPr="00597FFB" w:rsidRDefault="00256727" w:rsidP="00916622">
      <w:pPr>
        <w:keepNext/>
        <w:spacing w:after="0" w:line="480" w:lineRule="auto"/>
        <w:outlineLvl w:val="2"/>
        <w:rPr>
          <w:rFonts w:ascii="Times New Roman" w:eastAsia="Times New Roman" w:hAnsi="Times New Roman" w:cs="Times New Roman"/>
          <w:i/>
          <w:iCs/>
          <w:sz w:val="24"/>
          <w:szCs w:val="24"/>
        </w:rPr>
      </w:pPr>
      <w:bookmarkStart w:id="295" w:name="_Toc127170382"/>
      <w:r w:rsidRPr="00597FFB">
        <w:rPr>
          <w:rFonts w:ascii="Times New Roman" w:eastAsia="Times New Roman" w:hAnsi="Times New Roman" w:cs="Times New Roman"/>
          <w:i/>
          <w:iCs/>
          <w:sz w:val="24"/>
          <w:szCs w:val="24"/>
        </w:rPr>
        <w:t xml:space="preserve">6.4.1. </w:t>
      </w:r>
      <w:r w:rsidR="00397DAB" w:rsidRPr="00597FFB">
        <w:rPr>
          <w:rFonts w:ascii="Times New Roman" w:eastAsia="Times New Roman" w:hAnsi="Times New Roman" w:cs="Times New Roman"/>
          <w:i/>
          <w:iCs/>
          <w:sz w:val="24"/>
          <w:szCs w:val="24"/>
        </w:rPr>
        <w:t xml:space="preserve">Implications </w:t>
      </w:r>
      <w:r w:rsidR="00715149" w:rsidRPr="00597FFB">
        <w:rPr>
          <w:rFonts w:ascii="Times New Roman" w:eastAsia="Times New Roman" w:hAnsi="Times New Roman" w:cs="Times New Roman"/>
          <w:i/>
          <w:iCs/>
          <w:sz w:val="24"/>
          <w:szCs w:val="24"/>
        </w:rPr>
        <w:t>f</w:t>
      </w:r>
      <w:r w:rsidRPr="00597FFB">
        <w:rPr>
          <w:rFonts w:ascii="Times New Roman" w:eastAsia="Times New Roman" w:hAnsi="Times New Roman" w:cs="Times New Roman"/>
          <w:i/>
          <w:iCs/>
          <w:sz w:val="24"/>
          <w:szCs w:val="24"/>
        </w:rPr>
        <w:t xml:space="preserve">or </w:t>
      </w:r>
      <w:r w:rsidR="00397DAB" w:rsidRPr="00597FFB">
        <w:rPr>
          <w:rFonts w:ascii="Times New Roman" w:eastAsia="Times New Roman" w:hAnsi="Times New Roman" w:cs="Times New Roman"/>
          <w:i/>
          <w:iCs/>
          <w:sz w:val="24"/>
          <w:szCs w:val="24"/>
        </w:rPr>
        <w:t>Theory</w:t>
      </w:r>
      <w:r w:rsidRPr="00597FFB">
        <w:rPr>
          <w:rFonts w:ascii="Times New Roman" w:eastAsia="Times New Roman" w:hAnsi="Times New Roman" w:cs="Times New Roman"/>
          <w:i/>
          <w:iCs/>
          <w:sz w:val="24"/>
          <w:szCs w:val="24"/>
        </w:rPr>
        <w:t>.</w:t>
      </w:r>
      <w:bookmarkEnd w:id="295"/>
    </w:p>
    <w:p w14:paraId="6F103CBF"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Millennials are savvy, both being digitally-connected to information and one another, yet they are not as independent as previous generations. They thrive on social-connectedness, a sense of belonging, relationships and approval from peers and authority figures. These personal relationships have been instrumental in creating a generation of capable, confident individuals, but who also seek affirmation and individualistic recognition. In order to understand their value orientation with regards to sustainable attitudes and behaviors, it is important to theorize the effect of peer narratives in closing the intention-adoption gap.</w:t>
      </w:r>
      <w:r w:rsidRPr="00597FFB">
        <w:rPr>
          <w:rFonts w:ascii="Calibri" w:eastAsia="Calibri" w:hAnsi="Calibri" w:cs="Arial"/>
        </w:rPr>
        <w:t xml:space="preserve"> </w:t>
      </w:r>
      <w:r w:rsidRPr="00597FFB">
        <w:rPr>
          <w:rFonts w:ascii="Times New Roman" w:eastAsia="Calibri" w:hAnsi="Times New Roman" w:cs="Times New Roman"/>
          <w:sz w:val="24"/>
          <w:szCs w:val="24"/>
        </w:rPr>
        <w:t>Further there are implications for theory in understanding validation and recognition drivers for UAE millennials with regard to environmental sustainability from the perspective of EWR. By employing multiple theories and constructs towards understanding EWR behavioral intention and behavior adoption of millennials, this has the implication of the fact that explaining millennial behavioral intention and behavior adoption is multi-theoretical, multifaceted, and multi-construct phenomenon.</w:t>
      </w:r>
    </w:p>
    <w:p w14:paraId="5CF75EB3" w14:textId="6C75F59E" w:rsidR="00397DAB" w:rsidRPr="00597FFB" w:rsidRDefault="00256727" w:rsidP="00916622">
      <w:pPr>
        <w:keepNext/>
        <w:spacing w:after="0" w:line="480" w:lineRule="auto"/>
        <w:outlineLvl w:val="2"/>
        <w:rPr>
          <w:rFonts w:ascii="Times New Roman" w:eastAsia="Times New Roman" w:hAnsi="Times New Roman" w:cs="Times New Roman"/>
          <w:i/>
          <w:iCs/>
          <w:sz w:val="24"/>
          <w:szCs w:val="24"/>
        </w:rPr>
      </w:pPr>
      <w:bookmarkStart w:id="296" w:name="_Toc127170383"/>
      <w:r w:rsidRPr="00597FFB">
        <w:rPr>
          <w:rFonts w:ascii="Times New Roman" w:eastAsia="Times New Roman" w:hAnsi="Times New Roman" w:cs="Times New Roman"/>
          <w:i/>
          <w:iCs/>
          <w:sz w:val="24"/>
          <w:szCs w:val="24"/>
        </w:rPr>
        <w:t xml:space="preserve">6.4.2. </w:t>
      </w:r>
      <w:r w:rsidR="00397DAB" w:rsidRPr="00597FFB">
        <w:rPr>
          <w:rFonts w:ascii="Times New Roman" w:eastAsia="Times New Roman" w:hAnsi="Times New Roman" w:cs="Times New Roman"/>
          <w:i/>
          <w:iCs/>
          <w:sz w:val="24"/>
          <w:szCs w:val="24"/>
        </w:rPr>
        <w:t xml:space="preserve">Implications </w:t>
      </w:r>
      <w:r w:rsidR="00715149" w:rsidRPr="00597FFB">
        <w:rPr>
          <w:rFonts w:ascii="Times New Roman" w:eastAsia="Times New Roman" w:hAnsi="Times New Roman" w:cs="Times New Roman"/>
          <w:i/>
          <w:iCs/>
          <w:sz w:val="24"/>
          <w:szCs w:val="24"/>
        </w:rPr>
        <w:t>f</w:t>
      </w:r>
      <w:r w:rsidRPr="00597FFB">
        <w:rPr>
          <w:rFonts w:ascii="Times New Roman" w:eastAsia="Times New Roman" w:hAnsi="Times New Roman" w:cs="Times New Roman"/>
          <w:i/>
          <w:iCs/>
          <w:sz w:val="24"/>
          <w:szCs w:val="24"/>
        </w:rPr>
        <w:t xml:space="preserve">or </w:t>
      </w:r>
      <w:r w:rsidR="00397DAB" w:rsidRPr="00597FFB">
        <w:rPr>
          <w:rFonts w:ascii="Times New Roman" w:eastAsia="Times New Roman" w:hAnsi="Times New Roman" w:cs="Times New Roman"/>
          <w:i/>
          <w:iCs/>
          <w:sz w:val="24"/>
          <w:szCs w:val="24"/>
        </w:rPr>
        <w:t>Practice</w:t>
      </w:r>
      <w:r w:rsidRPr="00597FFB">
        <w:rPr>
          <w:rFonts w:ascii="Times New Roman" w:eastAsia="Times New Roman" w:hAnsi="Times New Roman" w:cs="Times New Roman"/>
          <w:i/>
          <w:iCs/>
          <w:sz w:val="24"/>
          <w:szCs w:val="24"/>
        </w:rPr>
        <w:t>.</w:t>
      </w:r>
      <w:bookmarkEnd w:id="296"/>
    </w:p>
    <w:bookmarkEnd w:id="294"/>
    <w:p w14:paraId="18F8E7D9" w14:textId="601F1788"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This study shows that the current system of e-waste management is characterized by unsustainable processing techniques, open dumping, and unregulated landfilling. This can be explained by the fact that a majority of the respondents (about 86%) either kept e-waste at home or discarded it as trash. This speaks to the inefficiency of the existing e-waste management system in the UAE. Given that waste management behaviors have a considerable impact on natural and human </w:t>
      </w:r>
      <w:r w:rsidR="00DE6D3B" w:rsidRPr="00597FFB">
        <w:rPr>
          <w:rFonts w:ascii="Times New Roman" w:eastAsia="Calibri" w:hAnsi="Times New Roman" w:cs="Times New Roman"/>
          <w:sz w:val="24"/>
          <w:szCs w:val="24"/>
        </w:rPr>
        <w:t>capital, it</w:t>
      </w:r>
      <w:r w:rsidRPr="00597FFB">
        <w:rPr>
          <w:rFonts w:ascii="Times New Roman" w:eastAsia="Calibri" w:hAnsi="Times New Roman" w:cs="Times New Roman"/>
          <w:sz w:val="24"/>
          <w:szCs w:val="24"/>
        </w:rPr>
        <w:t xml:space="preserve"> is important to develop new ways of thinking and behavioral change along the e-waste value chain. Emphasis on millennials as key stakeholders suggests that any sustainable adoption of EWR must give priority to their needs, expectations and interests.</w:t>
      </w:r>
    </w:p>
    <w:p w14:paraId="1FE33C1C"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Although </w:t>
      </w:r>
      <w:r w:rsidRPr="00597FFB">
        <w:rPr>
          <w:rFonts w:ascii="Times New Roman" w:eastAsia="Calibri" w:hAnsi="Times New Roman" w:cs="Times New Roman"/>
          <w:sz w:val="24"/>
          <w:szCs w:val="24"/>
        </w:rPr>
        <w:t>millennials’</w:t>
      </w:r>
      <w:r w:rsidRPr="00597FFB">
        <w:rPr>
          <w:rFonts w:ascii="Times New Roman" w:eastAsia="Calibri" w:hAnsi="Times New Roman" w:cs="Times New Roman"/>
          <w:color w:val="000000"/>
          <w:sz w:val="24"/>
          <w:szCs w:val="24"/>
        </w:rPr>
        <w:t xml:space="preserve"> awareness of environmental issues and recycling programs is said to be greater than that of other generations, millennials are also paradoxically less apt to take action without being incentivized or being convinced to do so. Trade-in programs or rebates at the point of purchase (POP) for new devices would encourage recycling or safe disposal of electronic devices. When POP is not an option, mail-in programs where they can easily access pre-paid envelopes or convenient drop boxes in places often visited by millennials could be successful in facilitating </w:t>
      </w:r>
      <w:r w:rsidRPr="00597FFB">
        <w:rPr>
          <w:rFonts w:ascii="Times New Roman" w:eastAsia="Calibri" w:hAnsi="Times New Roman" w:cs="Times New Roman"/>
          <w:sz w:val="24"/>
          <w:szCs w:val="24"/>
        </w:rPr>
        <w:t>behavioral</w:t>
      </w:r>
      <w:r w:rsidRPr="00597FFB">
        <w:rPr>
          <w:rFonts w:ascii="Times New Roman" w:eastAsia="Calibri" w:hAnsi="Times New Roman" w:cs="Times New Roman"/>
          <w:color w:val="000000"/>
          <w:sz w:val="24"/>
          <w:szCs w:val="24"/>
        </w:rPr>
        <w:t xml:space="preserve"> change.</w:t>
      </w:r>
    </w:p>
    <w:p w14:paraId="6B85D490"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Based on verified hypotheses, several suggestions aiming to intervene model variables (i.e., individuals’ psychological characteristics) by changing external </w:t>
      </w:r>
      <w:r w:rsidRPr="00597FFB">
        <w:rPr>
          <w:rFonts w:ascii="Times New Roman" w:eastAsia="Calibri" w:hAnsi="Times New Roman" w:cs="Times New Roman"/>
          <w:sz w:val="24"/>
          <w:szCs w:val="24"/>
        </w:rPr>
        <w:t>situational</w:t>
      </w:r>
      <w:r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factors</w:t>
      </w:r>
      <w:r w:rsidRPr="00597FFB">
        <w:rPr>
          <w:rFonts w:ascii="Times New Roman" w:eastAsia="Calibri" w:hAnsi="Times New Roman" w:cs="Times New Roman"/>
          <w:color w:val="000000"/>
          <w:sz w:val="24"/>
          <w:szCs w:val="24"/>
        </w:rPr>
        <w:t xml:space="preserve"> of formal recycling, can be proposed to stimulate </w:t>
      </w:r>
      <w:r w:rsidRPr="00597FFB">
        <w:rPr>
          <w:rFonts w:ascii="Times New Roman" w:eastAsia="Calibri" w:hAnsi="Times New Roman" w:cs="Times New Roman"/>
          <w:sz w:val="24"/>
          <w:szCs w:val="24"/>
        </w:rPr>
        <w:t>millennials</w:t>
      </w:r>
      <w:r w:rsidRPr="00597FFB">
        <w:rPr>
          <w:rFonts w:ascii="Times New Roman" w:eastAsia="Calibri" w:hAnsi="Times New Roman" w:cs="Times New Roman"/>
          <w:color w:val="000000"/>
          <w:sz w:val="24"/>
          <w:szCs w:val="24"/>
        </w:rPr>
        <w:t xml:space="preserve">’ EWR behavior. Programs and initiatives centered on circular economy gains can influence behaviors toward environmental </w:t>
      </w:r>
      <w:r w:rsidRPr="00597FFB">
        <w:rPr>
          <w:rFonts w:ascii="Times New Roman" w:eastAsia="Calibri" w:hAnsi="Times New Roman" w:cs="Times New Roman"/>
          <w:sz w:val="24"/>
          <w:szCs w:val="24"/>
        </w:rPr>
        <w:t>protection</w:t>
      </w:r>
      <w:r w:rsidRPr="00597FFB">
        <w:rPr>
          <w:rFonts w:ascii="Times New Roman" w:eastAsia="Calibri" w:hAnsi="Times New Roman" w:cs="Times New Roman"/>
          <w:color w:val="000000"/>
          <w:sz w:val="24"/>
          <w:szCs w:val="24"/>
        </w:rPr>
        <w:t>. This view is informed by the significant, positive effect that incentives (both financial and nonfinancial) had on EWR behavioral intentions and adoption of EWR behavior.</w:t>
      </w:r>
      <w:r w:rsidRPr="00597FFB">
        <w:rPr>
          <w:rFonts w:ascii="Times New Roman" w:eastAsia="Calibri" w:hAnsi="Times New Roman" w:cs="Times New Roman"/>
          <w:sz w:val="24"/>
          <w:szCs w:val="24"/>
        </w:rPr>
        <w:t xml:space="preserve"> This study could also be a key resource for universities and institutions of higher learning to formulate more focused target on the component variables of NAT. First, there should be a study differentiating the effects and interaction of NAT variables between students from different universities and institutions of higher learning. This would inform recommendations about the variables that would need to be improved in a particular university and institution of higher learning. These improvements could be applied by integrating NAT variables in their learning plan, university regulation, and curriculum as a whole. For instance, teachers could use prompts explaining the consequences of single-use e-waste thus supporting the development of awareness of consequences, while the school is establishing the e-waste segregation policy as what green schools already implemented. Students could also be taught to be responsible to their consumption of e-waste by giving them projects to note down their e-waste. Universities could facilitate by providing a template form with illustration to pique their students’ interest as what has been done in the construction of measurement instruments in this research (Zhang et al., 2019).</w:t>
      </w:r>
      <w:r w:rsidRPr="00597FFB">
        <w:rPr>
          <w:rFonts w:ascii="Times New Roman" w:eastAsia="Calibri" w:hAnsi="Times New Roman" w:cs="Times New Roman"/>
          <w:b/>
          <w:bCs/>
          <w:sz w:val="24"/>
          <w:szCs w:val="24"/>
        </w:rPr>
        <w:t xml:space="preserve"> </w:t>
      </w:r>
      <w:r w:rsidRPr="00597FFB">
        <w:rPr>
          <w:rFonts w:ascii="Times New Roman" w:eastAsia="Calibri" w:hAnsi="Times New Roman" w:cs="Times New Roman"/>
          <w:sz w:val="24"/>
          <w:szCs w:val="24"/>
        </w:rPr>
        <w:t>Thus, their sense of responsibility in relation to ascription of responsibility variable could be developed further.</w:t>
      </w:r>
    </w:p>
    <w:p w14:paraId="083882B7"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Considering the effect of recycling attitude and subjective norm on </w:t>
      </w:r>
      <w:r w:rsidRPr="00597FFB">
        <w:rPr>
          <w:rFonts w:ascii="Times New Roman" w:eastAsia="Calibri" w:hAnsi="Times New Roman" w:cs="Times New Roman"/>
          <w:sz w:val="24"/>
          <w:szCs w:val="24"/>
        </w:rPr>
        <w:t>millennials</w:t>
      </w:r>
      <w:r w:rsidRPr="00597FFB">
        <w:rPr>
          <w:rFonts w:ascii="Times New Roman" w:eastAsia="Calibri" w:hAnsi="Times New Roman" w:cs="Times New Roman"/>
          <w:color w:val="000000"/>
          <w:sz w:val="24"/>
          <w:szCs w:val="24"/>
        </w:rPr>
        <w:t xml:space="preserve">’ EWR intention, the government should create a positive social atmosphere for </w:t>
      </w:r>
      <w:r w:rsidRPr="00597FFB">
        <w:rPr>
          <w:rFonts w:ascii="Times New Roman" w:eastAsia="Calibri" w:hAnsi="Times New Roman" w:cs="Times New Roman"/>
          <w:sz w:val="24"/>
          <w:szCs w:val="24"/>
        </w:rPr>
        <w:t>participation</w:t>
      </w:r>
      <w:r w:rsidRPr="00597FFB">
        <w:rPr>
          <w:rFonts w:ascii="Times New Roman" w:eastAsia="Calibri" w:hAnsi="Times New Roman" w:cs="Times New Roman"/>
          <w:color w:val="000000"/>
          <w:sz w:val="24"/>
          <w:szCs w:val="24"/>
        </w:rPr>
        <w:t xml:space="preserve"> in formal recycling through multiple media channels, such as local newspaper, subway advertising, and mobile popular social media platform. The publicity content should emphasize the benefits of formal recycling and provide detailed information on the proper ways to recycle waste phones. Creation of awareness especially on the consequences of e-waste among UAE millennials would likely enhance their intention to engage in EWR behavior and steer adoption of EWR behavior given the findings that informed the confirmation of H7 under the extended NAT model.</w:t>
      </w:r>
    </w:p>
    <w:p w14:paraId="7AFB5741"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Stern (2000) suggested that environmental behavior is influenced by personal attitudes, contextual forces, capabilities, and habits or routines. This study suggests that there are four major types of intervention, which include (a) religious or moral approaches targeted at individuals’ values, (b) education focused on altering attitudes through information, (c) material incentives aimed toward changing behavior, and (d) community management initiatives that establish common rules and expectations. Stern (2000) suggested that because environmentally significant behavior is complex, it requires multidimensional approaches that specifically target the behavior that should change within its specific context. Therefore, another implication for practice calls for the integration of the right communicators (such as social media outlets) and influencers to disseminate the narrative to millennial consumers.</w:t>
      </w:r>
    </w:p>
    <w:p w14:paraId="174F6256"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Additionally, this study evidenced that financial incentives play a vital role in enhancing UAE millennials’ EWR behavioral intention and the adoption of EWR behavior. Thus, retailers should reconsider the established concept of providing voucher as it is also often perceived as </w:t>
      </w:r>
      <w:r w:rsidRPr="00597FFB">
        <w:rPr>
          <w:rFonts w:ascii="Times New Roman" w:eastAsia="Calibri" w:hAnsi="Times New Roman" w:cs="Times New Roman"/>
          <w:sz w:val="24"/>
          <w:szCs w:val="24"/>
        </w:rPr>
        <w:t>inconsistent</w:t>
      </w:r>
      <w:r w:rsidRPr="00597FFB">
        <w:rPr>
          <w:rFonts w:ascii="Times New Roman" w:eastAsia="Calibri" w:hAnsi="Times New Roman" w:cs="Times New Roman"/>
          <w:color w:val="000000"/>
          <w:sz w:val="24"/>
          <w:szCs w:val="24"/>
        </w:rPr>
        <w:t xml:space="preserve"> with corporate sustainability goals. To avoid latter, incentives should not stress an economic but ecological benefit. Varying nonfinancial, environmental incentives such as flower seeds or quotes could be offered that keep consumers curious and furthermore appreciate their participation. Furthermore, as this study found that personal norm is a significant mediator in the effect on EWR behavioral intention based on the extended TPB model, e-waste retailers should increase incentives that stem from social groups as these help consumers to develop a feeling of moral obligation, resulting in the development of a favorable attitude towards EWR. Particularly, retailers could use celebrities that are most likely to be associated with ethical behavior to enhance favorable synergy effects and, thus, evoke pro-environmental behavioral change.</w:t>
      </w:r>
    </w:p>
    <w:p w14:paraId="5B7C2B52"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From a business </w:t>
      </w:r>
      <w:r w:rsidRPr="00597FFB">
        <w:rPr>
          <w:rFonts w:ascii="Times New Roman" w:eastAsia="Calibri" w:hAnsi="Times New Roman" w:cs="Times New Roman"/>
          <w:sz w:val="24"/>
          <w:szCs w:val="24"/>
        </w:rPr>
        <w:t>perspective</w:t>
      </w:r>
      <w:r w:rsidRPr="00597FFB">
        <w:rPr>
          <w:rFonts w:ascii="Times New Roman" w:eastAsia="Calibri" w:hAnsi="Times New Roman" w:cs="Times New Roman"/>
          <w:color w:val="000000"/>
          <w:sz w:val="24"/>
          <w:szCs w:val="24"/>
        </w:rPr>
        <w:t>, a take-back management model where customers can exchange near-obsolete or obsolete electronic and electrical equipment with newer ones at a subsidized cost than they would get it if they were not exchanging it with older electronic and electrical equipment could be a successful strategy to reclaim electronical products after use. Herewith, business actors could respond to the EWR regulations and guidelines in the UAE by providing take-back options for electronical waste. In this manner, larger quantities of waste can be collected and herewith, the recycling industry can be stimulated, as recycling centers will benefit from economies of scale resulting in a decrease in recycling costs (Wang et al., 2019).</w:t>
      </w:r>
    </w:p>
    <w:p w14:paraId="4596DDD4"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The gap between intentions and </w:t>
      </w:r>
      <w:r w:rsidRPr="00597FFB">
        <w:rPr>
          <w:rFonts w:ascii="Times New Roman" w:eastAsia="Calibri" w:hAnsi="Times New Roman" w:cs="Times New Roman"/>
          <w:sz w:val="24"/>
          <w:szCs w:val="24"/>
        </w:rPr>
        <w:t>behaviors</w:t>
      </w:r>
      <w:r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provides</w:t>
      </w:r>
      <w:r w:rsidRPr="00597FFB">
        <w:rPr>
          <w:rFonts w:ascii="Times New Roman" w:eastAsia="Calibri" w:hAnsi="Times New Roman" w:cs="Times New Roman"/>
          <w:color w:val="000000"/>
          <w:sz w:val="24"/>
          <w:szCs w:val="24"/>
        </w:rPr>
        <w:t xml:space="preserve"> an opportunity for businesses and government to initiate actions that could reduce the barriers to desirable behaviors. In the review, experience, awareness creation campaigns are some of the key factors to minimize the gap between intentions and behavior. In any case, the findings in the extended PMT model showed that an increase in information/knowledge about EWR had a significant positive effect on both UAE millennials’ motivation to engage in EWR and their intent to adopt EWR behavior.</w:t>
      </w:r>
    </w:p>
    <w:p w14:paraId="47C8DD37"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Given the positive effect of moral norm and information/knowledge on recycling intention, education can play an important role in enhancing this construct. On one hand, since the UAE holds a relatively large share of college and university students with most millennials covered in this study being university graduates, it can make full use of the advantage in higher education to help students develop a sense of moral responsibility towards EWR such as disposing off old or obsolete electronic and electrical equipment in formal recycling facilities as opposed to dumping it in open dumpsites as trash. </w:t>
      </w:r>
      <w:r w:rsidRPr="00597FFB">
        <w:rPr>
          <w:rFonts w:ascii="Times New Roman" w:eastAsia="Calibri" w:hAnsi="Times New Roman" w:cs="Times New Roman"/>
          <w:sz w:val="24"/>
          <w:szCs w:val="24"/>
        </w:rPr>
        <w:t>This</w:t>
      </w:r>
      <w:r w:rsidRPr="00597FFB">
        <w:rPr>
          <w:rFonts w:ascii="Times New Roman" w:eastAsia="Calibri" w:hAnsi="Times New Roman" w:cs="Times New Roman"/>
          <w:color w:val="000000"/>
          <w:sz w:val="24"/>
          <w:szCs w:val="24"/>
        </w:rPr>
        <w:t xml:space="preserve"> is important because most university college students are likely to be the biggest consumers of electronic devices given their tech savviness </w:t>
      </w:r>
      <w:r w:rsidRPr="00597FFB">
        <w:rPr>
          <w:rFonts w:ascii="Times New Roman" w:eastAsia="Times New Roman" w:hAnsi="Times New Roman" w:cs="Times New Roman"/>
          <w:bCs/>
          <w:color w:val="000000"/>
          <w:sz w:val="24"/>
          <w:szCs w:val="24"/>
        </w:rPr>
        <w:t>(Benabdellah et al., 2021)</w:t>
      </w:r>
      <w:r w:rsidRPr="00597FFB">
        <w:rPr>
          <w:rFonts w:ascii="Times New Roman" w:eastAsia="Calibri" w:hAnsi="Times New Roman" w:cs="Times New Roman"/>
          <w:color w:val="000000"/>
          <w:sz w:val="24"/>
          <w:szCs w:val="24"/>
        </w:rPr>
        <w:t>. On the other hand, primary education (and even household education) e.g., about the importance of EWR, can play a role in moral cultivation for medium-long term interventions.</w:t>
      </w:r>
    </w:p>
    <w:p w14:paraId="7FDB6097"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Government institutions and producers must collectively implement regulations and incentivized programs that will drive e-waste management among </w:t>
      </w:r>
      <w:r w:rsidRPr="00597FFB">
        <w:rPr>
          <w:rFonts w:ascii="Times New Roman" w:eastAsia="Calibri" w:hAnsi="Times New Roman" w:cs="Times New Roman"/>
          <w:sz w:val="24"/>
          <w:szCs w:val="24"/>
        </w:rPr>
        <w:t>millennials</w:t>
      </w:r>
      <w:r w:rsidRPr="00597FFB">
        <w:rPr>
          <w:rFonts w:ascii="Times New Roman" w:eastAsia="Calibri" w:hAnsi="Times New Roman" w:cs="Times New Roman"/>
          <w:color w:val="000000"/>
          <w:sz w:val="24"/>
          <w:szCs w:val="24"/>
        </w:rPr>
        <w:t xml:space="preserve">. Notable </w:t>
      </w:r>
      <w:r w:rsidRPr="00597FFB">
        <w:rPr>
          <w:rFonts w:ascii="Times New Roman" w:eastAsia="Calibri" w:hAnsi="Times New Roman" w:cs="Times New Roman"/>
          <w:sz w:val="24"/>
          <w:szCs w:val="24"/>
        </w:rPr>
        <w:t>suggestions</w:t>
      </w:r>
      <w:r w:rsidRPr="00597FFB">
        <w:rPr>
          <w:rFonts w:ascii="Times New Roman" w:eastAsia="Calibri" w:hAnsi="Times New Roman" w:cs="Times New Roman"/>
          <w:color w:val="000000"/>
          <w:sz w:val="24"/>
          <w:szCs w:val="24"/>
        </w:rPr>
        <w:t xml:space="preserve"> to be considered include further psychometric development on the measurement of variables and practical usage in UAE schools’ curriculum. An example would be to test psychometric properties for determining the characteristics or components of effective education that could contribute to change of behavior. Better measurement with multiple try-outs should be implemented to ensure better psychometric properties of measurements’ validity, reliability, and overall quality. For example, conducting psychometric tests for the questionnaire items and running it through multiple pilot studies before rolling it out in a full study could help determine whether using 5-point Likert scales would generate better and more reliable findings than 7-point Likert scales.</w:t>
      </w:r>
      <w:r w:rsidRPr="00597FFB">
        <w:rPr>
          <w:rFonts w:ascii="Times New Roman" w:eastAsiaTheme="minorHAnsi" w:hAnsi="Times New Roman" w:cs="Times New Roman"/>
          <w:b/>
          <w:bCs/>
          <w:kern w:val="32"/>
          <w:sz w:val="24"/>
          <w:szCs w:val="24"/>
        </w:rPr>
        <w:t xml:space="preserve"> </w:t>
      </w:r>
    </w:p>
    <w:p w14:paraId="1E158A5A"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As perceived behavioral control registered a positive effect on</w:t>
      </w:r>
      <w:bookmarkStart w:id="297" w:name="_Hlk120915610"/>
      <w:r w:rsidRPr="00597FFB">
        <w:rPr>
          <w:rFonts w:ascii="Times New Roman" w:eastAsia="Calibri" w:hAnsi="Times New Roman" w:cs="Times New Roman"/>
          <w:color w:val="000000"/>
          <w:sz w:val="24"/>
          <w:szCs w:val="24"/>
        </w:rPr>
        <w:t xml:space="preserve"> millennials </w:t>
      </w:r>
      <w:bookmarkEnd w:id="297"/>
      <w:r w:rsidRPr="00597FFB">
        <w:rPr>
          <w:rFonts w:ascii="Times New Roman" w:eastAsia="Calibri" w:hAnsi="Times New Roman" w:cs="Times New Roman"/>
          <w:color w:val="000000"/>
          <w:sz w:val="24"/>
          <w:szCs w:val="24"/>
        </w:rPr>
        <w:t xml:space="preserve">‘recycling intention, further efforts are required to increase the availability of formal recycling channels. First, the spatial distribution of recycling </w:t>
      </w:r>
      <w:r w:rsidRPr="00597FFB">
        <w:rPr>
          <w:rFonts w:ascii="Times New Roman" w:eastAsia="Calibri" w:hAnsi="Times New Roman" w:cs="Times New Roman"/>
          <w:sz w:val="24"/>
          <w:szCs w:val="24"/>
        </w:rPr>
        <w:t>facilities</w:t>
      </w:r>
      <w:r w:rsidRPr="00597FFB">
        <w:rPr>
          <w:rFonts w:ascii="Times New Roman" w:eastAsia="Calibri" w:hAnsi="Times New Roman" w:cs="Times New Roman"/>
          <w:color w:val="000000"/>
          <w:sz w:val="24"/>
          <w:szCs w:val="24"/>
        </w:rPr>
        <w:t xml:space="preserve"> can be optimized in the UAE with attention to the urbanized nature of the country. Second, to further improve the formal recycling rate of obsolete mobile phones, the convenience of formal recycling channels in all areas of the should be improved.</w:t>
      </w:r>
    </w:p>
    <w:p w14:paraId="3B695E29"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Based on the direct and moderating effect of privacy concern, as well as an anticipated </w:t>
      </w:r>
      <w:r w:rsidRPr="00597FFB">
        <w:rPr>
          <w:rFonts w:ascii="Times New Roman" w:eastAsia="Calibri" w:hAnsi="Times New Roman" w:cs="Times New Roman"/>
          <w:sz w:val="24"/>
          <w:szCs w:val="24"/>
        </w:rPr>
        <w:t>enhanced</w:t>
      </w:r>
      <w:r w:rsidRPr="00597FFB">
        <w:rPr>
          <w:rFonts w:ascii="Times New Roman" w:eastAsia="Calibri" w:hAnsi="Times New Roman" w:cs="Times New Roman"/>
          <w:color w:val="000000"/>
          <w:sz w:val="24"/>
          <w:szCs w:val="24"/>
        </w:rPr>
        <w:t xml:space="preserve"> privacy concern of millennials in future, formal recycling channels should put more emphasis on the protection of millennials’ privacy. This can be achieved by, for example, assuring those who dispose of their electronic and electrical gadgets to the formal recycling channels that no information would be retrieved or traced to them thereby eliminating the risk of jeopardizing their privacy. On the one hand, it is important to establish certification standards for secure data erasure (e.g., by the government or third-party organization), and regulate companies recycling processes according to these standards. Formal recycling companies should try to consolidate their credible images by improving their publicity, opening their privacy protection policies and data erasure procedures, among others. These results on consumers’ privacy concerns also indicate that it is important to accelerate formal recycling as it is much harder to regulate the behaviors of informal recycling companies and gain consumers’ trust.</w:t>
      </w:r>
    </w:p>
    <w:p w14:paraId="544E1EF7" w14:textId="2F3068BA" w:rsidR="00397DAB" w:rsidRPr="00597FFB" w:rsidRDefault="00397DAB" w:rsidP="00916622">
      <w:pPr>
        <w:keepNext/>
        <w:spacing w:after="0" w:line="480" w:lineRule="auto"/>
        <w:outlineLvl w:val="2"/>
        <w:rPr>
          <w:rFonts w:ascii="Times New Roman" w:eastAsia="Times New Roman" w:hAnsi="Times New Roman" w:cs="Times New Roman"/>
          <w:i/>
          <w:iCs/>
          <w:sz w:val="24"/>
          <w:szCs w:val="24"/>
        </w:rPr>
      </w:pPr>
      <w:bookmarkStart w:id="298" w:name="_Toc127170384"/>
      <w:r w:rsidRPr="00597FFB">
        <w:rPr>
          <w:rFonts w:ascii="Times New Roman" w:eastAsia="Times New Roman" w:hAnsi="Times New Roman" w:cs="Times New Roman"/>
          <w:i/>
          <w:iCs/>
          <w:sz w:val="24"/>
          <w:szCs w:val="24"/>
        </w:rPr>
        <w:t>6.4.3. Societal Implications</w:t>
      </w:r>
      <w:r w:rsidR="00256727" w:rsidRPr="00597FFB">
        <w:rPr>
          <w:rFonts w:ascii="Times New Roman" w:eastAsia="Times New Roman" w:hAnsi="Times New Roman" w:cs="Times New Roman"/>
          <w:i/>
          <w:iCs/>
          <w:sz w:val="24"/>
          <w:szCs w:val="24"/>
        </w:rPr>
        <w:t>.</w:t>
      </w:r>
      <w:bookmarkEnd w:id="298"/>
      <w:r w:rsidRPr="00597FFB">
        <w:rPr>
          <w:rFonts w:ascii="Times New Roman" w:eastAsia="Times New Roman" w:hAnsi="Times New Roman" w:cs="Times New Roman"/>
          <w:i/>
          <w:iCs/>
          <w:sz w:val="24"/>
          <w:szCs w:val="24"/>
        </w:rPr>
        <w:t xml:space="preserve"> </w:t>
      </w:r>
    </w:p>
    <w:p w14:paraId="5406BBED" w14:textId="577A4068"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As ineffective e-waste disposal behavior affects the society as a whole, individuals and companies are responsible for taking action inasmuch as interventions must also be targeted at macro </w:t>
      </w:r>
      <w:r w:rsidRPr="00597FFB">
        <w:rPr>
          <w:rFonts w:ascii="Times New Roman" w:eastAsia="Calibri" w:hAnsi="Times New Roman" w:cs="Times New Roman"/>
          <w:sz w:val="24"/>
          <w:szCs w:val="24"/>
        </w:rPr>
        <w:t>scales</w:t>
      </w:r>
      <w:r w:rsidRPr="00597FFB">
        <w:rPr>
          <w:rFonts w:ascii="Times New Roman" w:eastAsia="Calibri" w:hAnsi="Times New Roman" w:cs="Times New Roman"/>
          <w:color w:val="000000"/>
          <w:sz w:val="24"/>
          <w:szCs w:val="24"/>
        </w:rPr>
        <w:t xml:space="preserve">. Thus, it is the government’s duty to make the society aware of EWR as a major way to conserve natural resources, to support and fund e-waste retailers and EWR to improve the environmental quality and thus consumers’ quality of life. Relevant government policy on institutionalization of EWR mechanisms as well as education and awareness creation about e-waste and its impacts on society may be more effective in this regard than fostering the reduction of consumption as a whole as latter is related to economic welfare. Redirecting financial resources through government agencies and structures such as ministries and the local governments and municipalities like the Government of Abu Dhabi and Dubai Municipality's Waste Management Departments to deal with a problem such as the surge in e-waste amounts does not impact GDP to the same extent as a reduction in consumption would do </w:t>
      </w:r>
      <w:r w:rsidRPr="00597FFB">
        <w:rPr>
          <w:rFonts w:ascii="Times New Roman" w:eastAsia="Calibri" w:hAnsi="Times New Roman" w:cs="Times New Roman"/>
          <w:color w:val="000000"/>
          <w:sz w:val="24"/>
          <w:szCs w:val="24"/>
        </w:rPr>
        <w:fldChar w:fldCharType="begin"/>
      </w:r>
      <w:r w:rsidR="00D80064" w:rsidRPr="00597FFB">
        <w:rPr>
          <w:rFonts w:ascii="Times New Roman" w:eastAsia="Calibri" w:hAnsi="Times New Roman" w:cs="Times New Roman"/>
          <w:color w:val="000000"/>
          <w:sz w:val="24"/>
          <w:szCs w:val="24"/>
        </w:rPr>
        <w:instrText xml:space="preserve"> ADDIN ZOTERO_ITEM CSL_CITATION {"citationID":"prjKo9lP","properties":{"formattedCitation":"(Alao et al., 2020a)","plainCitation":"(Alao et al., 2020a)","noteIndex":0},"citationItems":[{"id":2898,"uris":["http://zotero.org/users/local/b6CRLSJH/items/VZDVDK4L"],"itemData":{"id":2898,"type":"article-journal","abstract":"Selection of the most appropriate waste-to-energy technologies for distributed electricity generation is a complex and multi-criteria decision problem as it involves trade-off among conﬂicting criteria which have to be considered simultaneously. In this study, the Technique for Order of Preference by Similarity to an Ideal Solution (TOPSIS) with Entropy Weighted method is applied to select the optimal technology among the waste -to -energy technological options using the waste stream of Lagos, Nigeria. The results presented show that anaerobic digestion has been the best waste to energy technology solution for electricity generation in Lagos, followed by pyrolysis while incineration is seen as the worst preferred option of choice for energy generation applicability in standalone model. In order to maximally extract energy from waste in a sustainable, economical, and environmentally friendly manner, an integrated application of waste-to-energy technologies is also explored. It is found that the hybrid of anaerobic digestion, landﬁll gas recovery and pyrolysis give the most favourable results in terms of environmental beneﬁts and electricity generation potential. It is also revealed that incineration technology either in the standalone or in the hybrid form is completely discouraged from being implemented in Lagos basically due to its high investment, operation and maintenance costs as well as its discouraging environmental image. Although, the case study in this paper is that of Lagos, Nigeria but the methodology presented could be used for any cosmopolitan city around the world.","container-title":"Energy","DOI":"10.1016/j.energy.2020.117675","ISSN":"03605442","journalAbbreviation":"Energy","language":"en","page":"117675","source":"DOI.org (Crossref)","title":"Multi-criteria decision based waste to energy technology selection using entropy-weighted TOPSIS technique: The case study of Lagos, Nigeria","title-short":"Multi-criteria decision based waste to energy technology selection using entropy-weighted TOPSIS technique","volume":"201","author":[{"family":"Alao","given":"M.A."},{"family":"Ayodele","given":"T.R."},{"family":"Ogunjuyigbe","given":"A.S.O."},{"family":"Popoola","given":"O.M."}],"issued":{"date-parts":[["2020",6]]}}}],"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00D80064" w:rsidRPr="00597FFB">
        <w:rPr>
          <w:rFonts w:ascii="Times New Roman" w:hAnsi="Times New Roman" w:cs="Times New Roman"/>
          <w:sz w:val="24"/>
        </w:rPr>
        <w:t>(Alao et al., 2020a)</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Here, EWR is a major way to work towards a more sustainable environment. Additionally, proper EWR behavior among the UAE citizens and residents would contribute to the local EWR industry in the UAE thereby creating more jobs and reducing the dependency on other countries to deal with e-waste in the country </w:t>
      </w:r>
      <w:r w:rsidRPr="00597FFB">
        <w:rPr>
          <w:rFonts w:ascii="Times New Roman" w:eastAsia="Calibri" w:hAnsi="Times New Roman" w:cs="Times New Roman"/>
          <w:color w:val="000000"/>
          <w:sz w:val="24"/>
          <w:szCs w:val="24"/>
        </w:rPr>
        <w:fldChar w:fldCharType="begin"/>
      </w:r>
      <w:r w:rsidRPr="00597FFB">
        <w:rPr>
          <w:rFonts w:ascii="Times New Roman" w:eastAsia="Calibri" w:hAnsi="Times New Roman" w:cs="Times New Roman"/>
          <w:color w:val="000000"/>
          <w:sz w:val="24"/>
          <w:szCs w:val="24"/>
        </w:rPr>
        <w:instrText xml:space="preserve"> ADDIN ZOTERO_ITEM CSL_CITATION {"citationID":"gquLgJT9","properties":{"formattedCitation":"(Alam, 2020)","plainCitation":"(Alam, 2020)","noteIndex":0},"citationItems":[{"id":4466,"uris":["http://zotero.org/users/local/b6CRLSJH/items/P44HZHVF"],"itemData":{"id":4466,"type":"article-journal","abstract":"Purpose\n              The study aims to explore the case study method with the formation of questions, data collection procedures and analysis, followed by how and on which position the saturation is achieved in developing a centralized Shariah governance framework for Islamic banks in Bangladesh.\n            \n            \n              Design/methodology/approach\n              Using purposive and snowball sampling procedures, data have been collected from 17 respondents who are working in the central bank and Islamic banks of Bangladesh through face-to-face and semi-structured interviews.\n            \n            \n              Findings\n              The study claims that researchers can form the research questions by using “what” question mark in qualitative research. Besides, the qualitative research and case study could explore the answers of “what” questions along with the “why” and “how” more broadly, descriptively and extensively about a phenomenon. Similarly, saturation can be considered attaining the ultimate point of data collection by the researchers without adding anything in the databank. Overall, this study proposes three stages of saturation: First, information redundancy. Second, referring the respondents (already considered in the study) without knowing anything about the data collection and their responses. Third, through the NVivo open coding process due to the decrease of reference or quotes in a certain position or in the saturation position as a result of fewer outcomes or insufficient information. The saturation is thus achieved in the diversified positions, i.e. three respondents for regulatory, nine for Shariah scholars and officers and five for the experts concerning the responses and respondents.\n            \n            \n              Research limitations/implications\n              The study has potential implications on the qualitative research method, including the case study, saturation process and points, NVivo analysis and qualitative questions formation.\n            \n            \n              Originality/value\n              This research defines a case study with the inclusion of “what” and illustrates the saturation process in diverse positions. The qualitative research questions can also be formed with “what” in addition “why” and “how”.","container-title":"Qualitative Research in Organizations and Management: An International Journal","DOI":"10.1108/QROM-09-2019-1825","ISSN":"1746-5648","issue":"1","journalAbbreviation":"QROM","language":"en","page":"1-31","source":"DOI.org (Crossref)","title":"A systematic qualitative case study: questions, data collection, NVivo analysis and saturation","title-short":"A systematic qualitative case study","volume":"16","author":[{"family":"Alam","given":"Md. Kausar"}],"issued":{"date-parts":[["2020",8,20]]}}}],"schema":"https://github.com/citation-style-language/schema/raw/master/csl-citation.json"}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Pr="00597FFB">
        <w:rPr>
          <w:rFonts w:ascii="Times New Roman" w:eastAsia="Calibri" w:hAnsi="Times New Roman" w:cs="Times New Roman"/>
          <w:sz w:val="24"/>
        </w:rPr>
        <w:t>(Alam, 2020)</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w:t>
      </w:r>
    </w:p>
    <w:p w14:paraId="0D9F06A8" w14:textId="737E06A5" w:rsidR="004E3535"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This study created </w:t>
      </w:r>
      <w:r w:rsidRPr="00597FFB">
        <w:rPr>
          <w:rFonts w:ascii="Times New Roman" w:eastAsia="Calibri" w:hAnsi="Times New Roman" w:cs="Times New Roman"/>
          <w:sz w:val="24"/>
          <w:szCs w:val="24"/>
        </w:rPr>
        <w:t>value</w:t>
      </w:r>
      <w:r w:rsidRPr="00597FFB">
        <w:rPr>
          <w:rFonts w:ascii="Times New Roman" w:eastAsia="Calibri" w:hAnsi="Times New Roman" w:cs="Times New Roman"/>
          <w:color w:val="000000"/>
          <w:sz w:val="24"/>
          <w:szCs w:val="24"/>
        </w:rPr>
        <w:t xml:space="preserve"> for the academic community in two different ways. Firstly, this study made the first attempt to map the perspectives of millennials towards EWR and identifying the factors associated with the practicalities of enhancing EWR behavioral intention and adoption from a multi-model perspective. Secondly, this study introduced and validated extended TPB, NAT, and PMT models to EWR discourse from the perspective of a selected age demographic in the Arab world. Herewith, this study gave call to the need for research on attitudes and intentions of Arab millennials towards e-waste and EWR.</w:t>
      </w:r>
    </w:p>
    <w:p w14:paraId="26C865D0" w14:textId="49D013F9" w:rsidR="004E3535" w:rsidRPr="00597FFB" w:rsidRDefault="004E3535" w:rsidP="00916622">
      <w:pPr>
        <w:pStyle w:val="Heading2"/>
        <w:spacing w:line="480" w:lineRule="auto"/>
        <w:rPr>
          <w:rFonts w:asciiTheme="majorBidi" w:hAnsiTheme="majorBidi"/>
          <w:b/>
          <w:bCs/>
          <w:color w:val="000000" w:themeColor="text1"/>
          <w:sz w:val="24"/>
          <w:szCs w:val="24"/>
        </w:rPr>
      </w:pPr>
      <w:bookmarkStart w:id="299" w:name="_Toc127170385"/>
      <w:r w:rsidRPr="00597FFB">
        <w:rPr>
          <w:rFonts w:asciiTheme="majorBidi" w:hAnsiTheme="majorBidi"/>
          <w:b/>
          <w:bCs/>
          <w:color w:val="000000" w:themeColor="text1"/>
          <w:sz w:val="24"/>
          <w:szCs w:val="24"/>
        </w:rPr>
        <w:t>6.5. Research Limitations</w:t>
      </w:r>
      <w:r w:rsidR="00256727" w:rsidRPr="00597FFB">
        <w:rPr>
          <w:rFonts w:asciiTheme="majorBidi" w:hAnsiTheme="majorBidi"/>
          <w:b/>
          <w:bCs/>
          <w:color w:val="000000" w:themeColor="text1"/>
          <w:sz w:val="24"/>
          <w:szCs w:val="24"/>
        </w:rPr>
        <w:t>.</w:t>
      </w:r>
      <w:bookmarkEnd w:id="299"/>
    </w:p>
    <w:p w14:paraId="7C0728C4" w14:textId="6CFADC18"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This </w:t>
      </w:r>
      <w:r w:rsidRPr="00597FFB">
        <w:rPr>
          <w:rFonts w:ascii="Times New Roman" w:eastAsia="Calibri" w:hAnsi="Times New Roman" w:cs="Times New Roman"/>
          <w:sz w:val="24"/>
          <w:szCs w:val="24"/>
        </w:rPr>
        <w:t>research</w:t>
      </w:r>
      <w:r w:rsidRPr="00597FFB">
        <w:rPr>
          <w:rFonts w:ascii="Times New Roman" w:eastAsia="Calibri" w:hAnsi="Times New Roman" w:cs="Times New Roman"/>
          <w:color w:val="000000"/>
          <w:sz w:val="24"/>
          <w:szCs w:val="24"/>
        </w:rPr>
        <w:t xml:space="preserve"> was limited because of various circumstances, which were examined in the early stage of the study. One of the limitations stems from the application of quantitative research methods. Regardless of the many advantages quantitative methods offer, they lack interactivity between the researchers and the study’s participants. This hindered the assessment and explanation of emotional responses or other physical expressions of participants, which would have eventually enriched the content of the research </w:t>
      </w:r>
      <w:r w:rsidRPr="00597FFB">
        <w:rPr>
          <w:rFonts w:ascii="Times New Roman" w:eastAsia="Calibri" w:hAnsi="Times New Roman" w:cs="Times New Roman"/>
          <w:color w:val="000000"/>
          <w:sz w:val="24"/>
          <w:szCs w:val="24"/>
        </w:rPr>
        <w:fldChar w:fldCharType="begin"/>
      </w:r>
      <w:r w:rsidRPr="00597FFB">
        <w:rPr>
          <w:rFonts w:ascii="Times New Roman" w:eastAsia="Calibri" w:hAnsi="Times New Roman" w:cs="Times New Roman"/>
          <w:color w:val="000000"/>
          <w:sz w:val="24"/>
          <w:szCs w:val="24"/>
        </w:rPr>
        <w:instrText xml:space="preserve"> ADDIN ZOTERO_ITEM CSL_CITATION {"citationID":"7JSHxbDa","properties":{"formattedCitation":"(Cantone et al., 2022)","plainCitation":"(Cantone et al., 2022)","noteIndex":0},"citationItems":[{"id":4506,"uris":["http://zotero.org/users/local/b6CRLSJH/items/G3KMFECP"],"itemData":{"id":4506,"type":"article-journal","abstract":"Abstract\n            \n              The paper aims to identify the current positioning of consumer brand engagement (CBE) in marketing literature, thus filling a gap and contributing to a richer overview of the concept. Numerous research topics currently overlap in the marketing literature as brand theory has not been systemised precisely, especially with regard to consumer feeling towards brands and consumers’ active role in creating brand equity. The methodology adopted for this empirical research is qualitative, and the research question is the following:\n              what is the current positioning of CBE in marketing theory?\n              To find the answer, three empirical studies were performed. The first, Study 1, involved eight scholars—the key informants—specialising in the topic. In Study 2, 64 academic articles focusing on CBE were analysed. By comparing the two, it was possible to identify some counterintuitive problems and pitfalls impeding the definitive affirmation of CBE in marketing literature. Lastly, in Study 3, six Italian CBE practitioners (marketing managers and digital marketing consultants) were questioned to gather further information and shed light on some grey areas highlighted by the academic community regarding management issues. The principal expected outcome was to ascertain whether CBE has specific and well-defined conceptual dimensions that may be applied to other similar topics in marketing literature. The study’s originality lies in a rationalisation of the theory underpinning the topic and proposing a possible systematisation.","container-title":"Italian Journal of Marketing","DOI":"10.1007/s43039-022-00054-z","ISSN":"2662-3323, 2662-3331","issue":"2","journalAbbreviation":"Ital. J. Mark.","language":"en","page":"135-172","source":"DOI.org (Crossref)","title":"Issues in defining and placing consumer brand engagement","volume":"2022","author":[{"family":"Cantone","given":"Luigi"},{"family":"Testa","given":"Pierpaolo"},{"family":"Marrone","given":"Teresa"}],"issued":{"date-parts":[["2022",6]]}}}],"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Pr="00597FFB">
        <w:rPr>
          <w:rFonts w:ascii="Times New Roman" w:eastAsia="Calibri" w:hAnsi="Times New Roman" w:cs="Times New Roman"/>
          <w:sz w:val="24"/>
        </w:rPr>
        <w:t>(Cantone et al., 2022)</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For example, it was not possible to explain the rationale behind the negative relationship between recycling habits and intent to adopt EWR behavior, as envisaged in the extended PMT model. Furthermore, </w:t>
      </w:r>
      <w:r w:rsidRPr="00597FFB">
        <w:rPr>
          <w:rFonts w:ascii="Times New Roman" w:eastAsia="Calibri" w:hAnsi="Times New Roman" w:cs="Times New Roman"/>
          <w:sz w:val="24"/>
          <w:szCs w:val="24"/>
        </w:rPr>
        <w:t>choosing</w:t>
      </w:r>
      <w:r w:rsidRPr="00597FFB">
        <w:rPr>
          <w:rFonts w:ascii="Times New Roman" w:eastAsia="Calibri" w:hAnsi="Times New Roman" w:cs="Times New Roman"/>
          <w:color w:val="000000"/>
          <w:sz w:val="24"/>
          <w:szCs w:val="24"/>
        </w:rPr>
        <w:t xml:space="preserve"> a more accurate sample purposively by focusing on a specific geographical area would have delivered more accurate insights. That way, it would have also been more precise when considering the actual behavior instead of millennials intention to perform EWR. Both delimitations are reasoned by the strict scope of this study and the resulting limited time. Additionally, because EWR is a relatively new scheme yet in its maturing phase, examining the intention from consumers who are not yet aware of the scheme allowed us to get an overall impression of millennial’s interest in the concept.</w:t>
      </w:r>
    </w:p>
    <w:p w14:paraId="39B3E742"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Given the application of the nonprobability, nonpurposive convenience sampling technique to recruit the respondents, the study findings were based on </w:t>
      </w:r>
      <w:r w:rsidRPr="00597FFB">
        <w:rPr>
          <w:rFonts w:ascii="Times New Roman" w:eastAsia="Calibri" w:hAnsi="Times New Roman" w:cs="Times New Roman"/>
          <w:sz w:val="24"/>
          <w:szCs w:val="24"/>
        </w:rPr>
        <w:t>a</w:t>
      </w:r>
      <w:r w:rsidRPr="00597FFB">
        <w:rPr>
          <w:rFonts w:ascii="Times New Roman" w:eastAsia="Calibri" w:hAnsi="Times New Roman" w:cs="Times New Roman"/>
          <w:color w:val="000000"/>
          <w:sz w:val="24"/>
          <w:szCs w:val="24"/>
        </w:rPr>
        <w:t xml:space="preserve"> </w:t>
      </w:r>
      <w:r w:rsidRPr="00597FFB">
        <w:rPr>
          <w:rFonts w:ascii="Times New Roman" w:eastAsia="Calibri" w:hAnsi="Times New Roman" w:cs="Times New Roman"/>
          <w:sz w:val="24"/>
          <w:szCs w:val="24"/>
        </w:rPr>
        <w:t>sample</w:t>
      </w:r>
      <w:r w:rsidRPr="00597FFB">
        <w:rPr>
          <w:rFonts w:ascii="Times New Roman" w:eastAsia="Calibri" w:hAnsi="Times New Roman" w:cs="Times New Roman"/>
          <w:color w:val="000000"/>
          <w:sz w:val="24"/>
          <w:szCs w:val="24"/>
        </w:rPr>
        <w:t xml:space="preserve"> that was likely unrepresentative of the population of UAE. This would put to question outright generalization of the study findings to other GCC countries or to the larger Arab world. This was largely driven by the chosen sampling method, i.e., convenience sampling. A further limitation of the study is that the reliability of the constructs tested were questionable, as some of the Cronbach’s Alphas were borderline and not quite at the accepted level of ≥ 0.70 (Hair Jr. et al., 2017, 2022). PLS-SEM is also a large sample</w:t>
      </w:r>
      <w:r w:rsidRPr="00597FFB">
        <w:rPr>
          <w:rFonts w:ascii="Calibri" w:eastAsia="Calibri" w:hAnsi="Calibri" w:cs="Arial"/>
        </w:rPr>
        <w:t xml:space="preserve"> </w:t>
      </w:r>
      <w:r w:rsidRPr="00597FFB">
        <w:rPr>
          <w:rFonts w:ascii="Times New Roman" w:eastAsia="Calibri" w:hAnsi="Times New Roman" w:cs="Times New Roman"/>
          <w:color w:val="000000"/>
          <w:sz w:val="24"/>
          <w:szCs w:val="24"/>
        </w:rPr>
        <w:t xml:space="preserve">technique and small sample sizes may produce inconsistent conclusions </w:t>
      </w:r>
      <w:r w:rsidRPr="00597FFB">
        <w:rPr>
          <w:rFonts w:ascii="Times New Roman" w:eastAsia="Calibri" w:hAnsi="Times New Roman" w:cs="Times New Roman"/>
          <w:color w:val="000000"/>
          <w:sz w:val="24"/>
          <w:szCs w:val="24"/>
        </w:rPr>
        <w:fldChar w:fldCharType="begin"/>
      </w:r>
      <w:r w:rsidRPr="00597FFB">
        <w:rPr>
          <w:rFonts w:ascii="Times New Roman" w:eastAsia="Calibri" w:hAnsi="Times New Roman" w:cs="Times New Roman"/>
          <w:color w:val="000000"/>
          <w:sz w:val="24"/>
          <w:szCs w:val="24"/>
        </w:rPr>
        <w:instrText xml:space="preserve"> ADDIN ZOTERO_ITEM CSL_CITATION {"citationID":"xwWjE8p8","properties":{"formattedCitation":"(Hampson et al., 2021)","plainCitation":"(Hampson et al., 2021)","noteIndex":0},"citationItems":[{"id":4083,"uris":["http://zotero.org/users/local/b6CRLSJH/items/V5CADRXI"],"itemData":{"id":4083,"type":"article-journal","container-title":"International Journal of Consumer Studies","DOI":"10.1111/ijcs.12661","ISSN":"1470-6423, 1470-6431","journalAbbreviation":"Int J Consum Stud","language":"en","page":"ijcs.12661","source":"DOI.org (Crossref)","title":"Consumer confidence and conspicuous consumption: A conservation of resources perspective","title-short":"Consumer confidence and conspicuous consumption","author":[{"family":"Hampson","given":"Daniel Peter"},{"family":"Ma","given":"Shuang (Sara)"},{"family":"Wang","given":"Yonggui"},{"family":"Han","given":"Myat Su"}],"issued":{"date-parts":[["2021",2,25]]}}}],"schema":"https://github.com/citation-style-language/schema/raw/master/csl-citation.json"}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Pr="00597FFB">
        <w:rPr>
          <w:rFonts w:ascii="Times New Roman" w:eastAsia="Calibri" w:hAnsi="Times New Roman" w:cs="Times New Roman"/>
          <w:sz w:val="24"/>
        </w:rPr>
        <w:t>(Hampson et al., 2021)</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As such, the data and findings of this study should be interpreted with caution. However, the composition of the sample despite being fairly distributed by gender and age group of millennials may not have been representative of the entire UAE. SEM is a large sample technique and small sample sizes may produce inconsistent conclusions </w:t>
      </w:r>
      <w:r w:rsidRPr="00597FFB">
        <w:rPr>
          <w:rFonts w:ascii="Times New Roman" w:eastAsia="Calibri" w:hAnsi="Times New Roman" w:cs="Times New Roman"/>
          <w:color w:val="000000"/>
          <w:sz w:val="24"/>
          <w:szCs w:val="24"/>
        </w:rPr>
        <w:fldChar w:fldCharType="begin"/>
      </w:r>
      <w:r w:rsidRPr="00597FFB">
        <w:rPr>
          <w:rFonts w:ascii="Times New Roman" w:eastAsia="Calibri" w:hAnsi="Times New Roman" w:cs="Times New Roman"/>
          <w:color w:val="000000"/>
          <w:sz w:val="24"/>
          <w:szCs w:val="24"/>
        </w:rPr>
        <w:instrText xml:space="preserve"> ADDIN ZOTERO_ITEM CSL_CITATION {"citationID":"2e8W1R5h","properties":{"formattedCitation":"(Huang et al., 2020)","plainCitation":"(Huang et al., 2020)","noteIndex":0},"citationItems":[{"id":2393,"uris":["http://zotero.org/users/local/b6CRLSJH/items/NCU9RJLE"],"itemData":{"id":2393,"type":"article-journal","abstract":"The product lifespan is an important variable in estimating the WEEE generation. This study used the Weibull distribution model to calculate the lifetime of products based on survey data collected from selected formal recycling plants in various regions in China. The result shows that the lifespan of products arriving at the recycling plants is generally much longer than that estimated from questionnaire survey on the discarding behavior of consumers. In this study, household electronic products like TV set, refrigerator, washing machine and air conditioner, had a lifespan around 11–19 years. And computers had a shorter lifespan around 11–17 years, still longer than estimation based on survey on consumers. Then, taking TV set as example, we demonstrated that significant regional disparity exits in the product lifespan among various regions due to diversified local socioeconomic conditions, as well as the cross regional flows of second handed products through the informal collection network. These results could be used in setting both national and regional recycling targets, and to optimize the spatial distribution of recycling capacity.","container-title":"Resources, Conservation and Recycling","DOI":"10.1016/j.resconrec.2020.104700","ISSN":"09213449","journalAbbreviation":"Resources, Conservation and Recycling","language":"en","page":"104700","source":"DOI.org (Crossref)","title":"Gap between discarding and recycling: Estimate lifespan of electronic products by survey in formal recycling plants in China","title-short":"Gap between discarding and recycling","volume":"156","author":[{"family":"Huang","given":"Huiting"},{"family":"Tong","given":"Xin"},{"family":"Cai","given":"Yi"},{"family":"Tian","given":"Hui"}],"issued":{"date-parts":[["2020",5]]}}}],"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Pr="00597FFB">
        <w:rPr>
          <w:rFonts w:ascii="Times New Roman" w:eastAsia="Calibri" w:hAnsi="Times New Roman" w:cs="Times New Roman"/>
          <w:sz w:val="24"/>
        </w:rPr>
        <w:t>(Huang et al., 2020)</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xml:space="preserve">, hence data should be interpreted with caution. </w:t>
      </w:r>
    </w:p>
    <w:p w14:paraId="45BB92C9"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The results of this research were based on snapshot data and would, at best, reflect the prevailing situation at the time of the data collection. Yet, such situations could change as would the perceptions and behavioral tendencies of millennials towards and about e-waste and EWR, environmental concern, environmental assessment, habits, attitudes, subjective norm, perceived behavioral control, threat appraisal, coping appraisal, and EWR information/knowledge with time. This is a limitation given that Ajzen (1985) stated that intentions </w:t>
      </w:r>
      <w:r w:rsidRPr="00597FFB">
        <w:rPr>
          <w:rFonts w:ascii="Times New Roman" w:eastAsia="Calibri" w:hAnsi="Times New Roman" w:cs="Times New Roman"/>
          <w:sz w:val="24"/>
          <w:szCs w:val="24"/>
        </w:rPr>
        <w:t>can</w:t>
      </w:r>
      <w:r w:rsidRPr="00597FFB">
        <w:rPr>
          <w:rFonts w:ascii="Times New Roman" w:eastAsia="Calibri" w:hAnsi="Times New Roman" w:cs="Times New Roman"/>
          <w:color w:val="000000"/>
          <w:sz w:val="24"/>
          <w:szCs w:val="24"/>
        </w:rPr>
        <w:t xml:space="preserve"> change over time by new information affecting the decision-making process </w:t>
      </w:r>
      <w:r w:rsidRPr="00597FFB">
        <w:rPr>
          <w:rFonts w:ascii="Times New Roman" w:eastAsia="Calibri" w:hAnsi="Times New Roman" w:cs="Times New Roman"/>
          <w:sz w:val="24"/>
          <w:szCs w:val="24"/>
        </w:rPr>
        <w:t>and</w:t>
      </w:r>
      <w:r w:rsidRPr="00597FFB">
        <w:rPr>
          <w:rFonts w:ascii="Times New Roman" w:eastAsia="Calibri" w:hAnsi="Times New Roman" w:cs="Times New Roman"/>
          <w:color w:val="000000"/>
          <w:sz w:val="24"/>
          <w:szCs w:val="24"/>
        </w:rPr>
        <w:t xml:space="preserve"> continuous changing of norms in society. Therefore, decision-makers and policymakers should be cautious when making long term decisions or developing long-term policies based solely on the results of this study, as they would require consistent checking in future societies.</w:t>
      </w:r>
    </w:p>
    <w:p w14:paraId="6B79701D" w14:textId="1D55B31C" w:rsidR="004E3535"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The TPB is expected to result in higher quality responses when respondents do not receive any benefits, or are not in any way obliged to participate</w:t>
      </w:r>
      <w:r w:rsidRPr="00597FFB">
        <w:rPr>
          <w:rFonts w:ascii="Times New Roman" w:eastAsia="Calibri" w:hAnsi="Times New Roman" w:cs="Times New Roman"/>
          <w:sz w:val="24"/>
          <w:szCs w:val="24"/>
        </w:rPr>
        <w:t>,</w:t>
      </w:r>
      <w:r w:rsidRPr="00597FFB">
        <w:rPr>
          <w:rFonts w:ascii="Times New Roman" w:eastAsia="Calibri" w:hAnsi="Times New Roman" w:cs="Times New Roman"/>
          <w:color w:val="000000"/>
          <w:sz w:val="24"/>
          <w:szCs w:val="24"/>
        </w:rPr>
        <w:t xml:space="preserve"> when completing the questionnaire (Ajzen, 2011b). Therefore, when creating the questionnaire in this study, the number of questions was reduced to a minimum yet reasonable level as a smaller questionnaire was likely to take less effort to complete, and to yield more responses. An implication arising from this method is the degrading of the predictive power of the subjective norms, as the predictive power of SN is expected to drop sharply when this parameter is not properly addressed </w:t>
      </w:r>
      <w:r w:rsidRPr="00597FFB">
        <w:rPr>
          <w:rFonts w:ascii="Times New Roman" w:eastAsia="Calibri" w:hAnsi="Times New Roman" w:cs="Times New Roman"/>
          <w:color w:val="000000"/>
          <w:sz w:val="24"/>
          <w:szCs w:val="24"/>
        </w:rPr>
        <w:fldChar w:fldCharType="begin"/>
      </w:r>
      <w:r w:rsidR="004E18CF" w:rsidRPr="00597FFB">
        <w:rPr>
          <w:rFonts w:ascii="Times New Roman" w:eastAsia="Calibri" w:hAnsi="Times New Roman" w:cs="Times New Roman"/>
          <w:color w:val="000000"/>
          <w:sz w:val="24"/>
          <w:szCs w:val="24"/>
        </w:rPr>
        <w:instrText xml:space="preserve"> ADDIN ZOTERO_ITEM CSL_CITATION {"citationID":"xGjR2g8u","properties":{"formattedCitation":"(D. Chen et al., 2020d)","plainCitation":"(D. Chen et al., 2020d)","noteIndex":0},"citationItems":[{"id":3264,"uris":["http://zotero.org/users/local/b6CRLSJH/items/6RAFK325"],"itemData":{"id":3264,"type":"article-journal","abstract":"The majority of developing countries are facing enormous challenges in implementing sustainable waste electrical and electronic equipment (e-waste) management systems. Informal e-waste management practices in Ghana have become a critical challenge to the government and the various stakeholders owing to its environmental and health impacts. However, the effort to implement ewaste formalization management practices has been threatened with many barriers. This study aims to identify and evaluate barriers and pathways to the implementation of e-waste formalization management systems in Ghana. A three-phase methodology consisting of the Delphi method, the hybrid best–worst method and the fuzzy TOPSIS technique is employed. The first phase involves extensive literature review and the use of the Delphi method to identify barriers, pathways, and data collection for ewaste formalization. In the second phase, the best–worst method was employed to analyze the relative weight and ranking of the barriers. The third phase involves the application of fuzzy TOPSIS to rank and prioritize pathways to e-waste formalization systems. Fuzzy logic was applied to handle the subjectivity of decision-makers’ preferences. A sensitivity analysis was carried out to check the robustness of the framework and address any effect of bias. The outcome of the study indicates that economic and financial limitations are the most significant barriers to e-waste formalization. “Setting up resourced environmental government agencies for effective monitoring and auditing at the regional levels for appropriate e-waste management practices” is the most prominent pathway. The present study can potentially inform policy makers to develop systematic and strategic policies for the implementation of e-waste formalization management systems.","container-title":"Environmental Science and Pollution Research","DOI":"10.1007/s11356-020-10360-8","ISSN":"0944-1344, 1614-7499","issue":"35","journalAbbreviation":"Environ Sci Pollut Res","language":"en","note":"number: 35","page":"44561-44584","source":"DOI.org (Crossref)","title":"Evaluating critical barriers and pathways to implementation of e-waste formalization management systems in Ghana: a hybrid BWM and fuzzy TOPSIS approach","title-short":"Evaluating critical barriers and pathways to implementation of e-waste formalization management systems in Ghana","volume":"27","author":[{"family":"Chen","given":"Dehu"},{"family":"Faibil","given":"Daniel"},{"family":"Agyemang","given":"Martin"}],"issued":{"date-parts":[["2020",12]]}}}],"schema":"https://github.com/citation-style-language/schema/raw/master/csl-citation.json"} </w:instrText>
      </w:r>
      <w:r w:rsidRPr="00597FFB">
        <w:rPr>
          <w:rFonts w:ascii="Times New Roman" w:eastAsia="Calibri" w:hAnsi="Times New Roman" w:cs="Times New Roman"/>
          <w:color w:val="000000"/>
          <w:sz w:val="24"/>
          <w:szCs w:val="24"/>
        </w:rPr>
        <w:fldChar w:fldCharType="separate"/>
      </w:r>
      <w:r w:rsidR="004E18CF" w:rsidRPr="00597FFB">
        <w:rPr>
          <w:rFonts w:ascii="Times New Roman" w:hAnsi="Times New Roman" w:cs="Times New Roman"/>
          <w:sz w:val="24"/>
        </w:rPr>
        <w:t>(D. Chen et al., 2020d)</w:t>
      </w:r>
      <w:r w:rsidRPr="00597FFB">
        <w:rPr>
          <w:rFonts w:ascii="Times New Roman" w:eastAsia="Calibri" w:hAnsi="Times New Roman" w:cs="Times New Roman"/>
          <w:color w:val="000000"/>
          <w:sz w:val="24"/>
          <w:szCs w:val="24"/>
        </w:rPr>
        <w:fldChar w:fldCharType="end"/>
      </w:r>
      <w:r w:rsidRPr="00597FFB">
        <w:rPr>
          <w:rFonts w:ascii="Times New Roman" w:eastAsia="Calibri" w:hAnsi="Times New Roman" w:cs="Times New Roman"/>
          <w:color w:val="000000"/>
          <w:sz w:val="24"/>
          <w:szCs w:val="24"/>
        </w:rPr>
        <w:t>. Future studies should address subjective norm into their research more properly and profoundly to further exclude social norm as an influencer of consumer behavior, or to reintroduce this parameter in the behavioral models. Altogether, delimitation measures were instituted in this research to address the limitations. Thus, above limitations did not restrain our study from gathering novel insights as well as perspectives on the concept of EWR which enrich both existing as well as future research.</w:t>
      </w:r>
    </w:p>
    <w:p w14:paraId="38C8ED1C" w14:textId="7E09EBCC" w:rsidR="00296B58" w:rsidRPr="00597FFB" w:rsidRDefault="00256727" w:rsidP="00916622">
      <w:pPr>
        <w:pStyle w:val="Heading2"/>
        <w:spacing w:line="480" w:lineRule="auto"/>
        <w:rPr>
          <w:rFonts w:asciiTheme="majorBidi" w:hAnsiTheme="majorBidi"/>
          <w:b/>
          <w:bCs/>
          <w:color w:val="000000" w:themeColor="text1"/>
          <w:sz w:val="26"/>
          <w:szCs w:val="26"/>
        </w:rPr>
      </w:pPr>
      <w:bookmarkStart w:id="300" w:name="_Toc127170386"/>
      <w:r w:rsidRPr="00597FFB">
        <w:rPr>
          <w:rFonts w:asciiTheme="majorBidi" w:hAnsiTheme="majorBidi"/>
          <w:b/>
          <w:bCs/>
          <w:color w:val="000000" w:themeColor="text1"/>
          <w:sz w:val="26"/>
          <w:szCs w:val="26"/>
        </w:rPr>
        <w:t xml:space="preserve">6.6. </w:t>
      </w:r>
      <w:r w:rsidR="00296B58" w:rsidRPr="00597FFB">
        <w:rPr>
          <w:rFonts w:asciiTheme="majorBidi" w:hAnsiTheme="majorBidi"/>
          <w:b/>
          <w:bCs/>
          <w:color w:val="000000" w:themeColor="text1"/>
          <w:sz w:val="26"/>
          <w:szCs w:val="26"/>
        </w:rPr>
        <w:t xml:space="preserve">Suggestions </w:t>
      </w:r>
      <w:r w:rsidR="00715149" w:rsidRPr="00597FFB">
        <w:rPr>
          <w:rFonts w:asciiTheme="majorBidi" w:hAnsiTheme="majorBidi"/>
          <w:b/>
          <w:bCs/>
          <w:color w:val="000000" w:themeColor="text1"/>
          <w:sz w:val="26"/>
          <w:szCs w:val="26"/>
        </w:rPr>
        <w:t>f</w:t>
      </w:r>
      <w:r w:rsidRPr="00597FFB">
        <w:rPr>
          <w:rFonts w:asciiTheme="majorBidi" w:hAnsiTheme="majorBidi"/>
          <w:b/>
          <w:bCs/>
          <w:color w:val="000000" w:themeColor="text1"/>
          <w:sz w:val="26"/>
          <w:szCs w:val="26"/>
        </w:rPr>
        <w:t xml:space="preserve">or </w:t>
      </w:r>
      <w:r w:rsidR="00296B58" w:rsidRPr="00597FFB">
        <w:rPr>
          <w:rFonts w:asciiTheme="majorBidi" w:hAnsiTheme="majorBidi"/>
          <w:b/>
          <w:bCs/>
          <w:color w:val="000000" w:themeColor="text1"/>
          <w:sz w:val="26"/>
          <w:szCs w:val="26"/>
        </w:rPr>
        <w:t>Further Research</w:t>
      </w:r>
      <w:r w:rsidRPr="00597FFB">
        <w:rPr>
          <w:rFonts w:asciiTheme="majorBidi" w:hAnsiTheme="majorBidi"/>
          <w:b/>
          <w:bCs/>
          <w:color w:val="000000" w:themeColor="text1"/>
          <w:sz w:val="26"/>
          <w:szCs w:val="26"/>
        </w:rPr>
        <w:t>.</w:t>
      </w:r>
      <w:bookmarkEnd w:id="300"/>
    </w:p>
    <w:p w14:paraId="7559B411" w14:textId="45D068FC"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Future research that tracks a group of millennials over a period would be a consideration for future research and yield a more comprehensive understanding of developmental changes and environmental stewardship with respect to EWR behavioral intention and adoption. Additionally, research that studies a broader or another population besides millennials, including those that are at the higher end of the age gap</w:t>
      </w:r>
      <w:r w:rsidRPr="00597FFB">
        <w:rPr>
          <w:rFonts w:ascii="Calibri" w:eastAsia="Calibri" w:hAnsi="Calibri" w:cs="Arial"/>
        </w:rPr>
        <w:t xml:space="preserve"> </w:t>
      </w:r>
      <w:r w:rsidRPr="00597FFB">
        <w:rPr>
          <w:rFonts w:ascii="Times New Roman" w:eastAsia="Calibri" w:hAnsi="Times New Roman" w:cs="Times New Roman"/>
          <w:sz w:val="24"/>
          <w:szCs w:val="24"/>
        </w:rPr>
        <w:t>could yield comparative results to the current study and help determine the role that age could potentially play in understanding EWR behavioral intention and adoption. Future research might also analyze EWR from an integrated model perspective based on the three extended models that were developed and tested in this study to inform better understanding of how and what variables interact to positively close the intention-adoption gap and elicit positive EWR responses among millennials.</w:t>
      </w:r>
    </w:p>
    <w:p w14:paraId="0D5DE1D8" w14:textId="4F172E2C" w:rsidR="00397DAB" w:rsidRPr="00597FFB" w:rsidRDefault="00397DAB" w:rsidP="00101CE1">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From the theoretical perspective, the research demonstrates the effects of privacy concern on millennials’ EWR intention, thereby giving a more comprehensive understanding of EWR behavior. Despite the useful results and implications, several aspects need to be addressed in future. On one hand, the findings of the study in the UAE may or may not be generalized in other areas. It is necessary to verify the model in other regions or the whole Gulf Corporate Countries (GCC). On the other hand, study focused on the millennials’ EWR intention instead of actual recycling behavior because behavioral intention can immediately determine the actual behavior (Ajzen, 2011). However, there is still a gap between behavioral intention and actual behavior (Muniandy and Anuar, 2020). Thus, to achieve a sustainable waste management (Awasthi et al., 2021; </w:t>
      </w:r>
      <w:r w:rsidR="00101CE1" w:rsidRPr="00597FFB">
        <w:rPr>
          <w:rFonts w:ascii="Times New Roman" w:eastAsia="Calibri" w:hAnsi="Times New Roman" w:cs="Times New Roman"/>
          <w:sz w:val="24"/>
          <w:szCs w:val="24"/>
          <w:lang w:val="en-GB"/>
        </w:rPr>
        <w:t>Alao</w:t>
      </w:r>
      <w:r w:rsidRPr="00597FFB">
        <w:rPr>
          <w:rFonts w:ascii="Times New Roman" w:eastAsia="Calibri" w:hAnsi="Times New Roman" w:cs="Times New Roman"/>
          <w:sz w:val="24"/>
          <w:szCs w:val="24"/>
        </w:rPr>
        <w:t xml:space="preserve"> et al., 2021), the determinants of individuals’ actual recycling behaviors should be further explored in future studies.</w:t>
      </w:r>
    </w:p>
    <w:p w14:paraId="65ADE413"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In order to elicit a positive response and ultimately change the behaviors of a generation, it is important to understand the inherent personality characteristics that will prompt positive action. Millennials are tech savvy, both being digitally-connected to information and to one another, yet they are not as independent as previous generations (Benabdellah et al., 2021; Bulut et al., 2021; Ganak et al., 2020; Masud et al., 2021; Ramzan et al., 2020). They thrive on social-connectedness, a sense of belonging, relationships and approval from peers and authority figures (Benabdellah et al., 2021). These personal relationships have been instrumental in creating a generation of capable, confident individuals, but who also seek affirmation and individualistic recognition.</w:t>
      </w:r>
      <w:r w:rsidRPr="00597FFB">
        <w:rPr>
          <w:rFonts w:ascii="Calibri" w:eastAsia="Calibri" w:hAnsi="Calibri" w:cs="Arial"/>
        </w:rPr>
        <w:t xml:space="preserve"> </w:t>
      </w:r>
      <w:r w:rsidRPr="00597FFB">
        <w:rPr>
          <w:rFonts w:ascii="Times New Roman" w:eastAsia="Calibri" w:hAnsi="Times New Roman" w:cs="Times New Roman"/>
          <w:sz w:val="24"/>
          <w:szCs w:val="24"/>
        </w:rPr>
        <w:t>In order to understand their value orientation with regards to sustainable attitudes and behaviors, it is important to theorize the effect of peer narratives in closing the value action gap.</w:t>
      </w:r>
      <w:r w:rsidRPr="00597FFB">
        <w:rPr>
          <w:rFonts w:ascii="Calibri" w:eastAsia="Calibri" w:hAnsi="Calibri" w:cs="Arial"/>
        </w:rPr>
        <w:t xml:space="preserve"> </w:t>
      </w:r>
      <w:r w:rsidRPr="00597FFB">
        <w:rPr>
          <w:rFonts w:ascii="Times New Roman" w:eastAsia="Calibri" w:hAnsi="Times New Roman" w:cs="Times New Roman"/>
          <w:sz w:val="24"/>
          <w:szCs w:val="24"/>
        </w:rPr>
        <w:t xml:space="preserve">Furthermore, there are implications for theory in understanding validation and recognition drivers for millennials with regard to environmental sustainability. </w:t>
      </w:r>
    </w:p>
    <w:p w14:paraId="5B13871D"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Also due to the quantitative nature of the study, EWR intentions was based on self-reports. Future studies may adopt other data collection methods to validate self-reported behaviors including, but not limited to, interviews and observations. In addition, future research may take a longitudinal approach where data are collected from the same population sample over time in order to track change in behavior following interventions. Also, future research could be conducted to cover specific classes of electronic devices that generate e-waste and are common among UAE millennials such as mobile phones, tablets/iPads, and personal computers. This would cover a specific range of electrical and electronic devices, providing vital information for policy makers.</w:t>
      </w:r>
    </w:p>
    <w:p w14:paraId="1733580D" w14:textId="7777777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A key suggestion for future research is to use a probability, random sampling method to recruit a more representative sample. Such would make the findings of future research more generalizable. Although the TPB, NAT, and PMT are well-established frameworks, other researchers may want to add additional behavioral factors/variables to the models in order to gain further insight into the drivers of behavioral influences on EWR. The extension of these three models to study UAE millennials and the achievement of the study objectives is an indication that more robust models based on extant models can be effective in developing deeper insights about recycling behavioral intentions and adoption of those behaviors across multiple populations. The generalizability of such study findings would be dependent upon rigorous recruitment of a representative sample.</w:t>
      </w:r>
    </w:p>
    <w:p w14:paraId="27C5AF82" w14:textId="6E310216"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There are still vast areas to be discovered on the interpretation of TPB, NAT, and PMT. Next study should compare the goodness of fit for different model interpretation or an integration of them, especially in the educational context. This would be best to find out which model interpretation to be applied in different contexts. Future studies should also research other models which could also explain EWR intentions on millennials. Some examples could be the utilization of value-belief-norm (VBN) model (</w:t>
      </w:r>
      <w:r w:rsidRPr="00597FFB">
        <w:rPr>
          <w:rFonts w:ascii="Times New Roman" w:eastAsia="Calibri" w:hAnsi="Times New Roman" w:cs="Times New Roman"/>
          <w:sz w:val="24"/>
          <w:szCs w:val="24"/>
        </w:rPr>
        <w:fldChar w:fldCharType="begin"/>
      </w:r>
      <w:r w:rsidRPr="00597FFB">
        <w:rPr>
          <w:rFonts w:ascii="Times New Roman" w:eastAsia="Calibri" w:hAnsi="Times New Roman" w:cs="Times New Roman"/>
          <w:sz w:val="24"/>
          <w:szCs w:val="24"/>
        </w:rPr>
        <w:instrText xml:space="preserve"> ADDIN ZOTERO_ITEM CSL_CITATION {"citationID":"rIe05vPP","properties":{"formattedCitation":"(Ananno et al., 2021)","plainCitation":"(Ananno et al., 2021)","dontUpdate":true,"noteIndex":0},"citationItems":[{"id":2423,"uris":["http://zotero.org/users/local/b6CRLSJH/items/RLWDPUMZ"],"itemData":{"id":2423,"type":"article-journal","abstract":"This paper aims to establish consumer’s perception of electric waste recycling and management on a national scale in Bangladesh. The attitude, willingness to pay (WTP) and consumers’ behaviour were explored by con­ ducting a questionnaire-based survey. The conclusions are based on 915 valid responses out of 2000 online survey invitations. Interestingly, 37.9% of the respondents indicated that they would accept to pay for electronic waste recycling. Analysis also shows that the preferred WTP would cover 5–10% of the recycling cost. Factors like environmental awareness, monthly income, and education level affect the consumers’ WTP. Nevertheless, most of the participants believe that the Government should share the recycling cost. The study suggests that ewaste recycling can be stimulated by promoting environmental awareness, educating the public about the benefits of recycling e-waste, and making e-waste recycling more convenient. However, additional measures will likely be needed to tackle the e-waste problem. Thus, support for environmental education is imperative in order to promote environmental awareness and increase the WTP of consumers. The study outlines key characteristics of consumer-focused e-waste management archetypes and proposes an effective road map for Bangladesh.","container-title":"Journal of Environmental Management","DOI":"10.1016/j.jenvman.2021.111943","ISSN":"03014797","journalAbbreviation":"Journal of Environmental Management","language":"en","page":"111943","source":"DOI.org (Crossref)","title":"Survey and analysis of consumers’ behaviour for electronic waste management in Bangladesh","volume":"282","author":[{"family":"Ananno","given":"Anan Ashrabi"},{"family":"Masud","given":"Mahadi Hasan"},{"family":"Dabnichki","given":"Peter"},{"family":"Mahjabeen","given":"Mosarrat"},{"family":"Chowdhury","given":"Sami Ahbab"}],"issued":{"date-parts":[["2021",3]]}}}],"schema":"https://github.com/citation-style-language/schema/raw/master/csl-citation.json"} </w:instrText>
      </w:r>
      <w:r w:rsidRPr="00597FFB">
        <w:rPr>
          <w:rFonts w:ascii="Times New Roman" w:eastAsia="Calibri" w:hAnsi="Times New Roman" w:cs="Times New Roman"/>
          <w:sz w:val="24"/>
          <w:szCs w:val="24"/>
        </w:rPr>
        <w:fldChar w:fldCharType="separate"/>
      </w:r>
      <w:r w:rsidRPr="00597FFB">
        <w:rPr>
          <w:rFonts w:ascii="Times New Roman" w:eastAsia="Calibri" w:hAnsi="Times New Roman" w:cs="Times New Roman"/>
          <w:sz w:val="24"/>
        </w:rPr>
        <w:t>Ananno et al., 2021)</w:t>
      </w:r>
      <w:r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or incorporating variables which previously have not been integrated to such models such as nature relatedness </w:t>
      </w:r>
      <w:r w:rsidRPr="00597FFB">
        <w:rPr>
          <w:rFonts w:ascii="Times New Roman" w:eastAsia="Calibri" w:hAnsi="Times New Roman" w:cs="Times New Roman"/>
          <w:sz w:val="24"/>
          <w:szCs w:val="24"/>
        </w:rPr>
        <w:fldChar w:fldCharType="begin"/>
      </w:r>
      <w:r w:rsidR="00B35F6C" w:rsidRPr="00597FFB">
        <w:rPr>
          <w:rFonts w:ascii="Times New Roman" w:eastAsia="Calibri" w:hAnsi="Times New Roman" w:cs="Times New Roman"/>
          <w:sz w:val="24"/>
          <w:szCs w:val="24"/>
        </w:rPr>
        <w:instrText xml:space="preserve"> ADDIN ZOTERO_ITEM CSL_CITATION {"citationID":"pI6unbqV","properties":{"formattedCitation":"(Al Bloushi et al., 2020a)","plainCitation":"(Al Bloushi et al., 2020a)","noteIndex":0},"citationItems":[{"id":4391,"uris":["http://zotero.org/users/local/b6CRLSJH/items/B8QXEB9L"],"itemData":{"id":4391,"type":"article-journal","abstract":"Learning outcomes\n              To examine and create an ideal pathway model that can implement aiming to change the current improper practices in managing municipal solid waste (MSW) to sustainable practices. To acquire a better understanding of public participation and community culture helps in achieving the aim of reducing the amount of waste generation, sending less waste to landfill sites and encouraging the reuse and recycling of materials instead. To help students whom the awareness in the community regarding the importance of protecting the environment and acting in a civilization way has increased. To improve the MSW sustainability practices and enhance the waste sustainability practices together with energy and material conservation. To have more extensive knowledge and awareness of issues in waste management and some of the dilemmas managers of strategic and operations face.\n            \n            \n              Case overview/synopsis\n              Abu Dhabi’s center of waste management is known as Tadweer is a governmental entity under the Abu Dhabi Executive Council. Tadweer is responsible for managing every MSWs includes collecting, transferring, segregating, treating, recycling, reusing and tracking all kinds of wastes. CEO of Tadweer Dr Salem Alkabi called his team that manages various departments such as strategy, operations, projects and licensing. The meeting was to discuss Tadweer’s future directing and strategy for mismanagement of solid waste dumping into landﬁlls in Abu Dhabi. Dumping in landfills is the main challenge Tadweer faced. Mr. Abdulrahman Albloushi’s strategy and business development executive director of Tadweer highlighted to Alkaabi how Tadweer could improve the waste management practices to make it more sustainable. Furthermore, assisting the center gets more benefit from the waste s instead of losing this valuable waste into landfills. Consequently, Mr. Abdulrahman must grapple with some difficult questions: how much the effectiveness in collecting waste from where it generated and removing it out-of-sight?\n            \n            \n              Complexity academic level\n              This case study is designed for undergraduate and postgraduate students, and executive MBA students of business management programs, especially for waste management, environmental management and strategic management courses.\n            \n            \n              Supplementary materials\n              Teaching Notes are available upon request.\n            \n            \n              Subject code\n              CSS 4: Environmental management.","container-title":"Emerald Emerging Markets Case Studies","DOI":"10.1108/EEMCS-08-2019-0210","ISSN":"2045-0621","issue":"2","journalAbbreviation":"EEMCS","language":"en","page":"1-26","source":"DOI.org (Crossref)","title":"Tadweer: improving municipal solid waste sustainability practices","title-short":"Tadweer","volume":"10","author":[{"family":"Al Bloushi","given":"Badreya Gharib"},{"family":"Ahmad","given":"Syed Zamberi"},{"family":"Bani Mfarrej","given":"Manar Fawzi"}],"issued":{"date-parts":[["2020",4,29]]}}}],"schema":"https://github.com/citation-style-language/schema/raw/master/csl-citation.json"} </w:instrText>
      </w:r>
      <w:r w:rsidRPr="00597FFB">
        <w:rPr>
          <w:rFonts w:ascii="Times New Roman" w:eastAsia="Calibri" w:hAnsi="Times New Roman" w:cs="Times New Roman"/>
          <w:sz w:val="24"/>
          <w:szCs w:val="24"/>
        </w:rPr>
        <w:fldChar w:fldCharType="separate"/>
      </w:r>
      <w:r w:rsidR="00B35F6C" w:rsidRPr="00597FFB">
        <w:rPr>
          <w:rFonts w:ascii="Times New Roman" w:hAnsi="Times New Roman" w:cs="Times New Roman"/>
          <w:sz w:val="24"/>
        </w:rPr>
        <w:t>(Al Bloushi et al., 2020a)</w:t>
      </w:r>
      <w:r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 xml:space="preserve"> which is also mentioned as one of the challenges faced in developing EWR intentions </w:t>
      </w:r>
      <w:r w:rsidRPr="00597FFB">
        <w:rPr>
          <w:rFonts w:ascii="Times New Roman" w:eastAsia="Calibri" w:hAnsi="Times New Roman" w:cs="Times New Roman"/>
          <w:b/>
          <w:bCs/>
          <w:sz w:val="24"/>
          <w:szCs w:val="24"/>
        </w:rPr>
        <w:t xml:space="preserve"> </w:t>
      </w:r>
      <w:r w:rsidRPr="00597FFB">
        <w:rPr>
          <w:rFonts w:ascii="Times New Roman" w:eastAsia="Calibri" w:hAnsi="Times New Roman" w:cs="Times New Roman"/>
          <w:sz w:val="24"/>
          <w:szCs w:val="24"/>
        </w:rPr>
        <w:fldChar w:fldCharType="begin"/>
      </w:r>
      <w:r w:rsidR="00B35F6C" w:rsidRPr="00597FFB">
        <w:rPr>
          <w:rFonts w:ascii="Times New Roman" w:eastAsia="Calibri" w:hAnsi="Times New Roman" w:cs="Times New Roman"/>
          <w:sz w:val="24"/>
          <w:szCs w:val="24"/>
        </w:rPr>
        <w:instrText xml:space="preserve"> ADDIN ZOTERO_ITEM CSL_CITATION {"citationID":"2VitCpoV","properties":{"formattedCitation":"(M. Aboelmaged, 2021f)","plainCitation":"(M. Aboelmaged, 2021f)","noteIndex":0},"citationItems":[{"id":3566,"uris":["http://zotero.org/users/local/b6CRLSJH/items/JVJFVCUF"],"itemData":{"id":3566,"type":"article-journal","abstract":"This study examines the determinants of e-waste recycling intention among young consumers in an emerging economy context by integrating habits into a prominent model that predicts people’s behaviour, namely, the theory of planned behaviour. Young consumers contribute signiﬁcantly to the outgrowth of e-waste problem as front-runners in the consumption, generation and management processes. Survey data have been analysed using Partial Least Squares Structural Equation Modelling (PLSSEM) approach as a multivariate statistical method. The ﬁndings show that the integrated model can explain more than 47 per cent of the variance in the young consumers’ e-waste recycling intention which reﬂects good explanatory power and conﬁrms its robustness. The role of recycling habits and perceived attitudes are demonstrated as strong predictors of young adults’ e-waste recycling intention. Surprisingly, constructs of the theory of planned behaviour (TPB) involving subjective norms and behavioural control show no signiﬁcant inﬂuence on the e-waste recycling intention of young consumers. Building on these ﬁndings, e-waste recycling programs should ﬁrst target attitudes and create speciﬁc cues that trigger habits. The paper also concludes with several social and practical implications that can foster ewaste recycling policies.","container-title":"Journal of Cleaner Production","DOI":"10.1016/j.jclepro.2020.124182","ISSN":"09596526","journalAbbreviation":"Journal of Cleaner Production","language":"en","page":"124182","source":"DOI.org (Crossref)","title":"E-waste recycling behaviour: An integration of recycling habits into the theory of planned behaviour","title-short":"E-waste recycling behaviour","volume":"278","author":[{"family":"Aboelmaged","given":"Mohamed"}],"issued":{"date-parts":[["2021",1]]}}}],"schema":"https://github.com/citation-style-language/schema/raw/master/csl-citation.json"} </w:instrText>
      </w:r>
      <w:r w:rsidRPr="00597FFB">
        <w:rPr>
          <w:rFonts w:ascii="Times New Roman" w:eastAsia="Calibri" w:hAnsi="Times New Roman" w:cs="Times New Roman"/>
          <w:sz w:val="24"/>
          <w:szCs w:val="24"/>
        </w:rPr>
        <w:fldChar w:fldCharType="separate"/>
      </w:r>
      <w:r w:rsidR="00B35F6C" w:rsidRPr="00597FFB">
        <w:rPr>
          <w:rFonts w:ascii="Times New Roman" w:hAnsi="Times New Roman" w:cs="Times New Roman"/>
          <w:sz w:val="24"/>
        </w:rPr>
        <w:t>(M. Aboelmaged, 2021f)</w:t>
      </w:r>
      <w:r w:rsidRPr="00597FFB">
        <w:rPr>
          <w:rFonts w:ascii="Times New Roman" w:eastAsia="Calibri" w:hAnsi="Times New Roman" w:cs="Times New Roman"/>
          <w:sz w:val="24"/>
          <w:szCs w:val="24"/>
        </w:rPr>
        <w:fldChar w:fldCharType="end"/>
      </w:r>
      <w:r w:rsidRPr="00597FFB">
        <w:rPr>
          <w:rFonts w:ascii="Times New Roman" w:eastAsia="Calibri" w:hAnsi="Times New Roman" w:cs="Times New Roman"/>
          <w:sz w:val="24"/>
          <w:szCs w:val="24"/>
        </w:rPr>
        <w:t>.</w:t>
      </w:r>
    </w:p>
    <w:p w14:paraId="65EADE53" w14:textId="77777777" w:rsidR="00397DAB" w:rsidRPr="00597FFB" w:rsidRDefault="00397DAB" w:rsidP="00916622">
      <w:pPr>
        <w:widowControl w:val="0"/>
        <w:spacing w:line="480" w:lineRule="auto"/>
        <w:ind w:firstLine="720"/>
        <w:jc w:val="both"/>
        <w:rPr>
          <w:rFonts w:ascii="Times New Roman" w:eastAsia="Calibri" w:hAnsi="Times New Roman" w:cs="Times New Roman"/>
          <w:color w:val="000000"/>
          <w:sz w:val="24"/>
          <w:szCs w:val="24"/>
        </w:rPr>
      </w:pPr>
      <w:r w:rsidRPr="00597FFB">
        <w:rPr>
          <w:rFonts w:ascii="Times New Roman" w:eastAsia="Calibri" w:hAnsi="Times New Roman" w:cs="Times New Roman"/>
          <w:color w:val="000000"/>
          <w:sz w:val="24"/>
          <w:szCs w:val="24"/>
        </w:rPr>
        <w:t xml:space="preserve">As this study clearly identified which recycling behavioral factors/variables are priority to millennials, future research should address these factors specifically with more in-depth analysis such as how and why the factors/variables interact as to predict or influence EWR behavioral intention and adoption. Based on this, researchers could develop models about the enablers and/or impeders of EWR adoption among millennials and other populations across different regions of the world. This would likely result in furthering discourse and understanding about how to interest more populations in engaging in EWR thereby potentially contributing to the reduction of unrecycled e-waste. These future </w:t>
      </w:r>
      <w:r w:rsidRPr="00597FFB">
        <w:rPr>
          <w:rFonts w:ascii="Times New Roman" w:eastAsia="Calibri" w:hAnsi="Times New Roman" w:cs="Times New Roman"/>
          <w:sz w:val="24"/>
          <w:szCs w:val="24"/>
        </w:rPr>
        <w:t>studies</w:t>
      </w:r>
      <w:r w:rsidRPr="00597FFB">
        <w:rPr>
          <w:rFonts w:ascii="Times New Roman" w:eastAsia="Calibri" w:hAnsi="Times New Roman" w:cs="Times New Roman"/>
          <w:color w:val="000000"/>
          <w:sz w:val="24"/>
          <w:szCs w:val="24"/>
        </w:rPr>
        <w:t xml:space="preserve"> could use the extended TPB, extended NAT, and extended PMT frameworks that were proposed and tested in this study either together or in isolation as was the case in this study. As this study created a foundation for further research on millennial behavior within the context of EWR, the proposed frameworks could be used to address EWR challenges in other regions and populations for comparison of whether the effect of the factors/variables would still apply in cultural, economic, and social settings that are different from those of the UAE. For instance, it may be found that incentives/rewards may not be as vital in driving EWR behavior intention and adoption in cultures where care for the environment is an inherent cultural aspect, as they have been found to be in this research.</w:t>
      </w:r>
    </w:p>
    <w:p w14:paraId="41643DF5" w14:textId="4D162D82" w:rsidR="00256727" w:rsidRPr="00597FFB" w:rsidRDefault="00397DAB" w:rsidP="00916622">
      <w:pPr>
        <w:widowControl w:val="0"/>
        <w:spacing w:line="480" w:lineRule="auto"/>
        <w:ind w:firstLine="36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It is suggested that future studies examine the relationships proposed in the 3R (Reuse, Refurbish, and Recycle) model statistically, on a much larger, more representative sample to determine both the relationships strengths and validity. This would not only help with validating the relationships that have been suggested to exist in the 3R model but also overcome some of the current studies limitations in being able to confidently generalize the results to the wider population.</w:t>
      </w:r>
    </w:p>
    <w:p w14:paraId="7B0FC2CD" w14:textId="11902411" w:rsidR="0036588E" w:rsidRPr="00597FFB" w:rsidRDefault="0036588E" w:rsidP="00916622">
      <w:pPr>
        <w:pStyle w:val="Heading2"/>
        <w:spacing w:line="480" w:lineRule="auto"/>
        <w:rPr>
          <w:rFonts w:asciiTheme="majorBidi" w:hAnsiTheme="majorBidi"/>
          <w:b/>
          <w:bCs/>
          <w:color w:val="000000" w:themeColor="text1"/>
          <w:sz w:val="26"/>
          <w:szCs w:val="26"/>
        </w:rPr>
      </w:pPr>
      <w:bookmarkStart w:id="301" w:name="_Toc127170387"/>
      <w:r w:rsidRPr="00597FFB">
        <w:rPr>
          <w:rFonts w:asciiTheme="majorBidi" w:hAnsiTheme="majorBidi"/>
          <w:b/>
          <w:bCs/>
          <w:color w:val="000000" w:themeColor="text1"/>
          <w:sz w:val="26"/>
          <w:szCs w:val="26"/>
        </w:rPr>
        <w:t>6.7. Chapter Summary</w:t>
      </w:r>
      <w:r w:rsidR="00256727" w:rsidRPr="00597FFB">
        <w:rPr>
          <w:rFonts w:asciiTheme="majorBidi" w:hAnsiTheme="majorBidi"/>
          <w:b/>
          <w:bCs/>
          <w:color w:val="000000" w:themeColor="text1"/>
          <w:sz w:val="26"/>
          <w:szCs w:val="26"/>
        </w:rPr>
        <w:t>.</w:t>
      </w:r>
      <w:bookmarkEnd w:id="301"/>
    </w:p>
    <w:p w14:paraId="3E5351A6" w14:textId="72768797" w:rsidR="00397DAB" w:rsidRPr="00597FFB" w:rsidRDefault="00397DAB" w:rsidP="00916622">
      <w:pPr>
        <w:widowControl w:val="0"/>
        <w:spacing w:line="480" w:lineRule="auto"/>
        <w:ind w:firstLine="720"/>
        <w:jc w:val="both"/>
        <w:rPr>
          <w:rFonts w:ascii="Times New Roman" w:eastAsia="Calibri" w:hAnsi="Times New Roman" w:cs="Times New Roman"/>
          <w:sz w:val="24"/>
          <w:szCs w:val="24"/>
        </w:rPr>
      </w:pPr>
      <w:r w:rsidRPr="00597FFB">
        <w:rPr>
          <w:rFonts w:ascii="Times New Roman" w:eastAsia="Calibri" w:hAnsi="Times New Roman" w:cs="Times New Roman"/>
          <w:sz w:val="24"/>
          <w:szCs w:val="24"/>
        </w:rPr>
        <w:t xml:space="preserve">The purpose of this chapter was to draw the entire research to a conclusion. A brief recap of the overall study and the summary of key findings in line with study objectives and integrating the corresponding research hypotheses was presented in section 6.1. Section 6.2 presented the study conclusions based on the research objectives and hypotheses. In section 6.3, the contribution of this study to theory, practice, and methodology are presented. This study’s implications for theory, the implications for practice, and the societal implications were outlined in section 6.4. The research limitations and approaches to delimit them were presented in section 6.5. Finally, the suggestions for further research constituted section 6.6, which preceded the current section. Table </w:t>
      </w:r>
      <w:r w:rsidR="00D92EC0" w:rsidRPr="00597FFB">
        <w:rPr>
          <w:rFonts w:ascii="Times New Roman" w:eastAsia="Calibri" w:hAnsi="Times New Roman" w:cs="Times New Roman"/>
          <w:sz w:val="24"/>
          <w:szCs w:val="24"/>
        </w:rPr>
        <w:t>2</w:t>
      </w:r>
      <w:r w:rsidR="007240DC" w:rsidRPr="00597FFB">
        <w:rPr>
          <w:rFonts w:ascii="Times New Roman" w:eastAsia="Calibri" w:hAnsi="Times New Roman" w:cs="Times New Roman"/>
          <w:sz w:val="24"/>
          <w:szCs w:val="24"/>
        </w:rPr>
        <w:t>7</w:t>
      </w:r>
      <w:r w:rsidRPr="00597FFB">
        <w:rPr>
          <w:rFonts w:ascii="Times New Roman" w:eastAsia="Calibri" w:hAnsi="Times New Roman" w:cs="Times New Roman"/>
          <w:sz w:val="24"/>
          <w:szCs w:val="24"/>
        </w:rPr>
        <w:t xml:space="preserve"> below presents a summary of this study’s key findings, contributions, implications, and limitations.</w:t>
      </w:r>
    </w:p>
    <w:p w14:paraId="1D701D7B" w14:textId="4B3980A3" w:rsidR="00397DAB" w:rsidRPr="00597FFB" w:rsidRDefault="00397DAB" w:rsidP="00397DAB">
      <w:pPr>
        <w:keepNext/>
        <w:spacing w:after="0" w:line="240" w:lineRule="auto"/>
        <w:rPr>
          <w:rFonts w:ascii="Times New Roman" w:eastAsia="Calibri" w:hAnsi="Times New Roman" w:cs="Times New Roman"/>
          <w:i/>
          <w:iCs/>
        </w:rPr>
      </w:pPr>
      <w:r w:rsidRPr="00597FFB">
        <w:rPr>
          <w:rFonts w:ascii="Times New Roman" w:eastAsia="Calibri" w:hAnsi="Times New Roman" w:cs="Times New Roman"/>
          <w:b/>
          <w:bCs/>
        </w:rPr>
        <w:t xml:space="preserve">Table </w:t>
      </w:r>
      <w:r w:rsidR="00135826" w:rsidRPr="00597FFB">
        <w:rPr>
          <w:rFonts w:ascii="Times New Roman" w:eastAsia="Calibri" w:hAnsi="Times New Roman" w:cs="Times New Roman"/>
          <w:b/>
          <w:bCs/>
        </w:rPr>
        <w:t>2</w:t>
      </w:r>
      <w:r w:rsidR="00607DF3" w:rsidRPr="00597FFB">
        <w:rPr>
          <w:rFonts w:ascii="Times New Roman" w:eastAsia="Calibri" w:hAnsi="Times New Roman" w:cs="Times New Roman"/>
          <w:b/>
          <w:bCs/>
        </w:rPr>
        <w:t>7</w:t>
      </w:r>
      <w:r w:rsidR="00135826" w:rsidRPr="00597FFB">
        <w:rPr>
          <w:rFonts w:ascii="Times New Roman" w:eastAsia="Calibri" w:hAnsi="Times New Roman" w:cs="Times New Roman"/>
          <w:b/>
          <w:bCs/>
        </w:rPr>
        <w:t xml:space="preserve">: </w:t>
      </w:r>
      <w:r w:rsidRPr="00597FFB">
        <w:rPr>
          <w:rFonts w:ascii="Times New Roman" w:eastAsia="Calibri" w:hAnsi="Times New Roman" w:cs="Times New Roman"/>
          <w:i/>
          <w:iCs/>
        </w:rPr>
        <w:t xml:space="preserve">Summary </w:t>
      </w:r>
      <w:r w:rsidR="00715149" w:rsidRPr="00597FFB">
        <w:rPr>
          <w:rFonts w:ascii="Times New Roman" w:eastAsia="Calibri" w:hAnsi="Times New Roman" w:cs="Times New Roman"/>
          <w:i/>
          <w:iCs/>
        </w:rPr>
        <w:t>o</w:t>
      </w:r>
      <w:r w:rsidR="00135826" w:rsidRPr="00597FFB">
        <w:rPr>
          <w:rFonts w:ascii="Times New Roman" w:eastAsia="Calibri" w:hAnsi="Times New Roman" w:cs="Times New Roman"/>
          <w:i/>
          <w:iCs/>
        </w:rPr>
        <w:t xml:space="preserve">f Key Findings, Contributions, Implications, </w:t>
      </w:r>
      <w:r w:rsidR="00715149" w:rsidRPr="00597FFB">
        <w:rPr>
          <w:rFonts w:ascii="Times New Roman" w:eastAsia="Calibri" w:hAnsi="Times New Roman" w:cs="Times New Roman"/>
          <w:i/>
          <w:iCs/>
        </w:rPr>
        <w:t>a</w:t>
      </w:r>
      <w:r w:rsidR="00135826" w:rsidRPr="00597FFB">
        <w:rPr>
          <w:rFonts w:ascii="Times New Roman" w:eastAsia="Calibri" w:hAnsi="Times New Roman" w:cs="Times New Roman"/>
          <w:i/>
          <w:iCs/>
        </w:rPr>
        <w:t xml:space="preserve">nd Limitations </w:t>
      </w:r>
      <w:r w:rsidR="00715149" w:rsidRPr="00597FFB">
        <w:rPr>
          <w:rFonts w:ascii="Times New Roman" w:eastAsia="Calibri" w:hAnsi="Times New Roman" w:cs="Times New Roman"/>
          <w:i/>
          <w:iCs/>
        </w:rPr>
        <w:t>o</w:t>
      </w:r>
      <w:r w:rsidR="00135826" w:rsidRPr="00597FFB">
        <w:rPr>
          <w:rFonts w:ascii="Times New Roman" w:eastAsia="Calibri" w:hAnsi="Times New Roman" w:cs="Times New Roman"/>
          <w:i/>
          <w:iCs/>
        </w:rPr>
        <w:t>f This Study.</w:t>
      </w:r>
    </w:p>
    <w:tbl>
      <w:tblPr>
        <w:tblStyle w:val="TableGrid15"/>
        <w:tblW w:w="0" w:type="auto"/>
        <w:tblLook w:val="04A0" w:firstRow="1" w:lastRow="0" w:firstColumn="1" w:lastColumn="0" w:noHBand="0" w:noVBand="1"/>
      </w:tblPr>
      <w:tblGrid>
        <w:gridCol w:w="7579"/>
      </w:tblGrid>
      <w:tr w:rsidR="00DF2975" w:rsidRPr="00597FFB" w14:paraId="0E0BEFF5" w14:textId="77777777" w:rsidTr="000E48F1">
        <w:tc>
          <w:tcPr>
            <w:tcW w:w="7910" w:type="dxa"/>
          </w:tcPr>
          <w:p w14:paraId="681523D1" w14:textId="77777777" w:rsidR="00DF2975" w:rsidRPr="00597FFB" w:rsidRDefault="00DF2975" w:rsidP="000E48F1">
            <w:pPr>
              <w:widowControl w:val="0"/>
              <w:jc w:val="center"/>
              <w:rPr>
                <w:rFonts w:ascii="Times New Roman" w:hAnsi="Times New Roman" w:cs="Times New Roman"/>
                <w:b/>
                <w:bCs/>
                <w:sz w:val="24"/>
                <w:szCs w:val="24"/>
              </w:rPr>
            </w:pPr>
            <w:r w:rsidRPr="00597FFB">
              <w:rPr>
                <w:rFonts w:ascii="Times New Roman" w:hAnsi="Times New Roman" w:cs="Times New Roman"/>
                <w:b/>
                <w:bCs/>
                <w:sz w:val="24"/>
                <w:szCs w:val="24"/>
              </w:rPr>
              <w:t>Key Findings Based on Study Objectives</w:t>
            </w:r>
          </w:p>
        </w:tc>
      </w:tr>
      <w:tr w:rsidR="00DF2975" w:rsidRPr="00597FFB" w14:paraId="78391985" w14:textId="77777777" w:rsidTr="000E48F1">
        <w:tc>
          <w:tcPr>
            <w:tcW w:w="7910" w:type="dxa"/>
          </w:tcPr>
          <w:p w14:paraId="7B01341C" w14:textId="77777777" w:rsidR="00DF2975" w:rsidRPr="00597FFB" w:rsidRDefault="00DF2975" w:rsidP="000E48F1">
            <w:pPr>
              <w:widowControl w:val="0"/>
              <w:numPr>
                <w:ilvl w:val="0"/>
                <w:numId w:val="22"/>
              </w:numPr>
              <w:contextualSpacing/>
              <w:jc w:val="both"/>
              <w:rPr>
                <w:rFonts w:ascii="Times New Roman" w:hAnsi="Times New Roman" w:cs="Times New Roman"/>
                <w:sz w:val="24"/>
                <w:szCs w:val="24"/>
              </w:rPr>
            </w:pPr>
            <w:r w:rsidRPr="00597FFB">
              <w:rPr>
                <w:rFonts w:ascii="Times New Roman" w:hAnsi="Times New Roman" w:cs="Times New Roman"/>
                <w:sz w:val="24"/>
                <w:szCs w:val="24"/>
              </w:rPr>
              <w:t xml:space="preserve">Environmental values, social norms, and perceived behavioral control influence EWR intentions of UAE millennials positively </w:t>
            </w:r>
          </w:p>
        </w:tc>
      </w:tr>
      <w:tr w:rsidR="00DF2975" w:rsidRPr="00597FFB" w14:paraId="095C3D9B" w14:textId="77777777" w:rsidTr="000E48F1">
        <w:tc>
          <w:tcPr>
            <w:tcW w:w="7910" w:type="dxa"/>
          </w:tcPr>
          <w:p w14:paraId="4194ED31" w14:textId="77777777" w:rsidR="00DF2975" w:rsidRPr="00597FFB" w:rsidRDefault="00DF2975" w:rsidP="000E48F1">
            <w:pPr>
              <w:widowControl w:val="0"/>
              <w:numPr>
                <w:ilvl w:val="0"/>
                <w:numId w:val="22"/>
              </w:numPr>
              <w:contextualSpacing/>
              <w:jc w:val="both"/>
              <w:rPr>
                <w:rFonts w:ascii="Times New Roman" w:hAnsi="Times New Roman" w:cs="Times New Roman"/>
                <w:sz w:val="24"/>
                <w:szCs w:val="24"/>
              </w:rPr>
            </w:pPr>
            <w:r w:rsidRPr="00597FFB">
              <w:rPr>
                <w:rFonts w:ascii="Times New Roman" w:hAnsi="Times New Roman" w:cs="Times New Roman"/>
                <w:sz w:val="24"/>
                <w:szCs w:val="24"/>
              </w:rPr>
              <w:t>Environmental concern, personal norms, knowledge, awareness, responsibility, privacy concern, moral norms, attitude towards EWR positively influence the EWR behavioral intention of UAE’s millennials</w:t>
            </w:r>
          </w:p>
        </w:tc>
      </w:tr>
      <w:tr w:rsidR="00DF2975" w:rsidRPr="00597FFB" w14:paraId="42E642AA" w14:textId="77777777" w:rsidTr="000E48F1">
        <w:tc>
          <w:tcPr>
            <w:tcW w:w="7910" w:type="dxa"/>
          </w:tcPr>
          <w:p w14:paraId="32B41DC1" w14:textId="77777777" w:rsidR="00DF2975" w:rsidRPr="00597FFB" w:rsidRDefault="00DF2975" w:rsidP="000E48F1">
            <w:pPr>
              <w:widowControl w:val="0"/>
              <w:numPr>
                <w:ilvl w:val="0"/>
                <w:numId w:val="22"/>
              </w:numPr>
              <w:contextualSpacing/>
              <w:jc w:val="both"/>
              <w:rPr>
                <w:rFonts w:ascii="Times New Roman" w:hAnsi="Times New Roman" w:cs="Times New Roman"/>
                <w:sz w:val="24"/>
                <w:szCs w:val="24"/>
              </w:rPr>
            </w:pPr>
            <w:r w:rsidRPr="00597FFB">
              <w:rPr>
                <w:rFonts w:ascii="Times New Roman" w:hAnsi="Times New Roman" w:cs="Times New Roman"/>
                <w:sz w:val="24"/>
                <w:szCs w:val="24"/>
              </w:rPr>
              <w:t>Threat appraisal and coping appraisal influence the e-waste protection motivation and EWR behavioral intention of UAE millennials positively</w:t>
            </w:r>
          </w:p>
        </w:tc>
      </w:tr>
      <w:tr w:rsidR="00DF2975" w:rsidRPr="00597FFB" w14:paraId="6BE2D861" w14:textId="77777777" w:rsidTr="000E48F1">
        <w:tc>
          <w:tcPr>
            <w:tcW w:w="7910" w:type="dxa"/>
          </w:tcPr>
          <w:p w14:paraId="16984D86" w14:textId="77777777" w:rsidR="00DF2975" w:rsidRPr="00597FFB" w:rsidRDefault="00DF2975" w:rsidP="000E48F1">
            <w:pPr>
              <w:widowControl w:val="0"/>
              <w:numPr>
                <w:ilvl w:val="0"/>
                <w:numId w:val="22"/>
              </w:numPr>
              <w:contextualSpacing/>
              <w:jc w:val="both"/>
              <w:rPr>
                <w:rFonts w:ascii="Times New Roman" w:hAnsi="Times New Roman" w:cs="Times New Roman"/>
                <w:sz w:val="24"/>
                <w:szCs w:val="24"/>
              </w:rPr>
            </w:pPr>
            <w:r w:rsidRPr="00597FFB">
              <w:rPr>
                <w:rFonts w:ascii="Times New Roman" w:hAnsi="Times New Roman" w:cs="Times New Roman"/>
                <w:sz w:val="24"/>
                <w:szCs w:val="24"/>
              </w:rPr>
              <w:t>Habits play a significant, negative role in influencing the intent of UAE millennials to adopt EWR</w:t>
            </w:r>
          </w:p>
        </w:tc>
      </w:tr>
      <w:tr w:rsidR="00DF2975" w:rsidRPr="00597FFB" w14:paraId="6194F762" w14:textId="77777777" w:rsidTr="000E48F1">
        <w:tc>
          <w:tcPr>
            <w:tcW w:w="7910" w:type="dxa"/>
          </w:tcPr>
          <w:p w14:paraId="7894051C" w14:textId="77777777" w:rsidR="00DF2975" w:rsidRPr="00597FFB" w:rsidRDefault="00DF2975" w:rsidP="000E48F1">
            <w:pPr>
              <w:widowControl w:val="0"/>
              <w:numPr>
                <w:ilvl w:val="0"/>
                <w:numId w:val="22"/>
              </w:numPr>
              <w:contextualSpacing/>
              <w:jc w:val="both"/>
              <w:rPr>
                <w:rFonts w:ascii="Times New Roman" w:hAnsi="Times New Roman" w:cs="Times New Roman"/>
                <w:sz w:val="24"/>
                <w:szCs w:val="24"/>
              </w:rPr>
            </w:pPr>
            <w:r w:rsidRPr="00597FFB">
              <w:rPr>
                <w:rFonts w:ascii="Times New Roman" w:hAnsi="Times New Roman" w:cs="Times New Roman"/>
                <w:sz w:val="24"/>
                <w:szCs w:val="24"/>
              </w:rPr>
              <w:t>Behavioral control factors (such as environmental concern, personal norm, and environment assessment) play a significant interacting, mediation and moderation role on the relationship between EWR intention and adoption</w:t>
            </w:r>
          </w:p>
        </w:tc>
      </w:tr>
      <w:tr w:rsidR="00DF2975" w:rsidRPr="00597FFB" w14:paraId="6FF2C49C" w14:textId="77777777" w:rsidTr="000E48F1">
        <w:tc>
          <w:tcPr>
            <w:tcW w:w="7910" w:type="dxa"/>
          </w:tcPr>
          <w:p w14:paraId="2AE36051" w14:textId="77777777" w:rsidR="00DF2975" w:rsidRPr="00597FFB" w:rsidRDefault="00DF2975" w:rsidP="000E48F1">
            <w:pPr>
              <w:widowControl w:val="0"/>
              <w:jc w:val="center"/>
              <w:rPr>
                <w:rFonts w:ascii="Times New Roman" w:hAnsi="Times New Roman" w:cs="Times New Roman"/>
                <w:b/>
                <w:bCs/>
                <w:sz w:val="24"/>
                <w:szCs w:val="24"/>
              </w:rPr>
            </w:pPr>
            <w:r w:rsidRPr="00597FFB">
              <w:rPr>
                <w:rFonts w:ascii="Times New Roman" w:hAnsi="Times New Roman" w:cs="Times New Roman"/>
                <w:b/>
                <w:bCs/>
                <w:sz w:val="24"/>
                <w:szCs w:val="24"/>
              </w:rPr>
              <w:t>Contributions</w:t>
            </w:r>
          </w:p>
        </w:tc>
      </w:tr>
      <w:tr w:rsidR="00DF2975" w:rsidRPr="00597FFB" w14:paraId="3A1D6550" w14:textId="77777777" w:rsidTr="000E48F1">
        <w:tc>
          <w:tcPr>
            <w:tcW w:w="7910" w:type="dxa"/>
          </w:tcPr>
          <w:p w14:paraId="4F6D95EC"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Theoretical Contributions</w:t>
            </w:r>
          </w:p>
        </w:tc>
      </w:tr>
      <w:tr w:rsidR="00DF2975" w:rsidRPr="00597FFB" w14:paraId="50B2F0B4" w14:textId="77777777" w:rsidTr="000E48F1">
        <w:tc>
          <w:tcPr>
            <w:tcW w:w="7910" w:type="dxa"/>
          </w:tcPr>
          <w:p w14:paraId="14C47B17"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Extends the TPB application in waste management by exploring the significance of environmental concern, incentives (financial/nonfinancial) and environmental values</w:t>
            </w:r>
          </w:p>
        </w:tc>
      </w:tr>
      <w:tr w:rsidR="00DF2975" w:rsidRPr="00597FFB" w14:paraId="6B9BC870" w14:textId="77777777" w:rsidTr="000E48F1">
        <w:tc>
          <w:tcPr>
            <w:tcW w:w="7910" w:type="dxa"/>
          </w:tcPr>
          <w:p w14:paraId="7BC910F0"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Introduces environmental concern as a potential moderator of the strength of the relationship between EWR behavioral intention and actual EWR behavior</w:t>
            </w:r>
          </w:p>
        </w:tc>
      </w:tr>
      <w:tr w:rsidR="00DF2975" w:rsidRPr="00597FFB" w14:paraId="14D198CF" w14:textId="77777777" w:rsidTr="000E48F1">
        <w:tc>
          <w:tcPr>
            <w:tcW w:w="7910" w:type="dxa"/>
          </w:tcPr>
          <w:p w14:paraId="52655743"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Demonstrates that privacy concern over EWR has a significant, positive effect on personal norm</w:t>
            </w:r>
          </w:p>
        </w:tc>
      </w:tr>
      <w:tr w:rsidR="00DF2975" w:rsidRPr="00597FFB" w14:paraId="7499D498" w14:textId="77777777" w:rsidTr="000E48F1">
        <w:tc>
          <w:tcPr>
            <w:tcW w:w="7910" w:type="dxa"/>
          </w:tcPr>
          <w:p w14:paraId="47DFED27"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Shows that personal norm mediates the effect of privacy concerns on EWR intention among UAE millennials</w:t>
            </w:r>
          </w:p>
        </w:tc>
      </w:tr>
      <w:tr w:rsidR="00DF2975" w:rsidRPr="00597FFB" w14:paraId="11285D9A" w14:textId="77777777" w:rsidTr="000E48F1">
        <w:tc>
          <w:tcPr>
            <w:tcW w:w="7910" w:type="dxa"/>
          </w:tcPr>
          <w:p w14:paraId="4C7DCCD8"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Demonstrates that environment assessment is a significant moderator of the relationship between protection motivation and EWR behavioral intentions of UAE millennials</w:t>
            </w:r>
          </w:p>
        </w:tc>
      </w:tr>
      <w:tr w:rsidR="00DF2975" w:rsidRPr="00597FFB" w14:paraId="70C95C57" w14:textId="77777777" w:rsidTr="000E48F1">
        <w:tc>
          <w:tcPr>
            <w:tcW w:w="7910" w:type="dxa"/>
          </w:tcPr>
          <w:p w14:paraId="549B9C55" w14:textId="77777777" w:rsidR="00DF2975" w:rsidRPr="00597FFB" w:rsidRDefault="00DF2975" w:rsidP="000E48F1">
            <w:pPr>
              <w:widowControl w:val="0"/>
              <w:numPr>
                <w:ilvl w:val="0"/>
                <w:numId w:val="23"/>
              </w:numPr>
              <w:contextualSpacing/>
              <w:jc w:val="both"/>
              <w:rPr>
                <w:rFonts w:ascii="Times New Roman" w:hAnsi="Times New Roman" w:cs="Times New Roman"/>
                <w:sz w:val="24"/>
                <w:szCs w:val="24"/>
              </w:rPr>
            </w:pPr>
            <w:r w:rsidRPr="00597FFB">
              <w:rPr>
                <w:rFonts w:ascii="Times New Roman" w:hAnsi="Times New Roman" w:cs="Times New Roman"/>
                <w:sz w:val="24"/>
                <w:szCs w:val="24"/>
              </w:rPr>
              <w:t>Advances the application of the PMT theory in understanding recycling behavioral intention</w:t>
            </w:r>
          </w:p>
        </w:tc>
      </w:tr>
      <w:tr w:rsidR="00DF2975" w:rsidRPr="00597FFB" w14:paraId="2B753DF3" w14:textId="77777777" w:rsidTr="000E48F1">
        <w:tc>
          <w:tcPr>
            <w:tcW w:w="7910" w:type="dxa"/>
          </w:tcPr>
          <w:p w14:paraId="77E87248"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Practical Contributions</w:t>
            </w:r>
          </w:p>
        </w:tc>
      </w:tr>
      <w:tr w:rsidR="00DF2975" w:rsidRPr="00597FFB" w14:paraId="7C5E66FB" w14:textId="77777777" w:rsidTr="000E48F1">
        <w:tc>
          <w:tcPr>
            <w:tcW w:w="7910" w:type="dxa"/>
          </w:tcPr>
          <w:p w14:paraId="4BD66E9D" w14:textId="77777777" w:rsidR="00DF2975" w:rsidRPr="00597FFB" w:rsidRDefault="00DF2975" w:rsidP="000E48F1">
            <w:pPr>
              <w:widowControl w:val="0"/>
              <w:numPr>
                <w:ilvl w:val="0"/>
                <w:numId w:val="24"/>
              </w:numPr>
              <w:contextualSpacing/>
              <w:jc w:val="both"/>
              <w:rPr>
                <w:rFonts w:ascii="Times New Roman" w:hAnsi="Times New Roman" w:cs="Times New Roman"/>
                <w:sz w:val="24"/>
                <w:szCs w:val="24"/>
              </w:rPr>
            </w:pPr>
            <w:r w:rsidRPr="00597FFB">
              <w:rPr>
                <w:rFonts w:ascii="Times New Roman" w:hAnsi="Times New Roman" w:cs="Times New Roman"/>
                <w:sz w:val="24"/>
                <w:szCs w:val="24"/>
              </w:rPr>
              <w:t>The development and testing of the extended TPB, NAT, and PMT models and their respective outcomes provide an avenue through which electronic firms, government, and other EWR actors can better understand the UAE millennial within the perspective of EWR recycling</w:t>
            </w:r>
          </w:p>
        </w:tc>
      </w:tr>
      <w:tr w:rsidR="00DF2975" w:rsidRPr="00597FFB" w14:paraId="704D1150" w14:textId="77777777" w:rsidTr="000E48F1">
        <w:tc>
          <w:tcPr>
            <w:tcW w:w="7910" w:type="dxa"/>
          </w:tcPr>
          <w:p w14:paraId="4CA1A53E" w14:textId="77777777" w:rsidR="00DF2975" w:rsidRPr="00597FFB" w:rsidRDefault="00DF2975" w:rsidP="000E48F1">
            <w:pPr>
              <w:widowControl w:val="0"/>
              <w:numPr>
                <w:ilvl w:val="0"/>
                <w:numId w:val="24"/>
              </w:numPr>
              <w:contextualSpacing/>
              <w:jc w:val="both"/>
              <w:rPr>
                <w:rFonts w:ascii="Times New Roman" w:hAnsi="Times New Roman" w:cs="Times New Roman"/>
                <w:sz w:val="24"/>
                <w:szCs w:val="24"/>
              </w:rPr>
            </w:pPr>
            <w:r w:rsidRPr="00597FFB">
              <w:rPr>
                <w:rFonts w:ascii="Times New Roman" w:hAnsi="Times New Roman" w:cs="Times New Roman"/>
                <w:sz w:val="24"/>
                <w:szCs w:val="24"/>
              </w:rPr>
              <w:t>The extended TPB, NAT, and PMT models particularly target the “new” ethical consumer who deliberately makes consumption choices based on their moral and personal conviction</w:t>
            </w:r>
          </w:p>
        </w:tc>
      </w:tr>
      <w:tr w:rsidR="00DF2975" w:rsidRPr="00597FFB" w14:paraId="69A8A5CC" w14:textId="77777777" w:rsidTr="000E48F1">
        <w:tc>
          <w:tcPr>
            <w:tcW w:w="7910" w:type="dxa"/>
          </w:tcPr>
          <w:p w14:paraId="579E2971" w14:textId="77777777" w:rsidR="00DF2975" w:rsidRPr="00597FFB" w:rsidRDefault="00DF2975" w:rsidP="000E48F1">
            <w:pPr>
              <w:widowControl w:val="0"/>
              <w:numPr>
                <w:ilvl w:val="0"/>
                <w:numId w:val="24"/>
              </w:numPr>
              <w:contextualSpacing/>
              <w:jc w:val="both"/>
              <w:rPr>
                <w:rFonts w:ascii="Times New Roman" w:hAnsi="Times New Roman" w:cs="Times New Roman"/>
                <w:sz w:val="24"/>
                <w:szCs w:val="24"/>
              </w:rPr>
            </w:pPr>
            <w:r w:rsidRPr="00597FFB">
              <w:rPr>
                <w:rFonts w:ascii="Times New Roman" w:hAnsi="Times New Roman" w:cs="Times New Roman"/>
                <w:sz w:val="24"/>
                <w:szCs w:val="24"/>
              </w:rPr>
              <w:t>The findings of this research have practical implications on understanding the role of PCB in enhancing EWR among the operations of e-waste management companies in the UAE and, especially, Enviroserve, to make formal recycling facilities more accessible and within reach of the UAE residents</w:t>
            </w:r>
          </w:p>
        </w:tc>
      </w:tr>
      <w:tr w:rsidR="00DF2975" w:rsidRPr="00597FFB" w14:paraId="7F0DBCB2" w14:textId="77777777" w:rsidTr="000E48F1">
        <w:tc>
          <w:tcPr>
            <w:tcW w:w="7910" w:type="dxa"/>
          </w:tcPr>
          <w:p w14:paraId="05ED6379" w14:textId="77777777" w:rsidR="00DF2975" w:rsidRPr="00597FFB" w:rsidRDefault="00DF2975" w:rsidP="000E48F1">
            <w:pPr>
              <w:widowControl w:val="0"/>
              <w:numPr>
                <w:ilvl w:val="0"/>
                <w:numId w:val="24"/>
              </w:numPr>
              <w:contextualSpacing/>
              <w:jc w:val="both"/>
              <w:rPr>
                <w:rFonts w:ascii="Times New Roman" w:hAnsi="Times New Roman" w:cs="Times New Roman"/>
                <w:sz w:val="24"/>
                <w:szCs w:val="24"/>
              </w:rPr>
            </w:pPr>
            <w:r w:rsidRPr="00597FFB">
              <w:rPr>
                <w:rFonts w:ascii="Times New Roman" w:hAnsi="Times New Roman" w:cs="Times New Roman"/>
                <w:sz w:val="24"/>
                <w:szCs w:val="24"/>
              </w:rPr>
              <w:t>Local municipalities in the UAE to encourage and enforce moral norm through campaigns and education systems backed up by incentives (financial/nonfinancial) to improve and sustain the EWR behavior and adoption at the household level as an internalized norm on an ongoing basis</w:t>
            </w:r>
          </w:p>
        </w:tc>
      </w:tr>
      <w:tr w:rsidR="00DF2975" w:rsidRPr="00597FFB" w14:paraId="03A625FE" w14:textId="77777777" w:rsidTr="000E48F1">
        <w:tc>
          <w:tcPr>
            <w:tcW w:w="7910" w:type="dxa"/>
          </w:tcPr>
          <w:p w14:paraId="4D0CEB27"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Methodological Contributions</w:t>
            </w:r>
          </w:p>
        </w:tc>
      </w:tr>
      <w:tr w:rsidR="00DF2975" w:rsidRPr="00597FFB" w14:paraId="254832D5" w14:textId="77777777" w:rsidTr="000E48F1">
        <w:tc>
          <w:tcPr>
            <w:tcW w:w="7910" w:type="dxa"/>
          </w:tcPr>
          <w:p w14:paraId="180C2731" w14:textId="77777777" w:rsidR="00DF2975" w:rsidRPr="00597FFB" w:rsidRDefault="00DF2975" w:rsidP="000E48F1">
            <w:pPr>
              <w:widowControl w:val="0"/>
              <w:numPr>
                <w:ilvl w:val="0"/>
                <w:numId w:val="25"/>
              </w:numPr>
              <w:contextualSpacing/>
              <w:jc w:val="both"/>
              <w:rPr>
                <w:rFonts w:ascii="Times New Roman" w:hAnsi="Times New Roman" w:cs="Times New Roman"/>
                <w:sz w:val="24"/>
                <w:szCs w:val="24"/>
              </w:rPr>
            </w:pPr>
            <w:r w:rsidRPr="00597FFB">
              <w:rPr>
                <w:rFonts w:ascii="Times New Roman" w:hAnsi="Times New Roman" w:cs="Times New Roman"/>
                <w:sz w:val="24"/>
                <w:szCs w:val="24"/>
              </w:rPr>
              <w:t>Contributes to the growing body of methodologies for studying EWR behavior by demonstrating the application of PLS-SEM as a way of modeling both behavioral intention and behavior adoption albeit from an EWR perspective</w:t>
            </w:r>
          </w:p>
        </w:tc>
      </w:tr>
      <w:tr w:rsidR="00DF2975" w:rsidRPr="00597FFB" w14:paraId="7CEB8EA5" w14:textId="77777777" w:rsidTr="000E48F1">
        <w:tc>
          <w:tcPr>
            <w:tcW w:w="7910" w:type="dxa"/>
          </w:tcPr>
          <w:p w14:paraId="5DD2D96A" w14:textId="77777777" w:rsidR="00DF2975" w:rsidRPr="00597FFB" w:rsidRDefault="00DF2975" w:rsidP="000E48F1">
            <w:pPr>
              <w:widowControl w:val="0"/>
              <w:numPr>
                <w:ilvl w:val="0"/>
                <w:numId w:val="25"/>
              </w:numPr>
              <w:contextualSpacing/>
              <w:jc w:val="both"/>
              <w:rPr>
                <w:rFonts w:ascii="Times New Roman" w:hAnsi="Times New Roman" w:cs="Times New Roman"/>
                <w:sz w:val="24"/>
                <w:szCs w:val="24"/>
              </w:rPr>
            </w:pPr>
            <w:r w:rsidRPr="00597FFB">
              <w:rPr>
                <w:rFonts w:ascii="Times New Roman" w:hAnsi="Times New Roman" w:cs="Times New Roman"/>
                <w:sz w:val="24"/>
                <w:szCs w:val="24"/>
              </w:rPr>
              <w:t>Provides a methodological avenue through which more researchers could replicate the current PLS-SEM approaches to studies about modeling behavioral intention and behavior adoption across multiple sectors</w:t>
            </w:r>
          </w:p>
        </w:tc>
      </w:tr>
      <w:tr w:rsidR="00DF2975" w:rsidRPr="00597FFB" w14:paraId="01987CD8" w14:textId="77777777" w:rsidTr="000E48F1">
        <w:tc>
          <w:tcPr>
            <w:tcW w:w="7910" w:type="dxa"/>
          </w:tcPr>
          <w:p w14:paraId="73CC59A8" w14:textId="77777777" w:rsidR="00DF2975" w:rsidRPr="00597FFB" w:rsidRDefault="00DF2975" w:rsidP="000E48F1">
            <w:pPr>
              <w:widowControl w:val="0"/>
              <w:jc w:val="center"/>
              <w:rPr>
                <w:rFonts w:ascii="Times New Roman" w:hAnsi="Times New Roman" w:cs="Times New Roman"/>
                <w:b/>
                <w:bCs/>
                <w:sz w:val="24"/>
                <w:szCs w:val="24"/>
              </w:rPr>
            </w:pPr>
            <w:r w:rsidRPr="00597FFB">
              <w:rPr>
                <w:rFonts w:ascii="Times New Roman" w:hAnsi="Times New Roman" w:cs="Times New Roman"/>
                <w:b/>
                <w:bCs/>
                <w:sz w:val="24"/>
                <w:szCs w:val="24"/>
              </w:rPr>
              <w:t>Implications</w:t>
            </w:r>
          </w:p>
        </w:tc>
      </w:tr>
      <w:tr w:rsidR="00DF2975" w:rsidRPr="00597FFB" w14:paraId="01B231BB" w14:textId="77777777" w:rsidTr="000E48F1">
        <w:tc>
          <w:tcPr>
            <w:tcW w:w="7910" w:type="dxa"/>
          </w:tcPr>
          <w:p w14:paraId="51FA12DB"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Implications for Theory</w:t>
            </w:r>
          </w:p>
        </w:tc>
      </w:tr>
      <w:tr w:rsidR="00DF2975" w:rsidRPr="00597FFB" w14:paraId="77844F88" w14:textId="77777777" w:rsidTr="000E48F1">
        <w:tc>
          <w:tcPr>
            <w:tcW w:w="7910" w:type="dxa"/>
          </w:tcPr>
          <w:p w14:paraId="2C2A8D87" w14:textId="77777777" w:rsidR="00DF2975" w:rsidRPr="00597FFB" w:rsidRDefault="00DF2975" w:rsidP="000E48F1">
            <w:pPr>
              <w:widowControl w:val="0"/>
              <w:numPr>
                <w:ilvl w:val="0"/>
                <w:numId w:val="26"/>
              </w:numPr>
              <w:contextualSpacing/>
              <w:jc w:val="both"/>
              <w:rPr>
                <w:rFonts w:ascii="Times New Roman" w:hAnsi="Times New Roman" w:cs="Times New Roman"/>
                <w:sz w:val="24"/>
                <w:szCs w:val="24"/>
              </w:rPr>
            </w:pPr>
            <w:r w:rsidRPr="00597FFB">
              <w:rPr>
                <w:rFonts w:ascii="Times New Roman" w:hAnsi="Times New Roman" w:cs="Times New Roman"/>
                <w:sz w:val="24"/>
                <w:szCs w:val="24"/>
              </w:rPr>
              <w:t>It is important to theorize the effect of peer narratives in closing the intention-adoption gap in order to understand millennials’ value orientation with regards to sustainable attitudes and behaviors</w:t>
            </w:r>
          </w:p>
        </w:tc>
      </w:tr>
      <w:tr w:rsidR="00DF2975" w:rsidRPr="00597FFB" w14:paraId="5D531F49" w14:textId="77777777" w:rsidTr="000E48F1">
        <w:tc>
          <w:tcPr>
            <w:tcW w:w="7910" w:type="dxa"/>
          </w:tcPr>
          <w:p w14:paraId="29EBFCEF" w14:textId="77777777" w:rsidR="00DF2975" w:rsidRPr="00597FFB" w:rsidRDefault="00DF2975" w:rsidP="000E48F1">
            <w:pPr>
              <w:widowControl w:val="0"/>
              <w:numPr>
                <w:ilvl w:val="0"/>
                <w:numId w:val="26"/>
              </w:numPr>
              <w:contextualSpacing/>
              <w:jc w:val="both"/>
              <w:rPr>
                <w:rFonts w:ascii="Times New Roman" w:hAnsi="Times New Roman" w:cs="Times New Roman"/>
                <w:sz w:val="24"/>
                <w:szCs w:val="24"/>
              </w:rPr>
            </w:pPr>
            <w:r w:rsidRPr="00597FFB">
              <w:rPr>
                <w:rFonts w:ascii="Times New Roman" w:hAnsi="Times New Roman" w:cs="Times New Roman"/>
                <w:sz w:val="24"/>
                <w:szCs w:val="24"/>
              </w:rPr>
              <w:t>Explaining millennial behavioral intention and behavior adoption is multi-theoretical, multifaceted, and multi-construct phenomenon</w:t>
            </w:r>
          </w:p>
        </w:tc>
      </w:tr>
      <w:tr w:rsidR="00DF2975" w:rsidRPr="00597FFB" w14:paraId="408AEC77" w14:textId="77777777" w:rsidTr="000E48F1">
        <w:tc>
          <w:tcPr>
            <w:tcW w:w="7910" w:type="dxa"/>
          </w:tcPr>
          <w:p w14:paraId="58E411C7"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Implications for Practice</w:t>
            </w:r>
          </w:p>
        </w:tc>
      </w:tr>
      <w:tr w:rsidR="00DF2975" w:rsidRPr="00597FFB" w14:paraId="527BDA5C" w14:textId="77777777" w:rsidTr="000E48F1">
        <w:tc>
          <w:tcPr>
            <w:tcW w:w="7910" w:type="dxa"/>
          </w:tcPr>
          <w:p w14:paraId="2C9E5DA9" w14:textId="77777777" w:rsidR="00DF2975" w:rsidRPr="00597FFB" w:rsidRDefault="00DF2975" w:rsidP="000E48F1">
            <w:pPr>
              <w:widowControl w:val="0"/>
              <w:numPr>
                <w:ilvl w:val="0"/>
                <w:numId w:val="27"/>
              </w:numPr>
              <w:contextualSpacing/>
              <w:jc w:val="both"/>
              <w:rPr>
                <w:rFonts w:ascii="Times New Roman" w:hAnsi="Times New Roman" w:cs="Times New Roman"/>
                <w:sz w:val="24"/>
                <w:szCs w:val="24"/>
              </w:rPr>
            </w:pPr>
            <w:r w:rsidRPr="00597FFB">
              <w:rPr>
                <w:rFonts w:ascii="Times New Roman" w:hAnsi="Times New Roman" w:cs="Times New Roman"/>
                <w:sz w:val="24"/>
                <w:szCs w:val="24"/>
              </w:rPr>
              <w:t>Emphasis on millennials as key stakeholders suggests that any sustainable adoption of EWR must give priority to their needs, expectations and interests</w:t>
            </w:r>
          </w:p>
        </w:tc>
      </w:tr>
      <w:tr w:rsidR="00DF2975" w:rsidRPr="00597FFB" w14:paraId="42654EA8" w14:textId="77777777" w:rsidTr="000E48F1">
        <w:tc>
          <w:tcPr>
            <w:tcW w:w="7910" w:type="dxa"/>
          </w:tcPr>
          <w:p w14:paraId="7474DD93" w14:textId="77777777" w:rsidR="00DF2975" w:rsidRPr="00597FFB" w:rsidRDefault="00DF2975" w:rsidP="000E48F1">
            <w:pPr>
              <w:widowControl w:val="0"/>
              <w:numPr>
                <w:ilvl w:val="0"/>
                <w:numId w:val="27"/>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 xml:space="preserve">Programs and initiatives centered on circular economy gains can influence behaviors toward environmental </w:t>
            </w:r>
            <w:r w:rsidRPr="00597FFB">
              <w:rPr>
                <w:rFonts w:ascii="Times New Roman" w:hAnsi="Times New Roman" w:cs="Times New Roman"/>
                <w:sz w:val="24"/>
                <w:szCs w:val="24"/>
              </w:rPr>
              <w:t>protection</w:t>
            </w:r>
            <w:r w:rsidRPr="00597FFB">
              <w:rPr>
                <w:rFonts w:ascii="Times New Roman" w:hAnsi="Times New Roman" w:cs="Times New Roman"/>
                <w:color w:val="000000"/>
                <w:sz w:val="24"/>
                <w:szCs w:val="24"/>
              </w:rPr>
              <w:t xml:space="preserve">. </w:t>
            </w:r>
          </w:p>
        </w:tc>
      </w:tr>
      <w:tr w:rsidR="00DF2975" w:rsidRPr="00597FFB" w14:paraId="3B646449" w14:textId="77777777" w:rsidTr="000E48F1">
        <w:tc>
          <w:tcPr>
            <w:tcW w:w="7910" w:type="dxa"/>
          </w:tcPr>
          <w:p w14:paraId="43875F6B" w14:textId="77777777" w:rsidR="00DF2975" w:rsidRPr="00597FFB" w:rsidRDefault="00DF2975" w:rsidP="000E48F1">
            <w:pPr>
              <w:widowControl w:val="0"/>
              <w:numPr>
                <w:ilvl w:val="0"/>
                <w:numId w:val="27"/>
              </w:numPr>
              <w:contextualSpacing/>
              <w:jc w:val="both"/>
              <w:rPr>
                <w:rFonts w:ascii="Times New Roman" w:hAnsi="Times New Roman" w:cs="Times New Roman"/>
                <w:sz w:val="24"/>
                <w:szCs w:val="24"/>
              </w:rPr>
            </w:pPr>
            <w:r w:rsidRPr="00597FFB">
              <w:rPr>
                <w:rFonts w:ascii="Times New Roman" w:hAnsi="Times New Roman" w:cs="Times New Roman"/>
                <w:sz w:val="24"/>
                <w:szCs w:val="24"/>
              </w:rPr>
              <w:t>Universities and institutions of higher learning to formulate more focused target on the component variables of NAT in their learning plan, university regulation, and curriculum as a whole</w:t>
            </w:r>
          </w:p>
        </w:tc>
      </w:tr>
      <w:tr w:rsidR="00DF2975" w:rsidRPr="00597FFB" w14:paraId="584FEAD9" w14:textId="77777777" w:rsidTr="000E48F1">
        <w:tc>
          <w:tcPr>
            <w:tcW w:w="7910" w:type="dxa"/>
          </w:tcPr>
          <w:p w14:paraId="15682B40" w14:textId="77777777" w:rsidR="00DF2975" w:rsidRPr="00597FFB" w:rsidRDefault="00DF2975" w:rsidP="000E48F1">
            <w:pPr>
              <w:widowControl w:val="0"/>
              <w:numPr>
                <w:ilvl w:val="0"/>
                <w:numId w:val="27"/>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 xml:space="preserve">The government should create a positive social atmosphere for </w:t>
            </w:r>
            <w:r w:rsidRPr="00597FFB">
              <w:rPr>
                <w:rFonts w:ascii="Times New Roman" w:hAnsi="Times New Roman" w:cs="Times New Roman"/>
                <w:sz w:val="24"/>
                <w:szCs w:val="24"/>
              </w:rPr>
              <w:t>participation</w:t>
            </w:r>
            <w:r w:rsidRPr="00597FFB">
              <w:rPr>
                <w:rFonts w:ascii="Times New Roman" w:hAnsi="Times New Roman" w:cs="Times New Roman"/>
                <w:color w:val="000000"/>
                <w:sz w:val="24"/>
                <w:szCs w:val="24"/>
              </w:rPr>
              <w:t xml:space="preserve"> in formal recycling through multiple media channels, such as local newspaper, subway advertising, and mobile popular social media platform</w:t>
            </w:r>
          </w:p>
        </w:tc>
      </w:tr>
      <w:tr w:rsidR="00DF2975" w:rsidRPr="00597FFB" w14:paraId="26079646" w14:textId="77777777" w:rsidTr="000E48F1">
        <w:tc>
          <w:tcPr>
            <w:tcW w:w="7910" w:type="dxa"/>
          </w:tcPr>
          <w:p w14:paraId="0CF1744E" w14:textId="77777777" w:rsidR="00DF2975" w:rsidRPr="00597FFB" w:rsidRDefault="00DF2975" w:rsidP="000E48F1">
            <w:pPr>
              <w:widowControl w:val="0"/>
              <w:numPr>
                <w:ilvl w:val="0"/>
                <w:numId w:val="27"/>
              </w:numPr>
              <w:contextualSpacing/>
              <w:jc w:val="both"/>
              <w:rPr>
                <w:rFonts w:ascii="Times New Roman" w:hAnsi="Times New Roman" w:cs="Times New Roman"/>
                <w:color w:val="000000"/>
                <w:sz w:val="24"/>
                <w:szCs w:val="24"/>
              </w:rPr>
            </w:pPr>
            <w:r w:rsidRPr="00597FFB">
              <w:rPr>
                <w:rFonts w:ascii="Times New Roman" w:hAnsi="Times New Roman" w:cs="Times New Roman"/>
                <w:color w:val="000000"/>
                <w:sz w:val="24"/>
                <w:szCs w:val="24"/>
              </w:rPr>
              <w:t>Formal recycling channels should be instituted and put more emphasis on the protection of millennials’ privacy</w:t>
            </w:r>
          </w:p>
        </w:tc>
      </w:tr>
      <w:tr w:rsidR="00DF2975" w:rsidRPr="00597FFB" w14:paraId="48489416" w14:textId="77777777" w:rsidTr="000E48F1">
        <w:tc>
          <w:tcPr>
            <w:tcW w:w="7910" w:type="dxa"/>
          </w:tcPr>
          <w:p w14:paraId="0C1CCF47" w14:textId="77777777" w:rsidR="00DF2975" w:rsidRPr="00597FFB" w:rsidRDefault="00DF2975" w:rsidP="000E48F1">
            <w:pPr>
              <w:widowControl w:val="0"/>
              <w:jc w:val="center"/>
              <w:rPr>
                <w:rFonts w:ascii="Times New Roman" w:hAnsi="Times New Roman" w:cs="Times New Roman"/>
                <w:b/>
                <w:bCs/>
                <w:i/>
                <w:iCs/>
                <w:sz w:val="24"/>
                <w:szCs w:val="24"/>
              </w:rPr>
            </w:pPr>
            <w:r w:rsidRPr="00597FFB">
              <w:rPr>
                <w:rFonts w:ascii="Times New Roman" w:hAnsi="Times New Roman" w:cs="Times New Roman"/>
                <w:b/>
                <w:bCs/>
                <w:i/>
                <w:iCs/>
                <w:sz w:val="24"/>
                <w:szCs w:val="24"/>
              </w:rPr>
              <w:t>Societal Implications</w:t>
            </w:r>
          </w:p>
        </w:tc>
      </w:tr>
      <w:tr w:rsidR="00DF2975" w:rsidRPr="00597FFB" w14:paraId="15613DBB" w14:textId="77777777" w:rsidTr="000E48F1">
        <w:tc>
          <w:tcPr>
            <w:tcW w:w="7910" w:type="dxa"/>
          </w:tcPr>
          <w:p w14:paraId="2365D9CC" w14:textId="77777777" w:rsidR="00DF2975" w:rsidRPr="00597FFB" w:rsidRDefault="00DF2975" w:rsidP="000E48F1">
            <w:pPr>
              <w:widowControl w:val="0"/>
              <w:numPr>
                <w:ilvl w:val="0"/>
                <w:numId w:val="28"/>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It is the government’s duty to make the society aware of EWR as a major way to conserve natural resources, to support and fund e-waste retailers and EWR to improve the environmental quality and thus consumers’ quality of life</w:t>
            </w:r>
          </w:p>
        </w:tc>
      </w:tr>
      <w:tr w:rsidR="00DF2975" w:rsidRPr="00597FFB" w14:paraId="78B7ED37" w14:textId="77777777" w:rsidTr="000E48F1">
        <w:tc>
          <w:tcPr>
            <w:tcW w:w="7910" w:type="dxa"/>
          </w:tcPr>
          <w:p w14:paraId="4E89E182" w14:textId="77777777" w:rsidR="00DF2975" w:rsidRPr="00597FFB" w:rsidRDefault="00DF2975" w:rsidP="000E48F1">
            <w:pPr>
              <w:widowControl w:val="0"/>
              <w:numPr>
                <w:ilvl w:val="0"/>
                <w:numId w:val="28"/>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For the academic community:</w:t>
            </w:r>
          </w:p>
          <w:p w14:paraId="1A9D295F" w14:textId="77777777" w:rsidR="00DF2975" w:rsidRPr="00597FFB" w:rsidRDefault="00DF2975" w:rsidP="000E48F1">
            <w:pPr>
              <w:widowControl w:val="0"/>
              <w:numPr>
                <w:ilvl w:val="1"/>
                <w:numId w:val="28"/>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mapped the perspectives of millennials towards EWR and identifying the factors associated with the practicalities of enhancing EWR behavioral intention and adoption from a multi-model perspective</w:t>
            </w:r>
          </w:p>
          <w:p w14:paraId="1A48DFA1" w14:textId="77777777" w:rsidR="00DF2975" w:rsidRPr="00597FFB" w:rsidRDefault="00DF2975" w:rsidP="000E48F1">
            <w:pPr>
              <w:widowControl w:val="0"/>
              <w:numPr>
                <w:ilvl w:val="1"/>
                <w:numId w:val="28"/>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introduced and validated extended TPB, NAT, and PMT models to EWR discourse from the perspective of a selected age demographic in the Arab world</w:t>
            </w:r>
          </w:p>
        </w:tc>
      </w:tr>
      <w:tr w:rsidR="00DF2975" w:rsidRPr="00597FFB" w14:paraId="7CDA8968" w14:textId="77777777" w:rsidTr="000E48F1">
        <w:tc>
          <w:tcPr>
            <w:tcW w:w="7910" w:type="dxa"/>
          </w:tcPr>
          <w:p w14:paraId="43144CFE" w14:textId="77777777" w:rsidR="00DF2975" w:rsidRPr="00597FFB" w:rsidRDefault="00DF2975" w:rsidP="000E48F1">
            <w:pPr>
              <w:widowControl w:val="0"/>
              <w:numPr>
                <w:ilvl w:val="0"/>
                <w:numId w:val="28"/>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Gave call to the need for research on attitudes and intentions of Arab millennials towards e-waste and EWR</w:t>
            </w:r>
          </w:p>
        </w:tc>
      </w:tr>
      <w:tr w:rsidR="00DF2975" w:rsidRPr="00597FFB" w14:paraId="472875FB" w14:textId="77777777" w:rsidTr="000E48F1">
        <w:tc>
          <w:tcPr>
            <w:tcW w:w="7910" w:type="dxa"/>
          </w:tcPr>
          <w:p w14:paraId="66D65284" w14:textId="77777777" w:rsidR="00DF2975" w:rsidRPr="00597FFB" w:rsidRDefault="00DF2975" w:rsidP="000E48F1">
            <w:pPr>
              <w:widowControl w:val="0"/>
              <w:jc w:val="center"/>
              <w:rPr>
                <w:rFonts w:ascii="Times New Roman" w:hAnsi="Times New Roman" w:cs="Times New Roman"/>
                <w:b/>
                <w:bCs/>
                <w:sz w:val="24"/>
                <w:szCs w:val="24"/>
              </w:rPr>
            </w:pPr>
            <w:r w:rsidRPr="00597FFB">
              <w:rPr>
                <w:rFonts w:ascii="Times New Roman" w:hAnsi="Times New Roman" w:cs="Times New Roman"/>
                <w:b/>
                <w:bCs/>
                <w:sz w:val="24"/>
                <w:szCs w:val="24"/>
              </w:rPr>
              <w:t>Limitations</w:t>
            </w:r>
          </w:p>
        </w:tc>
      </w:tr>
      <w:tr w:rsidR="00DF2975" w:rsidRPr="00597FFB" w14:paraId="05034F65" w14:textId="77777777" w:rsidTr="000E48F1">
        <w:tc>
          <w:tcPr>
            <w:tcW w:w="7910" w:type="dxa"/>
          </w:tcPr>
          <w:p w14:paraId="76430AD4"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Use of quantitative methods hindered the assessment and explanation of emotional responses or other physical expressions of participants, which would have eventually enriched the content of the research</w:t>
            </w:r>
          </w:p>
        </w:tc>
      </w:tr>
      <w:tr w:rsidR="00DF2975" w:rsidRPr="00597FFB" w14:paraId="6808467B" w14:textId="77777777" w:rsidTr="000E48F1">
        <w:tc>
          <w:tcPr>
            <w:tcW w:w="7910" w:type="dxa"/>
          </w:tcPr>
          <w:p w14:paraId="6B098A37"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 xml:space="preserve">Application of the nonprobability, nonpurposive convenience sampling technique meant study findings were based on </w:t>
            </w:r>
            <w:r w:rsidRPr="00597FFB">
              <w:rPr>
                <w:rFonts w:ascii="Times New Roman" w:hAnsi="Times New Roman" w:cs="Times New Roman"/>
                <w:sz w:val="24"/>
                <w:szCs w:val="24"/>
              </w:rPr>
              <w:t>a</w:t>
            </w:r>
            <w:r w:rsidRPr="00597FFB">
              <w:rPr>
                <w:rFonts w:ascii="Times New Roman" w:hAnsi="Times New Roman" w:cs="Times New Roman"/>
                <w:color w:val="000000"/>
                <w:sz w:val="24"/>
                <w:szCs w:val="24"/>
              </w:rPr>
              <w:t xml:space="preserve"> </w:t>
            </w:r>
            <w:r w:rsidRPr="00597FFB">
              <w:rPr>
                <w:rFonts w:ascii="Times New Roman" w:hAnsi="Times New Roman" w:cs="Times New Roman"/>
                <w:sz w:val="24"/>
                <w:szCs w:val="24"/>
              </w:rPr>
              <w:t>sample</w:t>
            </w:r>
            <w:r w:rsidRPr="00597FFB">
              <w:rPr>
                <w:rFonts w:ascii="Times New Roman" w:hAnsi="Times New Roman" w:cs="Times New Roman"/>
                <w:color w:val="000000"/>
                <w:sz w:val="24"/>
                <w:szCs w:val="24"/>
              </w:rPr>
              <w:t xml:space="preserve"> that was likely unrepresentative of the population of UAE</w:t>
            </w:r>
          </w:p>
        </w:tc>
      </w:tr>
      <w:tr w:rsidR="00DF2975" w:rsidRPr="00597FFB" w14:paraId="2123E448" w14:textId="77777777" w:rsidTr="000E48F1">
        <w:tc>
          <w:tcPr>
            <w:tcW w:w="7910" w:type="dxa"/>
          </w:tcPr>
          <w:p w14:paraId="2084C91B"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Limitation (2) above to question outright generalization of the study findings to other GCC countries or to the larger Arab world</w:t>
            </w:r>
          </w:p>
        </w:tc>
      </w:tr>
      <w:tr w:rsidR="00DF2975" w:rsidRPr="00597FFB" w14:paraId="11BD2E82" w14:textId="77777777" w:rsidTr="000E48F1">
        <w:tc>
          <w:tcPr>
            <w:tcW w:w="7910" w:type="dxa"/>
          </w:tcPr>
          <w:p w14:paraId="78F95EF7"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The reliability of the constructs tested were questionable, as some of the Cronbach’s Alphas were borderline and not quite at the accepted level of ≥ 0.70 (Hair Jr. et al., 2017, 2022)</w:t>
            </w:r>
          </w:p>
        </w:tc>
      </w:tr>
      <w:tr w:rsidR="00DF2975" w:rsidRPr="00597FFB" w14:paraId="266827DC" w14:textId="77777777" w:rsidTr="000E48F1">
        <w:tc>
          <w:tcPr>
            <w:tcW w:w="7910" w:type="dxa"/>
          </w:tcPr>
          <w:p w14:paraId="21ADDF9C"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The results of this research were based on snapshot data and would, at best, reflect the prevailing situation at the time of the data collection</w:t>
            </w:r>
          </w:p>
        </w:tc>
      </w:tr>
      <w:tr w:rsidR="00DF2975" w:rsidRPr="00597FFB" w14:paraId="69560553" w14:textId="77777777" w:rsidTr="000E48F1">
        <w:tc>
          <w:tcPr>
            <w:tcW w:w="7910" w:type="dxa"/>
          </w:tcPr>
          <w:p w14:paraId="04CDE1A4" w14:textId="77777777" w:rsidR="00DF2975" w:rsidRPr="00597FFB" w:rsidRDefault="00DF2975" w:rsidP="000E48F1">
            <w:pPr>
              <w:widowControl w:val="0"/>
              <w:numPr>
                <w:ilvl w:val="0"/>
                <w:numId w:val="29"/>
              </w:numPr>
              <w:contextualSpacing/>
              <w:jc w:val="both"/>
              <w:rPr>
                <w:rFonts w:ascii="Times New Roman" w:hAnsi="Times New Roman" w:cs="Times New Roman"/>
                <w:sz w:val="24"/>
                <w:szCs w:val="24"/>
              </w:rPr>
            </w:pPr>
            <w:r w:rsidRPr="00597FFB">
              <w:rPr>
                <w:rFonts w:ascii="Times New Roman" w:hAnsi="Times New Roman" w:cs="Times New Roman"/>
                <w:color w:val="000000"/>
                <w:sz w:val="24"/>
                <w:szCs w:val="24"/>
              </w:rPr>
              <w:t>When creating the questionnaire in this study, number of questions was reduced and this could have reduced the predictive power of the subjective norms in the extended TPB model</w:t>
            </w:r>
          </w:p>
        </w:tc>
      </w:tr>
    </w:tbl>
    <w:p w14:paraId="7127B8CB" w14:textId="77777777" w:rsidR="00397DAB" w:rsidRPr="00597FFB" w:rsidRDefault="00397DAB" w:rsidP="00397DAB">
      <w:pPr>
        <w:rPr>
          <w:rFonts w:eastAsiaTheme="minorHAnsi"/>
        </w:rPr>
      </w:pPr>
    </w:p>
    <w:p w14:paraId="70EA297E" w14:textId="77777777" w:rsidR="00397DAB" w:rsidRPr="00597FFB" w:rsidRDefault="00397DAB" w:rsidP="00397DAB">
      <w:pPr>
        <w:widowControl w:val="0"/>
        <w:spacing w:line="240" w:lineRule="auto"/>
        <w:jc w:val="both"/>
        <w:rPr>
          <w:rFonts w:ascii="Times New Roman" w:eastAsia="Calibri" w:hAnsi="Times New Roman" w:cs="Times New Roman"/>
          <w:sz w:val="24"/>
          <w:szCs w:val="24"/>
        </w:rPr>
      </w:pPr>
    </w:p>
    <w:p w14:paraId="6246C939" w14:textId="77777777" w:rsidR="00397DAB" w:rsidRPr="00597FFB" w:rsidRDefault="00397DAB" w:rsidP="00397DAB">
      <w:pPr>
        <w:rPr>
          <w:rFonts w:eastAsiaTheme="minorHAnsi"/>
        </w:rPr>
      </w:pPr>
      <w:r w:rsidRPr="00597FFB">
        <w:rPr>
          <w:rFonts w:eastAsiaTheme="minorHAnsi"/>
        </w:rPr>
        <w:br w:type="page"/>
      </w:r>
    </w:p>
    <w:p w14:paraId="1AD4B7AC" w14:textId="77777777" w:rsidR="00690C74" w:rsidRPr="00597FFB" w:rsidRDefault="00690C74" w:rsidP="00690C74">
      <w:pPr>
        <w:spacing w:line="480" w:lineRule="auto"/>
        <w:jc w:val="both"/>
        <w:rPr>
          <w:rFonts w:ascii="Times New Roman" w:hAnsi="Times New Roman" w:cs="Times New Roman"/>
          <w:sz w:val="24"/>
          <w:szCs w:val="24"/>
        </w:rPr>
        <w:sectPr w:rsidR="00690C74" w:rsidRPr="00597FFB" w:rsidSect="003A2D76">
          <w:pgSz w:w="11909" w:h="16834" w:code="9"/>
          <w:pgMar w:top="1800" w:right="2160" w:bottom="1800" w:left="2160" w:header="720" w:footer="720" w:gutter="0"/>
          <w:lnNumType w:countBy="1" w:restart="continuous"/>
          <w:cols w:space="720"/>
          <w:docGrid w:linePitch="360"/>
        </w:sectPr>
      </w:pPr>
    </w:p>
    <w:p w14:paraId="6D97025F" w14:textId="4AD9B002" w:rsidR="00690C74" w:rsidRPr="00597FFB" w:rsidRDefault="00615A35" w:rsidP="005962CE">
      <w:pPr>
        <w:pStyle w:val="Heading1"/>
        <w:jc w:val="center"/>
        <w:rPr>
          <w:rFonts w:asciiTheme="majorBidi" w:hAnsiTheme="majorBidi"/>
          <w:b/>
          <w:bCs/>
          <w:color w:val="000000" w:themeColor="text1"/>
          <w:sz w:val="28"/>
          <w:szCs w:val="28"/>
        </w:rPr>
      </w:pPr>
      <w:bookmarkStart w:id="302" w:name="_Toc127170388"/>
      <w:r w:rsidRPr="00597FFB">
        <w:rPr>
          <w:rFonts w:asciiTheme="majorBidi" w:hAnsiTheme="majorBidi"/>
          <w:b/>
          <w:bCs/>
          <w:color w:val="000000" w:themeColor="text1"/>
          <w:sz w:val="28"/>
          <w:szCs w:val="28"/>
        </w:rPr>
        <w:t>REFERENCES</w:t>
      </w:r>
      <w:bookmarkEnd w:id="302"/>
    </w:p>
    <w:p w14:paraId="464A2D8C" w14:textId="77777777" w:rsidR="00300DDE" w:rsidRPr="00597FFB" w:rsidRDefault="00300DDE" w:rsidP="00300DDE"/>
    <w:p w14:paraId="2818E03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noProof/>
          <w:kern w:val="24"/>
          <w:sz w:val="24"/>
          <w:szCs w:val="24"/>
          <w:lang w:val="en-GB" w:eastAsia="ja-JP"/>
        </w:rPr>
        <w:fldChar w:fldCharType="begin"/>
      </w:r>
      <w:r w:rsidRPr="00597FFB">
        <w:rPr>
          <w:rFonts w:ascii="Times New Roman" w:eastAsia="SimSun" w:hAnsi="Times New Roman" w:cs="Times New Roman"/>
          <w:noProof/>
          <w:kern w:val="24"/>
          <w:sz w:val="24"/>
          <w:szCs w:val="24"/>
          <w:lang w:val="en-GB" w:eastAsia="ja-JP"/>
        </w:rPr>
        <w:instrText xml:space="preserve"> ADDIN ZOTERO_BIBL {"uncited":[],"omitted":[],"custom":[]} CSL_BIBLIOGRAPHY </w:instrText>
      </w:r>
      <w:r w:rsidRPr="00597FFB">
        <w:rPr>
          <w:rFonts w:ascii="Times New Roman" w:eastAsia="SimSun" w:hAnsi="Times New Roman" w:cs="Times New Roman"/>
          <w:noProof/>
          <w:kern w:val="24"/>
          <w:sz w:val="24"/>
          <w:szCs w:val="24"/>
          <w:lang w:val="en-GB" w:eastAsia="ja-JP"/>
        </w:rPr>
        <w:fldChar w:fldCharType="separate"/>
      </w:r>
      <w:r w:rsidRPr="00597FFB">
        <w:rPr>
          <w:rFonts w:ascii="Times New Roman" w:eastAsia="SimSun" w:hAnsi="Times New Roman" w:cs="Times New Roman"/>
          <w:kern w:val="24"/>
          <w:sz w:val="24"/>
          <w:szCs w:val="24"/>
          <w:lang w:val="en-GB" w:eastAsia="ja-JP"/>
        </w:rPr>
        <w:t xml:space="preserve">Abbas, J., &amp; Sağsan, M. (2019). Impact of knowledge management practices on green innovation and corporate sustainable development: A structural analysis.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229</w:t>
      </w:r>
      <w:r w:rsidRPr="00597FFB">
        <w:rPr>
          <w:rFonts w:ascii="Times New Roman" w:eastAsia="SimSun" w:hAnsi="Times New Roman" w:cs="Times New Roman"/>
          <w:kern w:val="24"/>
          <w:sz w:val="24"/>
          <w:szCs w:val="24"/>
          <w:lang w:val="en-GB" w:eastAsia="ja-JP"/>
        </w:rPr>
        <w:t>, 611–620. https://doi.org/10.1016/j.jclepro.2019.05.024</w:t>
      </w:r>
    </w:p>
    <w:p w14:paraId="5D5E377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Abbondanza, M. N. M., &amp; Souza, R. G. (2019). Estimating the generation of household e-waste in municipalities using primary data from surveys: A case study of Sao Jose dos Campos, Brazil. </w:t>
      </w:r>
      <w:r w:rsidRPr="00597FFB">
        <w:rPr>
          <w:rFonts w:ascii="Times New Roman" w:eastAsia="Times New Roman" w:hAnsi="Times New Roman" w:cs="Times New Roman"/>
          <w:i/>
          <w:iCs/>
          <w:color w:val="000000" w:themeColor="text1"/>
          <w:sz w:val="24"/>
          <w:szCs w:val="24"/>
          <w:lang w:eastAsia="en-GB"/>
        </w:rPr>
        <w:t>Waste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85</w:t>
      </w:r>
      <w:r w:rsidRPr="00597FFB">
        <w:rPr>
          <w:rFonts w:ascii="Times New Roman" w:eastAsia="Times New Roman" w:hAnsi="Times New Roman" w:cs="Times New Roman"/>
          <w:color w:val="000000" w:themeColor="text1"/>
          <w:sz w:val="24"/>
          <w:szCs w:val="24"/>
          <w:lang w:eastAsia="en-GB"/>
        </w:rPr>
        <w:t>, 374–384. https://doi.org/10.1016/j.wasman.2018.12.040</w:t>
      </w:r>
    </w:p>
    <w:p w14:paraId="0283C3F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Abdallah, M., Hamdan, S., &amp; Shabib, A. (2021). A multi-objective optimization model for strategic waste management master plans.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284</w:t>
      </w:r>
      <w:r w:rsidRPr="00597FFB">
        <w:rPr>
          <w:rFonts w:ascii="Times New Roman" w:eastAsia="SimSun" w:hAnsi="Times New Roman" w:cs="Times New Roman"/>
          <w:kern w:val="24"/>
          <w:sz w:val="24"/>
          <w:szCs w:val="24"/>
          <w:lang w:val="en-GB" w:eastAsia="ja-JP"/>
        </w:rPr>
        <w:t>, 124714. https://doi.org/10.1016/j.jclepro.2020.124714</w:t>
      </w:r>
    </w:p>
    <w:p w14:paraId="14028F9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Abdelbasir, S. M., Hassan, S. S. M., Kamel, A. H., &amp; El-Nasr, R. S. (2018a). Status of electronic waste recycling techniques: A review.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(17), Article 17. https://doi.org/10.1007/s11356-018-2136-6</w:t>
      </w:r>
    </w:p>
    <w:p w14:paraId="414B3CB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Abdelbasir, S. M., Hassan, S. S. M., Kamel, A. H., &amp; El-Nasr, R. S. (2018b). Status of electronic waste recycling techniques: A review.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(17), 16533–16547. https://doi.org/10.1007/s11356-018-2136-6</w:t>
      </w:r>
    </w:p>
    <w:p w14:paraId="7E6442E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Abdullah, M., Dias, C., Muley, D., &amp; Shahin, Md. (2020). Exploring the impacts of COVID-19 on travel behavior and mode preferences. </w:t>
      </w:r>
      <w:r w:rsidRPr="00597FFB">
        <w:rPr>
          <w:rFonts w:ascii="Times New Roman" w:eastAsia="SimSun" w:hAnsi="Times New Roman" w:cs="Times New Roman"/>
          <w:i/>
          <w:iCs/>
          <w:kern w:val="24"/>
          <w:sz w:val="24"/>
          <w:szCs w:val="24"/>
          <w:lang w:val="en-GB" w:eastAsia="ja-JP"/>
        </w:rPr>
        <w:t>Transportation Research Interdisciplinary Perspectives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w:t>
      </w:r>
      <w:r w:rsidRPr="00597FFB">
        <w:rPr>
          <w:rFonts w:ascii="Times New Roman" w:eastAsia="SimSun" w:hAnsi="Times New Roman" w:cs="Times New Roman"/>
          <w:kern w:val="24"/>
          <w:sz w:val="24"/>
          <w:szCs w:val="24"/>
          <w:lang w:val="en-GB" w:eastAsia="ja-JP"/>
        </w:rPr>
        <w:t>, 100255. https://doi.org/10.1016/j.trip.2020.100255</w:t>
      </w:r>
    </w:p>
    <w:p w14:paraId="67680B6F" w14:textId="7434FB5F"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(2021a). E-waste recycling behavior: An integration of recycling habits into the theory of planned behavior.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1D8B880E" w14:textId="093A4D1C"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(2021b). E-waste recycling behavior: An integration of recycling habits into the theory of planned behaviour.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0CEF35B0" w14:textId="61EBBCD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(2021c). E-waste recycling behavior: An integration of recycling habits into the theory of planned behaviour.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4FEB680B" w14:textId="725DEED9"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(2021d). E-waste recycling behavior: An integration of recycling habits into the theory of planned behaviour.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1503564D" w14:textId="63853441"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(2021e). E-waste recycling behavior: An integration of recycling habits into the theory of planned behavior.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3C127574" w14:textId="5E5F89F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(2021f). E-waste recycling behavior: An integration of recycling habits into the theory of planned behavior.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278</w:t>
      </w:r>
      <w:r w:rsidRPr="00597FFB">
        <w:rPr>
          <w:rFonts w:ascii="Times New Roman" w:eastAsia="SimSun" w:hAnsi="Times New Roman" w:cs="Times New Roman"/>
          <w:kern w:val="24"/>
          <w:sz w:val="24"/>
          <w:szCs w:val="24"/>
          <w:lang w:val="en-GB" w:eastAsia="ja-JP"/>
        </w:rPr>
        <w:t>, 124182. https://doi.org/10.1016/j.jclepro.2020.124182</w:t>
      </w:r>
    </w:p>
    <w:p w14:paraId="2B30C6C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G. (2020a). Acceptance of E-waste Recycling Among Young Adults: An Empirical Study. </w:t>
      </w:r>
      <w:r w:rsidRPr="00597FFB">
        <w:rPr>
          <w:rFonts w:ascii="Times New Roman" w:eastAsia="SimSun" w:hAnsi="Times New Roman" w:cs="Times New Roman"/>
          <w:i/>
          <w:iCs/>
          <w:kern w:val="24"/>
          <w:sz w:val="24"/>
          <w:szCs w:val="24"/>
          <w:lang w:val="en-GB" w:eastAsia="ja-JP"/>
        </w:rPr>
        <w:t>2020 IEEE Conference on Technologies for Sustainability (SusTech)</w:t>
      </w:r>
      <w:r w:rsidRPr="00597FFB">
        <w:rPr>
          <w:rFonts w:ascii="Times New Roman" w:eastAsia="SimSun" w:hAnsi="Times New Roman" w:cs="Times New Roman"/>
          <w:kern w:val="24"/>
          <w:sz w:val="24"/>
          <w:szCs w:val="24"/>
          <w:lang w:val="en-GB" w:eastAsia="ja-JP"/>
        </w:rPr>
        <w:t>, 1–6. https://doi.org/10.1109/SusTech47890.2020.9150485</w:t>
      </w:r>
    </w:p>
    <w:p w14:paraId="094749E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Aboelmaged, M. G. (2020b). Acceptance of E-waste Recycling Among Young Adults: An Empirical Study. </w:t>
      </w:r>
      <w:r w:rsidRPr="00597FFB">
        <w:rPr>
          <w:rFonts w:ascii="Times New Roman" w:eastAsia="SimSun" w:hAnsi="Times New Roman" w:cs="Times New Roman"/>
          <w:i/>
          <w:iCs/>
          <w:kern w:val="24"/>
          <w:sz w:val="24"/>
          <w:szCs w:val="24"/>
          <w:lang w:val="en-GB" w:eastAsia="ja-JP"/>
        </w:rPr>
        <w:t>2020 IEEE Conference on Technologies for Sustainability (SusTech)</w:t>
      </w:r>
      <w:r w:rsidRPr="00597FFB">
        <w:rPr>
          <w:rFonts w:ascii="Times New Roman" w:eastAsia="SimSun" w:hAnsi="Times New Roman" w:cs="Times New Roman"/>
          <w:kern w:val="24"/>
          <w:sz w:val="24"/>
          <w:szCs w:val="24"/>
          <w:lang w:val="en-GB" w:eastAsia="ja-JP"/>
        </w:rPr>
        <w:t>, 1–6. https://doi.org/10.1109/SusTech47890.2020.9150485</w:t>
      </w:r>
    </w:p>
    <w:p w14:paraId="0EEB6CA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Abubakari, M., &amp; Thuranira, B. (2021). The consumer goods sector and the sustainability agenda in Ghana: A review of sustainability commitments. </w:t>
      </w:r>
      <w:r w:rsidRPr="00597FFB">
        <w:rPr>
          <w:rFonts w:ascii="Times New Roman" w:eastAsia="SimSun" w:hAnsi="Times New Roman" w:cs="Times New Roman"/>
          <w:i/>
          <w:iCs/>
          <w:kern w:val="24"/>
          <w:sz w:val="24"/>
          <w:szCs w:val="24"/>
          <w:lang w:val="en-GB" w:eastAsia="ja-JP"/>
        </w:rPr>
        <w:t>Discover 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w:t>
      </w:r>
      <w:r w:rsidRPr="00597FFB">
        <w:rPr>
          <w:rFonts w:ascii="Times New Roman" w:eastAsia="SimSun" w:hAnsi="Times New Roman" w:cs="Times New Roman"/>
          <w:kern w:val="24"/>
          <w:sz w:val="24"/>
          <w:szCs w:val="24"/>
          <w:lang w:val="en-GB" w:eastAsia="ja-JP"/>
        </w:rPr>
        <w:t>(1), 27. https://doi.org/10.1007/s43621-021-00037-8</w:t>
      </w:r>
    </w:p>
    <w:p w14:paraId="78B30F1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(2020a). </w:t>
      </w:r>
      <w:r w:rsidRPr="00597FFB">
        <w:rPr>
          <w:rFonts w:ascii="Times New Roman" w:eastAsia="SimSun" w:hAnsi="Times New Roman" w:cs="Times New Roman"/>
          <w:i/>
          <w:iCs/>
          <w:kern w:val="24"/>
          <w:sz w:val="24"/>
          <w:szCs w:val="24"/>
          <w:lang w:val="en-GB" w:eastAsia="ja-JP"/>
        </w:rPr>
        <w:t>Challenges of adopting sustainable technologies in e-waste management at Agbogbloshie, Ghana</w:t>
      </w:r>
      <w:r w:rsidRPr="00597FFB">
        <w:rPr>
          <w:rFonts w:ascii="Times New Roman" w:eastAsia="SimSun" w:hAnsi="Times New Roman" w:cs="Times New Roman"/>
          <w:kern w:val="24"/>
          <w:sz w:val="24"/>
          <w:szCs w:val="24"/>
          <w:lang w:val="en-GB" w:eastAsia="ja-JP"/>
        </w:rPr>
        <w:t>. 7.</w:t>
      </w:r>
    </w:p>
    <w:p w14:paraId="0855C9F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(2020b). </w:t>
      </w:r>
      <w:r w:rsidRPr="00597FFB">
        <w:rPr>
          <w:rFonts w:ascii="Times New Roman" w:eastAsia="SimSun" w:hAnsi="Times New Roman" w:cs="Times New Roman"/>
          <w:i/>
          <w:iCs/>
          <w:kern w:val="24"/>
          <w:sz w:val="24"/>
          <w:szCs w:val="24"/>
          <w:lang w:val="en-GB" w:eastAsia="ja-JP"/>
        </w:rPr>
        <w:t>Challenges of adopting sustainable technologies in e-waste management at Agbogbloshie, Ghana</w:t>
      </w:r>
      <w:r w:rsidRPr="00597FFB">
        <w:rPr>
          <w:rFonts w:ascii="Times New Roman" w:eastAsia="SimSun" w:hAnsi="Times New Roman" w:cs="Times New Roman"/>
          <w:kern w:val="24"/>
          <w:sz w:val="24"/>
          <w:szCs w:val="24"/>
          <w:lang w:val="en-GB" w:eastAsia="ja-JP"/>
        </w:rPr>
        <w:t>. 7.</w:t>
      </w:r>
    </w:p>
    <w:p w14:paraId="5E317A4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Gbedemah, S. F., &amp; Attah, M. K. (2020a). Challenges of adopting sustainable technologies in e-waste management at Agbogbloshie, Ghana. </w:t>
      </w:r>
      <w:r w:rsidRPr="00597FFB">
        <w:rPr>
          <w:rFonts w:ascii="Times New Roman" w:eastAsia="SimSun" w:hAnsi="Times New Roman" w:cs="Times New Roman"/>
          <w:i/>
          <w:iCs/>
          <w:kern w:val="24"/>
          <w:sz w:val="24"/>
          <w:szCs w:val="24"/>
          <w:lang w:val="en-GB" w:eastAsia="ja-JP"/>
        </w:rPr>
        <w:t>Heliyon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w:t>
      </w:r>
      <w:r w:rsidRPr="00597FFB">
        <w:rPr>
          <w:rFonts w:ascii="Times New Roman" w:eastAsia="SimSun" w:hAnsi="Times New Roman" w:cs="Times New Roman"/>
          <w:kern w:val="24"/>
          <w:sz w:val="24"/>
          <w:szCs w:val="24"/>
          <w:lang w:val="en-GB" w:eastAsia="ja-JP"/>
        </w:rPr>
        <w:t>(8), Article 8. https://doi.org/10.1016/j.heliyon.2020.e04548</w:t>
      </w:r>
    </w:p>
    <w:p w14:paraId="2B2C80B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Gbedemah, S. F., &amp; Attah, M. K. (2020b). Challenges of adopting sustainable technologies in e-waste management at Agbogbloshie, Ghana. </w:t>
      </w:r>
      <w:r w:rsidRPr="00597FFB">
        <w:rPr>
          <w:rFonts w:ascii="Times New Roman" w:eastAsia="SimSun" w:hAnsi="Times New Roman" w:cs="Times New Roman"/>
          <w:i/>
          <w:iCs/>
          <w:kern w:val="24"/>
          <w:sz w:val="24"/>
          <w:szCs w:val="24"/>
          <w:lang w:val="en-GB" w:eastAsia="ja-JP"/>
        </w:rPr>
        <w:t>Heliyon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w:t>
      </w:r>
      <w:r w:rsidRPr="00597FFB">
        <w:rPr>
          <w:rFonts w:ascii="Times New Roman" w:eastAsia="SimSun" w:hAnsi="Times New Roman" w:cs="Times New Roman"/>
          <w:kern w:val="24"/>
          <w:sz w:val="24"/>
          <w:szCs w:val="24"/>
          <w:lang w:val="en-GB" w:eastAsia="ja-JP"/>
        </w:rPr>
        <w:t>(8), e04548. https://doi.org/10.1016/j.heliyon.2020.e04548</w:t>
      </w:r>
    </w:p>
    <w:p w14:paraId="655373B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Gbedemah, S. F., &amp; Attah, M. K. (2020c). Challenges of adopting sustainable technologies in e-waste management at Agbogbloshie, Ghana. </w:t>
      </w:r>
      <w:r w:rsidRPr="00597FFB">
        <w:rPr>
          <w:rFonts w:ascii="Times New Roman" w:eastAsia="SimSun" w:hAnsi="Times New Roman" w:cs="Times New Roman"/>
          <w:i/>
          <w:iCs/>
          <w:kern w:val="24"/>
          <w:sz w:val="24"/>
          <w:szCs w:val="24"/>
          <w:lang w:val="en-GB" w:eastAsia="ja-JP"/>
        </w:rPr>
        <w:t>Heliyon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w:t>
      </w:r>
      <w:r w:rsidRPr="00597FFB">
        <w:rPr>
          <w:rFonts w:ascii="Times New Roman" w:eastAsia="SimSun" w:hAnsi="Times New Roman" w:cs="Times New Roman"/>
          <w:kern w:val="24"/>
          <w:sz w:val="24"/>
          <w:szCs w:val="24"/>
          <w:lang w:val="en-GB" w:eastAsia="ja-JP"/>
        </w:rPr>
        <w:t>(8), Article 8. https://doi.org/10.1016/j.heliyon.2020.e04548</w:t>
      </w:r>
    </w:p>
    <w:p w14:paraId="4D8A9E3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Adanu, S. K., Gbedemah, S. F., &amp; Attah, M. K. (2020d). Challenges of adopting sustainable technologies in e-waste management at Agbogbloshie, Ghana. </w:t>
      </w:r>
      <w:r w:rsidRPr="00597FFB">
        <w:rPr>
          <w:rFonts w:ascii="Times New Roman" w:eastAsia="SimSun" w:hAnsi="Times New Roman" w:cs="Times New Roman"/>
          <w:i/>
          <w:iCs/>
          <w:kern w:val="24"/>
          <w:sz w:val="24"/>
          <w:szCs w:val="24"/>
          <w:lang w:val="en-GB" w:eastAsia="ja-JP"/>
        </w:rPr>
        <w:t>Heliyon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w:t>
      </w:r>
      <w:r w:rsidRPr="00597FFB">
        <w:rPr>
          <w:rFonts w:ascii="Times New Roman" w:eastAsia="SimSun" w:hAnsi="Times New Roman" w:cs="Times New Roman"/>
          <w:kern w:val="24"/>
          <w:sz w:val="24"/>
          <w:szCs w:val="24"/>
          <w:lang w:val="en-GB" w:eastAsia="ja-JP"/>
        </w:rPr>
        <w:t>(8), e04548. https://doi.org/10.1016/j.heliyon.2020.e04548</w:t>
      </w:r>
    </w:p>
    <w:p w14:paraId="59E3F44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Addo, H. O., Dun-Dery, E. J., Afoakwa, E., Elizabeth, A., Ellen, A., &amp; Rebecca, M. (2017). Correlates of domestic waste management and related health outcomes in Sunyani, Ghana: A protocol towards enhancing policy. </w:t>
      </w:r>
      <w:r w:rsidRPr="00597FFB">
        <w:rPr>
          <w:rFonts w:ascii="Times New Roman" w:eastAsia="Times New Roman" w:hAnsi="Times New Roman" w:cs="Times New Roman"/>
          <w:i/>
          <w:iCs/>
          <w:color w:val="000000" w:themeColor="text1"/>
          <w:sz w:val="24"/>
          <w:szCs w:val="24"/>
          <w:lang w:eastAsia="en-GB"/>
        </w:rPr>
        <w:t>BMC Public Health, 17</w:t>
      </w:r>
      <w:r w:rsidRPr="00597FFB">
        <w:rPr>
          <w:rFonts w:ascii="Times New Roman" w:eastAsia="Times New Roman" w:hAnsi="Times New Roman" w:cs="Times New Roman"/>
          <w:color w:val="000000" w:themeColor="text1"/>
          <w:sz w:val="24"/>
          <w:szCs w:val="24"/>
          <w:lang w:eastAsia="en-GB"/>
        </w:rPr>
        <w:t>(615), 1-10. https://doi.10.1186/s12889-017-4537-8</w:t>
      </w:r>
    </w:p>
    <w:p w14:paraId="191E206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Afroz, R., Rahman, A., Masud, M. M., &amp; Akhtar, R. (2017). The knowledge, awareness, attitude and motivational analysis of plastic waste and household perspective in Malaysia.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24</w:t>
      </w:r>
      <w:r w:rsidRPr="00597FFB">
        <w:rPr>
          <w:rFonts w:ascii="Times New Roman" w:eastAsia="SimSun" w:hAnsi="Times New Roman" w:cs="Times New Roman"/>
          <w:kern w:val="24"/>
          <w:sz w:val="24"/>
          <w:szCs w:val="24"/>
          <w:lang w:val="en-GB" w:eastAsia="ja-JP"/>
        </w:rPr>
        <w:t>(3), 2304–2315. https://doi.org/10.1007/s11356-016-7942-0</w:t>
      </w:r>
    </w:p>
    <w:p w14:paraId="33CDF18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Ahirwar, R., &amp; Tripathi, A. K. (2021). E-waste management: A review of recycling process, environmental and occupational health hazards, and potential solutions. </w:t>
      </w:r>
      <w:r w:rsidRPr="00597FFB">
        <w:rPr>
          <w:rFonts w:ascii="Times New Roman" w:eastAsia="SimSun" w:hAnsi="Times New Roman" w:cs="Times New Roman"/>
          <w:i/>
          <w:iCs/>
          <w:kern w:val="24"/>
          <w:sz w:val="24"/>
          <w:szCs w:val="24"/>
          <w:lang w:val="en-GB" w:eastAsia="ja-JP"/>
        </w:rPr>
        <w:t>Environmental Nanotechnology, Monitoring &amp;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w:t>
      </w:r>
      <w:r w:rsidRPr="00597FFB">
        <w:rPr>
          <w:rFonts w:ascii="Times New Roman" w:eastAsia="SimSun" w:hAnsi="Times New Roman" w:cs="Times New Roman"/>
          <w:kern w:val="24"/>
          <w:sz w:val="24"/>
          <w:szCs w:val="24"/>
          <w:lang w:val="en-GB" w:eastAsia="ja-JP"/>
        </w:rPr>
        <w:t>, 100409. https://doi.org/10.1016/j.enmm.2020.100409</w:t>
      </w:r>
    </w:p>
    <w:p w14:paraId="7EB68C6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Ahmad, S., Wong, K. Y., &amp; Rajoo, S. (2019a). Sustainability indicators for manufacturing sectors: A literature survey and maturity analysis from the triple-bottom line perspective. </w:t>
      </w:r>
      <w:r w:rsidRPr="00597FFB">
        <w:rPr>
          <w:rFonts w:ascii="Times New Roman" w:eastAsia="SimSun" w:hAnsi="Times New Roman" w:cs="Times New Roman"/>
          <w:i/>
          <w:iCs/>
          <w:kern w:val="24"/>
          <w:sz w:val="24"/>
          <w:szCs w:val="24"/>
          <w:lang w:val="en-GB" w:eastAsia="ja-JP"/>
        </w:rPr>
        <w:t>Journal of Manufacturing Technology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30</w:t>
      </w:r>
      <w:r w:rsidRPr="00597FFB">
        <w:rPr>
          <w:rFonts w:ascii="Times New Roman" w:eastAsia="SimSun" w:hAnsi="Times New Roman" w:cs="Times New Roman"/>
          <w:kern w:val="24"/>
          <w:sz w:val="24"/>
          <w:szCs w:val="24"/>
          <w:lang w:val="en-GB" w:eastAsia="ja-JP"/>
        </w:rPr>
        <w:t>(2), 312–334. https://doi.org/10.1108/JMTM-03-2018-0091</w:t>
      </w:r>
    </w:p>
    <w:p w14:paraId="3C35EBA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Ahmad, S., Wong, K. Y., &amp; Rajoo, S. (2019b). Sustainability indicators for manufacturing sectors: A literature survey and maturity analysis from the triple-bottom line perspective. </w:t>
      </w:r>
      <w:r w:rsidRPr="00597FFB">
        <w:rPr>
          <w:rFonts w:ascii="Times New Roman" w:eastAsia="SimSun" w:hAnsi="Times New Roman" w:cs="Times New Roman"/>
          <w:i/>
          <w:iCs/>
          <w:kern w:val="24"/>
          <w:sz w:val="24"/>
          <w:szCs w:val="24"/>
          <w:lang w:val="en-GB" w:eastAsia="ja-JP"/>
        </w:rPr>
        <w:t>Journal of Manufacturing Technology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30</w:t>
      </w:r>
      <w:r w:rsidRPr="00597FFB">
        <w:rPr>
          <w:rFonts w:ascii="Times New Roman" w:eastAsia="SimSun" w:hAnsi="Times New Roman" w:cs="Times New Roman"/>
          <w:kern w:val="24"/>
          <w:sz w:val="24"/>
          <w:szCs w:val="24"/>
          <w:lang w:val="en-GB" w:eastAsia="ja-JP"/>
        </w:rPr>
        <w:t>(2), 312–334. https://doi.org/10.1108/JMTM-03-2018-0091</w:t>
      </w:r>
    </w:p>
    <w:p w14:paraId="7B9ED04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Aidonis, D., Achillas, C., Folinas, D., Keramydas, C., &amp; Tsolakis, N. (2019a). Decision Support Model for Evaluating Alternative Waste Electrical and Electronic Equipment Management Schemes—A Case Study.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(12), 3364. https://doi.org/10.3390/su11123364</w:t>
      </w:r>
    </w:p>
    <w:p w14:paraId="16A8B60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Aidonis, D., Achillas, C., Folinas, D., Keramydas, C., &amp; Tsolakis, N. (2019b). Decision Support Model for Evaluating Alternative Waste Electrical and Electronic Equipment Management Schemes—A Case Study.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(12), Article 12. https://doi.org/10.3390/su11123364</w:t>
      </w:r>
    </w:p>
    <w:p w14:paraId="615C88D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Ajzen, I. (1985). From Intentions to Actions: A Theory of Planned Behavior. In J. Kuhl &amp; J. Beckmann (Eds.), </w:t>
      </w:r>
      <w:r w:rsidRPr="00597FFB">
        <w:rPr>
          <w:rFonts w:ascii="Times New Roman" w:eastAsia="SimSun" w:hAnsi="Times New Roman" w:cs="Times New Roman"/>
          <w:i/>
          <w:iCs/>
          <w:kern w:val="24"/>
          <w:sz w:val="24"/>
          <w:szCs w:val="24"/>
          <w:lang w:val="en-GB" w:eastAsia="ja-JP"/>
        </w:rPr>
        <w:t>Action Control</w:t>
      </w:r>
      <w:r w:rsidRPr="00597FFB">
        <w:rPr>
          <w:rFonts w:ascii="Times New Roman" w:eastAsia="SimSun" w:hAnsi="Times New Roman" w:cs="Times New Roman"/>
          <w:kern w:val="24"/>
          <w:sz w:val="24"/>
          <w:szCs w:val="24"/>
          <w:lang w:val="en-GB" w:eastAsia="ja-JP"/>
        </w:rPr>
        <w:t xml:space="preserve"> (pp. 11–39). Springer Berlin Heidelberg. https://doi.org/10.1007/978-3-642-69746-3_2</w:t>
      </w:r>
    </w:p>
    <w:p w14:paraId="35FB10A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Ajzen, I. (1991). The theory of planned behavior. </w:t>
      </w:r>
      <w:r w:rsidRPr="00597FFB">
        <w:rPr>
          <w:rFonts w:ascii="Times New Roman" w:eastAsia="SimSun" w:hAnsi="Times New Roman" w:cs="Times New Roman"/>
          <w:i/>
          <w:iCs/>
          <w:kern w:val="24"/>
          <w:sz w:val="24"/>
          <w:szCs w:val="24"/>
          <w:lang w:val="en-GB" w:eastAsia="ja-JP"/>
        </w:rPr>
        <w:t>Organizational Behavior and Human Decision Processes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50</w:t>
      </w:r>
      <w:r w:rsidRPr="00597FFB">
        <w:rPr>
          <w:rFonts w:ascii="Times New Roman" w:eastAsia="SimSun" w:hAnsi="Times New Roman" w:cs="Times New Roman"/>
          <w:kern w:val="24"/>
          <w:sz w:val="24"/>
          <w:szCs w:val="24"/>
          <w:lang w:val="en-GB" w:eastAsia="ja-JP"/>
        </w:rPr>
        <w:t>(2), 179–211. https://doi.org/10.1016/0749-5978(91)90020-T</w:t>
      </w:r>
    </w:p>
    <w:p w14:paraId="7BB9A68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Ajzen, I., &amp; Driver, B. L. (1991). Prediction of leisure participation from behavioral, normative, and control beliefs: An application of the theory of planned behavior. </w:t>
      </w:r>
      <w:r w:rsidRPr="00597FFB">
        <w:rPr>
          <w:rFonts w:ascii="Times New Roman" w:eastAsia="SimSun" w:hAnsi="Times New Roman" w:cs="Times New Roman"/>
          <w:i/>
          <w:iCs/>
          <w:kern w:val="24"/>
          <w:sz w:val="24"/>
          <w:szCs w:val="24"/>
          <w:lang w:val="en-GB" w:eastAsia="ja-JP"/>
        </w:rPr>
        <w:t>Leisure Sciences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(3), 185–204. https://doi.org/10.1080/01490409109513137</w:t>
      </w:r>
    </w:p>
    <w:p w14:paraId="1C35C80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eastAsia="ja-JP"/>
        </w:rPr>
      </w:pPr>
      <w:r w:rsidRPr="00597FFB">
        <w:rPr>
          <w:rFonts w:ascii="Times New Roman" w:eastAsia="SimSun" w:hAnsi="Times New Roman" w:cs="Times New Roman"/>
          <w:kern w:val="24"/>
          <w:sz w:val="24"/>
          <w:szCs w:val="24"/>
          <w:lang w:eastAsia="ja-JP"/>
        </w:rPr>
        <w:t xml:space="preserve">Ajzen, I., &amp; Driver, B. L. (2011). Prediction of leisure participation from behavioral, normative, and control beliefs: An application of the theory of planned behavior. </w:t>
      </w:r>
      <w:r w:rsidRPr="00597FFB">
        <w:rPr>
          <w:rFonts w:ascii="Times New Roman" w:eastAsia="SimSun" w:hAnsi="Times New Roman" w:cs="Times New Roman"/>
          <w:i/>
          <w:iCs/>
          <w:kern w:val="24"/>
          <w:sz w:val="24"/>
          <w:szCs w:val="24"/>
          <w:lang w:eastAsia="ja-JP"/>
        </w:rPr>
        <w:t>Leisure Sciences,</w:t>
      </w:r>
      <w:r w:rsidRPr="00597FFB">
        <w:rPr>
          <w:rFonts w:ascii="Times New Roman" w:eastAsia="SimSun" w:hAnsi="Times New Roman" w:cs="Times New Roman"/>
          <w:kern w:val="24"/>
          <w:sz w:val="24"/>
          <w:szCs w:val="24"/>
          <w:lang w:eastAsia="ja-JP"/>
        </w:rPr>
        <w:t xml:space="preserve"> </w:t>
      </w:r>
      <w:r w:rsidRPr="00597FFB">
        <w:rPr>
          <w:rFonts w:ascii="Times New Roman" w:eastAsia="SimSun" w:hAnsi="Times New Roman" w:cs="Times New Roman"/>
          <w:i/>
          <w:iCs/>
          <w:kern w:val="24"/>
          <w:sz w:val="24"/>
          <w:szCs w:val="24"/>
          <w:lang w:eastAsia="ja-JP"/>
        </w:rPr>
        <w:t>13</w:t>
      </w:r>
      <w:r w:rsidRPr="00597FFB">
        <w:rPr>
          <w:rFonts w:ascii="Times New Roman" w:eastAsia="SimSun" w:hAnsi="Times New Roman" w:cs="Times New Roman"/>
          <w:kern w:val="24"/>
          <w:sz w:val="24"/>
          <w:szCs w:val="24"/>
          <w:lang w:eastAsia="ja-JP"/>
        </w:rPr>
        <w:t xml:space="preserve">(3), 185–204. </w:t>
      </w:r>
      <w:hyperlink r:id="rId28" w:history="1">
        <w:r w:rsidRPr="00597FFB">
          <w:rPr>
            <w:rFonts w:ascii="Times New Roman" w:eastAsia="SimSun" w:hAnsi="Times New Roman" w:cs="Times New Roman"/>
            <w:color w:val="0563C1" w:themeColor="hyperlink"/>
            <w:kern w:val="24"/>
            <w:sz w:val="24"/>
            <w:szCs w:val="24"/>
            <w:u w:val="single"/>
            <w:lang w:eastAsia="ja-JP"/>
          </w:rPr>
          <w:t>https://doi.org/10.1080/01490409109513137</w:t>
        </w:r>
      </w:hyperlink>
      <w:r w:rsidRPr="00597FFB">
        <w:rPr>
          <w:rFonts w:ascii="Times New Roman" w:eastAsia="SimSun" w:hAnsi="Times New Roman" w:cs="Times New Roman"/>
          <w:kern w:val="24"/>
          <w:sz w:val="24"/>
          <w:szCs w:val="24"/>
          <w:lang w:eastAsia="ja-JP"/>
        </w:rPr>
        <w:t>.</w:t>
      </w:r>
    </w:p>
    <w:p w14:paraId="5646B51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 Bloushi, B. G., Ahmad, S. Z., &amp; Bani Mfarrej, M. F. (2020a). Tadweer: Improving municipal solid waste sustainability practices. </w:t>
      </w:r>
      <w:r w:rsidRPr="00597FFB">
        <w:rPr>
          <w:rFonts w:ascii="Times New Roman" w:eastAsia="SimSun" w:hAnsi="Times New Roman" w:cs="Times New Roman"/>
          <w:i/>
          <w:iCs/>
          <w:kern w:val="24"/>
          <w:sz w:val="24"/>
          <w:szCs w:val="24"/>
          <w:lang w:val="en-GB" w:eastAsia="ja-JP"/>
        </w:rPr>
        <w:t>Emerald Emerging Markets Case Studies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(2), 1–26. https://doi.org/10.1108/EEMCS-08-2019-0210</w:t>
      </w:r>
    </w:p>
    <w:p w14:paraId="719E0E5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 Bloushi, B. G., Ahmad, S. Z., &amp; Bani Mfarrej, M. F. (2020b). Tadweer: Improving municipal solid waste sustainability practices. </w:t>
      </w:r>
      <w:r w:rsidRPr="00597FFB">
        <w:rPr>
          <w:rFonts w:ascii="Times New Roman" w:eastAsia="SimSun" w:hAnsi="Times New Roman" w:cs="Times New Roman"/>
          <w:i/>
          <w:iCs/>
          <w:kern w:val="24"/>
          <w:sz w:val="24"/>
          <w:szCs w:val="24"/>
          <w:lang w:val="en-GB" w:eastAsia="ja-JP"/>
        </w:rPr>
        <w:t>Emerald Emerging Markets Case Studies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(2), 1–26. https://doi.org/10.1108/EEMCS-08-2019-0210</w:t>
      </w:r>
    </w:p>
    <w:p w14:paraId="579826E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Alam, Md. K. (2020). A systematic qualitative case study: Questions, data collection, NVivo analysis and saturation. </w:t>
      </w:r>
      <w:r w:rsidRPr="00597FFB">
        <w:rPr>
          <w:rFonts w:ascii="Times New Roman" w:eastAsia="SimSun" w:hAnsi="Times New Roman" w:cs="Times New Roman"/>
          <w:i/>
          <w:iCs/>
          <w:kern w:val="24"/>
          <w:sz w:val="24"/>
          <w:szCs w:val="24"/>
          <w:lang w:val="en-GB" w:eastAsia="ja-JP"/>
        </w:rPr>
        <w:t>Qualitative Research in Organizations and Management: An International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16</w:t>
      </w:r>
      <w:r w:rsidRPr="00597FFB">
        <w:rPr>
          <w:rFonts w:ascii="Times New Roman" w:eastAsia="SimSun" w:hAnsi="Times New Roman" w:cs="Times New Roman"/>
          <w:kern w:val="24"/>
          <w:sz w:val="24"/>
          <w:szCs w:val="24"/>
          <w:lang w:val="en-GB" w:eastAsia="ja-JP"/>
        </w:rPr>
        <w:t>(1), 1–31. https://doi.org/10.1108/QROM-09-2019-1825</w:t>
      </w:r>
    </w:p>
    <w:p w14:paraId="0319079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Alao, M. A., Ayodele, T. R., Ogunjuyigbe, A. S. O., &amp; Popoola, O. M. (2020a). Multi-criteria decision based waste to energy technology selection using entropy-weighted TOPSIS technique: The case study of Lagos, Nigeria. </w:t>
      </w:r>
      <w:r w:rsidRPr="00597FFB">
        <w:rPr>
          <w:rFonts w:ascii="Times New Roman" w:eastAsia="SimSun" w:hAnsi="Times New Roman" w:cs="Times New Roman"/>
          <w:i/>
          <w:iCs/>
          <w:kern w:val="24"/>
          <w:sz w:val="24"/>
          <w:szCs w:val="24"/>
          <w:lang w:val="en-GB" w:eastAsia="ja-JP"/>
        </w:rPr>
        <w:t>Energy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201</w:t>
      </w:r>
      <w:r w:rsidRPr="00597FFB">
        <w:rPr>
          <w:rFonts w:ascii="Times New Roman" w:eastAsia="SimSun" w:hAnsi="Times New Roman" w:cs="Times New Roman"/>
          <w:kern w:val="24"/>
          <w:sz w:val="24"/>
          <w:szCs w:val="24"/>
          <w:lang w:val="en-GB" w:eastAsia="ja-JP"/>
        </w:rPr>
        <w:t>, 117675. https://doi.org/10.1016/j.energy.2020.117675</w:t>
      </w:r>
    </w:p>
    <w:p w14:paraId="7244207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Alao, M. A., Ayodele, T. R., Ogunjuyigbe, A. S. O., &amp; Popoola, O. M. (2020b). Multi-criteria decision based waste to energy technology selection using entropy-weighted TOPSIS technique: The case study of Lagos, Nigeria. </w:t>
      </w:r>
      <w:r w:rsidRPr="00597FFB">
        <w:rPr>
          <w:rFonts w:ascii="Times New Roman" w:eastAsia="SimSun" w:hAnsi="Times New Roman" w:cs="Times New Roman"/>
          <w:i/>
          <w:iCs/>
          <w:kern w:val="24"/>
          <w:sz w:val="24"/>
          <w:szCs w:val="24"/>
          <w:lang w:val="en-GB" w:eastAsia="ja-JP"/>
        </w:rPr>
        <w:t>Energy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201</w:t>
      </w:r>
      <w:r w:rsidRPr="00597FFB">
        <w:rPr>
          <w:rFonts w:ascii="Times New Roman" w:eastAsia="SimSun" w:hAnsi="Times New Roman" w:cs="Times New Roman"/>
          <w:kern w:val="24"/>
          <w:sz w:val="24"/>
          <w:szCs w:val="24"/>
          <w:lang w:val="en-GB" w:eastAsia="ja-JP"/>
        </w:rPr>
        <w:t>, 117675. https://doi.org/10.1016/j.energy.2020.117675</w:t>
      </w:r>
    </w:p>
    <w:p w14:paraId="3A9F3AF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Alblooshi, B. G. K. M., Ahmad, S. Z., Hussain, M., &amp; Singh, S. K. (2022). Sustainable management of electronic waste: Empirical evidences from a stakeholders’ perspective. </w:t>
      </w:r>
      <w:r w:rsidRPr="00597FFB">
        <w:rPr>
          <w:rFonts w:ascii="Times New Roman" w:eastAsia="SimSun" w:hAnsi="Times New Roman" w:cs="Times New Roman"/>
          <w:i/>
          <w:iCs/>
          <w:kern w:val="24"/>
          <w:sz w:val="24"/>
          <w:szCs w:val="24"/>
          <w:lang w:val="en-GB" w:eastAsia="ja-JP"/>
        </w:rPr>
        <w:t>Business Strategy and the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31</w:t>
      </w:r>
      <w:r w:rsidRPr="00597FFB">
        <w:rPr>
          <w:rFonts w:ascii="Times New Roman" w:eastAsia="SimSun" w:hAnsi="Times New Roman" w:cs="Times New Roman"/>
          <w:kern w:val="24"/>
          <w:sz w:val="24"/>
          <w:szCs w:val="24"/>
          <w:lang w:val="en-GB" w:eastAsia="ja-JP"/>
        </w:rPr>
        <w:t>(4), 1856–1874. https://doi.org/10.1002/bse.2987</w:t>
      </w:r>
    </w:p>
    <w:p w14:paraId="09A5371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AL-Dabbagh, R. H. (2020a). Toward Green Building and Eco-cities in the UAE. In A. Sayigh (Ed.), </w:t>
      </w:r>
      <w:r w:rsidRPr="00597FFB">
        <w:rPr>
          <w:rFonts w:ascii="Times New Roman" w:eastAsia="SimSun" w:hAnsi="Times New Roman" w:cs="Times New Roman"/>
          <w:i/>
          <w:iCs/>
          <w:kern w:val="24"/>
          <w:sz w:val="24"/>
          <w:szCs w:val="24"/>
          <w:lang w:val="en-GB" w:eastAsia="ja-JP"/>
        </w:rPr>
        <w:t>Renewable Energy and Sustainable Buildings</w:t>
      </w:r>
      <w:r w:rsidRPr="00597FFB">
        <w:rPr>
          <w:rFonts w:ascii="Times New Roman" w:eastAsia="SimSun" w:hAnsi="Times New Roman" w:cs="Times New Roman"/>
          <w:kern w:val="24"/>
          <w:sz w:val="24"/>
          <w:szCs w:val="24"/>
          <w:lang w:val="en-GB" w:eastAsia="ja-JP"/>
        </w:rPr>
        <w:t xml:space="preserve"> (pp. 221–233). Springer International Publishing. https://doi.org/10.1007/978-3-030-18488-9_17</w:t>
      </w:r>
    </w:p>
    <w:p w14:paraId="223F841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AL-Dabbagh, R. H. (2020b). Toward Green Building and Eco-cities in the UAE. In A. Sayigh (Ed.), </w:t>
      </w:r>
      <w:r w:rsidRPr="00597FFB">
        <w:rPr>
          <w:rFonts w:ascii="Times New Roman" w:eastAsia="SimSun" w:hAnsi="Times New Roman" w:cs="Times New Roman"/>
          <w:i/>
          <w:iCs/>
          <w:kern w:val="24"/>
          <w:sz w:val="24"/>
          <w:szCs w:val="24"/>
          <w:lang w:val="en-GB" w:eastAsia="ja-JP"/>
        </w:rPr>
        <w:t>Renewable Energy and Sustainable Buildings</w:t>
      </w:r>
      <w:r w:rsidRPr="00597FFB">
        <w:rPr>
          <w:rFonts w:ascii="Times New Roman" w:eastAsia="SimSun" w:hAnsi="Times New Roman" w:cs="Times New Roman"/>
          <w:kern w:val="24"/>
          <w:sz w:val="24"/>
          <w:szCs w:val="24"/>
          <w:lang w:val="en-GB" w:eastAsia="ja-JP"/>
        </w:rPr>
        <w:t xml:space="preserve"> (pp. 221–233). Springer International Publishing. https://doi.org/10.1007/978-3-030-18488-9_17</w:t>
      </w:r>
    </w:p>
    <w:p w14:paraId="79BC11B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Alghazo, J., Ouda, O., Alanezi, F., Asam, Z.-Z., Rehan, M., Salameh, M. H., &amp; Nizami, A.-S. (2019). Potential of electronic waste recycling in Gulf Cooperation Council states: An environmental and economic analysis.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26</w:t>
      </w:r>
      <w:r w:rsidRPr="00597FFB">
        <w:rPr>
          <w:rFonts w:ascii="Times New Roman" w:eastAsia="SimSun" w:hAnsi="Times New Roman" w:cs="Times New Roman"/>
          <w:kern w:val="24"/>
          <w:sz w:val="24"/>
          <w:szCs w:val="24"/>
          <w:lang w:val="en-GB" w:eastAsia="ja-JP"/>
        </w:rPr>
        <w:t>(35), Article 35. https://doi.org/10.1007/s11356-019-04956-y</w:t>
      </w:r>
    </w:p>
    <w:p w14:paraId="3EFFA63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Ali, A., Sherwani, M., Ali, A., Ali, Z., &amp; Sherwani, S. (2020). The Moderating Role of Individualism/Collectivism and Materialism: An Application of the Theory of Planned Behavior (TPB) in Halal Food Purchasing. </w:t>
      </w:r>
      <w:r w:rsidRPr="00597FFB">
        <w:rPr>
          <w:rFonts w:ascii="Times New Roman" w:eastAsia="SimSun" w:hAnsi="Times New Roman" w:cs="Times New Roman"/>
          <w:i/>
          <w:iCs/>
          <w:kern w:val="24"/>
          <w:sz w:val="24"/>
          <w:szCs w:val="24"/>
          <w:lang w:val="en-GB" w:eastAsia="ja-JP"/>
        </w:rPr>
        <w:t>Journal of Food Products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26</w:t>
      </w:r>
      <w:r w:rsidRPr="00597FFB">
        <w:rPr>
          <w:rFonts w:ascii="Times New Roman" w:eastAsia="SimSun" w:hAnsi="Times New Roman" w:cs="Times New Roman"/>
          <w:kern w:val="24"/>
          <w:sz w:val="24"/>
          <w:szCs w:val="24"/>
          <w:lang w:val="en-GB" w:eastAsia="ja-JP"/>
        </w:rPr>
        <w:t>(9), 581–599. https://doi.org/10.1080/10454446.2020.1846148</w:t>
      </w:r>
    </w:p>
    <w:p w14:paraId="7099649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Ali, M. H., Zailani, S., Iranmanesh, M., &amp; Foroughi, B. (2019a). Impacts of Environmental Factors on Waste, Energy, and Resource Management and Sustainable Performance.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(8), Article 8. https://doi.org/10.3390/su11082443</w:t>
      </w:r>
    </w:p>
    <w:p w14:paraId="47B4434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Ali, M. H., Zailani, S., Iranmanesh, M., &amp; Foroughi, B. (2019b). Impacts of Environmental Factors on Waste, Energy, and Resource Management and Sustainable Performance.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(8), 2443. https://doi.org/10.3390/su11082443</w:t>
      </w:r>
    </w:p>
    <w:p w14:paraId="6984E52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AlJaberi, O. A., Hussain, M., &amp; Drake, P. R. (2020). A framework for measuring sustainability in healthcare systems. </w:t>
      </w:r>
      <w:r w:rsidRPr="00597FFB">
        <w:rPr>
          <w:rFonts w:ascii="Times New Roman" w:eastAsia="SimSun" w:hAnsi="Times New Roman" w:cs="Times New Roman"/>
          <w:i/>
          <w:iCs/>
          <w:kern w:val="24"/>
          <w:sz w:val="24"/>
          <w:szCs w:val="24"/>
          <w:lang w:val="en-GB" w:eastAsia="ja-JP"/>
        </w:rPr>
        <w:t>International Journal of Healthcare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(4), 276–285. https://doi.org/10.1080/20479700.2017.1404710</w:t>
      </w:r>
    </w:p>
    <w:p w14:paraId="2A5839D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Allison, E. (2019). The Reincarnation of Waste: A Case Study of Spiritual Ecology Activism for Household Solid Waste Management: The Samdrup Jongkhar Initiative of Rural Bhutan. </w:t>
      </w:r>
      <w:r w:rsidRPr="00597FFB">
        <w:rPr>
          <w:rFonts w:ascii="Times New Roman" w:eastAsia="SimSun" w:hAnsi="Times New Roman" w:cs="Times New Roman"/>
          <w:i/>
          <w:iCs/>
          <w:kern w:val="24"/>
          <w:sz w:val="24"/>
          <w:szCs w:val="24"/>
          <w:lang w:val="en-GB" w:eastAsia="ja-JP"/>
        </w:rPr>
        <w:t>Religions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(9), 514. https://doi.org/10.3390/rel10090514</w:t>
      </w:r>
    </w:p>
    <w:p w14:paraId="15B01F8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Alnaser, N. W., &amp; Alnaser, W. E. (2019). The impact of the rise of using solar energy in GCC countries. </w:t>
      </w:r>
      <w:r w:rsidRPr="00597FFB">
        <w:rPr>
          <w:rFonts w:ascii="Times New Roman" w:eastAsia="SimSun" w:hAnsi="Times New Roman" w:cs="Times New Roman"/>
          <w:i/>
          <w:iCs/>
          <w:kern w:val="24"/>
          <w:sz w:val="24"/>
          <w:szCs w:val="24"/>
          <w:lang w:val="en-GB" w:eastAsia="ja-JP"/>
        </w:rPr>
        <w:t>Renewable Energy and Environmental 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w:t>
      </w:r>
      <w:r w:rsidRPr="00597FFB">
        <w:rPr>
          <w:rFonts w:ascii="Times New Roman" w:eastAsia="SimSun" w:hAnsi="Times New Roman" w:cs="Times New Roman"/>
          <w:kern w:val="24"/>
          <w:sz w:val="24"/>
          <w:szCs w:val="24"/>
          <w:lang w:val="en-GB" w:eastAsia="ja-JP"/>
        </w:rPr>
        <w:t>, 7. https://doi.org/10.1051/rees/2019004</w:t>
      </w:r>
    </w:p>
    <w:p w14:paraId="20B5AAB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Alofan, F., Chen, S., &amp; Tan, H. (2020a). National cultural distance, organizational culture, and adaptation of management innovations in foreign subsidiaries: A fuzzy set analysis of TQM implementation in Saudi Arabia. </w:t>
      </w:r>
      <w:r w:rsidRPr="00597FFB">
        <w:rPr>
          <w:rFonts w:ascii="Times New Roman" w:eastAsia="SimSun" w:hAnsi="Times New Roman" w:cs="Times New Roman"/>
          <w:i/>
          <w:iCs/>
          <w:kern w:val="24"/>
          <w:sz w:val="24"/>
          <w:szCs w:val="24"/>
          <w:lang w:val="en-GB" w:eastAsia="ja-JP"/>
        </w:rPr>
        <w:t>Journal of Business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109</w:t>
      </w:r>
      <w:r w:rsidRPr="00597FFB">
        <w:rPr>
          <w:rFonts w:ascii="Times New Roman" w:eastAsia="SimSun" w:hAnsi="Times New Roman" w:cs="Times New Roman"/>
          <w:kern w:val="24"/>
          <w:sz w:val="24"/>
          <w:szCs w:val="24"/>
          <w:lang w:val="en-GB" w:eastAsia="ja-JP"/>
        </w:rPr>
        <w:t>, 184–199. https://doi.org/10.1016/j.jbusres.2019.11.037</w:t>
      </w:r>
    </w:p>
    <w:p w14:paraId="746355A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Alofan, F., Chen, S., &amp; Tan, H. (2020b). National cultural distance, organizational culture, and adaptation of management innovations in foreign subsidiaries: A fuzzy set analysis of TQM implementation in Saudi Arabia. </w:t>
      </w:r>
      <w:r w:rsidRPr="00597FFB">
        <w:rPr>
          <w:rFonts w:ascii="Times New Roman" w:eastAsia="SimSun" w:hAnsi="Times New Roman" w:cs="Times New Roman"/>
          <w:i/>
          <w:iCs/>
          <w:kern w:val="24"/>
          <w:sz w:val="24"/>
          <w:szCs w:val="24"/>
          <w:lang w:val="en-GB" w:eastAsia="ja-JP"/>
        </w:rPr>
        <w:t>Journal of Business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109</w:t>
      </w:r>
      <w:r w:rsidRPr="00597FFB">
        <w:rPr>
          <w:rFonts w:ascii="Times New Roman" w:eastAsia="SimSun" w:hAnsi="Times New Roman" w:cs="Times New Roman"/>
          <w:kern w:val="24"/>
          <w:sz w:val="24"/>
          <w:szCs w:val="24"/>
          <w:lang w:val="en-GB" w:eastAsia="ja-JP"/>
        </w:rPr>
        <w:t>, 184–199. https://doi.org/10.1016/j.jbusres.2019.11.037</w:t>
      </w:r>
    </w:p>
    <w:p w14:paraId="21D97E0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Alves, A. R., &amp; Coutinho, A. dos R. (2019). Life cycle assessment of niobium: A mining and production case study in Brazil. </w:t>
      </w:r>
      <w:r w:rsidRPr="00597FFB">
        <w:rPr>
          <w:rFonts w:ascii="Times New Roman" w:eastAsia="SimSun" w:hAnsi="Times New Roman" w:cs="Times New Roman"/>
          <w:i/>
          <w:iCs/>
          <w:kern w:val="24"/>
          <w:sz w:val="24"/>
          <w:szCs w:val="24"/>
          <w:lang w:val="en-GB" w:eastAsia="ja-JP"/>
        </w:rPr>
        <w:t>Minerals Engineering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132</w:t>
      </w:r>
      <w:r w:rsidRPr="00597FFB">
        <w:rPr>
          <w:rFonts w:ascii="Times New Roman" w:eastAsia="SimSun" w:hAnsi="Times New Roman" w:cs="Times New Roman"/>
          <w:kern w:val="24"/>
          <w:sz w:val="24"/>
          <w:szCs w:val="24"/>
          <w:lang w:val="en-GB" w:eastAsia="ja-JP"/>
        </w:rPr>
        <w:t>, 275–283. https://doi.org/10.1016/j.mineng.2018.11.041</w:t>
      </w:r>
    </w:p>
    <w:p w14:paraId="2FC37E9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Amankwaa, E. F., Tsikudo, K. A., &amp; Bowman, J. (2017). ‘Away’ is a place: The impact of electronic waste recycling on blood lead levels in Ghana. </w:t>
      </w:r>
      <w:r w:rsidRPr="00597FFB">
        <w:rPr>
          <w:rFonts w:ascii="Times New Roman" w:eastAsia="Times New Roman" w:hAnsi="Times New Roman" w:cs="Times New Roman"/>
          <w:i/>
          <w:iCs/>
          <w:color w:val="000000" w:themeColor="text1"/>
          <w:sz w:val="24"/>
          <w:szCs w:val="24"/>
          <w:lang w:eastAsia="en-GB"/>
        </w:rPr>
        <w:t>Science of the Total Environment, 601-602</w:t>
      </w:r>
      <w:r w:rsidRPr="00597FFB">
        <w:rPr>
          <w:rFonts w:ascii="Times New Roman" w:eastAsia="Times New Roman" w:hAnsi="Times New Roman" w:cs="Times New Roman"/>
          <w:color w:val="000000" w:themeColor="text1"/>
          <w:sz w:val="24"/>
          <w:szCs w:val="24"/>
          <w:lang w:eastAsia="en-GB"/>
        </w:rPr>
        <w:t>, 1566-1574. doi:10.1016/j.scitotenv.2017.05.283</w:t>
      </w:r>
    </w:p>
    <w:p w14:paraId="79DB863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Amankwaa, E. F., Tsikudo, K. A., &amp; Bowman, J. (2017). ‘Away’ is a place: The impact of electronic waste recycling on blood lead levels in Ghana. </w:t>
      </w:r>
      <w:r w:rsidRPr="00597FFB">
        <w:rPr>
          <w:rFonts w:ascii="Times New Roman" w:eastAsia="Times New Roman" w:hAnsi="Times New Roman" w:cs="Times New Roman"/>
          <w:i/>
          <w:iCs/>
          <w:color w:val="000000" w:themeColor="text1"/>
          <w:sz w:val="24"/>
          <w:szCs w:val="24"/>
          <w:lang w:eastAsia="en-GB"/>
        </w:rPr>
        <w:t>Science of the Total Environment, 601-602</w:t>
      </w:r>
      <w:r w:rsidRPr="00597FFB">
        <w:rPr>
          <w:rFonts w:ascii="Times New Roman" w:eastAsia="Times New Roman" w:hAnsi="Times New Roman" w:cs="Times New Roman"/>
          <w:color w:val="000000" w:themeColor="text1"/>
          <w:sz w:val="24"/>
          <w:szCs w:val="24"/>
          <w:lang w:eastAsia="en-GB"/>
        </w:rPr>
        <w:t>, 1566-1574. doi:10.1016/j.scitotenv.2017.05.283</w:t>
      </w:r>
    </w:p>
    <w:p w14:paraId="75B8203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Ameen, N., &amp; Anand, A. (2020). Generation Z in the United Arab Emirates: A Smart-Tech-Driven iGeneration. In E. Gentina &amp; E. Parry (Eds.), </w:t>
      </w:r>
      <w:r w:rsidRPr="00597FFB">
        <w:rPr>
          <w:rFonts w:ascii="Times New Roman" w:eastAsia="Times New Roman" w:hAnsi="Times New Roman" w:cs="Times New Roman"/>
          <w:i/>
          <w:iCs/>
          <w:color w:val="000000" w:themeColor="text1"/>
          <w:sz w:val="24"/>
          <w:szCs w:val="24"/>
          <w:lang w:eastAsia="en-GB"/>
        </w:rPr>
        <w:t>The New Generation Z in Asia: Dynamics, Differences, Digitalisation</w:t>
      </w:r>
      <w:r w:rsidRPr="00597FFB">
        <w:rPr>
          <w:rFonts w:ascii="Times New Roman" w:eastAsia="Times New Roman" w:hAnsi="Times New Roman" w:cs="Times New Roman"/>
          <w:color w:val="000000" w:themeColor="text1"/>
          <w:sz w:val="24"/>
          <w:szCs w:val="24"/>
          <w:lang w:eastAsia="en-GB"/>
        </w:rPr>
        <w:t xml:space="preserve"> (pp. 181–192). Emerald Publishing Limited. https://doi.org/10.1108/978-1-80043-220-820201018</w:t>
      </w:r>
    </w:p>
    <w:p w14:paraId="33B938D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Ameko, M. K., Beltzer, M. L., Cai, L., Boukhechba, M., Teachman, B. A., &amp; Barnes, L. E. (2020). Offline Contextual Multi-armed Bandits for Mobile Health Interventions: A Case Study on Emotion Regulation. </w:t>
      </w:r>
      <w:r w:rsidRPr="00597FFB">
        <w:rPr>
          <w:rFonts w:ascii="Times New Roman" w:eastAsia="SimSun" w:hAnsi="Times New Roman" w:cs="Times New Roman"/>
          <w:i/>
          <w:iCs/>
          <w:kern w:val="24"/>
          <w:sz w:val="24"/>
          <w:szCs w:val="24"/>
          <w:lang w:val="en-GB" w:eastAsia="ja-JP"/>
        </w:rPr>
        <w:t>Fourteenth ACM Conference on Recommender Systems</w:t>
      </w:r>
      <w:r w:rsidRPr="00597FFB">
        <w:rPr>
          <w:rFonts w:ascii="Times New Roman" w:eastAsia="SimSun" w:hAnsi="Times New Roman" w:cs="Times New Roman"/>
          <w:kern w:val="24"/>
          <w:sz w:val="24"/>
          <w:szCs w:val="24"/>
          <w:lang w:val="en-GB" w:eastAsia="ja-JP"/>
        </w:rPr>
        <w:t>, 249–258. https://doi.org/10.1145/3383313.3412244</w:t>
      </w:r>
    </w:p>
    <w:p w14:paraId="63C6A65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Amirmokhtar Radi, S., &amp; Shokouhyar, S. (2021). Toward consumer perception of cellphones sustainability: A social media analytics. </w:t>
      </w:r>
      <w:r w:rsidRPr="00597FFB">
        <w:rPr>
          <w:rFonts w:ascii="Times New Roman" w:eastAsia="SimSun" w:hAnsi="Times New Roman" w:cs="Times New Roman"/>
          <w:i/>
          <w:iCs/>
          <w:kern w:val="24"/>
          <w:sz w:val="24"/>
          <w:szCs w:val="24"/>
          <w:lang w:val="en-GB" w:eastAsia="ja-JP"/>
        </w:rPr>
        <w:t>Sustainable Production and Consumption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 217–233. https://doi.org/10.1016/j.spc.2020.08.012</w:t>
      </w:r>
    </w:p>
    <w:p w14:paraId="56E8125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Ananno, A. A., Masud, M. H., Dabnichki, P., Mahjabeen, M., &amp; Chowdhury, S. A. (2021a). Survey and analysis of consumers’ behaviour for electronic waste management in Bangladesh. </w:t>
      </w:r>
      <w:r w:rsidRPr="00597FFB">
        <w:rPr>
          <w:rFonts w:ascii="Times New Roman" w:eastAsia="SimSun" w:hAnsi="Times New Roman" w:cs="Times New Roman"/>
          <w:i/>
          <w:iCs/>
          <w:kern w:val="24"/>
          <w:sz w:val="24"/>
          <w:szCs w:val="24"/>
          <w:lang w:val="en-GB" w:eastAsia="ja-JP"/>
        </w:rPr>
        <w:t>Journal of Environmental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282</w:t>
      </w:r>
      <w:r w:rsidRPr="00597FFB">
        <w:rPr>
          <w:rFonts w:ascii="Times New Roman" w:eastAsia="SimSun" w:hAnsi="Times New Roman" w:cs="Times New Roman"/>
          <w:kern w:val="24"/>
          <w:sz w:val="24"/>
          <w:szCs w:val="24"/>
          <w:lang w:val="en-GB" w:eastAsia="ja-JP"/>
        </w:rPr>
        <w:t>, 111943. https://doi.org/10.1016/j.jenvman.2021.111943</w:t>
      </w:r>
    </w:p>
    <w:p w14:paraId="2014C9C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Ananno, A. A., Masud, M. H., Dabnichki, P., Mahjabeen, M., &amp; Chowdhury, S. A. (2021b). Survey and analysis of consumers’ behaviour for electronic waste management in Bangladesh. </w:t>
      </w:r>
      <w:r w:rsidRPr="00597FFB">
        <w:rPr>
          <w:rFonts w:ascii="Times New Roman" w:eastAsia="SimSun" w:hAnsi="Times New Roman" w:cs="Times New Roman"/>
          <w:i/>
          <w:iCs/>
          <w:kern w:val="24"/>
          <w:sz w:val="24"/>
          <w:szCs w:val="24"/>
          <w:lang w:val="en-GB" w:eastAsia="ja-JP"/>
        </w:rPr>
        <w:t>Journal of Environmental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282</w:t>
      </w:r>
      <w:r w:rsidRPr="00597FFB">
        <w:rPr>
          <w:rFonts w:ascii="Times New Roman" w:eastAsia="SimSun" w:hAnsi="Times New Roman" w:cs="Times New Roman"/>
          <w:kern w:val="24"/>
          <w:sz w:val="24"/>
          <w:szCs w:val="24"/>
          <w:lang w:val="en-GB" w:eastAsia="ja-JP"/>
        </w:rPr>
        <w:t>, 111943. https://doi.org/10.1016/j.jenvman.2021.111943</w:t>
      </w:r>
    </w:p>
    <w:p w14:paraId="588CE0C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Ananno, A. A., Masud, M. H., Dabnichki, P., Mahjabeen, M., &amp; Chowdhury, S. A. (2021c). Survey and analysis of consumers’ behaviour for electronic waste management in Bangladesh. </w:t>
      </w:r>
      <w:r w:rsidRPr="00597FFB">
        <w:rPr>
          <w:rFonts w:ascii="Times New Roman" w:eastAsia="SimSun" w:hAnsi="Times New Roman" w:cs="Times New Roman"/>
          <w:i/>
          <w:iCs/>
          <w:kern w:val="24"/>
          <w:sz w:val="24"/>
          <w:szCs w:val="24"/>
          <w:lang w:val="en-GB" w:eastAsia="ja-JP"/>
        </w:rPr>
        <w:t>Journal of Environmental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282</w:t>
      </w:r>
      <w:r w:rsidRPr="00597FFB">
        <w:rPr>
          <w:rFonts w:ascii="Times New Roman" w:eastAsia="SimSun" w:hAnsi="Times New Roman" w:cs="Times New Roman"/>
          <w:kern w:val="24"/>
          <w:sz w:val="24"/>
          <w:szCs w:val="24"/>
          <w:lang w:val="en-GB" w:eastAsia="ja-JP"/>
        </w:rPr>
        <w:t>, 111943. https://doi.org/10.1016/j.jenvman.2021.111943</w:t>
      </w:r>
    </w:p>
    <w:p w14:paraId="2F973EA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Arain, A. L., Pummill, R., Adu-Brimpong, J., Becker, S., Green, M., Ilardi, M., Van Dam, E., &amp; Neitzel, R. L. (2020). Analysis of e-waste recycling behavior based on survey at a Midwestern US University. </w:t>
      </w:r>
      <w:r w:rsidRPr="00597FFB">
        <w:rPr>
          <w:rFonts w:ascii="Times New Roman" w:eastAsia="SimSun" w:hAnsi="Times New Roman" w:cs="Times New Roman"/>
          <w:i/>
          <w:iCs/>
          <w:kern w:val="24"/>
          <w:sz w:val="24"/>
          <w:szCs w:val="24"/>
          <w:lang w:val="en-GB" w:eastAsia="ja-JP"/>
        </w:rPr>
        <w:t>Waste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105</w:t>
      </w:r>
      <w:r w:rsidRPr="00597FFB">
        <w:rPr>
          <w:rFonts w:ascii="Times New Roman" w:eastAsia="SimSun" w:hAnsi="Times New Roman" w:cs="Times New Roman"/>
          <w:kern w:val="24"/>
          <w:sz w:val="24"/>
          <w:szCs w:val="24"/>
          <w:lang w:val="en-GB" w:eastAsia="ja-JP"/>
        </w:rPr>
        <w:t>, 119–127. https://doi.org/10.1016/j.wasman.2020.02.002</w:t>
      </w:r>
    </w:p>
    <w:p w14:paraId="584C68A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Arli, D., Badejo, A., Carlini, J., France, C., Jebarajakirthy, C., Knox, K., Pentecost, R., Perkins, H., Thaichon, P., Sarker, T., &amp; Wright, O. (2020). Predicting intention to recycle on the basis of the theory of planned behaviour. </w:t>
      </w:r>
      <w:r w:rsidRPr="00597FFB">
        <w:rPr>
          <w:rFonts w:ascii="Times New Roman" w:eastAsia="SimSun" w:hAnsi="Times New Roman" w:cs="Times New Roman"/>
          <w:i/>
          <w:iCs/>
          <w:kern w:val="24"/>
          <w:sz w:val="24"/>
          <w:szCs w:val="24"/>
          <w:lang w:val="en-GB" w:eastAsia="ja-JP"/>
        </w:rPr>
        <w:t>International Journal of Nonprofit and Voluntary Sector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(2). https://doi.org/10.1002/nvsm.1653</w:t>
      </w:r>
    </w:p>
    <w:p w14:paraId="0656FD6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Arocha, J. F. (2021). Scientific realism and the issue of variability in behavior. </w:t>
      </w:r>
      <w:r w:rsidRPr="00597FFB">
        <w:rPr>
          <w:rFonts w:ascii="Times New Roman" w:eastAsia="SimSun" w:hAnsi="Times New Roman" w:cs="Times New Roman"/>
          <w:i/>
          <w:iCs/>
          <w:kern w:val="24"/>
          <w:sz w:val="24"/>
          <w:szCs w:val="24"/>
          <w:lang w:val="en-GB" w:eastAsia="ja-JP"/>
        </w:rPr>
        <w:t>Theory &amp;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31</w:t>
      </w:r>
      <w:r w:rsidRPr="00597FFB">
        <w:rPr>
          <w:rFonts w:ascii="Times New Roman" w:eastAsia="SimSun" w:hAnsi="Times New Roman" w:cs="Times New Roman"/>
          <w:kern w:val="24"/>
          <w:sz w:val="24"/>
          <w:szCs w:val="24"/>
          <w:lang w:val="en-GB" w:eastAsia="ja-JP"/>
        </w:rPr>
        <w:t>(3), 375–398. https://doi.org/10.1177/0959354320935972</w:t>
      </w:r>
    </w:p>
    <w:p w14:paraId="5242FC4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Arya, S., &amp; Kumar, S. (2020). E-waste in India at a glance: Current trends, regulations, challenges and management strategies.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271</w:t>
      </w:r>
      <w:r w:rsidRPr="00597FFB">
        <w:rPr>
          <w:rFonts w:ascii="Times New Roman" w:eastAsia="SimSun" w:hAnsi="Times New Roman" w:cs="Times New Roman"/>
          <w:kern w:val="24"/>
          <w:sz w:val="24"/>
          <w:szCs w:val="24"/>
          <w:lang w:val="en-GB" w:eastAsia="ja-JP"/>
        </w:rPr>
        <w:t>, 122707. https://doi.org/10.1016/j.jclepro.2020.122707</w:t>
      </w:r>
    </w:p>
    <w:p w14:paraId="6ED516A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Asadi, S., Nilashi, M., Samad, S., Abdullah, R., Mahmoud, M., Alkinani, M. H., &amp; Yadegaridehkordi, E. (2021a). Factors impacting consumers’ intention toward adoption of electric vehicles in Malaysia.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282</w:t>
      </w:r>
      <w:r w:rsidRPr="00597FFB">
        <w:rPr>
          <w:rFonts w:ascii="Times New Roman" w:eastAsia="SimSun" w:hAnsi="Times New Roman" w:cs="Times New Roman"/>
          <w:kern w:val="24"/>
          <w:sz w:val="24"/>
          <w:szCs w:val="24"/>
          <w:lang w:val="en-GB" w:eastAsia="ja-JP"/>
        </w:rPr>
        <w:t>, 124474. https://doi.org/10.1016/j.jclepro.2020.124474</w:t>
      </w:r>
    </w:p>
    <w:p w14:paraId="7FD3870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Asadi, S., Nilashi, M., Samad, S., Abdullah, R., Mahmoud, M., Alkinani, M. H., &amp; Yadegaridehkordi, E. (2021b). Factors impacting consumers’ intention toward adoption of electric vehicles in Malaysia.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282</w:t>
      </w:r>
      <w:r w:rsidRPr="00597FFB">
        <w:rPr>
          <w:rFonts w:ascii="Times New Roman" w:eastAsia="SimSun" w:hAnsi="Times New Roman" w:cs="Times New Roman"/>
          <w:kern w:val="24"/>
          <w:sz w:val="24"/>
          <w:szCs w:val="24"/>
          <w:lang w:val="en-GB" w:eastAsia="ja-JP"/>
        </w:rPr>
        <w:t>, 124474. https://doi.org/10.1016/j.jclepro.2020.124474</w:t>
      </w:r>
    </w:p>
    <w:p w14:paraId="70EFB00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Asefi, H., Shahparvari, S., Chhetri, P., &amp; Lim, S. (2019). Variable fleet size and mix VRP with fleet heterogeneity in Integrated Solid Waste Management.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230</w:t>
      </w:r>
      <w:r w:rsidRPr="00597FFB">
        <w:rPr>
          <w:rFonts w:ascii="Times New Roman" w:eastAsia="Times New Roman" w:hAnsi="Times New Roman" w:cs="Times New Roman"/>
          <w:color w:val="000000" w:themeColor="text1"/>
          <w:sz w:val="24"/>
          <w:szCs w:val="24"/>
          <w:lang w:eastAsia="en-GB"/>
        </w:rPr>
        <w:t>, 1376–1395. https://doi.org/10.1016/j.jclepro.2019.04.250</w:t>
      </w:r>
    </w:p>
    <w:p w14:paraId="36417F1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Asibey, M. O., King, R. S., Lykke, A. M., &amp; Inkoom, D. K. B. (2021a). Urban planning trends on e-waste management in Ghanaian cities. </w:t>
      </w:r>
      <w:r w:rsidRPr="00597FFB">
        <w:rPr>
          <w:rFonts w:ascii="Times New Roman" w:eastAsia="SimSun" w:hAnsi="Times New Roman" w:cs="Times New Roman"/>
          <w:i/>
          <w:iCs/>
          <w:kern w:val="24"/>
          <w:sz w:val="24"/>
          <w:szCs w:val="24"/>
          <w:lang w:val="en-GB" w:eastAsia="ja-JP"/>
        </w:rPr>
        <w:t>Cities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108</w:t>
      </w:r>
      <w:r w:rsidRPr="00597FFB">
        <w:rPr>
          <w:rFonts w:ascii="Times New Roman" w:eastAsia="SimSun" w:hAnsi="Times New Roman" w:cs="Times New Roman"/>
          <w:kern w:val="24"/>
          <w:sz w:val="24"/>
          <w:szCs w:val="24"/>
          <w:lang w:val="en-GB" w:eastAsia="ja-JP"/>
        </w:rPr>
        <w:t>, 102943. https://doi.org/10.1016/j.cities.2020.102943</w:t>
      </w:r>
    </w:p>
    <w:p w14:paraId="09B69C1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Asibey, M. O., King, R. S., Lykke, A. M., &amp; Inkoom, D. K. B. (2021b). Urban planning trends on e-waste management in Ghanaian cities. </w:t>
      </w:r>
      <w:r w:rsidRPr="00597FFB">
        <w:rPr>
          <w:rFonts w:ascii="Times New Roman" w:eastAsia="SimSun" w:hAnsi="Times New Roman" w:cs="Times New Roman"/>
          <w:i/>
          <w:iCs/>
          <w:kern w:val="24"/>
          <w:sz w:val="24"/>
          <w:szCs w:val="24"/>
          <w:lang w:val="en-GB" w:eastAsia="ja-JP"/>
        </w:rPr>
        <w:t>Cities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108</w:t>
      </w:r>
      <w:r w:rsidRPr="00597FFB">
        <w:rPr>
          <w:rFonts w:ascii="Times New Roman" w:eastAsia="SimSun" w:hAnsi="Times New Roman" w:cs="Times New Roman"/>
          <w:kern w:val="24"/>
          <w:sz w:val="24"/>
          <w:szCs w:val="24"/>
          <w:lang w:val="en-GB" w:eastAsia="ja-JP"/>
        </w:rPr>
        <w:t>, 102943. https://doi.org/10.1016/j.cities.2020.102943</w:t>
      </w:r>
    </w:p>
    <w:p w14:paraId="3D8F9B77"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Attia, Y., Soori, P. K., &amp; Ghaith, F. (2021). Analysis of households’ e-waste awareness, disposal behavior, and estimation of potential waste mobile phones towards an effective e-waste management system in Dubai. </w:t>
      </w:r>
      <w:r w:rsidRPr="00597FFB">
        <w:rPr>
          <w:rFonts w:ascii="Times New Roman" w:eastAsia="Times New Roman" w:hAnsi="Times New Roman" w:cs="Times New Roman"/>
          <w:i/>
          <w:iCs/>
          <w:color w:val="000000" w:themeColor="text1"/>
          <w:sz w:val="24"/>
          <w:szCs w:val="24"/>
          <w:lang w:eastAsia="en-GB"/>
        </w:rPr>
        <w:t>Toxics, 9</w:t>
      </w:r>
      <w:r w:rsidRPr="00597FFB">
        <w:rPr>
          <w:rFonts w:ascii="Times New Roman" w:eastAsia="Times New Roman" w:hAnsi="Times New Roman" w:cs="Times New Roman"/>
          <w:color w:val="000000" w:themeColor="text1"/>
          <w:sz w:val="24"/>
          <w:szCs w:val="24"/>
          <w:lang w:eastAsia="en-GB"/>
        </w:rPr>
        <w:t>(236), 1-24. doi:https://doi.org/10.3390/toxics9100236</w:t>
      </w:r>
    </w:p>
    <w:p w14:paraId="494BEE0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p>
    <w:p w14:paraId="00F7A5E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Attia, Y., Soori, P. K., &amp; Ghaith, F. (2021). Analysis of Households’ E-Waste Awareness, Disposal Behavior, and Estimation of Potential Waste Mobile Phones towards an Effective E-Waste Management System in Dubai. </w:t>
      </w:r>
      <w:r w:rsidRPr="00597FFB">
        <w:rPr>
          <w:rFonts w:ascii="Times New Roman" w:eastAsia="SimSun" w:hAnsi="Times New Roman" w:cs="Times New Roman"/>
          <w:i/>
          <w:iCs/>
          <w:kern w:val="24"/>
          <w:sz w:val="24"/>
          <w:szCs w:val="24"/>
          <w:lang w:val="en-GB" w:eastAsia="ja-JP"/>
        </w:rPr>
        <w:t>Toxics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9</w:t>
      </w:r>
      <w:r w:rsidRPr="00597FFB">
        <w:rPr>
          <w:rFonts w:ascii="Times New Roman" w:eastAsia="SimSun" w:hAnsi="Times New Roman" w:cs="Times New Roman"/>
          <w:kern w:val="24"/>
          <w:sz w:val="24"/>
          <w:szCs w:val="24"/>
          <w:lang w:val="en-GB" w:eastAsia="ja-JP"/>
        </w:rPr>
        <w:t>(10), 236. https://doi.org/10.3390/toxics9100236</w:t>
      </w:r>
    </w:p>
    <w:p w14:paraId="22323690" w14:textId="46A2DFB4" w:rsidR="007562B3" w:rsidRPr="00597FFB" w:rsidRDefault="007562B3" w:rsidP="00C610DB">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Avkiran, N. K. (2018). Explaining systemic risk in money market funds. </w:t>
      </w:r>
      <w:r w:rsidRPr="00597FFB">
        <w:rPr>
          <w:rFonts w:ascii="Times New Roman" w:eastAsiaTheme="minorHAnsi" w:hAnsi="Times New Roman" w:cs="Times New Roman"/>
          <w:i/>
          <w:iCs/>
          <w:sz w:val="24"/>
          <w:szCs w:val="24"/>
        </w:rPr>
        <w:t>Theoretical Economics Letters, 8</w:t>
      </w:r>
      <w:r w:rsidRPr="00597FFB">
        <w:rPr>
          <w:rFonts w:ascii="Times New Roman" w:eastAsiaTheme="minorHAnsi" w:hAnsi="Times New Roman" w:cs="Times New Roman"/>
          <w:sz w:val="24"/>
          <w:szCs w:val="24"/>
        </w:rPr>
        <w:t xml:space="preserve">(9), 1525-1552. </w:t>
      </w:r>
      <w:hyperlink r:id="rId29" w:history="1">
        <w:r w:rsidRPr="00597FFB">
          <w:rPr>
            <w:rFonts w:ascii="Times New Roman" w:eastAsiaTheme="minorHAnsi" w:hAnsi="Times New Roman" w:cs="Times New Roman"/>
            <w:color w:val="0563C1" w:themeColor="hyperlink"/>
            <w:sz w:val="24"/>
            <w:szCs w:val="24"/>
            <w:u w:val="single"/>
          </w:rPr>
          <w:t>https://doi.org/10.4236/tel.2018.89098</w:t>
        </w:r>
      </w:hyperlink>
    </w:p>
    <w:p w14:paraId="7B63FBE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Ayyildiz, E., &amp; Taskin Gumus, A. (2020). A novel spherical fuzzy AHP-integrated spherical WASPAS methodology for petrol station location selection problem: A real case study for İstanbul.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(29), 36109–36120. https://doi.org/10.1007/s11356-020-09640-0</w:t>
      </w:r>
    </w:p>
    <w:p w14:paraId="45C341E7" w14:textId="73353B36"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Azodo, A. P., Ogban, P. U., &amp; Okpor, J. (2017). Knowledge and Awareness Implication on E-Waste Management among Nigerian Collegiate. </w:t>
      </w:r>
      <w:r w:rsidRPr="00597FFB">
        <w:rPr>
          <w:rFonts w:ascii="Times New Roman" w:eastAsia="Times New Roman" w:hAnsi="Times New Roman" w:cs="Times New Roman"/>
          <w:i/>
          <w:iCs/>
          <w:color w:val="000000" w:themeColor="text1"/>
          <w:sz w:val="24"/>
          <w:szCs w:val="24"/>
          <w:lang w:eastAsia="en-GB"/>
        </w:rPr>
        <w:t>Journal of Applied Sciences and Environmental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21</w:t>
      </w:r>
      <w:r w:rsidRPr="00597FFB">
        <w:rPr>
          <w:rFonts w:ascii="Times New Roman" w:eastAsia="Times New Roman" w:hAnsi="Times New Roman" w:cs="Times New Roman"/>
          <w:color w:val="000000" w:themeColor="text1"/>
          <w:sz w:val="24"/>
          <w:szCs w:val="24"/>
          <w:lang w:eastAsia="en-GB"/>
        </w:rPr>
        <w:t>(6), 1035. https://doi.org/10.4314/jasem.v21i6.6</w:t>
      </w:r>
    </w:p>
    <w:p w14:paraId="5C2D750F" w14:textId="6204A409" w:rsidR="008A15D7" w:rsidRPr="00597FFB" w:rsidRDefault="008A15D7" w:rsidP="008A15D7">
      <w:pPr>
        <w:spacing w:after="0" w:line="480" w:lineRule="auto"/>
        <w:ind w:left="720" w:hanging="720"/>
        <w:rPr>
          <w:rFonts w:ascii="Times New Roman" w:eastAsia="Times New Roman" w:hAnsi="Times New Roman" w:cs="Times New Roman"/>
          <w:i/>
          <w:iCs/>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Baldé, C. P., Forti, V., Gray, V., Kuehr, R., &amp; Stegmann, P. (2021). The Global E-waste Monitor 2020–Quantities, Flows, and Resources. </w:t>
      </w:r>
      <w:r w:rsidRPr="00597FFB">
        <w:rPr>
          <w:rFonts w:ascii="Times New Roman" w:eastAsia="Times New Roman" w:hAnsi="Times New Roman" w:cs="Times New Roman"/>
          <w:i/>
          <w:iCs/>
          <w:color w:val="000000" w:themeColor="text1"/>
          <w:sz w:val="24"/>
          <w:szCs w:val="24"/>
          <w:lang w:eastAsia="en-GB"/>
        </w:rPr>
        <w:t>International Telecommunication Union (ITU) and the International Solid Waste Association (ISWA).</w:t>
      </w:r>
    </w:p>
    <w:p w14:paraId="44281CD3" w14:textId="77777777" w:rsidR="008A15D7" w:rsidRPr="00597FFB" w:rsidRDefault="008A15D7" w:rsidP="008A15D7">
      <w:pPr>
        <w:spacing w:after="0" w:line="480" w:lineRule="auto"/>
        <w:ind w:left="720" w:hanging="720"/>
        <w:rPr>
          <w:rFonts w:ascii="Times New Roman" w:eastAsia="Times New Roman" w:hAnsi="Times New Roman" w:cs="Times New Roman"/>
          <w:i/>
          <w:iCs/>
          <w:color w:val="000000" w:themeColor="text1"/>
          <w:sz w:val="24"/>
          <w:szCs w:val="24"/>
          <w:lang w:eastAsia="en-GB"/>
        </w:rPr>
      </w:pPr>
      <w:bookmarkStart w:id="303" w:name="_Hlk54007481"/>
      <w:r w:rsidRPr="00597FFB">
        <w:rPr>
          <w:rFonts w:ascii="Times New Roman" w:eastAsia="Times New Roman" w:hAnsi="Times New Roman" w:cs="Times New Roman"/>
          <w:color w:val="000000" w:themeColor="text1"/>
          <w:sz w:val="24"/>
          <w:szCs w:val="24"/>
          <w:lang w:eastAsia="en-GB"/>
        </w:rPr>
        <w:t xml:space="preserve">Baldé, C. P., Forti, V., Gray, V., Kuehr, R., &amp; Stegmann, P. (2019). The Global E-waste Monitor 2017–Quantities, Flows, and Resources. </w:t>
      </w:r>
      <w:r w:rsidRPr="00597FFB">
        <w:rPr>
          <w:rFonts w:ascii="Times New Roman" w:eastAsia="Times New Roman" w:hAnsi="Times New Roman" w:cs="Times New Roman"/>
          <w:i/>
          <w:iCs/>
          <w:color w:val="000000" w:themeColor="text1"/>
          <w:sz w:val="24"/>
          <w:szCs w:val="24"/>
          <w:lang w:eastAsia="en-GB"/>
        </w:rPr>
        <w:t>International Telecommunication Union (ITU) and the International Solid Waste Association (ISWA).</w:t>
      </w:r>
    </w:p>
    <w:bookmarkEnd w:id="303"/>
    <w:p w14:paraId="51E69295" w14:textId="77777777" w:rsidR="008A15D7" w:rsidRPr="00597FFB" w:rsidRDefault="008A15D7" w:rsidP="008A15D7">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Baldé, C. P., Forti, V., Gray, V., Kuehr, R., &amp; Stegmann, P. (2017). The global E-waste monitor 2017. Quantities, Flows, and Resources; United Nations University: Bonn, Germany; Geneva, Switzerland; Vienna, Austria, 2017.</w:t>
      </w:r>
    </w:p>
    <w:p w14:paraId="1592465B" w14:textId="77777777" w:rsidR="008A15D7" w:rsidRPr="00597FFB" w:rsidRDefault="008A15D7" w:rsidP="008A15D7">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Baldé, C. P., Wang, F., &amp; Kuehr, R. (2015). The global E-waste monitor: Quantities, flows, and resources–2014. Bonn, Germany: UNU-IAS.</w:t>
      </w:r>
    </w:p>
    <w:p w14:paraId="7517D43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Banerjee, S., &amp; Sarkhel, P. (2020). Municipal solid waste management, household and local government participation: A cross country analysis. </w:t>
      </w:r>
      <w:r w:rsidRPr="00597FFB">
        <w:rPr>
          <w:rFonts w:ascii="Times New Roman" w:eastAsia="Times New Roman" w:hAnsi="Times New Roman" w:cs="Times New Roman"/>
          <w:i/>
          <w:iCs/>
          <w:color w:val="000000" w:themeColor="text1"/>
          <w:sz w:val="24"/>
          <w:szCs w:val="24"/>
          <w:lang w:eastAsia="en-GB"/>
        </w:rPr>
        <w:t>Journal of Environmental Planning and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63</w:t>
      </w:r>
      <w:r w:rsidRPr="00597FFB">
        <w:rPr>
          <w:rFonts w:ascii="Times New Roman" w:eastAsia="Times New Roman" w:hAnsi="Times New Roman" w:cs="Times New Roman"/>
          <w:color w:val="000000" w:themeColor="text1"/>
          <w:sz w:val="24"/>
          <w:szCs w:val="24"/>
          <w:lang w:eastAsia="en-GB"/>
        </w:rPr>
        <w:t>(2), 210–235. https://doi.org/10.1080/09640568.2019.1576512</w:t>
      </w:r>
    </w:p>
    <w:p w14:paraId="2E35C65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Banhidarah, A. K., Al-Sumaiti, A. S., Wescoat, J. L., &amp; Nguyen, H. T. (2020). Electricity-water usage for sustainable development: An analysis of United Arab Emirates farms. </w:t>
      </w:r>
      <w:r w:rsidRPr="00597FFB">
        <w:rPr>
          <w:rFonts w:ascii="Times New Roman" w:eastAsia="Times New Roman" w:hAnsi="Times New Roman" w:cs="Times New Roman"/>
          <w:i/>
          <w:iCs/>
          <w:color w:val="000000" w:themeColor="text1"/>
          <w:sz w:val="24"/>
          <w:szCs w:val="24"/>
          <w:lang w:eastAsia="en-GB"/>
        </w:rPr>
        <w:t>Energy Policy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147</w:t>
      </w:r>
      <w:r w:rsidRPr="00597FFB">
        <w:rPr>
          <w:rFonts w:ascii="Times New Roman" w:eastAsia="Times New Roman" w:hAnsi="Times New Roman" w:cs="Times New Roman"/>
          <w:color w:val="000000" w:themeColor="text1"/>
          <w:sz w:val="24"/>
          <w:szCs w:val="24"/>
          <w:lang w:eastAsia="en-GB"/>
        </w:rPr>
        <w:t>, 111823. https://doi.org/10.1016/j.enpol.2020.111823</w:t>
      </w:r>
    </w:p>
    <w:p w14:paraId="600772B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Bao, G., Zhang, W., Xiao, Z., &amp; Hine, D. (2020). Slack resources and growth performance: The mediating roles of product and process innovation capabilities. </w:t>
      </w:r>
      <w:r w:rsidRPr="00597FFB">
        <w:rPr>
          <w:rFonts w:ascii="Times New Roman" w:eastAsia="SimSun" w:hAnsi="Times New Roman" w:cs="Times New Roman"/>
          <w:i/>
          <w:iCs/>
          <w:kern w:val="24"/>
          <w:sz w:val="24"/>
          <w:szCs w:val="24"/>
          <w:lang w:val="en-GB" w:eastAsia="ja-JP"/>
        </w:rPr>
        <w:t>Asian Journal of Technology Innovation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w:t>
      </w:r>
      <w:r w:rsidRPr="00597FFB">
        <w:rPr>
          <w:rFonts w:ascii="Times New Roman" w:eastAsia="SimSun" w:hAnsi="Times New Roman" w:cs="Times New Roman"/>
          <w:kern w:val="24"/>
          <w:sz w:val="24"/>
          <w:szCs w:val="24"/>
          <w:lang w:val="en-GB" w:eastAsia="ja-JP"/>
        </w:rPr>
        <w:t>(1), 60–76. https://doi.org/10.1080/19761597.2019.1700383</w:t>
      </w:r>
    </w:p>
    <w:p w14:paraId="18C7BDC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Barua, B. (2021a). Impact of total quality management factors on knowledge creation in the organizations of Bangladesh. </w:t>
      </w:r>
      <w:r w:rsidRPr="00597FFB">
        <w:rPr>
          <w:rFonts w:ascii="Times New Roman" w:eastAsia="SimSun" w:hAnsi="Times New Roman" w:cs="Times New Roman"/>
          <w:i/>
          <w:iCs/>
          <w:kern w:val="24"/>
          <w:sz w:val="24"/>
          <w:szCs w:val="24"/>
          <w:lang w:val="en-GB" w:eastAsia="ja-JP"/>
        </w:rPr>
        <w:t>The TQM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ahead-of-print</w:t>
      </w:r>
      <w:r w:rsidRPr="00597FFB">
        <w:rPr>
          <w:rFonts w:ascii="Times New Roman" w:eastAsia="SimSun" w:hAnsi="Times New Roman" w:cs="Times New Roman"/>
          <w:kern w:val="24"/>
          <w:sz w:val="24"/>
          <w:szCs w:val="24"/>
          <w:lang w:val="en-GB" w:eastAsia="ja-JP"/>
        </w:rPr>
        <w:t>(ahead-of-print). https://doi.org/10.1108/TQM-06-2020-0145</w:t>
      </w:r>
    </w:p>
    <w:p w14:paraId="41C84E1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Barua, B. (2021b). Impact of total quality management factors on knowledge creation in the organizations of Bangladesh. </w:t>
      </w:r>
      <w:r w:rsidRPr="00597FFB">
        <w:rPr>
          <w:rFonts w:ascii="Times New Roman" w:eastAsia="SimSun" w:hAnsi="Times New Roman" w:cs="Times New Roman"/>
          <w:i/>
          <w:iCs/>
          <w:kern w:val="24"/>
          <w:sz w:val="24"/>
          <w:szCs w:val="24"/>
          <w:lang w:val="en-GB" w:eastAsia="ja-JP"/>
        </w:rPr>
        <w:t>The TQM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ahead-of-print</w:t>
      </w:r>
      <w:r w:rsidRPr="00597FFB">
        <w:rPr>
          <w:rFonts w:ascii="Times New Roman" w:eastAsia="SimSun" w:hAnsi="Times New Roman" w:cs="Times New Roman"/>
          <w:kern w:val="24"/>
          <w:sz w:val="24"/>
          <w:szCs w:val="24"/>
          <w:lang w:val="en-GB" w:eastAsia="ja-JP"/>
        </w:rPr>
        <w:t>(ahead-of-print), Article ahead-of-print. https://doi.org/10.1108/TQM-06-2020-0145</w:t>
      </w:r>
    </w:p>
    <w:p w14:paraId="3C68972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Bătae, O. M., Dragomir, V. D., &amp; Feleagă, L. (2021a). The relationship between environmental, social, and financial performance in the banking sector: A European study.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290</w:t>
      </w:r>
      <w:r w:rsidRPr="00597FFB">
        <w:rPr>
          <w:rFonts w:ascii="Times New Roman" w:eastAsia="SimSun" w:hAnsi="Times New Roman" w:cs="Times New Roman"/>
          <w:kern w:val="24"/>
          <w:sz w:val="24"/>
          <w:szCs w:val="24"/>
          <w:lang w:val="en-GB" w:eastAsia="ja-JP"/>
        </w:rPr>
        <w:t>, 125791. https://doi.org/10.1016/j.jclepro.2021.125791</w:t>
      </w:r>
    </w:p>
    <w:p w14:paraId="137C9CD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Bătae, O. M., Dragomir, V. D., &amp; Feleagă, L. (2021b). The relationship between environmental, social, and financial performance in the banking sector: A European study.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290</w:t>
      </w:r>
      <w:r w:rsidRPr="00597FFB">
        <w:rPr>
          <w:rFonts w:ascii="Times New Roman" w:eastAsia="SimSun" w:hAnsi="Times New Roman" w:cs="Times New Roman"/>
          <w:kern w:val="24"/>
          <w:sz w:val="24"/>
          <w:szCs w:val="24"/>
          <w:lang w:val="en-GB" w:eastAsia="ja-JP"/>
        </w:rPr>
        <w:t>, 125791. https://doi.org/10.1016/j.jclepro.2021.125791</w:t>
      </w:r>
    </w:p>
    <w:p w14:paraId="2E9A023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Baumgartner, H., &amp; Weijters, B. (2021). Dealing with Common Method Variance in International Marketing Research. </w:t>
      </w:r>
      <w:r w:rsidRPr="00597FFB">
        <w:rPr>
          <w:rFonts w:ascii="Times New Roman" w:eastAsia="SimSun" w:hAnsi="Times New Roman" w:cs="Times New Roman"/>
          <w:i/>
          <w:iCs/>
          <w:kern w:val="24"/>
          <w:sz w:val="24"/>
          <w:szCs w:val="24"/>
          <w:lang w:val="en-GB" w:eastAsia="ja-JP"/>
        </w:rPr>
        <w:t>Journal of International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w:t>
      </w:r>
      <w:r w:rsidRPr="00597FFB">
        <w:rPr>
          <w:rFonts w:ascii="Times New Roman" w:eastAsia="SimSun" w:hAnsi="Times New Roman" w:cs="Times New Roman"/>
          <w:kern w:val="24"/>
          <w:sz w:val="24"/>
          <w:szCs w:val="24"/>
          <w:lang w:val="en-GB" w:eastAsia="ja-JP"/>
        </w:rPr>
        <w:t>(3), 7–22. https://doi.org/10.1177/1069031X21995871</w:t>
      </w:r>
    </w:p>
    <w:p w14:paraId="655368C5"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Bell, E., Harley, B., &amp; Bryman, A. (2022). </w:t>
      </w:r>
      <w:r w:rsidRPr="00597FFB">
        <w:rPr>
          <w:rFonts w:ascii="Times New Roman" w:eastAsiaTheme="minorHAnsi" w:hAnsi="Times New Roman" w:cs="Times New Roman"/>
          <w:i/>
          <w:iCs/>
          <w:sz w:val="24"/>
          <w:szCs w:val="24"/>
        </w:rPr>
        <w:t>Business research methods</w:t>
      </w:r>
      <w:r w:rsidRPr="00597FFB">
        <w:rPr>
          <w:rFonts w:ascii="Times New Roman" w:eastAsiaTheme="minorHAnsi" w:hAnsi="Times New Roman" w:cs="Times New Roman"/>
          <w:sz w:val="24"/>
          <w:szCs w:val="24"/>
        </w:rPr>
        <w:t>. Oxford: Oxford University Press.</w:t>
      </w:r>
    </w:p>
    <w:p w14:paraId="4BE72C4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Benabdellah, A. C., Zekhnini, K., Cherrafi, A., Garza</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Reyes, J. A., &amp; Kumar, A. (2021). Design for the environment: An ontology</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 xml:space="preserve">based knowledge management model for green product development. </w:t>
      </w:r>
      <w:r w:rsidRPr="00597FFB">
        <w:rPr>
          <w:rFonts w:ascii="Times New Roman" w:eastAsia="Times New Roman" w:hAnsi="Times New Roman" w:cs="Times New Roman"/>
          <w:i/>
          <w:iCs/>
          <w:color w:val="000000" w:themeColor="text1"/>
          <w:sz w:val="24"/>
          <w:szCs w:val="24"/>
          <w:lang w:eastAsia="en-GB"/>
        </w:rPr>
        <w:t>Business Strategy and the Environment</w:t>
      </w:r>
      <w:r w:rsidRPr="00597FFB">
        <w:rPr>
          <w:rFonts w:ascii="Times New Roman" w:eastAsia="Times New Roman" w:hAnsi="Times New Roman" w:cs="Times New Roman"/>
          <w:color w:val="000000" w:themeColor="text1"/>
          <w:sz w:val="24"/>
          <w:szCs w:val="24"/>
          <w:lang w:eastAsia="en-GB"/>
        </w:rPr>
        <w:t>, bse.2855. https://doi.org/10.1002/bse.2855</w:t>
      </w:r>
    </w:p>
    <w:p w14:paraId="7E9A6A0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Bhaskar, K., &amp; Kumar, B. (2019). Electronic waste management and sustainable development goals: Is there a business case for linking the two? </w:t>
      </w:r>
      <w:r w:rsidRPr="00597FFB">
        <w:rPr>
          <w:rFonts w:ascii="Times New Roman" w:eastAsia="Times New Roman" w:hAnsi="Times New Roman" w:cs="Times New Roman"/>
          <w:i/>
          <w:iCs/>
          <w:color w:val="000000" w:themeColor="text1"/>
          <w:sz w:val="24"/>
          <w:szCs w:val="24"/>
          <w:lang w:eastAsia="en-GB"/>
        </w:rPr>
        <w:t>Journal of Indian Business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w:t>
      </w:r>
      <w:r w:rsidRPr="00597FFB">
        <w:rPr>
          <w:rFonts w:ascii="Times New Roman" w:eastAsia="Times New Roman" w:hAnsi="Times New Roman" w:cs="Times New Roman"/>
          <w:color w:val="000000" w:themeColor="text1"/>
          <w:sz w:val="24"/>
          <w:szCs w:val="24"/>
          <w:lang w:eastAsia="en-GB"/>
        </w:rPr>
        <w:t>(2), 120–137. https://doi.org/10.1108/JIBR-01-2018-0051</w:t>
      </w:r>
    </w:p>
    <w:p w14:paraId="04E3286D"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Bhatia, M. S., &amp; Srivastava, R. K. (2018). Analysis of external barriers to remanufacturing using grey-DEMATEL approach: An Indian perspective. </w:t>
      </w:r>
      <w:r w:rsidRPr="00597FFB">
        <w:rPr>
          <w:rFonts w:ascii="Times New Roman" w:eastAsia="Times New Roman" w:hAnsi="Times New Roman" w:cs="Times New Roman"/>
          <w:i/>
          <w:iCs/>
          <w:color w:val="000000" w:themeColor="text1"/>
          <w:sz w:val="24"/>
          <w:szCs w:val="24"/>
          <w:lang w:eastAsia="en-GB"/>
        </w:rPr>
        <w:t>Resources, Conservation and Recycling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136</w:t>
      </w:r>
      <w:r w:rsidRPr="00597FFB">
        <w:rPr>
          <w:rFonts w:ascii="Times New Roman" w:eastAsia="Times New Roman" w:hAnsi="Times New Roman" w:cs="Times New Roman"/>
          <w:color w:val="000000" w:themeColor="text1"/>
          <w:sz w:val="24"/>
          <w:szCs w:val="24"/>
          <w:lang w:eastAsia="en-GB"/>
        </w:rPr>
        <w:t>, 79–87. https://doi.org/10.1016/j.resconrec.2018.03.021</w:t>
      </w:r>
    </w:p>
    <w:p w14:paraId="19929DF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Bhardwaj, S., Khurana, S., &amp; Kumar, A. (2023). Electronic (E-waste) conduct: Chemical assessment and treatment methods. In </w:t>
      </w:r>
      <w:r w:rsidRPr="00597FFB">
        <w:rPr>
          <w:rFonts w:ascii="Times New Roman" w:eastAsia="SimSun" w:hAnsi="Times New Roman" w:cs="Times New Roman"/>
          <w:i/>
          <w:iCs/>
          <w:kern w:val="24"/>
          <w:sz w:val="24"/>
          <w:szCs w:val="24"/>
          <w:lang w:val="en-GB" w:eastAsia="ja-JP"/>
        </w:rPr>
        <w:t>Waste Management and Resource Recycling in the Developing World</w:t>
      </w:r>
      <w:r w:rsidRPr="00597FFB">
        <w:rPr>
          <w:rFonts w:ascii="Times New Roman" w:eastAsia="SimSun" w:hAnsi="Times New Roman" w:cs="Times New Roman"/>
          <w:kern w:val="24"/>
          <w:sz w:val="24"/>
          <w:szCs w:val="24"/>
          <w:lang w:val="en-GB" w:eastAsia="ja-JP"/>
        </w:rPr>
        <w:t xml:space="preserve"> (pp. 143–161). Elsevier. https://doi.org/10.1016/B978-0-323-90463-6.00028-2</w:t>
      </w:r>
    </w:p>
    <w:p w14:paraId="28C2C15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Biesialska, K., Franch, X., &amp; Muntés-Mulero, V. (2021). Big Data analytics in Agile software development: A systematic mapping study. </w:t>
      </w:r>
      <w:r w:rsidRPr="00597FFB">
        <w:rPr>
          <w:rFonts w:ascii="Times New Roman" w:eastAsia="SimSun" w:hAnsi="Times New Roman" w:cs="Times New Roman"/>
          <w:i/>
          <w:iCs/>
          <w:kern w:val="24"/>
          <w:sz w:val="24"/>
          <w:szCs w:val="24"/>
          <w:lang w:val="en-GB" w:eastAsia="ja-JP"/>
        </w:rPr>
        <w:t>Information and Software Technology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132</w:t>
      </w:r>
      <w:r w:rsidRPr="00597FFB">
        <w:rPr>
          <w:rFonts w:ascii="Times New Roman" w:eastAsia="SimSun" w:hAnsi="Times New Roman" w:cs="Times New Roman"/>
          <w:kern w:val="24"/>
          <w:sz w:val="24"/>
          <w:szCs w:val="24"/>
          <w:lang w:val="en-GB" w:eastAsia="ja-JP"/>
        </w:rPr>
        <w:t>, 106448. https://doi.org/10.1016/j.infsof.2020.106448</w:t>
      </w:r>
    </w:p>
    <w:p w14:paraId="527FA0F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Bimir, M. N. (2020a). Revisiting e-waste management practices in selected African countries. </w:t>
      </w:r>
      <w:r w:rsidRPr="00597FFB">
        <w:rPr>
          <w:rFonts w:ascii="Times New Roman" w:eastAsia="SimSun" w:hAnsi="Times New Roman" w:cs="Times New Roman"/>
          <w:i/>
          <w:iCs/>
          <w:kern w:val="24"/>
          <w:sz w:val="24"/>
          <w:szCs w:val="24"/>
          <w:lang w:val="en-GB" w:eastAsia="ja-JP"/>
        </w:rPr>
        <w:t>Journal of the Air &amp; Waste Management Association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70</w:t>
      </w:r>
      <w:r w:rsidRPr="00597FFB">
        <w:rPr>
          <w:rFonts w:ascii="Times New Roman" w:eastAsia="SimSun" w:hAnsi="Times New Roman" w:cs="Times New Roman"/>
          <w:kern w:val="24"/>
          <w:sz w:val="24"/>
          <w:szCs w:val="24"/>
          <w:lang w:val="en-GB" w:eastAsia="ja-JP"/>
        </w:rPr>
        <w:t>(7), Article 7. https://doi.org/10.1080/10962247.2020.1769769</w:t>
      </w:r>
    </w:p>
    <w:p w14:paraId="054FCBD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Bimir, M. N. (2020b). Revisiting e-waste management practices in selected African countries. </w:t>
      </w:r>
      <w:r w:rsidRPr="00597FFB">
        <w:rPr>
          <w:rFonts w:ascii="Times New Roman" w:eastAsia="SimSun" w:hAnsi="Times New Roman" w:cs="Times New Roman"/>
          <w:i/>
          <w:iCs/>
          <w:kern w:val="24"/>
          <w:sz w:val="24"/>
          <w:szCs w:val="24"/>
          <w:lang w:val="en-GB" w:eastAsia="ja-JP"/>
        </w:rPr>
        <w:t>Journal of the Air &amp; Waste Management Association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70</w:t>
      </w:r>
      <w:r w:rsidRPr="00597FFB">
        <w:rPr>
          <w:rFonts w:ascii="Times New Roman" w:eastAsia="SimSun" w:hAnsi="Times New Roman" w:cs="Times New Roman"/>
          <w:kern w:val="24"/>
          <w:sz w:val="24"/>
          <w:szCs w:val="24"/>
          <w:lang w:val="en-GB" w:eastAsia="ja-JP"/>
        </w:rPr>
        <w:t>(7), Article 7. https://doi.org/10.1080/10962247.2020.1769769</w:t>
      </w:r>
    </w:p>
    <w:p w14:paraId="614C17A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Blose, J. E., Mack, R. W., Pitts, R. E., &amp; Xie, H. Y. (2020). Exploring Young U.S. and Chinese Consumers’ Motivations to Recycle. </w:t>
      </w:r>
      <w:r w:rsidRPr="00597FFB">
        <w:rPr>
          <w:rFonts w:ascii="Times New Roman" w:eastAsia="SimSun" w:hAnsi="Times New Roman" w:cs="Times New Roman"/>
          <w:i/>
          <w:iCs/>
          <w:kern w:val="24"/>
          <w:sz w:val="24"/>
          <w:szCs w:val="24"/>
          <w:lang w:val="en-GB" w:eastAsia="ja-JP"/>
        </w:rPr>
        <w:t>Journal of International Consumer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32</w:t>
      </w:r>
      <w:r w:rsidRPr="00597FFB">
        <w:rPr>
          <w:rFonts w:ascii="Times New Roman" w:eastAsia="SimSun" w:hAnsi="Times New Roman" w:cs="Times New Roman"/>
          <w:kern w:val="24"/>
          <w:sz w:val="24"/>
          <w:szCs w:val="24"/>
          <w:lang w:val="en-GB" w:eastAsia="ja-JP"/>
        </w:rPr>
        <w:t>(1), 33–46. https://doi.org/10.1080/08961530.2019.1618776</w:t>
      </w:r>
    </w:p>
    <w:p w14:paraId="3F352B8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Bocken, N. M. P., &amp; Short, S. W. (2020). Transforming business models: Towards a sufficiency-based circular economy. In M. Brandão, D. Lazarevic, &amp; G. Finnveden, </w:t>
      </w:r>
      <w:r w:rsidRPr="00597FFB">
        <w:rPr>
          <w:rFonts w:ascii="Times New Roman" w:eastAsia="SimSun" w:hAnsi="Times New Roman" w:cs="Times New Roman"/>
          <w:i/>
          <w:iCs/>
          <w:kern w:val="24"/>
          <w:sz w:val="24"/>
          <w:szCs w:val="24"/>
          <w:lang w:val="en-GB" w:eastAsia="ja-JP"/>
        </w:rPr>
        <w:t>Handbook of the Circular Economy</w:t>
      </w:r>
      <w:r w:rsidRPr="00597FFB">
        <w:rPr>
          <w:rFonts w:ascii="Times New Roman" w:eastAsia="SimSun" w:hAnsi="Times New Roman" w:cs="Times New Roman"/>
          <w:kern w:val="24"/>
          <w:sz w:val="24"/>
          <w:szCs w:val="24"/>
          <w:lang w:val="en-GB" w:eastAsia="ja-JP"/>
        </w:rPr>
        <w:t xml:space="preserve"> (pp. 250–265). Edward Elgar Publishing. https://doi.org/10.4337/9781788972727.00028</w:t>
      </w:r>
    </w:p>
    <w:p w14:paraId="75D2BDA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Bocken, N. M. P., &amp; Short, S. W. (2021). Unsustainable business models – Recognising and resolving institutionalised social and environmental harm.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312</w:t>
      </w:r>
      <w:r w:rsidRPr="00597FFB">
        <w:rPr>
          <w:rFonts w:ascii="Times New Roman" w:eastAsia="SimSun" w:hAnsi="Times New Roman" w:cs="Times New Roman"/>
          <w:kern w:val="24"/>
          <w:sz w:val="24"/>
          <w:szCs w:val="24"/>
          <w:lang w:val="en-GB" w:eastAsia="ja-JP"/>
        </w:rPr>
        <w:t>, 127828. https://doi.org/10.1016/j.jclepro.2021.127828</w:t>
      </w:r>
    </w:p>
    <w:p w14:paraId="30C31FB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Bombaerts, G., Jenkins, K., Sanusi, Y. A., &amp; Guoyu, W. (Eds.). (2020). </w:t>
      </w:r>
      <w:r w:rsidRPr="00597FFB">
        <w:rPr>
          <w:rFonts w:ascii="Times New Roman" w:eastAsia="SimSun" w:hAnsi="Times New Roman" w:cs="Times New Roman"/>
          <w:i/>
          <w:iCs/>
          <w:kern w:val="24"/>
          <w:sz w:val="24"/>
          <w:szCs w:val="24"/>
          <w:lang w:val="en-GB" w:eastAsia="ja-JP"/>
        </w:rPr>
        <w:t>Energy Justice Across Borders</w:t>
      </w:r>
      <w:r w:rsidRPr="00597FFB">
        <w:rPr>
          <w:rFonts w:ascii="Times New Roman" w:eastAsia="SimSun" w:hAnsi="Times New Roman" w:cs="Times New Roman"/>
          <w:kern w:val="24"/>
          <w:sz w:val="24"/>
          <w:szCs w:val="24"/>
          <w:lang w:val="en-GB" w:eastAsia="ja-JP"/>
        </w:rPr>
        <w:t>. Springer International Publishing. https://doi.org/10.1007/978-3-030-24021-9</w:t>
      </w:r>
    </w:p>
    <w:p w14:paraId="48A56E9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Bonera, M., Codini, A. P., &amp; Miniero, G. (2020). The great Millennials’ trouble: Leading or confused green generation? An Italian insight. </w:t>
      </w:r>
      <w:r w:rsidRPr="00597FFB">
        <w:rPr>
          <w:rFonts w:ascii="Times New Roman" w:eastAsia="SimSun" w:hAnsi="Times New Roman" w:cs="Times New Roman"/>
          <w:i/>
          <w:iCs/>
          <w:kern w:val="24"/>
          <w:sz w:val="24"/>
          <w:szCs w:val="24"/>
          <w:lang w:val="en-GB" w:eastAsia="ja-JP"/>
        </w:rPr>
        <w:t>Italian Journal of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2020</w:t>
      </w:r>
      <w:r w:rsidRPr="00597FFB">
        <w:rPr>
          <w:rFonts w:ascii="Times New Roman" w:eastAsia="SimSun" w:hAnsi="Times New Roman" w:cs="Times New Roman"/>
          <w:kern w:val="24"/>
          <w:sz w:val="24"/>
          <w:szCs w:val="24"/>
          <w:lang w:val="en-GB" w:eastAsia="ja-JP"/>
        </w:rPr>
        <w:t>(4), 289–308. https://doi.org/10.1007/s43039-020-00015-4</w:t>
      </w:r>
    </w:p>
    <w:p w14:paraId="0D90D4B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Borthakur, A., &amp; Govind, M. (2017). Emerging trends in consumers’ E-waste disposal behaviour and awareness: A worldwide overview with special focus on India. </w:t>
      </w:r>
      <w:r w:rsidRPr="00597FFB">
        <w:rPr>
          <w:rFonts w:ascii="Times New Roman" w:eastAsia="Times New Roman" w:hAnsi="Times New Roman" w:cs="Times New Roman"/>
          <w:i/>
          <w:iCs/>
          <w:color w:val="000000" w:themeColor="text1"/>
          <w:sz w:val="24"/>
          <w:szCs w:val="24"/>
          <w:lang w:eastAsia="en-GB"/>
        </w:rPr>
        <w:t>Resources, Conservation and Recycling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117</w:t>
      </w:r>
      <w:r w:rsidRPr="00597FFB">
        <w:rPr>
          <w:rFonts w:ascii="Times New Roman" w:eastAsia="Times New Roman" w:hAnsi="Times New Roman" w:cs="Times New Roman"/>
          <w:color w:val="000000" w:themeColor="text1"/>
          <w:sz w:val="24"/>
          <w:szCs w:val="24"/>
          <w:lang w:eastAsia="en-GB"/>
        </w:rPr>
        <w:t>, 102–113. https://doi.org/10.1016/j.resconrec.2016.11.011</w:t>
      </w:r>
    </w:p>
    <w:p w14:paraId="083DA1B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Borthakur, A., &amp; Govind, M. (2018). Public understandings of E-waste and its disposal in urban India: From a review towards a conceptual framework.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172</w:t>
      </w:r>
      <w:r w:rsidRPr="00597FFB">
        <w:rPr>
          <w:rFonts w:ascii="Times New Roman" w:eastAsia="SimSun" w:hAnsi="Times New Roman" w:cs="Times New Roman"/>
          <w:kern w:val="24"/>
          <w:sz w:val="24"/>
          <w:szCs w:val="24"/>
          <w:lang w:val="en-GB" w:eastAsia="ja-JP"/>
        </w:rPr>
        <w:t>, 1053–1066. https://doi.org/10.1016/j.jclepro.2017.10.218</w:t>
      </w:r>
    </w:p>
    <w:p w14:paraId="3F70A6A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Borusiak, B., Szymkowiak, A., Horska, E., Raszka, N., &amp; Żelichowska, E. (2020). Towards Building Sustainable Consumption: A Study of Second-Hand Buying Intentions.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(3), 875. https://doi.org/10.3390/su12030875</w:t>
      </w:r>
    </w:p>
    <w:p w14:paraId="5FB6BDC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Borusiak, B., Szymkowiak, A., Pierański, B., &amp; Szalonka, K. (2021). The Impact of Environmental Concern on Intention to Reduce Consumption of Single-Use Bottled Water. </w:t>
      </w:r>
      <w:r w:rsidRPr="00597FFB">
        <w:rPr>
          <w:rFonts w:ascii="Times New Roman" w:eastAsia="SimSun" w:hAnsi="Times New Roman" w:cs="Times New Roman"/>
          <w:i/>
          <w:iCs/>
          <w:kern w:val="24"/>
          <w:sz w:val="24"/>
          <w:szCs w:val="24"/>
          <w:lang w:val="en-GB" w:eastAsia="ja-JP"/>
        </w:rPr>
        <w:t>Energies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14</w:t>
      </w:r>
      <w:r w:rsidRPr="00597FFB">
        <w:rPr>
          <w:rFonts w:ascii="Times New Roman" w:eastAsia="SimSun" w:hAnsi="Times New Roman" w:cs="Times New Roman"/>
          <w:kern w:val="24"/>
          <w:sz w:val="24"/>
          <w:szCs w:val="24"/>
          <w:lang w:val="en-GB" w:eastAsia="ja-JP"/>
        </w:rPr>
        <w:t>(7), 1985. https://doi.org/10.3390/en14071985</w:t>
      </w:r>
    </w:p>
    <w:p w14:paraId="009B0BA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Boubellouta, B., &amp; Kusch-Brandt, S. (2021). Cross-country evidence on Environmental Kuznets Curve in Waste Electrical and Electronic Equipment for 174 Countries. </w:t>
      </w:r>
      <w:r w:rsidRPr="00597FFB">
        <w:rPr>
          <w:rFonts w:ascii="Times New Roman" w:eastAsia="SimSun" w:hAnsi="Times New Roman" w:cs="Times New Roman"/>
          <w:i/>
          <w:iCs/>
          <w:kern w:val="24"/>
          <w:sz w:val="24"/>
          <w:szCs w:val="24"/>
          <w:lang w:val="en-GB" w:eastAsia="ja-JP"/>
        </w:rPr>
        <w:t>Sustainable Production and Consumption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 136–151. https://doi.org/10.1016/j.spc.2020.08.006</w:t>
      </w:r>
    </w:p>
    <w:p w14:paraId="5719E9E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Bovea, M. D., Ibáñez-Forés, V., Pérez-Belis, V., &amp; Juan, P. (2018). A survey on consumers’ attitude towards storing and end of life strategies of small information and communication technology devices in Spain. </w:t>
      </w:r>
      <w:r w:rsidRPr="00597FFB">
        <w:rPr>
          <w:rFonts w:ascii="Times New Roman" w:hAnsi="Times New Roman" w:cs="Times New Roman"/>
          <w:i/>
          <w:iCs/>
          <w:color w:val="000000" w:themeColor="text1"/>
          <w:kern w:val="24"/>
          <w:sz w:val="24"/>
          <w:szCs w:val="24"/>
          <w:lang w:eastAsia="ja-JP"/>
        </w:rPr>
        <w:t>Waste Management,</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71</w:t>
      </w:r>
      <w:r w:rsidRPr="00597FFB">
        <w:rPr>
          <w:rFonts w:ascii="Times New Roman" w:hAnsi="Times New Roman" w:cs="Times New Roman"/>
          <w:color w:val="000000" w:themeColor="text1"/>
          <w:kern w:val="24"/>
          <w:sz w:val="24"/>
          <w:szCs w:val="24"/>
          <w:lang w:eastAsia="ja-JP"/>
        </w:rPr>
        <w:t xml:space="preserve">, 589–602. </w:t>
      </w:r>
      <w:hyperlink r:id="rId30" w:history="1">
        <w:r w:rsidRPr="00597FFB">
          <w:rPr>
            <w:rFonts w:ascii="Times New Roman" w:hAnsi="Times New Roman" w:cs="Times New Roman"/>
            <w:color w:val="000000" w:themeColor="text1"/>
            <w:kern w:val="24"/>
            <w:sz w:val="24"/>
            <w:szCs w:val="24"/>
            <w:u w:val="single"/>
            <w:lang w:eastAsia="ja-JP"/>
          </w:rPr>
          <w:t>https://doi.org/10.1016/j.wasman.2017.10.040</w:t>
        </w:r>
      </w:hyperlink>
      <w:r w:rsidRPr="00597FFB">
        <w:rPr>
          <w:rFonts w:ascii="Times New Roman" w:hAnsi="Times New Roman" w:cs="Times New Roman"/>
          <w:color w:val="000000" w:themeColor="text1"/>
          <w:kern w:val="24"/>
          <w:sz w:val="24"/>
          <w:szCs w:val="24"/>
          <w:lang w:eastAsia="ja-JP"/>
        </w:rPr>
        <w:t>.</w:t>
      </w:r>
    </w:p>
    <w:p w14:paraId="182EB7D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Bowman, N. D., &amp; Goodboy, A. K. (2020). Evolving considerations and empirical approaches to construct validity in communication science. </w:t>
      </w:r>
      <w:r w:rsidRPr="00597FFB">
        <w:rPr>
          <w:rFonts w:ascii="Times New Roman" w:eastAsia="SimSun" w:hAnsi="Times New Roman" w:cs="Times New Roman"/>
          <w:i/>
          <w:iCs/>
          <w:kern w:val="24"/>
          <w:sz w:val="24"/>
          <w:szCs w:val="24"/>
          <w:lang w:val="en-GB" w:eastAsia="ja-JP"/>
        </w:rPr>
        <w:t>Annals of the International Communication Association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44</w:t>
      </w:r>
      <w:r w:rsidRPr="00597FFB">
        <w:rPr>
          <w:rFonts w:ascii="Times New Roman" w:eastAsia="SimSun" w:hAnsi="Times New Roman" w:cs="Times New Roman"/>
          <w:kern w:val="24"/>
          <w:sz w:val="24"/>
          <w:szCs w:val="24"/>
          <w:lang w:val="en-GB" w:eastAsia="ja-JP"/>
        </w:rPr>
        <w:t>(3), 219–234. https://doi.org/10.1080/23808985.2020.1792791</w:t>
      </w:r>
    </w:p>
    <w:p w14:paraId="534F29D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Brisman, A., &amp; South, N. (Eds.). (2020). </w:t>
      </w:r>
      <w:r w:rsidRPr="00597FFB">
        <w:rPr>
          <w:rFonts w:ascii="Times New Roman" w:eastAsia="SimSun" w:hAnsi="Times New Roman" w:cs="Times New Roman"/>
          <w:i/>
          <w:iCs/>
          <w:kern w:val="24"/>
          <w:sz w:val="24"/>
          <w:szCs w:val="24"/>
          <w:lang w:val="en-GB" w:eastAsia="ja-JP"/>
        </w:rPr>
        <w:t>Routledge international handbook of green criminology</w:t>
      </w:r>
      <w:r w:rsidRPr="00597FFB">
        <w:rPr>
          <w:rFonts w:ascii="Times New Roman" w:eastAsia="SimSun" w:hAnsi="Times New Roman" w:cs="Times New Roman"/>
          <w:kern w:val="24"/>
          <w:sz w:val="24"/>
          <w:szCs w:val="24"/>
          <w:lang w:val="en-GB" w:eastAsia="ja-JP"/>
        </w:rPr>
        <w:t xml:space="preserve"> (Second edition). Routledge.</w:t>
      </w:r>
    </w:p>
    <w:p w14:paraId="1ABC3E92" w14:textId="5E162AF7" w:rsidR="00F573B8" w:rsidRPr="00597FFB" w:rsidRDefault="00F573B8"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hAnsi="Times New Roman" w:cs="Times New Roman"/>
          <w:color w:val="232323"/>
          <w:sz w:val="24"/>
          <w:szCs w:val="24"/>
          <w:shd w:val="clear" w:color="auto" w:fill="FFFFFF"/>
        </w:rPr>
        <w:t>Brundtland, G.H. (1987) Our Common Future: Report of the World Commission on Environment and Development. Geneva, UN-Dokument A/42/427. http://www.un-documents.net/ocf-ov.htm</w:t>
      </w:r>
    </w:p>
    <w:p w14:paraId="1F03FCB0" w14:textId="51A75031"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Bryant, W., &amp; Merritt, S. M. (2021). Unethical Pro-organizational Behavior and Positive Leader–Employee Relationships. </w:t>
      </w:r>
      <w:r w:rsidRPr="00597FFB">
        <w:rPr>
          <w:rFonts w:ascii="Times New Roman" w:eastAsia="SimSun" w:hAnsi="Times New Roman" w:cs="Times New Roman"/>
          <w:i/>
          <w:iCs/>
          <w:kern w:val="24"/>
          <w:sz w:val="24"/>
          <w:szCs w:val="24"/>
          <w:lang w:val="en-GB" w:eastAsia="ja-JP"/>
        </w:rPr>
        <w:t>Journal of Business Ethics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168</w:t>
      </w:r>
      <w:r w:rsidRPr="00597FFB">
        <w:rPr>
          <w:rFonts w:ascii="Times New Roman" w:eastAsia="SimSun" w:hAnsi="Times New Roman" w:cs="Times New Roman"/>
          <w:kern w:val="24"/>
          <w:sz w:val="24"/>
          <w:szCs w:val="24"/>
          <w:lang w:val="en-GB" w:eastAsia="ja-JP"/>
        </w:rPr>
        <w:t>(4), 777–793. https://doi.org/10.1007/s10551-019-04211-x</w:t>
      </w:r>
    </w:p>
    <w:p w14:paraId="14EB9012" w14:textId="79802654" w:rsidR="007562B3" w:rsidRPr="00597FFB" w:rsidRDefault="007562B3" w:rsidP="00C610DB">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 xml:space="preserve">Bulut, C., Nazli, M., Aydin, E., &amp; Haque, A U. (2021). The effect of environmental concern on conscious green consumption of post-millennials: The moderating role of greenwashing perceptions. </w:t>
      </w:r>
      <w:r w:rsidRPr="00597FFB">
        <w:rPr>
          <w:rFonts w:ascii="Times New Roman" w:eastAsia="Times New Roman" w:hAnsi="Times New Roman" w:cs="Times New Roman"/>
          <w:i/>
          <w:iCs/>
          <w:color w:val="000000"/>
          <w:kern w:val="24"/>
          <w:sz w:val="24"/>
          <w:szCs w:val="24"/>
          <w:lang w:eastAsia="ja-JP"/>
        </w:rPr>
        <w:t>Young Consumers, ahead-of-print</w:t>
      </w:r>
      <w:r w:rsidRPr="00597FFB">
        <w:rPr>
          <w:rFonts w:ascii="Times New Roman" w:eastAsia="Times New Roman" w:hAnsi="Times New Roman" w:cs="Times New Roman"/>
          <w:color w:val="000000"/>
          <w:kern w:val="24"/>
          <w:sz w:val="24"/>
          <w:szCs w:val="24"/>
          <w:lang w:eastAsia="ja-JP"/>
        </w:rPr>
        <w:t xml:space="preserve">(ahead-of-print). </w:t>
      </w:r>
      <w:hyperlink r:id="rId31" w:history="1">
        <w:r w:rsidRPr="00597FFB">
          <w:rPr>
            <w:rFonts w:ascii="Times New Roman" w:eastAsia="Times New Roman" w:hAnsi="Times New Roman" w:cs="Times New Roman"/>
            <w:color w:val="000000"/>
            <w:kern w:val="24"/>
            <w:sz w:val="24"/>
            <w:szCs w:val="24"/>
            <w:u w:val="single"/>
            <w:lang w:eastAsia="ja-JP"/>
          </w:rPr>
          <w:t>https://doi.org/10.1108/YC-10-2020-1241</w:t>
        </w:r>
      </w:hyperlink>
      <w:r w:rsidRPr="00597FFB">
        <w:rPr>
          <w:rFonts w:ascii="Times New Roman" w:eastAsia="Times New Roman" w:hAnsi="Times New Roman" w:cs="Times New Roman"/>
          <w:color w:val="000000"/>
          <w:kern w:val="24"/>
          <w:sz w:val="24"/>
          <w:szCs w:val="24"/>
          <w:lang w:eastAsia="ja-JP"/>
        </w:rPr>
        <w:t>.</w:t>
      </w:r>
    </w:p>
    <w:p w14:paraId="2C02B92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Bureš, V., Cabal, J., Čech, P., Mls, K., &amp; Ponce, D. (2020). The Influence of Criteria Selection Method on Consistency of Pairwise Comparison. </w:t>
      </w:r>
      <w:r w:rsidRPr="00597FFB">
        <w:rPr>
          <w:rFonts w:ascii="Times New Roman" w:eastAsia="SimSun" w:hAnsi="Times New Roman" w:cs="Times New Roman"/>
          <w:i/>
          <w:iCs/>
          <w:kern w:val="24"/>
          <w:sz w:val="24"/>
          <w:szCs w:val="24"/>
          <w:lang w:val="en-GB" w:eastAsia="ja-JP"/>
        </w:rPr>
        <w:t>Mathematics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w:t>
      </w:r>
      <w:r w:rsidRPr="00597FFB">
        <w:rPr>
          <w:rFonts w:ascii="Times New Roman" w:eastAsia="SimSun" w:hAnsi="Times New Roman" w:cs="Times New Roman"/>
          <w:kern w:val="24"/>
          <w:sz w:val="24"/>
          <w:szCs w:val="24"/>
          <w:lang w:val="en-GB" w:eastAsia="ja-JP"/>
        </w:rPr>
        <w:t>(12), 2200. https://doi.org/10.3390/math8122200</w:t>
      </w:r>
    </w:p>
    <w:p w14:paraId="7F8643B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Bzdok, D., &amp; Ioannidis, J. P. A. (2019). Exploration, Inference, and Prediction in Neuroscience and Biomedicine. </w:t>
      </w:r>
      <w:r w:rsidRPr="00597FFB">
        <w:rPr>
          <w:rFonts w:ascii="Times New Roman" w:eastAsia="SimSun" w:hAnsi="Times New Roman" w:cs="Times New Roman"/>
          <w:i/>
          <w:iCs/>
          <w:kern w:val="24"/>
          <w:sz w:val="24"/>
          <w:szCs w:val="24"/>
          <w:lang w:val="en-GB" w:eastAsia="ja-JP"/>
        </w:rPr>
        <w:t>Trends in Neurosciences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42</w:t>
      </w:r>
      <w:r w:rsidRPr="00597FFB">
        <w:rPr>
          <w:rFonts w:ascii="Times New Roman" w:eastAsia="SimSun" w:hAnsi="Times New Roman" w:cs="Times New Roman"/>
          <w:kern w:val="24"/>
          <w:sz w:val="24"/>
          <w:szCs w:val="24"/>
          <w:lang w:val="en-GB" w:eastAsia="ja-JP"/>
        </w:rPr>
        <w:t>(4), 251–262. https://doi.org/10.1016/j.tins.2019.02.001</w:t>
      </w:r>
    </w:p>
    <w:p w14:paraId="5CDFC96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Cai, K., Song, Q., Peng, S., Yuan, W., Liang, Y., &amp; Li, J. (2020). Uncovering residents’ behaviors, attitudes, and WTP for recycling e-waste: A case study of Zhuhai city, China. </w:t>
      </w:r>
      <w:r w:rsidRPr="00597FFB">
        <w:rPr>
          <w:rFonts w:ascii="Times New Roman" w:eastAsia="Times New Roman" w:hAnsi="Times New Roman" w:cs="Times New Roman"/>
          <w:i/>
          <w:iCs/>
          <w:color w:val="000000" w:themeColor="text1"/>
          <w:sz w:val="24"/>
          <w:szCs w:val="24"/>
          <w:lang w:eastAsia="en-GB"/>
        </w:rPr>
        <w:t>Environmental Science and Pollution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27</w:t>
      </w:r>
      <w:r w:rsidRPr="00597FFB">
        <w:rPr>
          <w:rFonts w:ascii="Times New Roman" w:eastAsia="Times New Roman" w:hAnsi="Times New Roman" w:cs="Times New Roman"/>
          <w:color w:val="000000" w:themeColor="text1"/>
          <w:sz w:val="24"/>
          <w:szCs w:val="24"/>
          <w:lang w:eastAsia="en-GB"/>
        </w:rPr>
        <w:t>(2), 2386–2399. https://doi.org/10.1007/s11356-019-06917-x</w:t>
      </w:r>
    </w:p>
    <w:p w14:paraId="103F124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Campbell, D. T., &amp; Fiske, D. W. (1959). Convergent and discriminant validation by the multitrait-multimethod matrix. </w:t>
      </w:r>
      <w:r w:rsidRPr="00597FFB">
        <w:rPr>
          <w:rFonts w:ascii="Times New Roman" w:eastAsia="SimSun" w:hAnsi="Times New Roman" w:cs="Times New Roman"/>
          <w:i/>
          <w:iCs/>
          <w:kern w:val="24"/>
          <w:sz w:val="24"/>
          <w:szCs w:val="24"/>
          <w:lang w:val="en-GB" w:eastAsia="ja-JP"/>
        </w:rPr>
        <w:t>Psychological Bulletin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56</w:t>
      </w:r>
      <w:r w:rsidRPr="00597FFB">
        <w:rPr>
          <w:rFonts w:ascii="Times New Roman" w:eastAsia="SimSun" w:hAnsi="Times New Roman" w:cs="Times New Roman"/>
          <w:kern w:val="24"/>
          <w:sz w:val="24"/>
          <w:szCs w:val="24"/>
          <w:lang w:val="en-GB" w:eastAsia="ja-JP"/>
        </w:rPr>
        <w:t>(2), 81–105. https://doi.org/10.1037/h0046016</w:t>
      </w:r>
    </w:p>
    <w:p w14:paraId="5EACB95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Canova, L., Bobbio, A., &amp; Manganelli, A. M. (2020). Buying Organic Food Products: The Role of Trust in the Theory of Planned Behavior. </w:t>
      </w:r>
      <w:r w:rsidRPr="00597FFB">
        <w:rPr>
          <w:rFonts w:ascii="Times New Roman" w:eastAsia="SimSun" w:hAnsi="Times New Roman" w:cs="Times New Roman"/>
          <w:i/>
          <w:iCs/>
          <w:kern w:val="24"/>
          <w:sz w:val="24"/>
          <w:szCs w:val="24"/>
          <w:lang w:val="en-GB" w:eastAsia="ja-JP"/>
        </w:rPr>
        <w:t>Frontiers in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 575820. https://doi.org/10.3389/fpsyg.2020.575820</w:t>
      </w:r>
    </w:p>
    <w:p w14:paraId="234ECAA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Cantone, L., Testa, P., &amp; Marrone, T. (2022). Issues in defining and placing consumer brand engagement. </w:t>
      </w:r>
      <w:r w:rsidRPr="00597FFB">
        <w:rPr>
          <w:rFonts w:ascii="Times New Roman" w:eastAsia="SimSun" w:hAnsi="Times New Roman" w:cs="Times New Roman"/>
          <w:i/>
          <w:iCs/>
          <w:kern w:val="24"/>
          <w:sz w:val="24"/>
          <w:szCs w:val="24"/>
          <w:lang w:val="en-GB" w:eastAsia="ja-JP"/>
        </w:rPr>
        <w:t>Italian Journal of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2022</w:t>
      </w:r>
      <w:r w:rsidRPr="00597FFB">
        <w:rPr>
          <w:rFonts w:ascii="Times New Roman" w:eastAsia="SimSun" w:hAnsi="Times New Roman" w:cs="Times New Roman"/>
          <w:kern w:val="24"/>
          <w:sz w:val="24"/>
          <w:szCs w:val="24"/>
          <w:lang w:val="en-GB" w:eastAsia="ja-JP"/>
        </w:rPr>
        <w:t>(2), 135–172. https://doi.org/10.1007/s43039-022-00054-z</w:t>
      </w:r>
    </w:p>
    <w:p w14:paraId="20C1E55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Carle, A. C., Bevans, K. B., Tucker, C. A., &amp; Forrest, C. B. (2021). Using nationally representative percentiles to interpret PROMIS pediatric measures. </w:t>
      </w:r>
      <w:r w:rsidRPr="00597FFB">
        <w:rPr>
          <w:rFonts w:ascii="Times New Roman" w:eastAsia="SimSun" w:hAnsi="Times New Roman" w:cs="Times New Roman"/>
          <w:i/>
          <w:iCs/>
          <w:kern w:val="24"/>
          <w:sz w:val="24"/>
          <w:szCs w:val="24"/>
          <w:lang w:val="en-GB" w:eastAsia="ja-JP"/>
        </w:rPr>
        <w:t>Quality of Life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30</w:t>
      </w:r>
      <w:r w:rsidRPr="00597FFB">
        <w:rPr>
          <w:rFonts w:ascii="Times New Roman" w:eastAsia="SimSun" w:hAnsi="Times New Roman" w:cs="Times New Roman"/>
          <w:kern w:val="24"/>
          <w:sz w:val="24"/>
          <w:szCs w:val="24"/>
          <w:lang w:val="en-GB" w:eastAsia="ja-JP"/>
        </w:rPr>
        <w:t>(4), 997–1004. https://doi.org/10.1007/s11136-020-02700-5</w:t>
      </w:r>
    </w:p>
    <w:p w14:paraId="49878DD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Caputo, F., Scuotto, V., Papa, A., &amp; Del Giudice, M. (2021). Dalla coercizione per la sostenibilit&amp;agrave; all’impegno sociale: Il ruolo della responsabilit&amp;agrave; sociale d’impresa. </w:t>
      </w:r>
      <w:r w:rsidRPr="00597FFB">
        <w:rPr>
          <w:rFonts w:ascii="Times New Roman" w:eastAsia="Times New Roman" w:hAnsi="Times New Roman" w:cs="Times New Roman"/>
          <w:i/>
          <w:iCs/>
          <w:color w:val="000000" w:themeColor="text1"/>
          <w:sz w:val="24"/>
          <w:szCs w:val="24"/>
          <w:lang w:eastAsia="en-GB"/>
        </w:rPr>
        <w:t>Corporate Governance And Research &amp; Development Studies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w:t>
      </w:r>
      <w:r w:rsidRPr="00597FFB">
        <w:rPr>
          <w:rFonts w:ascii="Times New Roman" w:eastAsia="Times New Roman" w:hAnsi="Times New Roman" w:cs="Times New Roman"/>
          <w:color w:val="000000" w:themeColor="text1"/>
          <w:sz w:val="24"/>
          <w:szCs w:val="24"/>
          <w:lang w:eastAsia="en-GB"/>
        </w:rPr>
        <w:t>, 15–31. https://doi.org/10.3280/cgrds2-2020oa10558</w:t>
      </w:r>
    </w:p>
    <w:p w14:paraId="705A935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Carfora, V., Caso, D., Sparks, P., &amp; Conner, M. (2017). Moderating effects of pro-environmental self-identity on pro-environmental intentions and behaviour: A multi-behaviour study. </w:t>
      </w:r>
      <w:r w:rsidRPr="00597FFB">
        <w:rPr>
          <w:rFonts w:ascii="Times New Roman" w:eastAsia="Times New Roman" w:hAnsi="Times New Roman" w:cs="Times New Roman"/>
          <w:i/>
          <w:iCs/>
          <w:color w:val="000000" w:themeColor="text1"/>
          <w:sz w:val="24"/>
          <w:szCs w:val="24"/>
          <w:lang w:eastAsia="en-GB"/>
        </w:rPr>
        <w:t>Journal of Environmental Psychology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53</w:t>
      </w:r>
      <w:r w:rsidRPr="00597FFB">
        <w:rPr>
          <w:rFonts w:ascii="Times New Roman" w:eastAsia="Times New Roman" w:hAnsi="Times New Roman" w:cs="Times New Roman"/>
          <w:color w:val="000000" w:themeColor="text1"/>
          <w:sz w:val="24"/>
          <w:szCs w:val="24"/>
          <w:lang w:eastAsia="en-GB"/>
        </w:rPr>
        <w:t>, 92–99. https://doi.org/10.1016/j.jenvp.2017.07.001</w:t>
      </w:r>
    </w:p>
    <w:p w14:paraId="5DD3E0C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Chao, C.-M., Yu, T.-K., &amp; Yu, T.-Y. (2021a). Understanding the factors influencing recycling behavior in college students: The role of interpersonal altruism and environmental concern. </w:t>
      </w:r>
      <w:r w:rsidRPr="00597FFB">
        <w:rPr>
          <w:rFonts w:ascii="Times New Roman" w:eastAsia="SimSun" w:hAnsi="Times New Roman" w:cs="Times New Roman"/>
          <w:i/>
          <w:iCs/>
          <w:kern w:val="24"/>
          <w:sz w:val="24"/>
          <w:szCs w:val="24"/>
          <w:lang w:val="en-GB" w:eastAsia="ja-JP"/>
        </w:rPr>
        <w:t>International Journal of Sustainability in Higher Education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ahead-of-print</w:t>
      </w:r>
      <w:r w:rsidRPr="00597FFB">
        <w:rPr>
          <w:rFonts w:ascii="Times New Roman" w:eastAsia="SimSun" w:hAnsi="Times New Roman" w:cs="Times New Roman"/>
          <w:kern w:val="24"/>
          <w:sz w:val="24"/>
          <w:szCs w:val="24"/>
          <w:lang w:val="en-GB" w:eastAsia="ja-JP"/>
        </w:rPr>
        <w:t>(ahead-of-print), Article ahead-of-print. https://doi.org/10.1108/IJSHE-07-2020-0232</w:t>
      </w:r>
    </w:p>
    <w:p w14:paraId="246205B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Chao, C.-M., Yu, T.-K., &amp; Yu, T.-Y. (2021b). Understanding the factors influencing recycling behavior in college students: The role of interpersonal altruism and environmental concern. </w:t>
      </w:r>
      <w:r w:rsidRPr="00597FFB">
        <w:rPr>
          <w:rFonts w:ascii="Times New Roman" w:eastAsia="SimSun" w:hAnsi="Times New Roman" w:cs="Times New Roman"/>
          <w:i/>
          <w:iCs/>
          <w:kern w:val="24"/>
          <w:sz w:val="24"/>
          <w:szCs w:val="24"/>
          <w:lang w:val="en-GB" w:eastAsia="ja-JP"/>
        </w:rPr>
        <w:t>International Journal of Sustainability in Higher Education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ahead-of-print</w:t>
      </w:r>
      <w:r w:rsidRPr="00597FFB">
        <w:rPr>
          <w:rFonts w:ascii="Times New Roman" w:eastAsia="SimSun" w:hAnsi="Times New Roman" w:cs="Times New Roman"/>
          <w:kern w:val="24"/>
          <w:sz w:val="24"/>
          <w:szCs w:val="24"/>
          <w:lang w:val="en-GB" w:eastAsia="ja-JP"/>
        </w:rPr>
        <w:t>(ahead-of-print). https://doi.org/10.1108/IJSHE-07-2020-0232</w:t>
      </w:r>
    </w:p>
    <w:p w14:paraId="5F82CAE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Chaturvedi, P., Kulshreshtha, K., &amp; Tripathi, V. (2020). Investigating the determinants of behavioral intentions of generation Z for recycled clothing: An evidence from a developing economy. </w:t>
      </w:r>
      <w:r w:rsidRPr="00597FFB">
        <w:rPr>
          <w:rFonts w:ascii="Times New Roman" w:eastAsia="SimSun" w:hAnsi="Times New Roman" w:cs="Times New Roman"/>
          <w:i/>
          <w:iCs/>
          <w:kern w:val="24"/>
          <w:sz w:val="24"/>
          <w:szCs w:val="24"/>
          <w:lang w:val="en-GB" w:eastAsia="ja-JP"/>
        </w:rPr>
        <w:t>Young Consumers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21</w:t>
      </w:r>
      <w:r w:rsidRPr="00597FFB">
        <w:rPr>
          <w:rFonts w:ascii="Times New Roman" w:eastAsia="SimSun" w:hAnsi="Times New Roman" w:cs="Times New Roman"/>
          <w:kern w:val="24"/>
          <w:sz w:val="24"/>
          <w:szCs w:val="24"/>
          <w:lang w:val="en-GB" w:eastAsia="ja-JP"/>
        </w:rPr>
        <w:t>(4), 403–417. https://doi.org/10.1108/YC-03-2020-1110</w:t>
      </w:r>
    </w:p>
    <w:p w14:paraId="37AFA07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Chaurasia, S. S., Kaul, N., Yadav, B., &amp; Shukla, D. (2020). Open innovation for sustainability through creating shared value-role of knowledge management system, openness and organizational structure. </w:t>
      </w:r>
      <w:r w:rsidRPr="00597FFB">
        <w:rPr>
          <w:rFonts w:ascii="Times New Roman" w:eastAsia="Times New Roman" w:hAnsi="Times New Roman" w:cs="Times New Roman"/>
          <w:i/>
          <w:iCs/>
          <w:color w:val="000000" w:themeColor="text1"/>
          <w:sz w:val="24"/>
          <w:szCs w:val="24"/>
          <w:lang w:eastAsia="en-GB"/>
        </w:rPr>
        <w:t>Journal of Knowledge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24</w:t>
      </w:r>
      <w:r w:rsidRPr="00597FFB">
        <w:rPr>
          <w:rFonts w:ascii="Times New Roman" w:eastAsia="Times New Roman" w:hAnsi="Times New Roman" w:cs="Times New Roman"/>
          <w:color w:val="000000" w:themeColor="text1"/>
          <w:sz w:val="24"/>
          <w:szCs w:val="24"/>
          <w:lang w:eastAsia="en-GB"/>
        </w:rPr>
        <w:t>(10), 2491–2511. https://doi.org/10.1108/JKM-04-2020-0319</w:t>
      </w:r>
    </w:p>
    <w:p w14:paraId="67ABE22D"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Chawla, K. K. (2019). Repair and Recycling of Composites. In K. K. Chawla, </w:t>
      </w:r>
      <w:r w:rsidRPr="00597FFB">
        <w:rPr>
          <w:rFonts w:ascii="Times New Roman" w:eastAsia="Times New Roman" w:hAnsi="Times New Roman" w:cs="Times New Roman"/>
          <w:i/>
          <w:iCs/>
          <w:color w:val="000000" w:themeColor="text1"/>
          <w:sz w:val="24"/>
          <w:szCs w:val="24"/>
          <w:lang w:eastAsia="en-GB"/>
        </w:rPr>
        <w:t>Composite Materials</w:t>
      </w:r>
      <w:r w:rsidRPr="00597FFB">
        <w:rPr>
          <w:rFonts w:ascii="Times New Roman" w:eastAsia="Times New Roman" w:hAnsi="Times New Roman" w:cs="Times New Roman"/>
          <w:color w:val="000000" w:themeColor="text1"/>
          <w:sz w:val="24"/>
          <w:szCs w:val="24"/>
          <w:lang w:eastAsia="en-GB"/>
        </w:rPr>
        <w:t xml:space="preserve"> (pp. 517–528). Springer International Publishing. https://doi.org/10.1007/978-3-030-28983-6_16</w:t>
      </w:r>
    </w:p>
    <w:p w14:paraId="4810B63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D., Faibil, D., &amp; Agyemang, M. (2020a). Evaluating critical barriers and pathways to implementation of e-waste formalization management systems in Ghana: A hybrid BWM and fuzzy TOPSIS approach.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(35), Article 35. https://doi.org/10.1007/s11356-020-10360-8</w:t>
      </w:r>
    </w:p>
    <w:p w14:paraId="442BE62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D., Faibil, D., &amp; Agyemang, M. (2020b). Evaluating critical barriers and pathways to implementation of e-waste formalization management systems in Ghana: A hybrid BWM and fuzzy TOPSIS approach.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(35), Article 35. https://doi.org/10.1007/s11356-020-10360-8</w:t>
      </w:r>
    </w:p>
    <w:p w14:paraId="63283AA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D., Faibil, D., &amp; Agyemang, M. (2020c). Evaluating critical barriers and pathways to implementation of e-waste formalization management systems in Ghana: A hybrid BWM and fuzzy TOPSIS approach.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(35), 44561–44584. https://doi.org/10.1007/s11356-020-10360-8</w:t>
      </w:r>
    </w:p>
    <w:p w14:paraId="195F217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D., Faibil, D., &amp; Agyemang, M. (2020d). Evaluating critical barriers and pathways to implementation of e-waste formalization management systems in Ghana: A hybrid BWM and fuzzy TOPSIS approach.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(35), Article 35. https://doi.org/10.1007/s11356-020-10360-8</w:t>
      </w:r>
    </w:p>
    <w:p w14:paraId="719485CF"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 xml:space="preserve">Chen, H., Turel, O., &amp; Yuan, Y. (2022). E-waste information security protection motivation: The role of optimism bias. </w:t>
      </w:r>
      <w:r w:rsidRPr="00597FFB">
        <w:rPr>
          <w:rFonts w:ascii="Times New Roman" w:eastAsia="Times New Roman" w:hAnsi="Times New Roman" w:cs="Times New Roman"/>
          <w:i/>
          <w:iCs/>
          <w:color w:val="000000"/>
          <w:kern w:val="24"/>
          <w:sz w:val="24"/>
          <w:szCs w:val="24"/>
          <w:lang w:eastAsia="ja-JP"/>
        </w:rPr>
        <w:t>Information Technology &amp; People, 35</w:t>
      </w:r>
      <w:r w:rsidRPr="00597FFB">
        <w:rPr>
          <w:rFonts w:ascii="Times New Roman" w:eastAsia="Times New Roman" w:hAnsi="Times New Roman" w:cs="Times New Roman"/>
          <w:color w:val="000000"/>
          <w:kern w:val="24"/>
          <w:sz w:val="24"/>
          <w:szCs w:val="24"/>
          <w:lang w:eastAsia="ja-JP"/>
        </w:rPr>
        <w:t xml:space="preserve">(2), 600-620. </w:t>
      </w:r>
      <w:hyperlink r:id="rId32" w:history="1">
        <w:r w:rsidRPr="00597FFB">
          <w:rPr>
            <w:rFonts w:ascii="Times New Roman" w:eastAsia="Times New Roman" w:hAnsi="Times New Roman" w:cs="Times New Roman"/>
            <w:color w:val="000000"/>
            <w:kern w:val="24"/>
            <w:sz w:val="24"/>
            <w:szCs w:val="24"/>
            <w:u w:val="single"/>
            <w:lang w:eastAsia="ja-JP"/>
          </w:rPr>
          <w:t>https://doi.org/10.1108/ITP-09-2019-0458</w:t>
        </w:r>
      </w:hyperlink>
      <w:r w:rsidRPr="00597FFB">
        <w:rPr>
          <w:rFonts w:ascii="Times New Roman" w:eastAsia="Times New Roman" w:hAnsi="Times New Roman" w:cs="Times New Roman"/>
          <w:color w:val="000000"/>
          <w:kern w:val="24"/>
          <w:sz w:val="24"/>
          <w:szCs w:val="24"/>
          <w:lang w:eastAsia="ja-JP"/>
        </w:rPr>
        <w:t>.</w:t>
      </w:r>
    </w:p>
    <w:p w14:paraId="69DE4863"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Chen, H., Turel, O., &amp; Yuan, Y. (2022). E-waste information security protection motivation: the role of optimism bias. </w:t>
      </w:r>
      <w:r w:rsidRPr="00597FFB">
        <w:rPr>
          <w:rFonts w:ascii="Times New Roman" w:eastAsia="Times New Roman" w:hAnsi="Times New Roman" w:cs="Times New Roman"/>
          <w:i/>
          <w:iCs/>
          <w:color w:val="000000"/>
          <w:kern w:val="24"/>
          <w:sz w:val="24"/>
          <w:szCs w:val="24"/>
          <w:lang w:eastAsia="ja-JP"/>
        </w:rPr>
        <w:t>Information Technology &amp; People</w:t>
      </w:r>
      <w:r w:rsidRPr="00597FFB">
        <w:rPr>
          <w:rFonts w:ascii="Times New Roman" w:eastAsia="Times New Roman" w:hAnsi="Times New Roman" w:cs="Times New Roman"/>
          <w:color w:val="000000"/>
          <w:kern w:val="24"/>
          <w:sz w:val="24"/>
          <w:szCs w:val="24"/>
          <w:lang w:eastAsia="ja-JP"/>
        </w:rPr>
        <w:t xml:space="preserve">, </w:t>
      </w:r>
      <w:r w:rsidRPr="00597FFB">
        <w:rPr>
          <w:rFonts w:ascii="Times New Roman" w:eastAsia="Times New Roman" w:hAnsi="Times New Roman" w:cs="Times New Roman"/>
          <w:i/>
          <w:iCs/>
          <w:color w:val="000000"/>
          <w:kern w:val="24"/>
          <w:sz w:val="24"/>
          <w:szCs w:val="24"/>
          <w:lang w:eastAsia="ja-JP"/>
        </w:rPr>
        <w:t>35</w:t>
      </w:r>
      <w:r w:rsidRPr="00597FFB">
        <w:rPr>
          <w:rFonts w:ascii="Times New Roman" w:eastAsia="Times New Roman" w:hAnsi="Times New Roman" w:cs="Times New Roman"/>
          <w:color w:val="000000"/>
          <w:kern w:val="24"/>
          <w:sz w:val="24"/>
          <w:szCs w:val="24"/>
          <w:lang w:eastAsia="ja-JP"/>
        </w:rPr>
        <w:t>(2), 600-620. </w:t>
      </w:r>
      <w:hyperlink r:id="rId33" w:tooltip="DOI: https://doi.org/10.1108/ITP-09-2019-0458" w:history="1">
        <w:r w:rsidRPr="00597FFB">
          <w:rPr>
            <w:rFonts w:ascii="Times New Roman" w:eastAsia="Times New Roman" w:hAnsi="Times New Roman" w:cs="Times New Roman"/>
            <w:color w:val="000000"/>
            <w:kern w:val="24"/>
            <w:sz w:val="24"/>
            <w:szCs w:val="24"/>
            <w:u w:val="single"/>
            <w:lang w:eastAsia="ja-JP"/>
          </w:rPr>
          <w:t>https://doi.org/10.1108/ITP-09-2019-0458</w:t>
        </w:r>
      </w:hyperlink>
    </w:p>
    <w:p w14:paraId="0F8BF74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M., Ogunseitan, O. A., Duan, H., Zeng, X., &amp; Li, J. (2018). China E-waste management: Struggling for future success.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139</w:t>
      </w:r>
      <w:r w:rsidRPr="00597FFB">
        <w:rPr>
          <w:rFonts w:ascii="Times New Roman" w:eastAsia="SimSun" w:hAnsi="Times New Roman" w:cs="Times New Roman"/>
          <w:kern w:val="24"/>
          <w:sz w:val="24"/>
          <w:szCs w:val="24"/>
          <w:lang w:val="en-GB" w:eastAsia="ja-JP"/>
        </w:rPr>
        <w:t>, 48–49. https://doi.org/10.1016/j.resconrec.2018.08.006</w:t>
      </w:r>
    </w:p>
    <w:p w14:paraId="079A153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 Y.-C., Cheng, C., Osborne, R. H., Kayser, L., Liu, C.-Y., &amp; Chang, L.-C. (2022). Validity Testing and Cultural Adaptation of the eHealth Literacy Questionnaire (eHLQ) Among People With Chronic Diseases in Taiwan: Mixed Methods Study. </w:t>
      </w:r>
      <w:r w:rsidRPr="00597FFB">
        <w:rPr>
          <w:rFonts w:ascii="Times New Roman" w:eastAsia="SimSun" w:hAnsi="Times New Roman" w:cs="Times New Roman"/>
          <w:i/>
          <w:iCs/>
          <w:kern w:val="24"/>
          <w:sz w:val="24"/>
          <w:szCs w:val="24"/>
          <w:lang w:val="en-GB" w:eastAsia="ja-JP"/>
        </w:rPr>
        <w:t>Journal of Medical Internet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24</w:t>
      </w:r>
      <w:r w:rsidRPr="00597FFB">
        <w:rPr>
          <w:rFonts w:ascii="Times New Roman" w:eastAsia="SimSun" w:hAnsi="Times New Roman" w:cs="Times New Roman"/>
          <w:kern w:val="24"/>
          <w:sz w:val="24"/>
          <w:szCs w:val="24"/>
          <w:lang w:val="en-GB" w:eastAsia="ja-JP"/>
        </w:rPr>
        <w:t>(1), e32855. https://doi.org/10.2196/32855</w:t>
      </w:r>
    </w:p>
    <w:p w14:paraId="3D2BCDB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Cheng, M.-J., Hung, S.-W., Tsai, H.-H., &amp; Chou, Y.-C. (2020). Fostering Environmentally Responsible Consumer Behavior: A Hierarchical Approach Toward Smartphone Recycling. </w:t>
      </w:r>
      <w:r w:rsidRPr="00597FFB">
        <w:rPr>
          <w:rFonts w:ascii="Times New Roman" w:eastAsia="SimSun" w:hAnsi="Times New Roman" w:cs="Times New Roman"/>
          <w:i/>
          <w:iCs/>
          <w:kern w:val="24"/>
          <w:sz w:val="24"/>
          <w:szCs w:val="24"/>
          <w:lang w:val="en-GB" w:eastAsia="ja-JP"/>
        </w:rPr>
        <w:t>IEEE Transactions on Engineering Management</w:t>
      </w:r>
      <w:r w:rsidRPr="00597FFB">
        <w:rPr>
          <w:rFonts w:ascii="Times New Roman" w:eastAsia="SimSun" w:hAnsi="Times New Roman" w:cs="Times New Roman"/>
          <w:kern w:val="24"/>
          <w:sz w:val="24"/>
          <w:szCs w:val="24"/>
          <w:lang w:val="en-GB" w:eastAsia="ja-JP"/>
        </w:rPr>
        <w:t>, 1–11. https://doi.org/10.1109/TEM.2020.3007605</w:t>
      </w:r>
    </w:p>
    <w:p w14:paraId="547EF7C9"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Cheung, F., S., Chan, D. K. S., &amp; Wong, Z. S. Y. (1999). Reexamining the theory of planned behavior in understanding wastepaper recycling. </w:t>
      </w:r>
      <w:r w:rsidRPr="00597FFB">
        <w:rPr>
          <w:rFonts w:ascii="Times New Roman" w:hAnsi="Times New Roman" w:cs="Times New Roman"/>
          <w:i/>
          <w:iCs/>
          <w:color w:val="000000" w:themeColor="text1"/>
          <w:kern w:val="24"/>
          <w:sz w:val="24"/>
          <w:szCs w:val="24"/>
          <w:lang w:eastAsia="ja-JP"/>
        </w:rPr>
        <w:t>Environmental Behavior, 31</w:t>
      </w:r>
      <w:r w:rsidRPr="00597FFB">
        <w:rPr>
          <w:rFonts w:ascii="Times New Roman" w:hAnsi="Times New Roman" w:cs="Times New Roman"/>
          <w:color w:val="000000" w:themeColor="text1"/>
          <w:kern w:val="24"/>
          <w:sz w:val="24"/>
          <w:szCs w:val="24"/>
          <w:lang w:eastAsia="ja-JP"/>
        </w:rPr>
        <w:t>(5), 587–612.</w:t>
      </w:r>
    </w:p>
    <w:p w14:paraId="25F4B6D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Chillakuri, B. (2020). Understanding Generation Z expectations for effective onboarding. </w:t>
      </w:r>
      <w:r w:rsidRPr="00597FFB">
        <w:rPr>
          <w:rFonts w:ascii="Times New Roman" w:eastAsia="Times New Roman" w:hAnsi="Times New Roman" w:cs="Times New Roman"/>
          <w:i/>
          <w:iCs/>
          <w:color w:val="000000" w:themeColor="text1"/>
          <w:sz w:val="24"/>
          <w:szCs w:val="24"/>
          <w:lang w:eastAsia="en-GB"/>
        </w:rPr>
        <w:t>Journal of Organizational Change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33</w:t>
      </w:r>
      <w:r w:rsidRPr="00597FFB">
        <w:rPr>
          <w:rFonts w:ascii="Times New Roman" w:eastAsia="Times New Roman" w:hAnsi="Times New Roman" w:cs="Times New Roman"/>
          <w:color w:val="000000" w:themeColor="text1"/>
          <w:sz w:val="24"/>
          <w:szCs w:val="24"/>
          <w:lang w:eastAsia="en-GB"/>
        </w:rPr>
        <w:t>(7), 1277–1296. https://doi.org/10.1108/JOCM-02-2020-0058</w:t>
      </w:r>
    </w:p>
    <w:p w14:paraId="3817CB6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Cillo, V., Petruzzelli, A. M., Ardito, L., &amp; Del Giudice, M. (2019). Understanding sustainable innovation: A systematic literature review. </w:t>
      </w:r>
      <w:r w:rsidRPr="00597FFB">
        <w:rPr>
          <w:rFonts w:ascii="Times New Roman" w:eastAsia="Times New Roman" w:hAnsi="Times New Roman" w:cs="Times New Roman"/>
          <w:i/>
          <w:iCs/>
          <w:color w:val="000000" w:themeColor="text1"/>
          <w:sz w:val="24"/>
          <w:szCs w:val="24"/>
          <w:lang w:eastAsia="en-GB"/>
        </w:rPr>
        <w:t>Corporate Social Responsibility and Environmental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26</w:t>
      </w:r>
      <w:r w:rsidRPr="00597FFB">
        <w:rPr>
          <w:rFonts w:ascii="Times New Roman" w:eastAsia="Times New Roman" w:hAnsi="Times New Roman" w:cs="Times New Roman"/>
          <w:color w:val="000000" w:themeColor="text1"/>
          <w:sz w:val="24"/>
          <w:szCs w:val="24"/>
          <w:lang w:eastAsia="en-GB"/>
        </w:rPr>
        <w:t>(5), 1012–1025. https://doi.org/10.1002/csr.1783</w:t>
      </w:r>
    </w:p>
    <w:p w14:paraId="03E3BC3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Christa, U. R., &amp; Kristinae, V. (2021). The effect of product innovation on business performance during COVID 19 pandemic. </w:t>
      </w:r>
      <w:r w:rsidRPr="00597FFB">
        <w:rPr>
          <w:rFonts w:ascii="Times New Roman" w:eastAsia="SimSun" w:hAnsi="Times New Roman" w:cs="Times New Roman"/>
          <w:i/>
          <w:iCs/>
          <w:kern w:val="24"/>
          <w:sz w:val="24"/>
          <w:szCs w:val="24"/>
          <w:lang w:val="en-GB" w:eastAsia="ja-JP"/>
        </w:rPr>
        <w:t>Uncertain Supply Chain Management</w:t>
      </w:r>
      <w:r w:rsidRPr="00597FFB">
        <w:rPr>
          <w:rFonts w:ascii="Times New Roman" w:eastAsia="SimSun" w:hAnsi="Times New Roman" w:cs="Times New Roman"/>
          <w:kern w:val="24"/>
          <w:sz w:val="24"/>
          <w:szCs w:val="24"/>
          <w:lang w:val="en-GB" w:eastAsia="ja-JP"/>
        </w:rPr>
        <w:t>, 151–158. https://doi.org/10.5267/j.uscm.2020.10.006</w:t>
      </w:r>
    </w:p>
    <w:p w14:paraId="52B9270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Christensen, T. H., Damgaard, A., Levis, J., Zhao, Y., Björklund, A., Arena, U., Barlaz, M. A., Starostina, V., Boldrin, A., Astrup, T. F., &amp; Bisinella, V. (2020). Application of LCA modelling in integrated waste management. </w:t>
      </w:r>
      <w:r w:rsidRPr="00597FFB">
        <w:rPr>
          <w:rFonts w:ascii="Times New Roman" w:eastAsia="SimSun" w:hAnsi="Times New Roman" w:cs="Times New Roman"/>
          <w:i/>
          <w:iCs/>
          <w:kern w:val="24"/>
          <w:sz w:val="24"/>
          <w:szCs w:val="24"/>
          <w:lang w:val="en-GB" w:eastAsia="ja-JP"/>
        </w:rPr>
        <w:t>Waste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118</w:t>
      </w:r>
      <w:r w:rsidRPr="00597FFB">
        <w:rPr>
          <w:rFonts w:ascii="Times New Roman" w:eastAsia="SimSun" w:hAnsi="Times New Roman" w:cs="Times New Roman"/>
          <w:kern w:val="24"/>
          <w:sz w:val="24"/>
          <w:szCs w:val="24"/>
          <w:lang w:val="en-GB" w:eastAsia="ja-JP"/>
        </w:rPr>
        <w:t>, 313–322. https://doi.org/10.1016/j.wasman.2020.08.034</w:t>
      </w:r>
    </w:p>
    <w:p w14:paraId="241A501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Choi, D., &amp; Johnson, K. K. P. (2019). Influences of environmental and hedonic motivations on intention to purchase green products: An extension of the theory of planned behavior. </w:t>
      </w:r>
      <w:r w:rsidRPr="00597FFB">
        <w:rPr>
          <w:rFonts w:ascii="Times New Roman" w:eastAsia="Times New Roman" w:hAnsi="Times New Roman" w:cs="Times New Roman"/>
          <w:i/>
          <w:iCs/>
          <w:color w:val="000000" w:themeColor="text1"/>
          <w:sz w:val="24"/>
          <w:szCs w:val="24"/>
          <w:lang w:eastAsia="en-GB"/>
        </w:rPr>
        <w:t>Sustainable Production and Consumption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18</w:t>
      </w:r>
      <w:r w:rsidRPr="00597FFB">
        <w:rPr>
          <w:rFonts w:ascii="Times New Roman" w:eastAsia="Times New Roman" w:hAnsi="Times New Roman" w:cs="Times New Roman"/>
          <w:color w:val="000000" w:themeColor="text1"/>
          <w:sz w:val="24"/>
          <w:szCs w:val="24"/>
          <w:lang w:eastAsia="en-GB"/>
        </w:rPr>
        <w:t>, 145–155. https://doi.org/10.1016/j.spc.2019.02.001</w:t>
      </w:r>
    </w:p>
    <w:p w14:paraId="207E7BF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Concari, A., Kok, G., &amp; Martens, P. (2020). A Systematic Literature Review of Concepts and Factors Related to Pro-Environmental Consumer Behaviour in Relation to Waste Management Through an Interdisciplinary Approach.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(11), 4452. https://doi.org/10.3390/su12114452</w:t>
      </w:r>
    </w:p>
    <w:p w14:paraId="2F655EE9"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Copeland, L., &amp; Boulianne, S. (2022). Political consumerism: A meta-analysis. </w:t>
      </w:r>
      <w:r w:rsidRPr="00597FFB">
        <w:rPr>
          <w:rFonts w:ascii="Times New Roman" w:eastAsia="Times New Roman" w:hAnsi="Times New Roman" w:cs="Times New Roman"/>
          <w:i/>
          <w:iCs/>
          <w:color w:val="000000" w:themeColor="text1"/>
          <w:sz w:val="24"/>
          <w:szCs w:val="24"/>
          <w:lang w:eastAsia="en-GB"/>
        </w:rPr>
        <w:t>International Political Science Review, 43</w:t>
      </w:r>
      <w:r w:rsidRPr="00597FFB">
        <w:rPr>
          <w:rFonts w:ascii="Times New Roman" w:eastAsia="Times New Roman" w:hAnsi="Times New Roman" w:cs="Times New Roman"/>
          <w:color w:val="000000" w:themeColor="text1"/>
          <w:sz w:val="24"/>
          <w:szCs w:val="24"/>
          <w:lang w:eastAsia="en-GB"/>
        </w:rPr>
        <w:t>(1), 3-18.</w:t>
      </w:r>
    </w:p>
    <w:p w14:paraId="5EF6D76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Copeland, L., &amp; Boulianne, S. (2022). Political consumerism: A meta-analysis. </w:t>
      </w:r>
      <w:r w:rsidRPr="00597FFB">
        <w:rPr>
          <w:rFonts w:ascii="Times New Roman" w:eastAsia="Times New Roman" w:hAnsi="Times New Roman" w:cs="Times New Roman"/>
          <w:i/>
          <w:iCs/>
          <w:color w:val="000000" w:themeColor="text1"/>
          <w:sz w:val="24"/>
          <w:szCs w:val="24"/>
          <w:lang w:eastAsia="en-GB"/>
        </w:rPr>
        <w:t>International Political Science Review, 43</w:t>
      </w:r>
      <w:r w:rsidRPr="00597FFB">
        <w:rPr>
          <w:rFonts w:ascii="Times New Roman" w:eastAsia="Times New Roman" w:hAnsi="Times New Roman" w:cs="Times New Roman"/>
          <w:color w:val="000000" w:themeColor="text1"/>
          <w:sz w:val="24"/>
          <w:szCs w:val="24"/>
          <w:lang w:eastAsia="en-GB"/>
        </w:rPr>
        <w:t>(1), 3-18.</w:t>
      </w:r>
    </w:p>
    <w:p w14:paraId="3EB169B2"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Corry, M., Porter, S., &amp; McKenna, H. (2019). The redundancy of positivism as a paradigm for nursing research: XXXX. </w:t>
      </w:r>
      <w:r w:rsidRPr="00597FFB">
        <w:rPr>
          <w:rFonts w:ascii="Times New Roman" w:eastAsia="Times New Roman" w:hAnsi="Times New Roman" w:cs="Times New Roman"/>
          <w:i/>
          <w:iCs/>
          <w:color w:val="000000"/>
          <w:sz w:val="24"/>
          <w:szCs w:val="24"/>
          <w:lang w:eastAsia="en-GB"/>
        </w:rPr>
        <w:t>Nursing Philosophy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20</w:t>
      </w:r>
      <w:r w:rsidRPr="00597FFB">
        <w:rPr>
          <w:rFonts w:ascii="Times New Roman" w:eastAsia="Times New Roman" w:hAnsi="Times New Roman" w:cs="Times New Roman"/>
          <w:color w:val="000000"/>
          <w:sz w:val="24"/>
          <w:szCs w:val="24"/>
          <w:lang w:eastAsia="en-GB"/>
        </w:rPr>
        <w:t>(1), e12230. https://doi.org/10.1111/nup.12230</w:t>
      </w:r>
    </w:p>
    <w:p w14:paraId="3730BA1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Cowling, B. J., Ali, S. T., Ng, T. W. Y., Tsang, T. K., Li, J. C. M., Fong, M. W., Liao, Q., Kwan, M. Y., Lee, S. L., Chiu, S. S., Wu, J. T., Wu, P., &amp; Leung, G. M. (2020). Impact assessment of non-pharmaceutical interventions against coronavirus disease 2019 and influenza in Hong Kong: An observational study. </w:t>
      </w:r>
      <w:r w:rsidRPr="00597FFB">
        <w:rPr>
          <w:rFonts w:ascii="Times New Roman" w:eastAsia="SimSun" w:hAnsi="Times New Roman" w:cs="Times New Roman"/>
          <w:i/>
          <w:iCs/>
          <w:kern w:val="24"/>
          <w:sz w:val="24"/>
          <w:szCs w:val="24"/>
          <w:lang w:val="en-GB" w:eastAsia="ja-JP"/>
        </w:rPr>
        <w:t>The Lancet Public Health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w:t>
      </w:r>
      <w:r w:rsidRPr="00597FFB">
        <w:rPr>
          <w:rFonts w:ascii="Times New Roman" w:eastAsia="SimSun" w:hAnsi="Times New Roman" w:cs="Times New Roman"/>
          <w:kern w:val="24"/>
          <w:sz w:val="24"/>
          <w:szCs w:val="24"/>
          <w:lang w:val="en-GB" w:eastAsia="ja-JP"/>
        </w:rPr>
        <w:t>(5), e279–e288. https://doi.org/10.1016/S2468-2667(20)30090-6</w:t>
      </w:r>
    </w:p>
    <w:p w14:paraId="6360CC51"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Creswell, C., Waite, P., &amp; Hudson, J. (2020). Practitioner Review: Anxiety disorders in children and young people – assessment and treatment. </w:t>
      </w:r>
      <w:r w:rsidRPr="00597FFB">
        <w:rPr>
          <w:rFonts w:ascii="Times New Roman" w:eastAsia="Times New Roman" w:hAnsi="Times New Roman" w:cs="Times New Roman"/>
          <w:i/>
          <w:iCs/>
          <w:color w:val="000000"/>
          <w:sz w:val="24"/>
          <w:szCs w:val="24"/>
          <w:lang w:eastAsia="en-GB"/>
        </w:rPr>
        <w:t>Journal of Child Psychology and Psychiatry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61</w:t>
      </w:r>
      <w:r w:rsidRPr="00597FFB">
        <w:rPr>
          <w:rFonts w:ascii="Times New Roman" w:eastAsia="Times New Roman" w:hAnsi="Times New Roman" w:cs="Times New Roman"/>
          <w:color w:val="000000"/>
          <w:sz w:val="24"/>
          <w:szCs w:val="24"/>
          <w:lang w:eastAsia="en-GB"/>
        </w:rPr>
        <w:t>(6), 628–643. https://doi.org/10.1111/jcpp.13186</w:t>
      </w:r>
    </w:p>
    <w:p w14:paraId="138B1AD7"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Creswell, J. W. (2014). </w:t>
      </w:r>
      <w:r w:rsidRPr="00597FFB">
        <w:rPr>
          <w:rFonts w:ascii="Times New Roman" w:eastAsia="Times New Roman" w:hAnsi="Times New Roman" w:cs="Times New Roman"/>
          <w:i/>
          <w:iCs/>
          <w:color w:val="000000"/>
          <w:sz w:val="24"/>
          <w:szCs w:val="24"/>
          <w:lang w:eastAsia="en-GB"/>
        </w:rPr>
        <w:t>Research design: Qualitative, quantitative, and mixed methods approaches</w:t>
      </w:r>
      <w:r w:rsidRPr="00597FFB">
        <w:rPr>
          <w:rFonts w:ascii="Times New Roman" w:eastAsia="Times New Roman" w:hAnsi="Times New Roman" w:cs="Times New Roman"/>
          <w:color w:val="000000"/>
          <w:sz w:val="24"/>
          <w:szCs w:val="24"/>
          <w:lang w:eastAsia="en-GB"/>
        </w:rPr>
        <w:t xml:space="preserve"> (4th ed). SAGE Publications.</w:t>
      </w:r>
    </w:p>
    <w:p w14:paraId="5A9174A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Cui, C.-Q., Wang, B., Zhao, Y.-X., Wang, Q., &amp; Sun, Z.-M. (2019). China’s regional sustainability assessment on mineral resources: Results from an improved analytic hierarchy process-based normal cloud model.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210</w:t>
      </w:r>
      <w:r w:rsidRPr="00597FFB">
        <w:rPr>
          <w:rFonts w:ascii="Times New Roman" w:eastAsia="Times New Roman" w:hAnsi="Times New Roman" w:cs="Times New Roman"/>
          <w:color w:val="000000" w:themeColor="text1"/>
          <w:sz w:val="24"/>
          <w:szCs w:val="24"/>
          <w:lang w:eastAsia="en-GB"/>
        </w:rPr>
        <w:t>, 105–120. https://doi.org/10.1016/j.jclepro.2018.10.324</w:t>
      </w:r>
    </w:p>
    <w:p w14:paraId="193546F9"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Cuthbertson, L. M., Robb, Y. A., &amp; Blair, S. (2020). Theory and application of research principles and philosophical underpinning for a study utilising interpretative phenomenological analysis. </w:t>
      </w:r>
      <w:r w:rsidRPr="00597FFB">
        <w:rPr>
          <w:rFonts w:ascii="Times New Roman" w:eastAsia="Times New Roman" w:hAnsi="Times New Roman" w:cs="Times New Roman"/>
          <w:i/>
          <w:iCs/>
          <w:color w:val="000000"/>
          <w:sz w:val="24"/>
          <w:szCs w:val="24"/>
          <w:lang w:eastAsia="en-GB"/>
        </w:rPr>
        <w:t>Radiography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26</w:t>
      </w:r>
      <w:r w:rsidRPr="00597FFB">
        <w:rPr>
          <w:rFonts w:ascii="Times New Roman" w:eastAsia="Times New Roman" w:hAnsi="Times New Roman" w:cs="Times New Roman"/>
          <w:color w:val="000000"/>
          <w:sz w:val="24"/>
          <w:szCs w:val="24"/>
          <w:lang w:eastAsia="en-GB"/>
        </w:rPr>
        <w:t>(2), e94–e102. https://doi.org/10.1016/j.radi.2019.11.092</w:t>
      </w:r>
    </w:p>
    <w:p w14:paraId="2BF06E3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Dagiliūtė, R., Zabulionis, D., Sujetovienė, G., &amp; Žaltauskaitė, J. (2019). Waste of electrical and electronic equipment: Trends and awareness among youths in Lithuania. </w:t>
      </w:r>
      <w:r w:rsidRPr="00597FFB">
        <w:rPr>
          <w:rFonts w:ascii="Times New Roman" w:eastAsia="Times New Roman" w:hAnsi="Times New Roman" w:cs="Times New Roman"/>
          <w:i/>
          <w:iCs/>
          <w:color w:val="000000" w:themeColor="text1"/>
          <w:sz w:val="24"/>
          <w:szCs w:val="24"/>
          <w:lang w:eastAsia="en-GB"/>
        </w:rPr>
        <w:t>Waste Management &amp;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37</w:t>
      </w:r>
      <w:r w:rsidRPr="00597FFB">
        <w:rPr>
          <w:rFonts w:ascii="Times New Roman" w:eastAsia="Times New Roman" w:hAnsi="Times New Roman" w:cs="Times New Roman"/>
          <w:color w:val="000000" w:themeColor="text1"/>
          <w:sz w:val="24"/>
          <w:szCs w:val="24"/>
          <w:lang w:eastAsia="en-GB"/>
        </w:rPr>
        <w:t>(1), 95–101. https://doi.org/10.1177/0734242X18806999</w:t>
      </w:r>
    </w:p>
    <w:p w14:paraId="41BFF5F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Dai, Q., Xu, X., Eskenazi, B., Asante, K. A., Chen, A., Fobil, J., Bergman, Å., Brennan, L., Sly, P. D., Nnorom, I. C., Pascale, A., Wang, Q., Zeng, E. Y., Zeng, Z., Landrigan, P. J., Bruné Drisse, M.-N., &amp; Huo, X. (2020). Severe dioxin-like compound (DLC) contamination in e-waste recycling areas: An under-recognized threat to local health. </w:t>
      </w:r>
      <w:r w:rsidRPr="00597FFB">
        <w:rPr>
          <w:rFonts w:ascii="Times New Roman" w:eastAsia="Times New Roman" w:hAnsi="Times New Roman" w:cs="Times New Roman"/>
          <w:i/>
          <w:iCs/>
          <w:color w:val="000000" w:themeColor="text1"/>
          <w:sz w:val="24"/>
          <w:szCs w:val="24"/>
          <w:lang w:eastAsia="en-GB"/>
        </w:rPr>
        <w:t>Environment International</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139</w:t>
      </w:r>
      <w:r w:rsidRPr="00597FFB">
        <w:rPr>
          <w:rFonts w:ascii="Times New Roman" w:eastAsia="Times New Roman" w:hAnsi="Times New Roman" w:cs="Times New Roman"/>
          <w:color w:val="000000" w:themeColor="text1"/>
          <w:sz w:val="24"/>
          <w:szCs w:val="24"/>
          <w:lang w:eastAsia="en-GB"/>
        </w:rPr>
        <w:t>, 105731. https://doi.org/10.1016/j.envint.2020.105731</w:t>
      </w:r>
    </w:p>
    <w:p w14:paraId="7C4BC5F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Dalvi-Esfahani, M., Alaedini, Z., Nilashi, M., Samad, S., Asadi, S., &amp; Mohammadi, M. (2020). Students’ green information technology behavior: Beliefs and personality traits.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257</w:t>
      </w:r>
      <w:r w:rsidRPr="00597FFB">
        <w:rPr>
          <w:rFonts w:ascii="Times New Roman" w:eastAsia="SimSun" w:hAnsi="Times New Roman" w:cs="Times New Roman"/>
          <w:kern w:val="24"/>
          <w:sz w:val="24"/>
          <w:szCs w:val="24"/>
          <w:lang w:val="en-GB" w:eastAsia="ja-JP"/>
        </w:rPr>
        <w:t>, 120406. https://doi.org/10.1016/j.jclepro.2020.120406</w:t>
      </w:r>
    </w:p>
    <w:p w14:paraId="01F7832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Danso, A., Adomako, S., Lartey, T., Amankwah-Amoah, J., &amp; Owusu-Yirenkyi, D. (2020). Stakeholder integration, environmental sustainability orientation and financial performance. </w:t>
      </w:r>
      <w:r w:rsidRPr="00597FFB">
        <w:rPr>
          <w:rFonts w:ascii="Times New Roman" w:eastAsia="Times New Roman" w:hAnsi="Times New Roman" w:cs="Times New Roman"/>
          <w:i/>
          <w:iCs/>
          <w:color w:val="000000" w:themeColor="text1"/>
          <w:sz w:val="24"/>
          <w:szCs w:val="24"/>
          <w:lang w:eastAsia="en-GB"/>
        </w:rPr>
        <w:t>Journal of Business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119</w:t>
      </w:r>
      <w:r w:rsidRPr="00597FFB">
        <w:rPr>
          <w:rFonts w:ascii="Times New Roman" w:eastAsia="Times New Roman" w:hAnsi="Times New Roman" w:cs="Times New Roman"/>
          <w:color w:val="000000" w:themeColor="text1"/>
          <w:sz w:val="24"/>
          <w:szCs w:val="24"/>
          <w:lang w:eastAsia="en-GB"/>
        </w:rPr>
        <w:t>, 652–662. https://doi.org/10.1016/j.jbusres.2019.02.038</w:t>
      </w:r>
    </w:p>
    <w:p w14:paraId="0F6E6B8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Davis, F. D. (1989). Perceived Usefulness, Perceived Ease of Use, and User Acceptance of Information Technology. </w:t>
      </w:r>
      <w:r w:rsidRPr="00597FFB">
        <w:rPr>
          <w:rFonts w:ascii="Times New Roman" w:eastAsia="SimSun" w:hAnsi="Times New Roman" w:cs="Times New Roman"/>
          <w:i/>
          <w:iCs/>
          <w:kern w:val="24"/>
          <w:sz w:val="24"/>
          <w:szCs w:val="24"/>
          <w:lang w:val="en-GB" w:eastAsia="ja-JP"/>
        </w:rPr>
        <w:t>MIS Quarterly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(3), 319. https://doi.org/10.2307/249008</w:t>
      </w:r>
    </w:p>
    <w:p w14:paraId="1A1FA1B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Del Giudice, M., Chierici, R., Mazzucchelli, A., &amp; Fiano, F. (2021). Supply chain management in the era of circular economy: The moderating effect of big data. </w:t>
      </w:r>
      <w:r w:rsidRPr="00597FFB">
        <w:rPr>
          <w:rFonts w:ascii="Times New Roman" w:eastAsia="Times New Roman" w:hAnsi="Times New Roman" w:cs="Times New Roman"/>
          <w:i/>
          <w:iCs/>
          <w:color w:val="000000" w:themeColor="text1"/>
          <w:sz w:val="24"/>
          <w:szCs w:val="24"/>
          <w:lang w:eastAsia="en-GB"/>
        </w:rPr>
        <w:t>The International Journal of Logistics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32</w:t>
      </w:r>
      <w:r w:rsidRPr="00597FFB">
        <w:rPr>
          <w:rFonts w:ascii="Times New Roman" w:eastAsia="Times New Roman" w:hAnsi="Times New Roman" w:cs="Times New Roman"/>
          <w:color w:val="000000" w:themeColor="text1"/>
          <w:sz w:val="24"/>
          <w:szCs w:val="24"/>
          <w:lang w:eastAsia="en-GB"/>
        </w:rPr>
        <w:t>(2), 337–356. https://doi.org/10.1108/IJLM-03-2020-0119</w:t>
      </w:r>
    </w:p>
    <w:p w14:paraId="4A8ABBA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Delcea, C., Crăciun, L., Ioanăș, C., Ferruzzi, G., &amp; Cotfas, L.-A. (2020a). Determinants of Individuals’ E-Waste Recycling Decision: A Case Study from Romania.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(7), 2753. https://doi.org/10.3390/su12072753</w:t>
      </w:r>
    </w:p>
    <w:p w14:paraId="474D998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Delcea, C., Crăciun, L., Ioanăș, C., Ferruzzi, G., &amp; Cotfas, L.-A. (2020b). Determinants of Individuals’ E-Waste Recycling Decision: A Case Study from Romania.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(7), Article 7. https://doi.org/10.3390/su12072753</w:t>
      </w:r>
    </w:p>
    <w:p w14:paraId="0708DD0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Delcea, C., Crăciun, L., Ioanăș, C., Ferruzzi, G., &amp; Cotfas, L.-A. (2020c). Determinants of Individuals’ E-Waste Recycling Decision: A Case Study from Romania.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(7), Article 7. https://doi.org/10.3390/su12072753</w:t>
      </w:r>
    </w:p>
    <w:p w14:paraId="7A13A2A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Dhingra, S., &amp; Maheshwari, N. S. (2018). E-waste management awareness and intentions among youth consumers: The mediating role of motivation. </w:t>
      </w:r>
      <w:r w:rsidRPr="00597FFB">
        <w:rPr>
          <w:rFonts w:ascii="Times New Roman" w:eastAsia="Times New Roman" w:hAnsi="Times New Roman" w:cs="Times New Roman"/>
          <w:i/>
          <w:iCs/>
          <w:color w:val="000000" w:themeColor="text1"/>
          <w:sz w:val="24"/>
          <w:szCs w:val="24"/>
          <w:lang w:eastAsia="en-GB"/>
        </w:rPr>
        <w:t>International Journal of Indian Culture and Business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16</w:t>
      </w:r>
      <w:r w:rsidRPr="00597FFB">
        <w:rPr>
          <w:rFonts w:ascii="Times New Roman" w:eastAsia="Times New Roman" w:hAnsi="Times New Roman" w:cs="Times New Roman"/>
          <w:color w:val="000000" w:themeColor="text1"/>
          <w:sz w:val="24"/>
          <w:szCs w:val="24"/>
          <w:lang w:eastAsia="en-GB"/>
        </w:rPr>
        <w:t>(4), 359. https://doi.org/10.1504/IJICBM.2018.092100</w:t>
      </w:r>
    </w:p>
    <w:p w14:paraId="5E544725"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Di Vaio, A., Varriale, L., &amp; Trujillo, L. (2019). Management Control Systems in port waste management: Evidence from Italy. </w:t>
      </w:r>
      <w:r w:rsidRPr="00597FFB">
        <w:rPr>
          <w:rFonts w:ascii="Times New Roman" w:eastAsia="Times New Roman" w:hAnsi="Times New Roman" w:cs="Times New Roman"/>
          <w:i/>
          <w:iCs/>
          <w:color w:val="000000" w:themeColor="text1"/>
          <w:sz w:val="24"/>
          <w:szCs w:val="24"/>
          <w:lang w:eastAsia="en-GB"/>
        </w:rPr>
        <w:t>Utilities Policy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56</w:t>
      </w:r>
      <w:r w:rsidRPr="00597FFB">
        <w:rPr>
          <w:rFonts w:ascii="Times New Roman" w:eastAsia="Times New Roman" w:hAnsi="Times New Roman" w:cs="Times New Roman"/>
          <w:color w:val="000000" w:themeColor="text1"/>
          <w:sz w:val="24"/>
          <w:szCs w:val="24"/>
          <w:lang w:eastAsia="en-GB"/>
        </w:rPr>
        <w:t>, 127–135. https://doi.org/10.1016/j.jup.2018.12.001</w:t>
      </w:r>
    </w:p>
    <w:p w14:paraId="623A4C27"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Dilotsotlhe, N. (2021). Factors influencing the green purchase behaviour of millennials: An emerging country perspective. </w:t>
      </w:r>
      <w:r w:rsidRPr="00597FFB">
        <w:rPr>
          <w:rFonts w:ascii="Times New Roman" w:eastAsia="Times New Roman" w:hAnsi="Times New Roman" w:cs="Times New Roman"/>
          <w:i/>
          <w:iCs/>
          <w:color w:val="000000" w:themeColor="text1"/>
          <w:sz w:val="24"/>
          <w:szCs w:val="24"/>
          <w:lang w:eastAsia="en-GB"/>
        </w:rPr>
        <w:t>Cogent Business &amp;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8</w:t>
      </w:r>
      <w:r w:rsidRPr="00597FFB">
        <w:rPr>
          <w:rFonts w:ascii="Times New Roman" w:eastAsia="Times New Roman" w:hAnsi="Times New Roman" w:cs="Times New Roman"/>
          <w:color w:val="000000" w:themeColor="text1"/>
          <w:sz w:val="24"/>
          <w:szCs w:val="24"/>
          <w:lang w:eastAsia="en-GB"/>
        </w:rPr>
        <w:t>(1), 1908745. https://doi.org/10.1080/23311975.2021.1908745</w:t>
      </w:r>
    </w:p>
    <w:p w14:paraId="71885BB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Dhir, A., Koshta, N., Goyal, R. K., Sakashita, M., &amp; Almotairi, M. (2021). Behavioral reasoning theory (BRT) perspectives on E-waste recycling and management.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280</w:t>
      </w:r>
      <w:r w:rsidRPr="00597FFB">
        <w:rPr>
          <w:rFonts w:ascii="Times New Roman" w:eastAsia="SimSun" w:hAnsi="Times New Roman" w:cs="Times New Roman"/>
          <w:kern w:val="24"/>
          <w:sz w:val="24"/>
          <w:szCs w:val="24"/>
          <w:lang w:val="en-GB" w:eastAsia="ja-JP"/>
        </w:rPr>
        <w:t>, 124269. https://doi.org/10.1016/j.jclepro.2020.124269</w:t>
      </w:r>
    </w:p>
    <w:p w14:paraId="17337CB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Dhir, A., Malodia, S., Awan, U., Sakashita, M., &amp; Kaur, P. (2021). Extended Valence Theory Perspective on Consumers’ E-waste Recycling Intentions in Japan.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127443. https://doi.org/10.1016/j.jclepro.2021.127443</w:t>
      </w:r>
    </w:p>
    <w:p w14:paraId="2D44F88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Dias, P., Bernardes, A. M., &amp; Huda, N. (2019). Ensuring best E-waste recycling practices in developed countries: An Australian example.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209</w:t>
      </w:r>
      <w:r w:rsidRPr="00597FFB">
        <w:rPr>
          <w:rFonts w:ascii="Times New Roman" w:eastAsia="SimSun" w:hAnsi="Times New Roman" w:cs="Times New Roman"/>
          <w:kern w:val="24"/>
          <w:sz w:val="24"/>
          <w:szCs w:val="24"/>
          <w:lang w:val="en-GB" w:eastAsia="ja-JP"/>
        </w:rPr>
        <w:t>, 846–854. https://doi.org/10.1016/j.jclepro.2018.10.306</w:t>
      </w:r>
    </w:p>
    <w:p w14:paraId="49FE869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Didenko, N., Klochkov, Y., &amp; Skripnuk, D. (2018). Ecological Criteria for Comparing Linear and Circular Economies. </w:t>
      </w:r>
      <w:r w:rsidRPr="00597FFB">
        <w:rPr>
          <w:rFonts w:ascii="Times New Roman" w:eastAsia="SimSun" w:hAnsi="Times New Roman" w:cs="Times New Roman"/>
          <w:i/>
          <w:iCs/>
          <w:kern w:val="24"/>
          <w:sz w:val="24"/>
          <w:szCs w:val="24"/>
          <w:lang w:val="en-GB" w:eastAsia="ja-JP"/>
        </w:rPr>
        <w:t>Resources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7</w:t>
      </w:r>
      <w:r w:rsidRPr="00597FFB">
        <w:rPr>
          <w:rFonts w:ascii="Times New Roman" w:eastAsia="SimSun" w:hAnsi="Times New Roman" w:cs="Times New Roman"/>
          <w:kern w:val="24"/>
          <w:sz w:val="24"/>
          <w:szCs w:val="24"/>
          <w:lang w:val="en-GB" w:eastAsia="ja-JP"/>
        </w:rPr>
        <w:t>(3), 48. https://doi.org/10.3390/resources7030048</w:t>
      </w:r>
    </w:p>
    <w:p w14:paraId="447F2ABF"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Dixit, S., &amp; Vaish, A. (2015). Perceived barriers, collection models, incentives and consumer preferences: An exploratory study for effective implementation of reverse logistics. </w:t>
      </w:r>
      <w:r w:rsidRPr="00597FFB">
        <w:rPr>
          <w:rFonts w:ascii="Times New Roman" w:hAnsi="Times New Roman" w:cs="Times New Roman"/>
          <w:i/>
          <w:iCs/>
          <w:color w:val="000000" w:themeColor="text1"/>
          <w:kern w:val="24"/>
          <w:sz w:val="24"/>
          <w:szCs w:val="24"/>
          <w:lang w:eastAsia="ja-JP"/>
        </w:rPr>
        <w:t>International Journal of Logistics Systems and Management, 21</w:t>
      </w:r>
      <w:r w:rsidRPr="00597FFB">
        <w:rPr>
          <w:rFonts w:ascii="Times New Roman" w:hAnsi="Times New Roman" w:cs="Times New Roman"/>
          <w:color w:val="000000" w:themeColor="text1"/>
          <w:kern w:val="24"/>
          <w:sz w:val="24"/>
          <w:szCs w:val="24"/>
          <w:lang w:eastAsia="ja-JP"/>
        </w:rPr>
        <w:t xml:space="preserve">(3), 304. </w:t>
      </w:r>
      <w:hyperlink r:id="rId34" w:history="1">
        <w:r w:rsidRPr="00597FFB">
          <w:rPr>
            <w:rFonts w:ascii="Times New Roman" w:hAnsi="Times New Roman" w:cs="Times New Roman"/>
            <w:color w:val="000000" w:themeColor="text1"/>
            <w:kern w:val="24"/>
            <w:sz w:val="24"/>
            <w:szCs w:val="24"/>
            <w:u w:val="single"/>
            <w:lang w:eastAsia="ja-JP"/>
          </w:rPr>
          <w:t>https://doi.org/10.1504/IJLSM.2015.069729</w:t>
        </w:r>
      </w:hyperlink>
      <w:r w:rsidRPr="00597FFB">
        <w:rPr>
          <w:rFonts w:ascii="Times New Roman" w:hAnsi="Times New Roman" w:cs="Times New Roman"/>
          <w:color w:val="000000" w:themeColor="text1"/>
          <w:kern w:val="24"/>
          <w:sz w:val="24"/>
          <w:szCs w:val="24"/>
          <w:lang w:eastAsia="ja-JP"/>
        </w:rPr>
        <w:t>.</w:t>
      </w:r>
    </w:p>
    <w:p w14:paraId="5D97C8F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Dong, X., Zhang, B., Wang, B., &amp; Wang, Z. (2020). Urban households’ purchase intentions for pure electric vehicles under subsidy contexts in China: Do cost factors matter? </w:t>
      </w:r>
      <w:r w:rsidRPr="00597FFB">
        <w:rPr>
          <w:rFonts w:ascii="Times New Roman" w:eastAsia="SimSun" w:hAnsi="Times New Roman" w:cs="Times New Roman"/>
          <w:i/>
          <w:iCs/>
          <w:kern w:val="24"/>
          <w:sz w:val="24"/>
          <w:szCs w:val="24"/>
          <w:lang w:val="en-GB" w:eastAsia="ja-JP"/>
        </w:rPr>
        <w:t>Transportation Research Part A: Policy and Practice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135</w:t>
      </w:r>
      <w:r w:rsidRPr="00597FFB">
        <w:rPr>
          <w:rFonts w:ascii="Times New Roman" w:eastAsia="SimSun" w:hAnsi="Times New Roman" w:cs="Times New Roman"/>
          <w:kern w:val="24"/>
          <w:sz w:val="24"/>
          <w:szCs w:val="24"/>
          <w:lang w:val="en-GB" w:eastAsia="ja-JP"/>
        </w:rPr>
        <w:t>, 183–197. https://doi.org/10.1016/j.tra.2020.03.012</w:t>
      </w:r>
    </w:p>
    <w:p w14:paraId="23047A1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Duan, Z., Jiang, Y., Yan, M., Wang, S., Yuan, Z., Zhao, Q., Sun, P., Xie, G., Du, X., &amp; Tai, H. (2019). Facile, Flexible, Cost-Saving, and Environment-Friendly Paper-Based Humidity Sensor for Multifunctional Applications. </w:t>
      </w:r>
      <w:r w:rsidRPr="00597FFB">
        <w:rPr>
          <w:rFonts w:ascii="Times New Roman" w:eastAsia="Times New Roman" w:hAnsi="Times New Roman" w:cs="Times New Roman"/>
          <w:i/>
          <w:iCs/>
          <w:color w:val="000000" w:themeColor="text1"/>
          <w:sz w:val="24"/>
          <w:szCs w:val="24"/>
          <w:lang w:eastAsia="en-GB"/>
        </w:rPr>
        <w:t>ACS Applied Materials &amp; Interfaces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w:t>
      </w:r>
      <w:r w:rsidRPr="00597FFB">
        <w:rPr>
          <w:rFonts w:ascii="Times New Roman" w:eastAsia="Times New Roman" w:hAnsi="Times New Roman" w:cs="Times New Roman"/>
          <w:color w:val="000000" w:themeColor="text1"/>
          <w:sz w:val="24"/>
          <w:szCs w:val="24"/>
          <w:lang w:eastAsia="en-GB"/>
        </w:rPr>
        <w:t>(24), 21840–21849. https://doi.org/10.1021/acsami.9b05709</w:t>
      </w:r>
    </w:p>
    <w:p w14:paraId="7DCC116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Duignan, T. J., &amp; Autschbach, J. (2016). Impact of the Kohn–Sham Delocalization Error on the 4f Shell Localization and Population in Lanthanide Complexes. </w:t>
      </w:r>
      <w:r w:rsidRPr="00597FFB">
        <w:rPr>
          <w:rFonts w:ascii="Times New Roman" w:eastAsia="SimSun" w:hAnsi="Times New Roman" w:cs="Times New Roman"/>
          <w:i/>
          <w:iCs/>
          <w:kern w:val="24"/>
          <w:sz w:val="24"/>
          <w:szCs w:val="24"/>
          <w:lang w:val="en-GB" w:eastAsia="ja-JP"/>
        </w:rPr>
        <w:t>Journal of Chemical Theory and Computation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(7), 3109–3121. https://doi.org/10.1021/acs.jctc.6b00238</w:t>
      </w:r>
    </w:p>
    <w:p w14:paraId="18C488D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Dutta, D., &amp; Goel, S. (2021). Understanding the gap between formal and informal e-waste recycling facilities in India. </w:t>
      </w:r>
      <w:r w:rsidRPr="00597FFB">
        <w:rPr>
          <w:rFonts w:ascii="Times New Roman" w:eastAsia="Times New Roman" w:hAnsi="Times New Roman" w:cs="Times New Roman"/>
          <w:i/>
          <w:iCs/>
          <w:color w:val="000000" w:themeColor="text1"/>
          <w:sz w:val="24"/>
          <w:szCs w:val="24"/>
          <w:lang w:eastAsia="en-GB"/>
        </w:rPr>
        <w:t>Waste Management, 125</w:t>
      </w:r>
      <w:r w:rsidRPr="00597FFB">
        <w:rPr>
          <w:rFonts w:ascii="Times New Roman" w:eastAsia="Times New Roman" w:hAnsi="Times New Roman" w:cs="Times New Roman"/>
          <w:color w:val="000000" w:themeColor="text1"/>
          <w:sz w:val="24"/>
          <w:szCs w:val="24"/>
          <w:lang w:eastAsia="en-GB"/>
        </w:rPr>
        <w:t>, 163-171. doi:10.1016/j.wasman.2021.02.045</w:t>
      </w:r>
    </w:p>
    <w:p w14:paraId="46C273A7"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Dutta, D., &amp; Goel, S. (2021). Understanding the gap between formal and informal e-waste recycling facilities in India. </w:t>
      </w:r>
      <w:r w:rsidRPr="00597FFB">
        <w:rPr>
          <w:rFonts w:ascii="Times New Roman" w:eastAsia="Times New Roman" w:hAnsi="Times New Roman" w:cs="Times New Roman"/>
          <w:i/>
          <w:iCs/>
          <w:color w:val="000000" w:themeColor="text1"/>
          <w:sz w:val="24"/>
          <w:szCs w:val="24"/>
          <w:lang w:eastAsia="en-GB"/>
        </w:rPr>
        <w:t>Waste Management, 125</w:t>
      </w:r>
      <w:r w:rsidRPr="00597FFB">
        <w:rPr>
          <w:rFonts w:ascii="Times New Roman" w:eastAsia="Times New Roman" w:hAnsi="Times New Roman" w:cs="Times New Roman"/>
          <w:color w:val="000000" w:themeColor="text1"/>
          <w:sz w:val="24"/>
          <w:szCs w:val="24"/>
          <w:lang w:eastAsia="en-GB"/>
        </w:rPr>
        <w:t>, 163-171. doi:10.1016/j.wasman.2021.02.045</w:t>
      </w:r>
    </w:p>
    <w:p w14:paraId="2CDB9573"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Dwivedy, M., &amp; Mittal, R. K. (2013). Willingness of residents to participate in e-waste recycling in India. </w:t>
      </w:r>
      <w:r w:rsidRPr="00597FFB">
        <w:rPr>
          <w:rFonts w:ascii="Times New Roman" w:hAnsi="Times New Roman" w:cs="Times New Roman"/>
          <w:i/>
          <w:iCs/>
          <w:color w:val="000000" w:themeColor="text1"/>
          <w:kern w:val="24"/>
          <w:sz w:val="24"/>
          <w:szCs w:val="24"/>
          <w:lang w:eastAsia="ja-JP"/>
        </w:rPr>
        <w:t>Environmental Development, 6</w:t>
      </w:r>
      <w:r w:rsidRPr="00597FFB">
        <w:rPr>
          <w:rFonts w:ascii="Times New Roman" w:hAnsi="Times New Roman" w:cs="Times New Roman"/>
          <w:color w:val="000000" w:themeColor="text1"/>
          <w:kern w:val="24"/>
          <w:sz w:val="24"/>
          <w:szCs w:val="24"/>
          <w:lang w:eastAsia="ja-JP"/>
        </w:rPr>
        <w:t xml:space="preserve">, 48-68. </w:t>
      </w:r>
      <w:hyperlink r:id="rId35" w:history="1">
        <w:r w:rsidRPr="00597FFB">
          <w:rPr>
            <w:rFonts w:ascii="Times New Roman" w:hAnsi="Times New Roman" w:cs="Times New Roman"/>
            <w:color w:val="000000" w:themeColor="text1"/>
            <w:kern w:val="24"/>
            <w:sz w:val="24"/>
            <w:szCs w:val="24"/>
            <w:u w:val="single"/>
            <w:lang w:eastAsia="ja-JP"/>
          </w:rPr>
          <w:t>https://doi.org/10.1016/j.envdev.2013.03.001</w:t>
        </w:r>
      </w:hyperlink>
      <w:r w:rsidRPr="00597FFB">
        <w:rPr>
          <w:rFonts w:ascii="Times New Roman" w:hAnsi="Times New Roman" w:cs="Times New Roman"/>
          <w:color w:val="000000" w:themeColor="text1"/>
          <w:kern w:val="24"/>
          <w:sz w:val="24"/>
          <w:szCs w:val="24"/>
          <w:lang w:eastAsia="ja-JP"/>
        </w:rPr>
        <w:t>.</w:t>
      </w:r>
    </w:p>
    <w:p w14:paraId="7F013710"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Egger, M., Buitrago</w:t>
      </w:r>
      <w:r w:rsidRPr="00597FFB">
        <w:rPr>
          <w:rFonts w:ascii="Cambria Math" w:eastAsia="Times New Roman" w:hAnsi="Cambria Math" w:cs="Cambria Math"/>
          <w:color w:val="000000"/>
          <w:sz w:val="24"/>
          <w:szCs w:val="24"/>
          <w:lang w:eastAsia="en-GB"/>
        </w:rPr>
        <w:t>‐</w:t>
      </w:r>
      <w:r w:rsidRPr="00597FFB">
        <w:rPr>
          <w:rFonts w:ascii="Times New Roman" w:eastAsia="Times New Roman" w:hAnsi="Times New Roman" w:cs="Times New Roman"/>
          <w:color w:val="000000"/>
          <w:sz w:val="24"/>
          <w:szCs w:val="24"/>
          <w:lang w:eastAsia="en-GB"/>
        </w:rPr>
        <w:t xml:space="preserve">Garcia, D., &amp; Smith, G. D. (2022). Systematic Reviews of Epidemiological Studies of Etiology and Prevalence. In M. Egger, J. P. T. Higgins, &amp; G. D. Smith (Eds.), </w:t>
      </w:r>
      <w:r w:rsidRPr="00597FFB">
        <w:rPr>
          <w:rFonts w:ascii="Times New Roman" w:eastAsia="Times New Roman" w:hAnsi="Times New Roman" w:cs="Times New Roman"/>
          <w:i/>
          <w:iCs/>
          <w:color w:val="000000"/>
          <w:sz w:val="24"/>
          <w:szCs w:val="24"/>
          <w:lang w:eastAsia="en-GB"/>
        </w:rPr>
        <w:t>Systematic Reviews in Health Research</w:t>
      </w:r>
      <w:r w:rsidRPr="00597FFB">
        <w:rPr>
          <w:rFonts w:ascii="Times New Roman" w:eastAsia="Times New Roman" w:hAnsi="Times New Roman" w:cs="Times New Roman"/>
          <w:color w:val="000000"/>
          <w:sz w:val="24"/>
          <w:szCs w:val="24"/>
          <w:lang w:eastAsia="en-GB"/>
        </w:rPr>
        <w:t xml:space="preserve"> (1st ed., pp. 377–395). Wiley. https://doi.org/10.1002/9781119099369.ch19</w:t>
      </w:r>
    </w:p>
    <w:p w14:paraId="6CAA5C4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El Bilali, H., &amp; Ben Hassen, T. (2020). Food Waste in the Countries of the Gulf Cooperation Council: A Systematic Review. </w:t>
      </w:r>
      <w:r w:rsidRPr="00597FFB">
        <w:rPr>
          <w:rFonts w:ascii="Times New Roman" w:eastAsia="SimSun" w:hAnsi="Times New Roman" w:cs="Times New Roman"/>
          <w:i/>
          <w:iCs/>
          <w:kern w:val="24"/>
          <w:sz w:val="24"/>
          <w:szCs w:val="24"/>
          <w:lang w:val="en-GB" w:eastAsia="ja-JP"/>
        </w:rPr>
        <w:t>Foods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9</w:t>
      </w:r>
      <w:r w:rsidRPr="00597FFB">
        <w:rPr>
          <w:rFonts w:ascii="Times New Roman" w:eastAsia="SimSun" w:hAnsi="Times New Roman" w:cs="Times New Roman"/>
          <w:kern w:val="24"/>
          <w:sz w:val="24"/>
          <w:szCs w:val="24"/>
          <w:lang w:val="en-GB" w:eastAsia="ja-JP"/>
        </w:rPr>
        <w:t>(4), 463. https://doi.org/10.3390/foods9040463</w:t>
      </w:r>
    </w:p>
    <w:p w14:paraId="5EA3904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ElHaffar, G., Durif, F., &amp; Dubé, L. (2020). Towards closing the attitude-intention-behavior gap in green consumption: A narrative review of the literature and an overview of future research directions.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275</w:t>
      </w:r>
      <w:r w:rsidRPr="00597FFB">
        <w:rPr>
          <w:rFonts w:ascii="Times New Roman" w:eastAsia="SimSun" w:hAnsi="Times New Roman" w:cs="Times New Roman"/>
          <w:kern w:val="24"/>
          <w:sz w:val="24"/>
          <w:szCs w:val="24"/>
          <w:lang w:val="en-GB" w:eastAsia="ja-JP"/>
        </w:rPr>
        <w:t>, 122556. https://doi.org/10.1016/j.jclepro.2020.122556</w:t>
      </w:r>
    </w:p>
    <w:p w14:paraId="43E29DF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Elhoushy, S., &amp; Lanzini, P. (2021). Factors Affecting Sustainable Consumer Behavior in the MENA Region: A Systematic Review. </w:t>
      </w:r>
      <w:r w:rsidRPr="00597FFB">
        <w:rPr>
          <w:rFonts w:ascii="Times New Roman" w:eastAsia="SimSun" w:hAnsi="Times New Roman" w:cs="Times New Roman"/>
          <w:i/>
          <w:iCs/>
          <w:kern w:val="24"/>
          <w:sz w:val="24"/>
          <w:szCs w:val="24"/>
          <w:lang w:val="en-GB" w:eastAsia="ja-JP"/>
        </w:rPr>
        <w:t>Journal of International Consumer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33</w:t>
      </w:r>
      <w:r w:rsidRPr="00597FFB">
        <w:rPr>
          <w:rFonts w:ascii="Times New Roman" w:eastAsia="SimSun" w:hAnsi="Times New Roman" w:cs="Times New Roman"/>
          <w:kern w:val="24"/>
          <w:sz w:val="24"/>
          <w:szCs w:val="24"/>
          <w:lang w:val="en-GB" w:eastAsia="ja-JP"/>
        </w:rPr>
        <w:t>(3), 256–279. https://doi.org/10.1080/08961530.2020.1781735</w:t>
      </w:r>
    </w:p>
    <w:p w14:paraId="67D363C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Esfandiar, K., Dowling, R., Pearce, J., &amp; Goh, E. (2020a). Personal norms and the adoption of pro-environmental binning behaviour in national parks: An integrated structural model approach. </w:t>
      </w:r>
      <w:r w:rsidRPr="00597FFB">
        <w:rPr>
          <w:rFonts w:ascii="Times New Roman" w:eastAsia="SimSun" w:hAnsi="Times New Roman" w:cs="Times New Roman"/>
          <w:i/>
          <w:iCs/>
          <w:kern w:val="24"/>
          <w:sz w:val="24"/>
          <w:szCs w:val="24"/>
          <w:lang w:val="en-GB" w:eastAsia="ja-JP"/>
        </w:rPr>
        <w:t>Journal of Sustainable Tourism</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w:t>
      </w:r>
      <w:r w:rsidRPr="00597FFB">
        <w:rPr>
          <w:rFonts w:ascii="Times New Roman" w:eastAsia="SimSun" w:hAnsi="Times New Roman" w:cs="Times New Roman"/>
          <w:kern w:val="24"/>
          <w:sz w:val="24"/>
          <w:szCs w:val="24"/>
          <w:lang w:val="en-GB" w:eastAsia="ja-JP"/>
        </w:rPr>
        <w:t>(1), 10–32. https://doi.org/10.1080/09669582.2019.1663203</w:t>
      </w:r>
    </w:p>
    <w:p w14:paraId="33A7889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Esfandiar, K., Dowling, R., Pearce, J., &amp; Goh, E. (2020b). Personal norms and the adoption of pro-environmental binning behaviour in national parks: An integrated structural model approach. </w:t>
      </w:r>
      <w:r w:rsidRPr="00597FFB">
        <w:rPr>
          <w:rFonts w:ascii="Times New Roman" w:eastAsia="SimSun" w:hAnsi="Times New Roman" w:cs="Times New Roman"/>
          <w:i/>
          <w:iCs/>
          <w:kern w:val="24"/>
          <w:sz w:val="24"/>
          <w:szCs w:val="24"/>
          <w:lang w:val="en-GB" w:eastAsia="ja-JP"/>
        </w:rPr>
        <w:t>Journal of Sustainable Tourism</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w:t>
      </w:r>
      <w:r w:rsidRPr="00597FFB">
        <w:rPr>
          <w:rFonts w:ascii="Times New Roman" w:eastAsia="SimSun" w:hAnsi="Times New Roman" w:cs="Times New Roman"/>
          <w:kern w:val="24"/>
          <w:sz w:val="24"/>
          <w:szCs w:val="24"/>
          <w:lang w:val="en-GB" w:eastAsia="ja-JP"/>
        </w:rPr>
        <w:t>(1), Article 1. https://doi.org/10.1080/09669582.2019.1663203</w:t>
      </w:r>
    </w:p>
    <w:p w14:paraId="3D308EC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Evangelopoulos, P., Arato, S., Persson, H., Kantarelis, E., &amp; Yang, W. (2019). Reduction of brominated flame retardants (BFRs) in plastics from waste electrical and electronic equipment (WEEE) by solvent extraction and the influence on their thermal decomposition. </w:t>
      </w:r>
      <w:r w:rsidRPr="00597FFB">
        <w:rPr>
          <w:rFonts w:ascii="Times New Roman" w:eastAsia="Times New Roman" w:hAnsi="Times New Roman" w:cs="Times New Roman"/>
          <w:i/>
          <w:iCs/>
          <w:color w:val="000000" w:themeColor="text1"/>
          <w:sz w:val="24"/>
          <w:szCs w:val="24"/>
          <w:lang w:eastAsia="en-GB"/>
        </w:rPr>
        <w:t>Waste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94</w:t>
      </w:r>
      <w:r w:rsidRPr="00597FFB">
        <w:rPr>
          <w:rFonts w:ascii="Times New Roman" w:eastAsia="Times New Roman" w:hAnsi="Times New Roman" w:cs="Times New Roman"/>
          <w:color w:val="000000" w:themeColor="text1"/>
          <w:sz w:val="24"/>
          <w:szCs w:val="24"/>
          <w:lang w:eastAsia="en-GB"/>
        </w:rPr>
        <w:t>, 165–171. https://doi.org/10.1016/j.wasman.2018.06.018</w:t>
      </w:r>
    </w:p>
    <w:p w14:paraId="0AE34F4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p>
    <w:p w14:paraId="4D65137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Fagerholm, N., Raymond, C. M., Olafsson, A. S., Brown, G., Rinne, T., Hasanzadeh, K., Broberg, A., &amp; Kyttä, M. (2021). A methodological framework for analysis of participatory mapping data in research, planning, and management. </w:t>
      </w:r>
      <w:r w:rsidRPr="00597FFB">
        <w:rPr>
          <w:rFonts w:ascii="Times New Roman" w:eastAsia="SimSun" w:hAnsi="Times New Roman" w:cs="Times New Roman"/>
          <w:i/>
          <w:iCs/>
          <w:kern w:val="24"/>
          <w:sz w:val="24"/>
          <w:szCs w:val="24"/>
          <w:lang w:val="en-GB" w:eastAsia="ja-JP"/>
        </w:rPr>
        <w:t>International Journal of Geographical Information Science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35</w:t>
      </w:r>
      <w:r w:rsidRPr="00597FFB">
        <w:rPr>
          <w:rFonts w:ascii="Times New Roman" w:eastAsia="SimSun" w:hAnsi="Times New Roman" w:cs="Times New Roman"/>
          <w:kern w:val="24"/>
          <w:sz w:val="24"/>
          <w:szCs w:val="24"/>
          <w:lang w:val="en-GB" w:eastAsia="ja-JP"/>
        </w:rPr>
        <w:t>(9), 1848–1875. https://doi.org/10.1080/13658816.2020.1869747</w:t>
      </w:r>
    </w:p>
    <w:p w14:paraId="39A95AD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Falcone, P. M., Tani, A., Tartiu, V. E., &amp; Imbriani, C. (2020). Towards a sustainable forest-based bioeconomy in Italy: Findings from a SWOT analysis. </w:t>
      </w:r>
      <w:r w:rsidRPr="00597FFB">
        <w:rPr>
          <w:rFonts w:ascii="Times New Roman" w:eastAsia="SimSun" w:hAnsi="Times New Roman" w:cs="Times New Roman"/>
          <w:i/>
          <w:iCs/>
          <w:kern w:val="24"/>
          <w:sz w:val="24"/>
          <w:szCs w:val="24"/>
          <w:lang w:val="en-GB" w:eastAsia="ja-JP"/>
        </w:rPr>
        <w:t>Forest Policy and Economics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110</w:t>
      </w:r>
      <w:r w:rsidRPr="00597FFB">
        <w:rPr>
          <w:rFonts w:ascii="Times New Roman" w:eastAsia="SimSun" w:hAnsi="Times New Roman" w:cs="Times New Roman"/>
          <w:kern w:val="24"/>
          <w:sz w:val="24"/>
          <w:szCs w:val="24"/>
          <w:lang w:val="en-GB" w:eastAsia="ja-JP"/>
        </w:rPr>
        <w:t>, 101910. https://doi.org/10.1016/j.forpol.2019.04.014</w:t>
      </w:r>
    </w:p>
    <w:p w14:paraId="310E6E9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Fang, W.-T., Huang, M.-H., Cheng, B.-Y., Chiu, R.-J., Chiang, Y.-T., Hsu, C.-W., &amp; Ng, E. (2021). Applying a Comprehensive Action Determination Model to Examine the Recycling Behavior of Taipei City Residents.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(2), Article 2. https://doi.org/10.3390/su13020490</w:t>
      </w:r>
    </w:p>
    <w:p w14:paraId="11B5DFE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Fishbein, M., &amp; Ajzen, I. (1975). </w:t>
      </w:r>
      <w:r w:rsidRPr="00597FFB">
        <w:rPr>
          <w:rFonts w:ascii="Times New Roman" w:eastAsia="SimSun" w:hAnsi="Times New Roman" w:cs="Times New Roman"/>
          <w:i/>
          <w:iCs/>
          <w:kern w:val="24"/>
          <w:sz w:val="24"/>
          <w:szCs w:val="24"/>
          <w:lang w:val="en-GB" w:eastAsia="ja-JP"/>
        </w:rPr>
        <w:t>Belief, attitude, intention, and behavior: An introduction to theory and research</w:t>
      </w:r>
      <w:r w:rsidRPr="00597FFB">
        <w:rPr>
          <w:rFonts w:ascii="Times New Roman" w:eastAsia="SimSun" w:hAnsi="Times New Roman" w:cs="Times New Roman"/>
          <w:kern w:val="24"/>
          <w:sz w:val="24"/>
          <w:szCs w:val="24"/>
          <w:lang w:val="en-GB" w:eastAsia="ja-JP"/>
        </w:rPr>
        <w:t>. Addison-Wesley Pub. Co.</w:t>
      </w:r>
    </w:p>
    <w:p w14:paraId="095AEE6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Forti, V., Baldé, C. P., Kuehr, R., &amp; Bel, G. (2020). </w:t>
      </w:r>
      <w:r w:rsidRPr="00597FFB">
        <w:rPr>
          <w:rFonts w:ascii="Times New Roman" w:eastAsia="Times New Roman" w:hAnsi="Times New Roman" w:cs="Times New Roman"/>
          <w:i/>
          <w:iCs/>
          <w:color w:val="000000" w:themeColor="text1"/>
          <w:sz w:val="24"/>
          <w:szCs w:val="24"/>
          <w:lang w:eastAsia="en-GB"/>
        </w:rPr>
        <w:t>The Global E-waste Monitor 2020: Quantities, flows and the circular economy potential.</w:t>
      </w:r>
      <w:r w:rsidRPr="00597FFB">
        <w:rPr>
          <w:rFonts w:ascii="Times New Roman" w:eastAsia="Times New Roman" w:hAnsi="Times New Roman" w:cs="Times New Roman"/>
          <w:color w:val="000000" w:themeColor="text1"/>
          <w:sz w:val="24"/>
          <w:szCs w:val="24"/>
          <w:lang w:eastAsia="en-GB"/>
        </w:rPr>
        <w:t xml:space="preserve"> Bonn/Geneva/Rotterdam: United Nations University(UNU)/United Nations Institute for Training and Research (UNITAR) - co-hosted SCYLE Programme, International Telecommunication Union (ITU) &amp; International Solid Waste Association (ISWA).</w:t>
      </w:r>
    </w:p>
    <w:p w14:paraId="0079486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Freudenreich, B., Lüdeke-Freund, F., &amp; Schaltegger, S. (2020). A stakeholder theory perspective on business models: Value creation for sustainability. </w:t>
      </w:r>
      <w:r w:rsidRPr="00597FFB">
        <w:rPr>
          <w:rFonts w:ascii="Times New Roman" w:eastAsia="Times New Roman" w:hAnsi="Times New Roman" w:cs="Times New Roman"/>
          <w:i/>
          <w:iCs/>
          <w:color w:val="000000" w:themeColor="text1"/>
          <w:sz w:val="24"/>
          <w:szCs w:val="24"/>
          <w:lang w:eastAsia="en-GB"/>
        </w:rPr>
        <w:t>Journal of Business Ethics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166</w:t>
      </w:r>
      <w:r w:rsidRPr="00597FFB">
        <w:rPr>
          <w:rFonts w:ascii="Times New Roman" w:eastAsia="Times New Roman" w:hAnsi="Times New Roman" w:cs="Times New Roman"/>
          <w:color w:val="000000" w:themeColor="text1"/>
          <w:sz w:val="24"/>
          <w:szCs w:val="24"/>
          <w:lang w:eastAsia="en-GB"/>
        </w:rPr>
        <w:t>(1), 3–18. https://doi.org/10.1007/s10551-019-04112-z</w:t>
      </w:r>
    </w:p>
    <w:p w14:paraId="47DA6BF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Fuldauer, L. I., Ives, M. C., Adshead, D., Thacker, S., &amp; Hall, J. W. (2019). Participatory planning of the future of waste management in small island developing states to deliver on the Sustainable Development Goals.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223</w:t>
      </w:r>
      <w:r w:rsidRPr="00597FFB">
        <w:rPr>
          <w:rFonts w:ascii="Times New Roman" w:eastAsia="Times New Roman" w:hAnsi="Times New Roman" w:cs="Times New Roman"/>
          <w:color w:val="000000" w:themeColor="text1"/>
          <w:sz w:val="24"/>
          <w:szCs w:val="24"/>
          <w:lang w:eastAsia="en-GB"/>
        </w:rPr>
        <w:t>, 147–162. https://doi.org/10.1016/j.jclepro.2019.02.269</w:t>
      </w:r>
    </w:p>
    <w:p w14:paraId="216D659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Furrer, O., Yu Kerguignas, J., &amp; Landry, M. (2021). Customer captivity, negative word of mouth and well-being: A mixed-methods study. </w:t>
      </w:r>
      <w:r w:rsidRPr="00597FFB">
        <w:rPr>
          <w:rFonts w:ascii="Times New Roman" w:eastAsia="SimSun" w:hAnsi="Times New Roman" w:cs="Times New Roman"/>
          <w:i/>
          <w:iCs/>
          <w:kern w:val="24"/>
          <w:sz w:val="24"/>
          <w:szCs w:val="24"/>
          <w:lang w:val="en-GB" w:eastAsia="ja-JP"/>
        </w:rPr>
        <w:t>Journal of Services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35</w:t>
      </w:r>
      <w:r w:rsidRPr="00597FFB">
        <w:rPr>
          <w:rFonts w:ascii="Times New Roman" w:eastAsia="SimSun" w:hAnsi="Times New Roman" w:cs="Times New Roman"/>
          <w:kern w:val="24"/>
          <w:sz w:val="24"/>
          <w:szCs w:val="24"/>
          <w:lang w:val="en-GB" w:eastAsia="ja-JP"/>
        </w:rPr>
        <w:t>(6), 755–773. https://doi.org/10.1108/JSM-07-2020-0311</w:t>
      </w:r>
    </w:p>
    <w:p w14:paraId="7CDFE66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Ganak, J., Chen, Y., Liang, D., Liu, H., &amp; Chi, T. (2020). Understanding US millennials’ perceived values of denim apparel recycling: Insights for brands and retailers. </w:t>
      </w:r>
      <w:r w:rsidRPr="00597FFB">
        <w:rPr>
          <w:rFonts w:ascii="Times New Roman" w:eastAsia="Times New Roman" w:hAnsi="Times New Roman" w:cs="Times New Roman"/>
          <w:i/>
          <w:iCs/>
          <w:color w:val="000000" w:themeColor="text1"/>
          <w:sz w:val="24"/>
          <w:szCs w:val="24"/>
          <w:lang w:eastAsia="en-GB"/>
        </w:rPr>
        <w:t>International Journal of Sustainable Society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12</w:t>
      </w:r>
      <w:r w:rsidRPr="00597FFB">
        <w:rPr>
          <w:rFonts w:ascii="Times New Roman" w:eastAsia="Times New Roman" w:hAnsi="Times New Roman" w:cs="Times New Roman"/>
          <w:color w:val="000000" w:themeColor="text1"/>
          <w:sz w:val="24"/>
          <w:szCs w:val="24"/>
          <w:lang w:eastAsia="en-GB"/>
        </w:rPr>
        <w:t>(4), 267. https://doi.org/10.1504/IJSSOC.2020.112444</w:t>
      </w:r>
    </w:p>
    <w:p w14:paraId="34975B0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Garg, C. P. (2021). Modeling the e-waste mitigation strategies using grey-theory and DEMATEL framework.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281</w:t>
      </w:r>
      <w:r w:rsidRPr="00597FFB">
        <w:rPr>
          <w:rFonts w:ascii="Times New Roman" w:eastAsia="SimSun" w:hAnsi="Times New Roman" w:cs="Times New Roman"/>
          <w:kern w:val="24"/>
          <w:sz w:val="24"/>
          <w:szCs w:val="24"/>
          <w:lang w:val="en-GB" w:eastAsia="ja-JP"/>
        </w:rPr>
        <w:t>, 124035. https://doi.org/10.1016/j.jclepro.2020.124035</w:t>
      </w:r>
    </w:p>
    <w:p w14:paraId="2D8D0D5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Geiger, J. L., Steg, L., van der Werff, E., &amp; Ünal, A. B. (2019). A meta-analysis of factors related to recycling. </w:t>
      </w:r>
      <w:r w:rsidRPr="00597FFB">
        <w:rPr>
          <w:rFonts w:ascii="Times New Roman" w:eastAsia="SimSun" w:hAnsi="Times New Roman" w:cs="Times New Roman"/>
          <w:i/>
          <w:iCs/>
          <w:kern w:val="24"/>
          <w:sz w:val="24"/>
          <w:szCs w:val="24"/>
          <w:lang w:val="en-GB" w:eastAsia="ja-JP"/>
        </w:rPr>
        <w:t>Journal of Environmental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64</w:t>
      </w:r>
      <w:r w:rsidRPr="00597FFB">
        <w:rPr>
          <w:rFonts w:ascii="Times New Roman" w:eastAsia="SimSun" w:hAnsi="Times New Roman" w:cs="Times New Roman"/>
          <w:kern w:val="24"/>
          <w:sz w:val="24"/>
          <w:szCs w:val="24"/>
          <w:lang w:val="en-GB" w:eastAsia="ja-JP"/>
        </w:rPr>
        <w:t>, 78–97. https://doi.org/10.1016/j.jenvp.2019.05.004</w:t>
      </w:r>
    </w:p>
    <w:p w14:paraId="3E98E856" w14:textId="439B6795" w:rsidR="007562B3" w:rsidRPr="00564372" w:rsidRDefault="007562B3" w:rsidP="00564372">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Ghenai, C., Albawab, M., &amp; Bettayeb, M. (2020). Sustainability indicators for renewable energy systems using Multi-Criteria Decision-Making Model and Extended SWARA/ARAS Hybrid Method. </w:t>
      </w:r>
      <w:r w:rsidRPr="00597FFB">
        <w:rPr>
          <w:rFonts w:ascii="Times New Roman" w:hAnsi="Times New Roman" w:cs="Times New Roman"/>
          <w:i/>
          <w:iCs/>
          <w:color w:val="000000" w:themeColor="text1"/>
          <w:kern w:val="24"/>
          <w:sz w:val="24"/>
          <w:szCs w:val="24"/>
          <w:lang w:eastAsia="ja-JP"/>
        </w:rPr>
        <w:t>Renewable Energy,</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146</w:t>
      </w:r>
      <w:r w:rsidRPr="00597FFB">
        <w:rPr>
          <w:rFonts w:ascii="Times New Roman" w:hAnsi="Times New Roman" w:cs="Times New Roman"/>
          <w:color w:val="000000" w:themeColor="text1"/>
          <w:kern w:val="24"/>
          <w:sz w:val="24"/>
          <w:szCs w:val="24"/>
          <w:lang w:eastAsia="ja-JP"/>
        </w:rPr>
        <w:t xml:space="preserve">, 580–597. </w:t>
      </w:r>
      <w:hyperlink r:id="rId36" w:history="1">
        <w:r w:rsidRPr="00597FFB">
          <w:rPr>
            <w:rFonts w:ascii="Times New Roman" w:hAnsi="Times New Roman" w:cs="Times New Roman"/>
            <w:color w:val="000000" w:themeColor="text1"/>
            <w:kern w:val="24"/>
            <w:sz w:val="24"/>
            <w:szCs w:val="24"/>
            <w:u w:val="single"/>
            <w:lang w:eastAsia="ja-JP"/>
          </w:rPr>
          <w:t>https://doi.org/10.1016/j.renene.2019.06.157</w:t>
        </w:r>
      </w:hyperlink>
      <w:r w:rsidRPr="00597FFB">
        <w:rPr>
          <w:rFonts w:ascii="Times New Roman" w:hAnsi="Times New Roman" w:cs="Times New Roman"/>
          <w:color w:val="000000" w:themeColor="text1"/>
          <w:kern w:val="24"/>
          <w:sz w:val="24"/>
          <w:szCs w:val="24"/>
          <w:lang w:eastAsia="ja-JP"/>
        </w:rPr>
        <w:t>.</w:t>
      </w:r>
    </w:p>
    <w:p w14:paraId="0B160C0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Gilli, M., Mancinelli, S., &amp; Nicolli, F. (2018). Prevention and recycling behaviours across the EU. In M. Gilli, S. Mancinelli, &amp; F. Nicolli, </w:t>
      </w:r>
      <w:r w:rsidRPr="00597FFB">
        <w:rPr>
          <w:rFonts w:ascii="Times New Roman" w:eastAsia="Times New Roman" w:hAnsi="Times New Roman" w:cs="Times New Roman"/>
          <w:i/>
          <w:iCs/>
          <w:color w:val="000000" w:themeColor="text1"/>
          <w:sz w:val="24"/>
          <w:szCs w:val="24"/>
          <w:lang w:eastAsia="en-GB"/>
        </w:rPr>
        <w:t>Household Waste Management</w:t>
      </w:r>
      <w:r w:rsidRPr="00597FFB">
        <w:rPr>
          <w:rFonts w:ascii="Times New Roman" w:eastAsia="Times New Roman" w:hAnsi="Times New Roman" w:cs="Times New Roman"/>
          <w:color w:val="000000" w:themeColor="text1"/>
          <w:sz w:val="24"/>
          <w:szCs w:val="24"/>
          <w:lang w:eastAsia="en-GB"/>
        </w:rPr>
        <w:t xml:space="preserve"> (pp. 39–56). Springer International Publishing. https://doi.org/10.1007/978-3-319-97810-9_4</w:t>
      </w:r>
    </w:p>
    <w:p w14:paraId="67D91C45"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Godwin, A., Benedict, B., Rohde, J., Thielmeyer, A., Perkins, H., Major, J., Clements, H., &amp; Chen, Z. (2021). New Epistemological Perspectives on Quantitative Methods: An Example Using Topological Data Analysis. </w:t>
      </w:r>
      <w:r w:rsidRPr="00597FFB">
        <w:rPr>
          <w:rFonts w:ascii="Times New Roman" w:eastAsia="Times New Roman" w:hAnsi="Times New Roman" w:cs="Times New Roman"/>
          <w:i/>
          <w:iCs/>
          <w:color w:val="000000"/>
          <w:sz w:val="24"/>
          <w:szCs w:val="24"/>
          <w:lang w:eastAsia="en-GB"/>
        </w:rPr>
        <w:t>Studies in Engineering Education</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2</w:t>
      </w:r>
      <w:r w:rsidRPr="00597FFB">
        <w:rPr>
          <w:rFonts w:ascii="Times New Roman" w:eastAsia="Times New Roman" w:hAnsi="Times New Roman" w:cs="Times New Roman"/>
          <w:color w:val="000000"/>
          <w:sz w:val="24"/>
          <w:szCs w:val="24"/>
          <w:lang w:eastAsia="en-GB"/>
        </w:rPr>
        <w:t>(1), 16. https://doi.org/10.21061/see.18</w:t>
      </w:r>
    </w:p>
    <w:p w14:paraId="0F1E833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González</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Teruel, A., Campos</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Peláez, M., &amp; Fortea</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 xml:space="preserve">Cabo, G. (2021). Information behaviour of the millennial generation: A scoping review of medical residents and their use of social media. </w:t>
      </w:r>
      <w:r w:rsidRPr="00597FFB">
        <w:rPr>
          <w:rFonts w:ascii="Times New Roman" w:eastAsia="Times New Roman" w:hAnsi="Times New Roman" w:cs="Times New Roman"/>
          <w:i/>
          <w:iCs/>
          <w:color w:val="000000" w:themeColor="text1"/>
          <w:sz w:val="24"/>
          <w:szCs w:val="24"/>
          <w:lang w:eastAsia="en-GB"/>
        </w:rPr>
        <w:t>Health Information &amp; Libraries Journal</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38</w:t>
      </w:r>
      <w:r w:rsidRPr="00597FFB">
        <w:rPr>
          <w:rFonts w:ascii="Times New Roman" w:eastAsia="Times New Roman" w:hAnsi="Times New Roman" w:cs="Times New Roman"/>
          <w:color w:val="000000" w:themeColor="text1"/>
          <w:sz w:val="24"/>
          <w:szCs w:val="24"/>
          <w:lang w:eastAsia="en-GB"/>
        </w:rPr>
        <w:t>(1), 5–31. https://doi.org/10.1111/hir.12306</w:t>
      </w:r>
    </w:p>
    <w:p w14:paraId="209BDFD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Goworek, H., Oxborrow, L., Claxton, S., McLaren, A., Cooper, T., &amp; Hill, H. (2020). Managing sustainability in the fashion business: Challenges in product development for clothing longevity in the UK. </w:t>
      </w:r>
      <w:r w:rsidRPr="00597FFB">
        <w:rPr>
          <w:rFonts w:ascii="Times New Roman" w:eastAsia="SimSun" w:hAnsi="Times New Roman" w:cs="Times New Roman"/>
          <w:i/>
          <w:iCs/>
          <w:kern w:val="24"/>
          <w:sz w:val="24"/>
          <w:szCs w:val="24"/>
          <w:lang w:val="en-GB" w:eastAsia="ja-JP"/>
        </w:rPr>
        <w:t>Journal of Business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117</w:t>
      </w:r>
      <w:r w:rsidRPr="00597FFB">
        <w:rPr>
          <w:rFonts w:ascii="Times New Roman" w:eastAsia="SimSun" w:hAnsi="Times New Roman" w:cs="Times New Roman"/>
          <w:kern w:val="24"/>
          <w:sz w:val="24"/>
          <w:szCs w:val="24"/>
          <w:lang w:val="en-GB" w:eastAsia="ja-JP"/>
        </w:rPr>
        <w:t>, 629–641. https://doi.org/10.1016/j.jbusres.2018.07.021</w:t>
      </w:r>
    </w:p>
    <w:p w14:paraId="16E8252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Grand, J. A. (2020). A general response process theory for situational judgment tests. </w:t>
      </w:r>
      <w:r w:rsidRPr="00597FFB">
        <w:rPr>
          <w:rFonts w:ascii="Times New Roman" w:eastAsia="SimSun" w:hAnsi="Times New Roman" w:cs="Times New Roman"/>
          <w:i/>
          <w:iCs/>
          <w:kern w:val="24"/>
          <w:sz w:val="24"/>
          <w:szCs w:val="24"/>
          <w:lang w:val="en-GB" w:eastAsia="ja-JP"/>
        </w:rPr>
        <w:t>Journal of Applied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105</w:t>
      </w:r>
      <w:r w:rsidRPr="00597FFB">
        <w:rPr>
          <w:rFonts w:ascii="Times New Roman" w:eastAsia="SimSun" w:hAnsi="Times New Roman" w:cs="Times New Roman"/>
          <w:kern w:val="24"/>
          <w:sz w:val="24"/>
          <w:szCs w:val="24"/>
          <w:lang w:val="en-GB" w:eastAsia="ja-JP"/>
        </w:rPr>
        <w:t>(8), 819–862. https://doi.org/10.1037/apl0000468</w:t>
      </w:r>
    </w:p>
    <w:p w14:paraId="62E663B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Grimes, S. M., &amp; Maguire, D. (2020). Assessment of priorities in critical material recovery from Waste Electrical and Electronic Equipment. </w:t>
      </w:r>
      <w:r w:rsidRPr="00597FFB">
        <w:rPr>
          <w:rFonts w:ascii="Times New Roman" w:eastAsia="SimSun" w:hAnsi="Times New Roman" w:cs="Times New Roman"/>
          <w:i/>
          <w:iCs/>
          <w:kern w:val="24"/>
          <w:sz w:val="24"/>
          <w:szCs w:val="24"/>
          <w:lang w:val="en-GB" w:eastAsia="ja-JP"/>
        </w:rPr>
        <w:t>Resources Policy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68</w:t>
      </w:r>
      <w:r w:rsidRPr="00597FFB">
        <w:rPr>
          <w:rFonts w:ascii="Times New Roman" w:eastAsia="SimSun" w:hAnsi="Times New Roman" w:cs="Times New Roman"/>
          <w:kern w:val="24"/>
          <w:sz w:val="24"/>
          <w:szCs w:val="24"/>
          <w:lang w:val="en-GB" w:eastAsia="ja-JP"/>
        </w:rPr>
        <w:t>, 101658. https://doi.org/10.1016/j.resourpol.2020.101658</w:t>
      </w:r>
    </w:p>
    <w:p w14:paraId="3B8D65A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Guarnieri, P., Camara e Silva, L., &amp; Vieira, B. (2020). How to Assess Reverse Logistics of e-Waste Considering a Multicriteria Perspective? A Model Proposition. </w:t>
      </w:r>
      <w:r w:rsidRPr="00597FFB">
        <w:rPr>
          <w:rFonts w:ascii="Times New Roman" w:eastAsia="SimSun" w:hAnsi="Times New Roman" w:cs="Times New Roman"/>
          <w:i/>
          <w:iCs/>
          <w:kern w:val="24"/>
          <w:sz w:val="24"/>
          <w:szCs w:val="24"/>
          <w:lang w:val="en-GB" w:eastAsia="ja-JP"/>
        </w:rPr>
        <w:t>Logistics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w:t>
      </w:r>
      <w:r w:rsidRPr="00597FFB">
        <w:rPr>
          <w:rFonts w:ascii="Times New Roman" w:eastAsia="SimSun" w:hAnsi="Times New Roman" w:cs="Times New Roman"/>
          <w:kern w:val="24"/>
          <w:sz w:val="24"/>
          <w:szCs w:val="24"/>
          <w:lang w:val="en-GB" w:eastAsia="ja-JP"/>
        </w:rPr>
        <w:t>(4), 25. https://doi.org/10.3390/logistics4040025</w:t>
      </w:r>
    </w:p>
    <w:p w14:paraId="3A81E4FA"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Gutman, S., &amp; Palmor, Z. (1982). Properties of min-max controllers in uncertain dynamical systems. </w:t>
      </w:r>
      <w:r w:rsidRPr="00597FFB">
        <w:rPr>
          <w:rFonts w:ascii="Times New Roman" w:hAnsi="Times New Roman" w:cs="Times New Roman"/>
          <w:i/>
          <w:iCs/>
          <w:color w:val="000000" w:themeColor="text1"/>
          <w:kern w:val="24"/>
          <w:sz w:val="24"/>
          <w:szCs w:val="24"/>
          <w:lang w:eastAsia="ja-JP"/>
        </w:rPr>
        <w:t>SIAM Journal on Control and Optimization, 20</w:t>
      </w:r>
      <w:r w:rsidRPr="00597FFB">
        <w:rPr>
          <w:rFonts w:ascii="Times New Roman" w:hAnsi="Times New Roman" w:cs="Times New Roman"/>
          <w:color w:val="000000" w:themeColor="text1"/>
          <w:kern w:val="24"/>
          <w:sz w:val="24"/>
          <w:szCs w:val="24"/>
          <w:lang w:eastAsia="ja-JP"/>
        </w:rPr>
        <w:t xml:space="preserve">(6), 850–861. </w:t>
      </w:r>
      <w:hyperlink r:id="rId37" w:history="1">
        <w:r w:rsidRPr="00597FFB">
          <w:rPr>
            <w:rFonts w:ascii="Times New Roman" w:hAnsi="Times New Roman" w:cs="Times New Roman"/>
            <w:color w:val="000000" w:themeColor="text1"/>
            <w:kern w:val="24"/>
            <w:sz w:val="24"/>
            <w:szCs w:val="24"/>
            <w:u w:val="single"/>
            <w:lang w:eastAsia="ja-JP"/>
          </w:rPr>
          <w:t>https://doi.org/10.1137/0320060</w:t>
        </w:r>
      </w:hyperlink>
      <w:r w:rsidRPr="00597FFB">
        <w:rPr>
          <w:rFonts w:ascii="Times New Roman" w:hAnsi="Times New Roman" w:cs="Times New Roman"/>
          <w:color w:val="000000" w:themeColor="text1"/>
          <w:kern w:val="24"/>
          <w:sz w:val="24"/>
          <w:szCs w:val="24"/>
          <w:lang w:eastAsia="ja-JP"/>
        </w:rPr>
        <w:t>.</w:t>
      </w:r>
    </w:p>
    <w:p w14:paraId="243A29D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Guest, G., Namey, E., &amp; Chen, M. (2020). A simple method to assess and report thematic saturation in qualitative research. </w:t>
      </w:r>
      <w:r w:rsidRPr="00597FFB">
        <w:rPr>
          <w:rFonts w:ascii="Times New Roman" w:eastAsia="SimSun" w:hAnsi="Times New Roman" w:cs="Times New Roman"/>
          <w:i/>
          <w:iCs/>
          <w:kern w:val="24"/>
          <w:sz w:val="24"/>
          <w:szCs w:val="24"/>
          <w:lang w:val="en-GB" w:eastAsia="ja-JP"/>
        </w:rPr>
        <w:t>PLOS ONE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w:t>
      </w:r>
      <w:r w:rsidRPr="00597FFB">
        <w:rPr>
          <w:rFonts w:ascii="Times New Roman" w:eastAsia="SimSun" w:hAnsi="Times New Roman" w:cs="Times New Roman"/>
          <w:kern w:val="24"/>
          <w:sz w:val="24"/>
          <w:szCs w:val="24"/>
          <w:lang w:val="en-GB" w:eastAsia="ja-JP"/>
        </w:rPr>
        <w:t>(5), e0232076. https://doi.org/10.1371/journal.pone.0232076</w:t>
      </w:r>
    </w:p>
    <w:p w14:paraId="6663902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Gummer, T., Roßmann, J., &amp; Silber, H. (2021). Using Instructed Response Items as Attention Checks in Web Surveys: Properties and Implementation. </w:t>
      </w:r>
      <w:r w:rsidRPr="00597FFB">
        <w:rPr>
          <w:rFonts w:ascii="Times New Roman" w:eastAsia="SimSun" w:hAnsi="Times New Roman" w:cs="Times New Roman"/>
          <w:i/>
          <w:iCs/>
          <w:kern w:val="24"/>
          <w:sz w:val="24"/>
          <w:szCs w:val="24"/>
          <w:lang w:val="en-GB" w:eastAsia="ja-JP"/>
        </w:rPr>
        <w:t>Sociological Methods &amp;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50</w:t>
      </w:r>
      <w:r w:rsidRPr="00597FFB">
        <w:rPr>
          <w:rFonts w:ascii="Times New Roman" w:eastAsia="SimSun" w:hAnsi="Times New Roman" w:cs="Times New Roman"/>
          <w:kern w:val="24"/>
          <w:sz w:val="24"/>
          <w:szCs w:val="24"/>
          <w:lang w:val="en-GB" w:eastAsia="ja-JP"/>
        </w:rPr>
        <w:t>(1), 238–264. https://doi.org/10.1177/0049124118769083</w:t>
      </w:r>
    </w:p>
    <w:p w14:paraId="149DA50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Gunarathne, N., de Alwis, A., &amp; Alahakoon, Y. (2020). Challenges facing sustainable urban mining in the e-waste recycling industry in Sri Lanka.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251</w:t>
      </w:r>
      <w:r w:rsidRPr="00597FFB">
        <w:rPr>
          <w:rFonts w:ascii="Times New Roman" w:eastAsia="SimSun" w:hAnsi="Times New Roman" w:cs="Times New Roman"/>
          <w:kern w:val="24"/>
          <w:sz w:val="24"/>
          <w:szCs w:val="24"/>
          <w:lang w:val="en-GB" w:eastAsia="ja-JP"/>
        </w:rPr>
        <w:t>, 119641. https://doi.org/10.1016/j.jclepro.2019.119641</w:t>
      </w:r>
    </w:p>
    <w:p w14:paraId="7ED098E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Gupta, N., &amp; Nath, M. (2020a). Groundwater Contamination By E-Waste And Its Remedial Measure—A Literature Review. </w:t>
      </w:r>
      <w:r w:rsidRPr="00597FFB">
        <w:rPr>
          <w:rFonts w:ascii="Times New Roman" w:eastAsia="SimSun" w:hAnsi="Times New Roman" w:cs="Times New Roman"/>
          <w:i/>
          <w:iCs/>
          <w:kern w:val="24"/>
          <w:sz w:val="24"/>
          <w:szCs w:val="24"/>
          <w:lang w:val="en-GB" w:eastAsia="ja-JP"/>
        </w:rPr>
        <w:t>Journal of Physics: Conference Series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1531</w:t>
      </w:r>
      <w:r w:rsidRPr="00597FFB">
        <w:rPr>
          <w:rFonts w:ascii="Times New Roman" w:eastAsia="SimSun" w:hAnsi="Times New Roman" w:cs="Times New Roman"/>
          <w:kern w:val="24"/>
          <w:sz w:val="24"/>
          <w:szCs w:val="24"/>
          <w:lang w:val="en-GB" w:eastAsia="ja-JP"/>
        </w:rPr>
        <w:t>, 012023. https://doi.org/10.1088/1742-6596/1531/1/012023</w:t>
      </w:r>
    </w:p>
    <w:p w14:paraId="2386482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Gupta, N., &amp; Nath, M. (2020b). Groundwater Contamination By E-Waste And Its Remedial Measure—A Literature Review. </w:t>
      </w:r>
      <w:r w:rsidRPr="00597FFB">
        <w:rPr>
          <w:rFonts w:ascii="Times New Roman" w:eastAsia="SimSun" w:hAnsi="Times New Roman" w:cs="Times New Roman"/>
          <w:i/>
          <w:iCs/>
          <w:kern w:val="24"/>
          <w:sz w:val="24"/>
          <w:szCs w:val="24"/>
          <w:lang w:val="en-GB" w:eastAsia="ja-JP"/>
        </w:rPr>
        <w:t>Journal of Physics: Conference Series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1531</w:t>
      </w:r>
      <w:r w:rsidRPr="00597FFB">
        <w:rPr>
          <w:rFonts w:ascii="Times New Roman" w:eastAsia="SimSun" w:hAnsi="Times New Roman" w:cs="Times New Roman"/>
          <w:kern w:val="24"/>
          <w:sz w:val="24"/>
          <w:szCs w:val="24"/>
          <w:lang w:val="en-GB" w:eastAsia="ja-JP"/>
        </w:rPr>
        <w:t>, 012023. https://doi.org/10.1088/1742-6596/1531/1/012023</w:t>
      </w:r>
    </w:p>
    <w:p w14:paraId="718A0A0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Hafour, M. F. (2022). Interactive digital media assignments: Effects on EFL learners’ overall and micro-level oral language skills. </w:t>
      </w:r>
      <w:r w:rsidRPr="00597FFB">
        <w:rPr>
          <w:rFonts w:ascii="Times New Roman" w:eastAsia="SimSun" w:hAnsi="Times New Roman" w:cs="Times New Roman"/>
          <w:i/>
          <w:iCs/>
          <w:kern w:val="24"/>
          <w:sz w:val="24"/>
          <w:szCs w:val="24"/>
          <w:lang w:val="en-GB" w:eastAsia="ja-JP"/>
        </w:rPr>
        <w:t>Computer Assisted Language Learning</w:t>
      </w:r>
      <w:r w:rsidRPr="00597FFB">
        <w:rPr>
          <w:rFonts w:ascii="Times New Roman" w:eastAsia="SimSun" w:hAnsi="Times New Roman" w:cs="Times New Roman"/>
          <w:kern w:val="24"/>
          <w:sz w:val="24"/>
          <w:szCs w:val="24"/>
          <w:lang w:val="en-GB" w:eastAsia="ja-JP"/>
        </w:rPr>
        <w:t>, 1–33. https://doi.org/10.1080/09588221.2022.2067180</w:t>
      </w:r>
    </w:p>
    <w:p w14:paraId="57AEB768"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Hakimi, A. A. (2020). ‘Good men don’t elope’: Afghan Migrant men’s discourses on labour migration, marriage and masculinity. </w:t>
      </w:r>
      <w:r w:rsidRPr="00597FFB">
        <w:rPr>
          <w:rFonts w:ascii="Times New Roman" w:hAnsi="Times New Roman" w:cs="Times New Roman"/>
          <w:i/>
          <w:iCs/>
          <w:color w:val="000000" w:themeColor="text1"/>
          <w:kern w:val="24"/>
          <w:sz w:val="24"/>
          <w:szCs w:val="24"/>
          <w:lang w:eastAsia="ja-JP"/>
        </w:rPr>
        <w:t>History and Anthropology,</w:t>
      </w:r>
      <w:r w:rsidRPr="00597FFB">
        <w:rPr>
          <w:rFonts w:ascii="Times New Roman" w:hAnsi="Times New Roman" w:cs="Times New Roman"/>
          <w:color w:val="000000" w:themeColor="text1"/>
          <w:kern w:val="24"/>
          <w:sz w:val="24"/>
          <w:szCs w:val="24"/>
          <w:lang w:eastAsia="ja-JP"/>
        </w:rPr>
        <w:t xml:space="preserve"> 1–24. </w:t>
      </w:r>
      <w:hyperlink r:id="rId38" w:history="1">
        <w:r w:rsidRPr="00597FFB">
          <w:rPr>
            <w:rFonts w:ascii="Times New Roman" w:hAnsi="Times New Roman" w:cs="Times New Roman"/>
            <w:color w:val="000000" w:themeColor="text1"/>
            <w:kern w:val="24"/>
            <w:sz w:val="24"/>
            <w:szCs w:val="24"/>
            <w:u w:val="single"/>
            <w:lang w:eastAsia="ja-JP"/>
          </w:rPr>
          <w:t>https://doi.org/10.1080/02757206.2020.1865342</w:t>
        </w:r>
      </w:hyperlink>
      <w:r w:rsidRPr="00597FFB">
        <w:rPr>
          <w:rFonts w:ascii="Times New Roman" w:hAnsi="Times New Roman" w:cs="Times New Roman"/>
          <w:color w:val="000000" w:themeColor="text1"/>
          <w:kern w:val="24"/>
          <w:sz w:val="24"/>
          <w:szCs w:val="24"/>
          <w:lang w:eastAsia="ja-JP"/>
        </w:rPr>
        <w:t>.</w:t>
      </w:r>
    </w:p>
    <w:p w14:paraId="64BEF21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Hamada, T., Shimizu, M., &amp; Ebihara, T. (2021). Good patriotism, social consideration, environmental problem cognition, and pro-environmental attitudes and behaviors: A cross-sectional study of Chinese attitudes. </w:t>
      </w:r>
      <w:r w:rsidRPr="00597FFB">
        <w:rPr>
          <w:rFonts w:ascii="Times New Roman" w:eastAsia="SimSun" w:hAnsi="Times New Roman" w:cs="Times New Roman"/>
          <w:i/>
          <w:iCs/>
          <w:kern w:val="24"/>
          <w:sz w:val="24"/>
          <w:szCs w:val="24"/>
          <w:lang w:val="en-GB" w:eastAsia="ja-JP"/>
        </w:rPr>
        <w:t>SN Applied Sciences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w:t>
      </w:r>
      <w:r w:rsidRPr="00597FFB">
        <w:rPr>
          <w:rFonts w:ascii="Times New Roman" w:eastAsia="SimSun" w:hAnsi="Times New Roman" w:cs="Times New Roman"/>
          <w:kern w:val="24"/>
          <w:sz w:val="24"/>
          <w:szCs w:val="24"/>
          <w:lang w:val="en-GB" w:eastAsia="ja-JP"/>
        </w:rPr>
        <w:t>(3), 361. https://doi.org/10.1007/s42452-021-04358-1</w:t>
      </w:r>
    </w:p>
    <w:p w14:paraId="0C5B1A8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Hampson, D. P., Ma, S. (Sara), Wang, Y., &amp; Han, M. S. (2021). Consumer confidence and conspicuous consumption: A conservation of resources perspective. </w:t>
      </w:r>
      <w:r w:rsidRPr="00597FFB">
        <w:rPr>
          <w:rFonts w:ascii="Times New Roman" w:eastAsia="SimSun" w:hAnsi="Times New Roman" w:cs="Times New Roman"/>
          <w:i/>
          <w:iCs/>
          <w:kern w:val="24"/>
          <w:sz w:val="24"/>
          <w:szCs w:val="24"/>
          <w:lang w:val="en-GB" w:eastAsia="ja-JP"/>
        </w:rPr>
        <w:t>International Journal of Consumer Studies</w:t>
      </w:r>
      <w:r w:rsidRPr="00597FFB">
        <w:rPr>
          <w:rFonts w:ascii="Times New Roman" w:eastAsia="SimSun" w:hAnsi="Times New Roman" w:cs="Times New Roman"/>
          <w:kern w:val="24"/>
          <w:sz w:val="24"/>
          <w:szCs w:val="24"/>
          <w:lang w:val="en-GB" w:eastAsia="ja-JP"/>
        </w:rPr>
        <w:t>, ijcs.12661. https://doi.org/10.1111/ijcs.12661</w:t>
      </w:r>
    </w:p>
    <w:p w14:paraId="1E1483C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Hamzah, M. I., &amp; Tanwir, N. S. (2021). Do pro-environmental factors lead to purchase intention of hybrid vehicles? The moderating effects of environmental knowledge.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279</w:t>
      </w:r>
      <w:r w:rsidRPr="00597FFB">
        <w:rPr>
          <w:rFonts w:ascii="Times New Roman" w:eastAsia="SimSun" w:hAnsi="Times New Roman" w:cs="Times New Roman"/>
          <w:kern w:val="24"/>
          <w:sz w:val="24"/>
          <w:szCs w:val="24"/>
          <w:lang w:val="en-GB" w:eastAsia="ja-JP"/>
        </w:rPr>
        <w:t>, 123643. https://doi.org/10.1016/j.jclepro.2020.123643</w:t>
      </w:r>
    </w:p>
    <w:p w14:paraId="14105CFC"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Han, H., Yu, J., Kim, H.-C., &amp; Kim, W. (2018). Impact of social/personal norms and willingness to sacrifice on young vacationers’ pro-environmental intentions for waste reduction and recycling. </w:t>
      </w:r>
      <w:r w:rsidRPr="00597FFB">
        <w:rPr>
          <w:rFonts w:ascii="Times New Roman" w:eastAsia="Times New Roman" w:hAnsi="Times New Roman" w:cs="Times New Roman"/>
          <w:i/>
          <w:iCs/>
          <w:color w:val="000000" w:themeColor="text1"/>
          <w:sz w:val="24"/>
          <w:szCs w:val="24"/>
          <w:lang w:eastAsia="en-GB"/>
        </w:rPr>
        <w:t>Journal of Sustainable Tourism, 26</w:t>
      </w:r>
      <w:r w:rsidRPr="00597FFB">
        <w:rPr>
          <w:rFonts w:ascii="Times New Roman" w:eastAsia="Times New Roman" w:hAnsi="Times New Roman" w:cs="Times New Roman"/>
          <w:color w:val="000000" w:themeColor="text1"/>
          <w:sz w:val="24"/>
          <w:szCs w:val="24"/>
          <w:lang w:eastAsia="en-GB"/>
        </w:rPr>
        <w:t>(12), 2117-2133.</w:t>
      </w:r>
    </w:p>
    <w:p w14:paraId="52CBF46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Han, H., Yu, J., Kim, H.-C., &amp; Kim, W. (2018). Impact of social/personal norms and willingness to sacrifice on young vacationers’ pro-environmental intentions for waste reduction and recycling. </w:t>
      </w:r>
      <w:r w:rsidRPr="00597FFB">
        <w:rPr>
          <w:rFonts w:ascii="Times New Roman" w:eastAsia="Times New Roman" w:hAnsi="Times New Roman" w:cs="Times New Roman"/>
          <w:i/>
          <w:iCs/>
          <w:color w:val="000000" w:themeColor="text1"/>
          <w:sz w:val="24"/>
          <w:szCs w:val="24"/>
          <w:lang w:eastAsia="en-GB"/>
        </w:rPr>
        <w:t>Journal of Sustainable Tourism, 26</w:t>
      </w:r>
      <w:r w:rsidRPr="00597FFB">
        <w:rPr>
          <w:rFonts w:ascii="Times New Roman" w:eastAsia="Times New Roman" w:hAnsi="Times New Roman" w:cs="Times New Roman"/>
          <w:color w:val="000000" w:themeColor="text1"/>
          <w:sz w:val="24"/>
          <w:szCs w:val="24"/>
          <w:lang w:eastAsia="en-GB"/>
        </w:rPr>
        <w:t>(12), 2117-2133.</w:t>
      </w:r>
    </w:p>
    <w:p w14:paraId="756C10D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Harland, P., Staats, H., &amp; Wilke, H. A. M. (1999). Explaining Proenvironmental Intention and Behavior by Personal Norms and the Theory of Planned Behavior1. </w:t>
      </w:r>
      <w:r w:rsidRPr="00597FFB">
        <w:rPr>
          <w:rFonts w:ascii="Times New Roman" w:eastAsia="SimSun" w:hAnsi="Times New Roman" w:cs="Times New Roman"/>
          <w:i/>
          <w:iCs/>
          <w:kern w:val="24"/>
          <w:sz w:val="24"/>
          <w:szCs w:val="24"/>
          <w:lang w:val="en-GB" w:eastAsia="ja-JP"/>
        </w:rPr>
        <w:t>Journal of Applied Social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w:t>
      </w:r>
      <w:r w:rsidRPr="00597FFB">
        <w:rPr>
          <w:rFonts w:ascii="Times New Roman" w:eastAsia="SimSun" w:hAnsi="Times New Roman" w:cs="Times New Roman"/>
          <w:kern w:val="24"/>
          <w:sz w:val="24"/>
          <w:szCs w:val="24"/>
          <w:lang w:val="en-GB" w:eastAsia="ja-JP"/>
        </w:rPr>
        <w:t>(12), 2505–2528. https://doi.org/10.1111/j.1559-1816.1999.tb00123.x</w:t>
      </w:r>
    </w:p>
    <w:p w14:paraId="4DCF313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Harrison, R. L., Reilly, T. M., &amp; Creswell, J. W. (2020). Methodological Rigor in Mixed Methods: An Application in Management Studies. </w:t>
      </w:r>
      <w:r w:rsidRPr="00597FFB">
        <w:rPr>
          <w:rFonts w:ascii="Times New Roman" w:eastAsia="SimSun" w:hAnsi="Times New Roman" w:cs="Times New Roman"/>
          <w:i/>
          <w:iCs/>
          <w:kern w:val="24"/>
          <w:sz w:val="24"/>
          <w:szCs w:val="24"/>
          <w:lang w:val="en-GB" w:eastAsia="ja-JP"/>
        </w:rPr>
        <w:t>Journal of Mixed Methods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14</w:t>
      </w:r>
      <w:r w:rsidRPr="00597FFB">
        <w:rPr>
          <w:rFonts w:ascii="Times New Roman" w:eastAsia="SimSun" w:hAnsi="Times New Roman" w:cs="Times New Roman"/>
          <w:kern w:val="24"/>
          <w:sz w:val="24"/>
          <w:szCs w:val="24"/>
          <w:lang w:val="en-GB" w:eastAsia="ja-JP"/>
        </w:rPr>
        <w:t>(4), 473–495. https://doi.org/10.1177/1558689819900585</w:t>
      </w:r>
    </w:p>
    <w:p w14:paraId="36A61E13" w14:textId="6E739929"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Hasan, U., Whyte, A., &amp; Al Jassmi, H. (2020). Life cycle assessment of roadworks in United Arab Emirates: Recycled construction waste, reclaimed asphalt pavement, warm-mix asphalt and blast furnace slag use against traditional approach.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257</w:t>
      </w:r>
      <w:r w:rsidRPr="00597FFB">
        <w:rPr>
          <w:rFonts w:ascii="Times New Roman" w:eastAsia="Times New Roman" w:hAnsi="Times New Roman" w:cs="Times New Roman"/>
          <w:color w:val="000000" w:themeColor="text1"/>
          <w:sz w:val="24"/>
          <w:szCs w:val="24"/>
          <w:lang w:eastAsia="en-GB"/>
        </w:rPr>
        <w:t>, 120531. https://doi.org/10.1016/j.jclepro.2020.120531</w:t>
      </w:r>
    </w:p>
    <w:p w14:paraId="1DDC95B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Hernán, M. A., Hsu, J., &amp; Healy, B. (2019). A Second Chance to Get Causal Inference Right: A Classification of Data Science Tasks. </w:t>
      </w:r>
      <w:r w:rsidRPr="00597FFB">
        <w:rPr>
          <w:rFonts w:ascii="Times New Roman" w:eastAsia="SimSun" w:hAnsi="Times New Roman" w:cs="Times New Roman"/>
          <w:i/>
          <w:iCs/>
          <w:kern w:val="24"/>
          <w:sz w:val="24"/>
          <w:szCs w:val="24"/>
          <w:lang w:val="en-GB" w:eastAsia="ja-JP"/>
        </w:rPr>
        <w:t>CHANCE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32</w:t>
      </w:r>
      <w:r w:rsidRPr="00597FFB">
        <w:rPr>
          <w:rFonts w:ascii="Times New Roman" w:eastAsia="SimSun" w:hAnsi="Times New Roman" w:cs="Times New Roman"/>
          <w:kern w:val="24"/>
          <w:sz w:val="24"/>
          <w:szCs w:val="24"/>
          <w:lang w:val="en-GB" w:eastAsia="ja-JP"/>
        </w:rPr>
        <w:t>(1), 42–49. https://doi.org/10.1080/09332480.2019.1579578</w:t>
      </w:r>
    </w:p>
    <w:p w14:paraId="326987D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Holtom, B., Baruch, Y., Aguinis, H., &amp; A Ballinger, G. (2022). Survey response rates: Trends and a validity assessment framework. </w:t>
      </w:r>
      <w:r w:rsidRPr="00597FFB">
        <w:rPr>
          <w:rFonts w:ascii="Times New Roman" w:eastAsia="SimSun" w:hAnsi="Times New Roman" w:cs="Times New Roman"/>
          <w:i/>
          <w:iCs/>
          <w:kern w:val="24"/>
          <w:sz w:val="24"/>
          <w:szCs w:val="24"/>
          <w:lang w:val="en-GB" w:eastAsia="ja-JP"/>
        </w:rPr>
        <w:t>Human Relations</w:t>
      </w:r>
      <w:r w:rsidRPr="00597FFB">
        <w:rPr>
          <w:rFonts w:ascii="Times New Roman" w:eastAsia="SimSun" w:hAnsi="Times New Roman" w:cs="Times New Roman"/>
          <w:kern w:val="24"/>
          <w:sz w:val="24"/>
          <w:szCs w:val="24"/>
          <w:lang w:val="en-GB" w:eastAsia="ja-JP"/>
        </w:rPr>
        <w:t>, 001872672110707. https://doi.org/10.1177/00187267211070769</w:t>
      </w:r>
    </w:p>
    <w:p w14:paraId="158E346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Hou, C., Fu, H., Liu, X., &amp; Wen, Y. (2020). The effect of recycled water information disclosure on public acceptance of recycled water—Evidence from residents of Xi’an, China. </w:t>
      </w:r>
      <w:r w:rsidRPr="00597FFB">
        <w:rPr>
          <w:rFonts w:ascii="Times New Roman" w:eastAsia="SimSun" w:hAnsi="Times New Roman" w:cs="Times New Roman"/>
          <w:i/>
          <w:iCs/>
          <w:kern w:val="24"/>
          <w:sz w:val="24"/>
          <w:szCs w:val="24"/>
          <w:lang w:val="en-GB" w:eastAsia="ja-JP"/>
        </w:rPr>
        <w:t>Sustainable Cities and Society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61</w:t>
      </w:r>
      <w:r w:rsidRPr="00597FFB">
        <w:rPr>
          <w:rFonts w:ascii="Times New Roman" w:eastAsia="SimSun" w:hAnsi="Times New Roman" w:cs="Times New Roman"/>
          <w:kern w:val="24"/>
          <w:sz w:val="24"/>
          <w:szCs w:val="24"/>
          <w:lang w:val="en-GB" w:eastAsia="ja-JP"/>
        </w:rPr>
        <w:t>, 102351. https://doi.org/10.1016/j.scs.2020.102351</w:t>
      </w:r>
    </w:p>
    <w:p w14:paraId="0B7E1F3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Huang, H., Tong, X., Cai, Y., &amp; Tian, H. (2020). Gap between discarding and recycling: Estimate lifespan of electronic products by survey in formal recycling plants in China.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156</w:t>
      </w:r>
      <w:r w:rsidRPr="00597FFB">
        <w:rPr>
          <w:rFonts w:ascii="Times New Roman" w:eastAsia="SimSun" w:hAnsi="Times New Roman" w:cs="Times New Roman"/>
          <w:kern w:val="24"/>
          <w:sz w:val="24"/>
          <w:szCs w:val="24"/>
          <w:lang w:val="en-GB" w:eastAsia="ja-JP"/>
        </w:rPr>
        <w:t>, 104700. https://doi.org/10.1016/j.resconrec.2020.104700</w:t>
      </w:r>
    </w:p>
    <w:p w14:paraId="007FCD0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Huber, J., Viscusi, W. K., &amp; Bell, J. (2020). Dynamic relationships between social norms and pro-environmental behavior: Evidence from household recycling. </w:t>
      </w:r>
      <w:r w:rsidRPr="00597FFB">
        <w:rPr>
          <w:rFonts w:ascii="Times New Roman" w:eastAsia="Times New Roman" w:hAnsi="Times New Roman" w:cs="Times New Roman"/>
          <w:i/>
          <w:iCs/>
          <w:color w:val="000000" w:themeColor="text1"/>
          <w:sz w:val="24"/>
          <w:szCs w:val="24"/>
          <w:lang w:eastAsia="en-GB"/>
        </w:rPr>
        <w:t>Behavioural Public Policy, 4</w:t>
      </w:r>
      <w:r w:rsidRPr="00597FFB">
        <w:rPr>
          <w:rFonts w:ascii="Times New Roman" w:eastAsia="Times New Roman" w:hAnsi="Times New Roman" w:cs="Times New Roman"/>
          <w:color w:val="000000" w:themeColor="text1"/>
          <w:sz w:val="24"/>
          <w:szCs w:val="24"/>
          <w:lang w:eastAsia="en-GB"/>
        </w:rPr>
        <w:t>(1), 1-25. doi:10.1017/bpp.2017.13</w:t>
      </w:r>
    </w:p>
    <w:p w14:paraId="41EA70A5"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Huber, J., Viscusi, W. K., &amp; Bell, J. (2020). Dynamic relationships between social norms and pro-environmental behavior: Evidence from household recycling. </w:t>
      </w:r>
      <w:r w:rsidRPr="00597FFB">
        <w:rPr>
          <w:rFonts w:ascii="Times New Roman" w:eastAsia="Times New Roman" w:hAnsi="Times New Roman" w:cs="Times New Roman"/>
          <w:i/>
          <w:iCs/>
          <w:color w:val="000000" w:themeColor="text1"/>
          <w:sz w:val="24"/>
          <w:szCs w:val="24"/>
          <w:lang w:eastAsia="en-GB"/>
        </w:rPr>
        <w:t>Behavioural Public Policy, 4</w:t>
      </w:r>
      <w:r w:rsidRPr="00597FFB">
        <w:rPr>
          <w:rFonts w:ascii="Times New Roman" w:eastAsia="Times New Roman" w:hAnsi="Times New Roman" w:cs="Times New Roman"/>
          <w:color w:val="000000" w:themeColor="text1"/>
          <w:sz w:val="24"/>
          <w:szCs w:val="24"/>
          <w:lang w:eastAsia="en-GB"/>
        </w:rPr>
        <w:t>(1), 1-25. doi:10.1017/bpp.2017.13</w:t>
      </w:r>
    </w:p>
    <w:p w14:paraId="59F04C9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p>
    <w:p w14:paraId="72B85D8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Hughes, M., Hughes, P., Hodgkinson, I., Chang, Y., &amp; Chang, C. (2022). Knowledge</w:t>
      </w:r>
      <w:r w:rsidRPr="00597FFB">
        <w:rPr>
          <w:rFonts w:ascii="Cambria Math" w:eastAsia="SimSun" w:hAnsi="Cambria Math" w:cs="Cambria Math"/>
          <w:kern w:val="24"/>
          <w:sz w:val="24"/>
          <w:szCs w:val="24"/>
          <w:lang w:val="en-GB" w:eastAsia="ja-JP"/>
        </w:rPr>
        <w:t>‐</w:t>
      </w:r>
      <w:r w:rsidRPr="00597FFB">
        <w:rPr>
          <w:rFonts w:ascii="Times New Roman" w:eastAsia="SimSun" w:hAnsi="Times New Roman" w:cs="Times New Roman"/>
          <w:kern w:val="24"/>
          <w:sz w:val="24"/>
          <w:szCs w:val="24"/>
          <w:lang w:val="en-GB" w:eastAsia="ja-JP"/>
        </w:rPr>
        <w:t xml:space="preserve">based theory, entrepreneurial orientation, stakeholder engagement, and firm performance. </w:t>
      </w:r>
      <w:r w:rsidRPr="00597FFB">
        <w:rPr>
          <w:rFonts w:ascii="Times New Roman" w:eastAsia="SimSun" w:hAnsi="Times New Roman" w:cs="Times New Roman"/>
          <w:i/>
          <w:iCs/>
          <w:kern w:val="24"/>
          <w:sz w:val="24"/>
          <w:szCs w:val="24"/>
          <w:lang w:val="en-GB" w:eastAsia="ja-JP"/>
        </w:rPr>
        <w:t>Strategic Entrepreneurship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16</w:t>
      </w:r>
      <w:r w:rsidRPr="00597FFB">
        <w:rPr>
          <w:rFonts w:ascii="Times New Roman" w:eastAsia="SimSun" w:hAnsi="Times New Roman" w:cs="Times New Roman"/>
          <w:kern w:val="24"/>
          <w:sz w:val="24"/>
          <w:szCs w:val="24"/>
          <w:lang w:val="en-GB" w:eastAsia="ja-JP"/>
        </w:rPr>
        <w:t>(3), 633–665. https://doi.org/10.1002/sej.1409</w:t>
      </w:r>
    </w:p>
    <w:p w14:paraId="25E9083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Hutchinson, D. (2021). </w:t>
      </w:r>
      <w:r w:rsidRPr="00597FFB">
        <w:rPr>
          <w:rFonts w:ascii="Times New Roman" w:eastAsia="SimSun" w:hAnsi="Times New Roman" w:cs="Times New Roman"/>
          <w:i/>
          <w:iCs/>
          <w:kern w:val="24"/>
          <w:sz w:val="24"/>
          <w:szCs w:val="24"/>
          <w:lang w:val="en-GB" w:eastAsia="ja-JP"/>
        </w:rPr>
        <w:t>Exploring Optimal Response Labels for Constructing an Interval Type 5-Point Likert Scale</w:t>
      </w:r>
      <w:r w:rsidRPr="00597FFB">
        <w:rPr>
          <w:rFonts w:ascii="Times New Roman" w:eastAsia="SimSun" w:hAnsi="Times New Roman" w:cs="Times New Roman"/>
          <w:kern w:val="24"/>
          <w:sz w:val="24"/>
          <w:szCs w:val="24"/>
          <w:lang w:val="en-GB" w:eastAsia="ja-JP"/>
        </w:rPr>
        <w:t xml:space="preserve"> [Master of Science in Organizational Performance and Workplace Learning, Boise State University]. https://doi.org/10.18122/td.1778.boisestate</w:t>
      </w:r>
    </w:p>
    <w:p w14:paraId="77ED0FB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Iacovidou, E., Hahladakis, J. N., &amp; Purnell, P. (2021). A systems thinking approach to understanding the challenges of achieving the circular economy.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w:t>
      </w:r>
      <w:r w:rsidRPr="00597FFB">
        <w:rPr>
          <w:rFonts w:ascii="Times New Roman" w:eastAsia="SimSun" w:hAnsi="Times New Roman" w:cs="Times New Roman"/>
          <w:kern w:val="24"/>
          <w:sz w:val="24"/>
          <w:szCs w:val="24"/>
          <w:lang w:val="en-GB" w:eastAsia="ja-JP"/>
        </w:rPr>
        <w:t>(19), 24785–24806. https://doi.org/10.1007/s11356-020-11725-9</w:t>
      </w:r>
    </w:p>
    <w:p w14:paraId="5C80518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Iattoni, G., Vermeersch, E., Nnorom, I., Baldé, C. P., &amp; Kuehr, R. (2021). </w:t>
      </w:r>
      <w:r w:rsidRPr="00597FFB">
        <w:rPr>
          <w:rFonts w:ascii="Times New Roman" w:eastAsia="Times New Roman" w:hAnsi="Times New Roman" w:cs="Times New Roman"/>
          <w:i/>
          <w:iCs/>
          <w:color w:val="000000" w:themeColor="text1"/>
          <w:sz w:val="24"/>
          <w:szCs w:val="24"/>
          <w:lang w:eastAsia="en-GB"/>
        </w:rPr>
        <w:t>Regional e-waste monitor for the Arab States -2021.</w:t>
      </w:r>
      <w:r w:rsidRPr="00597FFB">
        <w:rPr>
          <w:rFonts w:ascii="Times New Roman" w:eastAsia="Times New Roman" w:hAnsi="Times New Roman" w:cs="Times New Roman"/>
          <w:color w:val="000000" w:themeColor="text1"/>
          <w:sz w:val="24"/>
          <w:szCs w:val="24"/>
          <w:lang w:eastAsia="en-GB"/>
        </w:rPr>
        <w:t xml:space="preserve"> United Nations University/United Nations Institute for Training and Research and International Telecommunication Union.</w:t>
      </w:r>
    </w:p>
    <w:p w14:paraId="41C523B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Ilankoon, I. M. S. K., Ghorbani, Y., Chong, M. N., Herath, G., Moyo, T., &amp; Petersen, J. (2018). E-waste in the international context – A review of trade flows, regulations, hazards, waste management strategies and technologies for value recovery. </w:t>
      </w:r>
      <w:r w:rsidRPr="00597FFB">
        <w:rPr>
          <w:rFonts w:ascii="Times New Roman" w:eastAsia="SimSun" w:hAnsi="Times New Roman" w:cs="Times New Roman"/>
          <w:i/>
          <w:iCs/>
          <w:kern w:val="24"/>
          <w:sz w:val="24"/>
          <w:szCs w:val="24"/>
          <w:lang w:val="en-GB" w:eastAsia="ja-JP"/>
        </w:rPr>
        <w:t>Waste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82</w:t>
      </w:r>
      <w:r w:rsidRPr="00597FFB">
        <w:rPr>
          <w:rFonts w:ascii="Times New Roman" w:eastAsia="SimSun" w:hAnsi="Times New Roman" w:cs="Times New Roman"/>
          <w:kern w:val="24"/>
          <w:sz w:val="24"/>
          <w:szCs w:val="24"/>
          <w:lang w:val="en-GB" w:eastAsia="ja-JP"/>
        </w:rPr>
        <w:t>, 258–275. https://doi.org/10.1016/j.wasman.2018.10.018</w:t>
      </w:r>
    </w:p>
    <w:p w14:paraId="42F8756E"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Irwan, R. R., Rusdi, U. L., &amp; Syahiq, M. U. (2018). Study of domestic e-waste management in Sungguminasa City, Gowa Regency, South Sulawesi Province, Indonesia. In H. Maryono, &amp; B. Warsito (Eds.), </w:t>
      </w:r>
      <w:r w:rsidRPr="00597FFB">
        <w:rPr>
          <w:rFonts w:ascii="Times New Roman" w:hAnsi="Times New Roman" w:cs="Times New Roman"/>
          <w:i/>
          <w:iCs/>
          <w:color w:val="000000" w:themeColor="text1"/>
          <w:kern w:val="24"/>
          <w:sz w:val="24"/>
          <w:szCs w:val="24"/>
          <w:lang w:eastAsia="ja-JP"/>
        </w:rPr>
        <w:t>E3S Web of Conferences,</w:t>
      </w:r>
      <w:r w:rsidRPr="00597FFB">
        <w:rPr>
          <w:rFonts w:ascii="Times New Roman" w:hAnsi="Times New Roman" w:cs="Times New Roman"/>
          <w:color w:val="000000" w:themeColor="text1"/>
          <w:kern w:val="24"/>
          <w:sz w:val="24"/>
          <w:szCs w:val="24"/>
          <w:lang w:eastAsia="ja-JP"/>
        </w:rPr>
        <w:t xml:space="preserve"> 73, 07006. </w:t>
      </w:r>
      <w:hyperlink r:id="rId39" w:history="1">
        <w:r w:rsidRPr="00597FFB">
          <w:rPr>
            <w:rFonts w:ascii="Times New Roman" w:hAnsi="Times New Roman" w:cs="Times New Roman"/>
            <w:color w:val="000000" w:themeColor="text1"/>
            <w:kern w:val="24"/>
            <w:sz w:val="24"/>
            <w:szCs w:val="24"/>
            <w:u w:val="single"/>
            <w:lang w:eastAsia="ja-JP"/>
          </w:rPr>
          <w:t>https://doi.org/10.1051/e3sconf/20187307006</w:t>
        </w:r>
      </w:hyperlink>
      <w:r w:rsidRPr="00597FFB">
        <w:rPr>
          <w:rFonts w:ascii="Times New Roman" w:hAnsi="Times New Roman" w:cs="Times New Roman"/>
          <w:color w:val="000000" w:themeColor="text1"/>
          <w:kern w:val="24"/>
          <w:sz w:val="24"/>
          <w:szCs w:val="24"/>
          <w:lang w:eastAsia="ja-JP"/>
        </w:rPr>
        <w:t>.</w:t>
      </w:r>
    </w:p>
    <w:p w14:paraId="50BDD52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Isernia, R., Passaro, R., Quinto, I., &amp; Thomas, A. (2019). The Reverse Supply Chain of the E-Waste Management Processes in a Circular Economy Framework: Evidence from Italy.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(8), Article 8. https://doi.org/10.3390/su11082430</w:t>
      </w:r>
    </w:p>
    <w:p w14:paraId="1DA70AF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Islam, A., Ahmed, T., Awual, Md. R., Rahman, A., Sultana, M., Aziz, A. A., Monir, M. U., Teo, S. H., &amp; Hasan, M. (2020). Advances in sustainable approaches to recover metals from e-waste-A review.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244</w:t>
      </w:r>
      <w:r w:rsidRPr="00597FFB">
        <w:rPr>
          <w:rFonts w:ascii="Times New Roman" w:eastAsia="SimSun" w:hAnsi="Times New Roman" w:cs="Times New Roman"/>
          <w:kern w:val="24"/>
          <w:sz w:val="24"/>
          <w:szCs w:val="24"/>
          <w:lang w:val="en-GB" w:eastAsia="ja-JP"/>
        </w:rPr>
        <w:t>, 118815. https://doi.org/10.1016/j.jclepro.2019.118815</w:t>
      </w:r>
    </w:p>
    <w:p w14:paraId="2C5D733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Islam, M. T., &amp; Huda, N. (2020). Assessing the recycling potential of “unregulated” e-waste in Australia.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152</w:t>
      </w:r>
      <w:r w:rsidRPr="00597FFB">
        <w:rPr>
          <w:rFonts w:ascii="Times New Roman" w:eastAsia="SimSun" w:hAnsi="Times New Roman" w:cs="Times New Roman"/>
          <w:kern w:val="24"/>
          <w:sz w:val="24"/>
          <w:szCs w:val="24"/>
          <w:lang w:val="en-GB" w:eastAsia="ja-JP"/>
        </w:rPr>
        <w:t>, 104526. https://doi.org/10.1016/j.resconrec.2019.104526</w:t>
      </w:r>
    </w:p>
    <w:p w14:paraId="530AA4F1" w14:textId="15A1F059" w:rsidR="007562B3" w:rsidRPr="00597FFB" w:rsidRDefault="007562B3" w:rsidP="00C610DB">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 xml:space="preserve">Jaaron, A. A. M., &amp; Backhouse, C. J. (2019). Fostering sustainable performance in services through systems thinking. </w:t>
      </w:r>
      <w:r w:rsidRPr="00597FFB">
        <w:rPr>
          <w:rFonts w:ascii="Times New Roman" w:eastAsia="Times New Roman" w:hAnsi="Times New Roman" w:cs="Times New Roman"/>
          <w:i/>
          <w:iCs/>
          <w:color w:val="000000"/>
          <w:kern w:val="24"/>
          <w:sz w:val="24"/>
          <w:szCs w:val="24"/>
          <w:lang w:eastAsia="ja-JP"/>
        </w:rPr>
        <w:t>The Service Industries Journal, 39</w:t>
      </w:r>
      <w:r w:rsidRPr="00597FFB">
        <w:rPr>
          <w:rFonts w:ascii="Times New Roman" w:eastAsia="Times New Roman" w:hAnsi="Times New Roman" w:cs="Times New Roman"/>
          <w:color w:val="000000"/>
          <w:kern w:val="24"/>
          <w:sz w:val="24"/>
          <w:szCs w:val="24"/>
          <w:lang w:eastAsia="ja-JP"/>
        </w:rPr>
        <w:t xml:space="preserve">(15–16), 1072–1098. </w:t>
      </w:r>
      <w:hyperlink r:id="rId40" w:history="1">
        <w:r w:rsidRPr="00597FFB">
          <w:rPr>
            <w:rFonts w:ascii="Times New Roman" w:eastAsia="Times New Roman" w:hAnsi="Times New Roman" w:cs="Times New Roman"/>
            <w:color w:val="000000"/>
            <w:kern w:val="24"/>
            <w:sz w:val="24"/>
            <w:szCs w:val="24"/>
            <w:u w:val="single"/>
            <w:lang w:eastAsia="ja-JP"/>
          </w:rPr>
          <w:t>https://doi.org/10.1080/02642069.2018.1551371</w:t>
        </w:r>
      </w:hyperlink>
      <w:r w:rsidRPr="00597FFB">
        <w:rPr>
          <w:rFonts w:ascii="Times New Roman" w:eastAsia="Times New Roman" w:hAnsi="Times New Roman" w:cs="Times New Roman"/>
          <w:color w:val="000000"/>
          <w:kern w:val="24"/>
          <w:sz w:val="24"/>
          <w:szCs w:val="24"/>
          <w:lang w:eastAsia="ja-JP"/>
        </w:rPr>
        <w:t>.</w:t>
      </w:r>
    </w:p>
    <w:p w14:paraId="2D9C0EDE" w14:textId="424C6F86"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Jadalhaq, I. M., &amp; Alqodsi, E. M. (2018). Civil liability for misuse of online communication through websites: An analytical study of UAE law. </w:t>
      </w:r>
      <w:r w:rsidRPr="00597FFB">
        <w:rPr>
          <w:rFonts w:ascii="Times New Roman" w:eastAsia="Times New Roman" w:hAnsi="Times New Roman" w:cs="Times New Roman"/>
          <w:i/>
          <w:iCs/>
          <w:color w:val="000000" w:themeColor="text1"/>
          <w:sz w:val="24"/>
          <w:szCs w:val="24"/>
          <w:lang w:eastAsia="en-GB"/>
        </w:rPr>
        <w:t>Information &amp; Communications Technology Law</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27</w:t>
      </w:r>
      <w:r w:rsidRPr="00597FFB">
        <w:rPr>
          <w:rFonts w:ascii="Times New Roman" w:eastAsia="Times New Roman" w:hAnsi="Times New Roman" w:cs="Times New Roman"/>
          <w:color w:val="000000" w:themeColor="text1"/>
          <w:sz w:val="24"/>
          <w:szCs w:val="24"/>
          <w:lang w:eastAsia="en-GB"/>
        </w:rPr>
        <w:t>(3), 284–303. https://doi.org/10.1080/13600834.2018.1517434</w:t>
      </w:r>
    </w:p>
    <w:p w14:paraId="56F332E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Janz, N. K., &amp; Becker, M. H. (1984). The Health Belief Model: A Decade Later. </w:t>
      </w:r>
      <w:r w:rsidRPr="00597FFB">
        <w:rPr>
          <w:rFonts w:ascii="Times New Roman" w:eastAsia="SimSun" w:hAnsi="Times New Roman" w:cs="Times New Roman"/>
          <w:i/>
          <w:iCs/>
          <w:kern w:val="24"/>
          <w:sz w:val="24"/>
          <w:szCs w:val="24"/>
          <w:lang w:val="en-GB" w:eastAsia="ja-JP"/>
        </w:rPr>
        <w:t>Health Education Quarterly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(1), 1–47. https://doi.org/10.1177/109019818401100101</w:t>
      </w:r>
    </w:p>
    <w:p w14:paraId="4AF513C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Jiang, L., Zhang, J., Wang, H. H., Zhang, L., &amp; He, K. (2018). The impact of psychological factors on farmers’ intentions to reuse agricultural biomass waste for carbon emission abatement.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189</w:t>
      </w:r>
      <w:r w:rsidRPr="00597FFB">
        <w:rPr>
          <w:rFonts w:ascii="Times New Roman" w:eastAsia="SimSun" w:hAnsi="Times New Roman" w:cs="Times New Roman"/>
          <w:kern w:val="24"/>
          <w:sz w:val="24"/>
          <w:szCs w:val="24"/>
          <w:lang w:val="en-GB" w:eastAsia="ja-JP"/>
        </w:rPr>
        <w:t>, 797–804. https://doi.org/10.1016/j.jclepro.2018.04.040</w:t>
      </w:r>
    </w:p>
    <w:p w14:paraId="37055C51"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Janiszewski, C., &amp; van Osselaer, S. M. J. (2022). Abductive Theory Construction. </w:t>
      </w:r>
      <w:r w:rsidRPr="00597FFB">
        <w:rPr>
          <w:rFonts w:ascii="Times New Roman" w:eastAsia="Times New Roman" w:hAnsi="Times New Roman" w:cs="Times New Roman"/>
          <w:i/>
          <w:iCs/>
          <w:color w:val="000000"/>
          <w:sz w:val="24"/>
          <w:szCs w:val="24"/>
          <w:lang w:eastAsia="en-GB"/>
        </w:rPr>
        <w:t>Journal of Consumer Psychology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32</w:t>
      </w:r>
      <w:r w:rsidRPr="00597FFB">
        <w:rPr>
          <w:rFonts w:ascii="Times New Roman" w:eastAsia="Times New Roman" w:hAnsi="Times New Roman" w:cs="Times New Roman"/>
          <w:color w:val="000000"/>
          <w:sz w:val="24"/>
          <w:szCs w:val="24"/>
          <w:lang w:eastAsia="en-GB"/>
        </w:rPr>
        <w:t>(1), 175–193. https://doi.org/10.1002/jcpy.1280</w:t>
      </w:r>
    </w:p>
    <w:p w14:paraId="63B355C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Jayaraman, K., Vejayon, S., Raman, S., &amp; Mostafiz, I. (2019). The proposed e-waste management model from the conviction of individual laptop disposal practices-An empirical study in Malaysia. </w:t>
      </w:r>
      <w:r w:rsidRPr="00597FFB">
        <w:rPr>
          <w:rFonts w:ascii="Times New Roman" w:eastAsia="Times New Roman" w:hAnsi="Times New Roman" w:cs="Times New Roman"/>
          <w:i/>
          <w:iCs/>
          <w:color w:val="000000" w:themeColor="text1"/>
          <w:sz w:val="24"/>
          <w:szCs w:val="24"/>
          <w:lang w:eastAsia="en-GB"/>
        </w:rPr>
        <w:t>Journal of Cleaner Production, 208</w:t>
      </w:r>
      <w:r w:rsidRPr="00597FFB">
        <w:rPr>
          <w:rFonts w:ascii="Times New Roman" w:eastAsia="Times New Roman" w:hAnsi="Times New Roman" w:cs="Times New Roman"/>
          <w:color w:val="000000" w:themeColor="text1"/>
          <w:sz w:val="24"/>
          <w:szCs w:val="24"/>
          <w:lang w:eastAsia="en-GB"/>
        </w:rPr>
        <w:t>, 688-696. doi:10.1016/j.jclepro.2018.10.125</w:t>
      </w:r>
    </w:p>
    <w:p w14:paraId="71EEC8F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Kannan, D., Mina, H., Nosrati-Abarghooee, S., &amp; Khosrojerdi, G. (2020). Sustainable circular supplier selection: A novel hybrid approach. </w:t>
      </w:r>
      <w:r w:rsidRPr="00597FFB">
        <w:rPr>
          <w:rFonts w:ascii="Times New Roman" w:eastAsia="Times New Roman" w:hAnsi="Times New Roman" w:cs="Times New Roman"/>
          <w:i/>
          <w:iCs/>
          <w:color w:val="000000" w:themeColor="text1"/>
          <w:sz w:val="24"/>
          <w:szCs w:val="24"/>
          <w:lang w:eastAsia="en-GB"/>
        </w:rPr>
        <w:t>Science of The Total Environment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722</w:t>
      </w:r>
      <w:r w:rsidRPr="00597FFB">
        <w:rPr>
          <w:rFonts w:ascii="Times New Roman" w:eastAsia="Times New Roman" w:hAnsi="Times New Roman" w:cs="Times New Roman"/>
          <w:color w:val="000000" w:themeColor="text1"/>
          <w:sz w:val="24"/>
          <w:szCs w:val="24"/>
          <w:lang w:eastAsia="en-GB"/>
        </w:rPr>
        <w:t>, 137936. https://doi.org/10.1016/j.scitotenv.2020.137936</w:t>
      </w:r>
    </w:p>
    <w:p w14:paraId="70A1DBB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Khan, F., Ahmed, W., &amp; Najmi, A. (2019). Understanding consumers’ behavior intentions towards dealing with the plastic waste: Perspective of a developing country. </w:t>
      </w:r>
      <w:r w:rsidRPr="00597FFB">
        <w:rPr>
          <w:rFonts w:ascii="Times New Roman" w:eastAsia="Times New Roman" w:hAnsi="Times New Roman" w:cs="Times New Roman"/>
          <w:i/>
          <w:iCs/>
          <w:color w:val="000000" w:themeColor="text1"/>
          <w:sz w:val="24"/>
          <w:szCs w:val="24"/>
          <w:lang w:eastAsia="en-GB"/>
        </w:rPr>
        <w:t>Resources, Conservation and Recycling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142</w:t>
      </w:r>
      <w:r w:rsidRPr="00597FFB">
        <w:rPr>
          <w:rFonts w:ascii="Times New Roman" w:eastAsia="Times New Roman" w:hAnsi="Times New Roman" w:cs="Times New Roman"/>
          <w:color w:val="000000" w:themeColor="text1"/>
          <w:sz w:val="24"/>
          <w:szCs w:val="24"/>
          <w:lang w:eastAsia="en-GB"/>
        </w:rPr>
        <w:t>, 49–58. https://doi.org/10.1016/j.resconrec.2018.11.020</w:t>
      </w:r>
    </w:p>
    <w:p w14:paraId="0C75F54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p>
    <w:p w14:paraId="244FBF3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Kaushik, V., &amp; Walsh, C. A. (2019). Pragmatism as a Research Paradigm and Its Implications for Social Work Research. </w:t>
      </w:r>
      <w:r w:rsidRPr="00597FFB">
        <w:rPr>
          <w:rFonts w:ascii="Times New Roman" w:eastAsia="SimSun" w:hAnsi="Times New Roman" w:cs="Times New Roman"/>
          <w:i/>
          <w:iCs/>
          <w:kern w:val="24"/>
          <w:sz w:val="24"/>
          <w:szCs w:val="24"/>
          <w:lang w:val="en-GB" w:eastAsia="ja-JP"/>
        </w:rPr>
        <w:t>Social Sciences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w:t>
      </w:r>
      <w:r w:rsidRPr="00597FFB">
        <w:rPr>
          <w:rFonts w:ascii="Times New Roman" w:eastAsia="SimSun" w:hAnsi="Times New Roman" w:cs="Times New Roman"/>
          <w:kern w:val="24"/>
          <w:sz w:val="24"/>
          <w:szCs w:val="24"/>
          <w:lang w:val="en-GB" w:eastAsia="ja-JP"/>
        </w:rPr>
        <w:t>(9), 255. https://doi.org/10.3390/socsci8090255</w:t>
      </w:r>
    </w:p>
    <w:p w14:paraId="2267AF0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Kianpour, K., Jusoh, A., Mardani, A., Streimikiene, D., Cavallaro, F., Nor, K. Md., &amp; Zavadskas, E. (2017). Factors Influencing Consumers’ Intention to Return the End of Life Electronic Products through Reverse Supply Chain Management for Reuse, Repair and Recycling.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9</w:t>
      </w:r>
      <w:r w:rsidRPr="00597FFB">
        <w:rPr>
          <w:rFonts w:ascii="Times New Roman" w:eastAsia="SimSun" w:hAnsi="Times New Roman" w:cs="Times New Roman"/>
          <w:kern w:val="24"/>
          <w:sz w:val="24"/>
          <w:szCs w:val="24"/>
          <w:lang w:val="en-GB" w:eastAsia="ja-JP"/>
        </w:rPr>
        <w:t>(9), 1657. https://doi.org/10.3390/su9091657</w:t>
      </w:r>
    </w:p>
    <w:p w14:paraId="7EB321D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Klemeš, J. J., Fan, Y. V., Tan, R. R., &amp; Jiang, P. (2020). Minimising the present and future plastic waste, energy and environmental footprints related to COVID-19. </w:t>
      </w:r>
      <w:r w:rsidRPr="00597FFB">
        <w:rPr>
          <w:rFonts w:ascii="Times New Roman" w:eastAsia="Times New Roman" w:hAnsi="Times New Roman" w:cs="Times New Roman"/>
          <w:i/>
          <w:iCs/>
          <w:color w:val="000000" w:themeColor="text1"/>
          <w:sz w:val="24"/>
          <w:szCs w:val="24"/>
          <w:lang w:eastAsia="en-GB"/>
        </w:rPr>
        <w:t>Renewable and Sustainable Energy Reviews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127</w:t>
      </w:r>
      <w:r w:rsidRPr="00597FFB">
        <w:rPr>
          <w:rFonts w:ascii="Times New Roman" w:eastAsia="Times New Roman" w:hAnsi="Times New Roman" w:cs="Times New Roman"/>
          <w:color w:val="000000" w:themeColor="text1"/>
          <w:sz w:val="24"/>
          <w:szCs w:val="24"/>
          <w:lang w:eastAsia="en-GB"/>
        </w:rPr>
        <w:t>, 109883. https://doi.org/10.1016/j.rser.2020.109883</w:t>
      </w:r>
    </w:p>
    <w:p w14:paraId="3925538D"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Killeen, P. R. (2019). Predict, Control, and Replicate to Understand: How Statistics Can Foster the Fundamental Goals of Science. </w:t>
      </w:r>
      <w:r w:rsidRPr="00597FFB">
        <w:rPr>
          <w:rFonts w:ascii="Times New Roman" w:eastAsia="Times New Roman" w:hAnsi="Times New Roman" w:cs="Times New Roman"/>
          <w:i/>
          <w:iCs/>
          <w:color w:val="000000"/>
          <w:sz w:val="24"/>
          <w:szCs w:val="24"/>
          <w:lang w:eastAsia="en-GB"/>
        </w:rPr>
        <w:t>Perspectives on Behavior Science</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42</w:t>
      </w:r>
      <w:r w:rsidRPr="00597FFB">
        <w:rPr>
          <w:rFonts w:ascii="Times New Roman" w:eastAsia="Times New Roman" w:hAnsi="Times New Roman" w:cs="Times New Roman"/>
          <w:color w:val="000000"/>
          <w:sz w:val="24"/>
          <w:szCs w:val="24"/>
          <w:lang w:eastAsia="en-GB"/>
        </w:rPr>
        <w:t>(1), 109–132. https://doi.org/10.1007/s40614-018-0171-8</w:t>
      </w:r>
    </w:p>
    <w:p w14:paraId="68030F2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Kock, F., Berbekova, A., &amp; Assaf, A. G. (2021). Understanding and managing the threat of common method bias: Detection, prevention and control. </w:t>
      </w:r>
      <w:r w:rsidRPr="00597FFB">
        <w:rPr>
          <w:rFonts w:ascii="Times New Roman" w:eastAsia="SimSun" w:hAnsi="Times New Roman" w:cs="Times New Roman"/>
          <w:i/>
          <w:iCs/>
          <w:kern w:val="24"/>
          <w:sz w:val="24"/>
          <w:szCs w:val="24"/>
          <w:lang w:val="en-GB" w:eastAsia="ja-JP"/>
        </w:rPr>
        <w:t>Tourism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86</w:t>
      </w:r>
      <w:r w:rsidRPr="00597FFB">
        <w:rPr>
          <w:rFonts w:ascii="Times New Roman" w:eastAsia="SimSun" w:hAnsi="Times New Roman" w:cs="Times New Roman"/>
          <w:kern w:val="24"/>
          <w:sz w:val="24"/>
          <w:szCs w:val="24"/>
          <w:lang w:val="en-GB" w:eastAsia="ja-JP"/>
        </w:rPr>
        <w:t>, 104330. https://doi.org/10.1016/j.tourman.2021.104330</w:t>
      </w:r>
    </w:p>
    <w:p w14:paraId="586A3213"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Koczanski, P., &amp; Rosen, H. S. (2019). Are millennials really particularly selfish? Preliminary evidence from a cross-sectional sample in the philanthropy panel study. </w:t>
      </w:r>
      <w:r w:rsidRPr="00597FFB">
        <w:rPr>
          <w:rFonts w:ascii="Times New Roman" w:eastAsiaTheme="minorHAnsi" w:hAnsi="Times New Roman" w:cs="Times New Roman"/>
          <w:i/>
          <w:iCs/>
          <w:sz w:val="24"/>
          <w:szCs w:val="24"/>
        </w:rPr>
        <w:t>American Behavioral Scientist, 0</w:t>
      </w:r>
      <w:r w:rsidRPr="00597FFB">
        <w:rPr>
          <w:rFonts w:ascii="Times New Roman" w:eastAsiaTheme="minorHAnsi" w:hAnsi="Times New Roman" w:cs="Times New Roman"/>
          <w:sz w:val="24"/>
          <w:szCs w:val="24"/>
        </w:rPr>
        <w:t>(00),</w:t>
      </w:r>
      <w:r w:rsidRPr="00597FFB">
        <w:rPr>
          <w:rFonts w:ascii="Times New Roman" w:eastAsiaTheme="minorHAnsi" w:hAnsi="Times New Roman" w:cs="Times New Roman"/>
          <w:i/>
          <w:iCs/>
          <w:sz w:val="24"/>
          <w:szCs w:val="24"/>
        </w:rPr>
        <w:t xml:space="preserve"> </w:t>
      </w:r>
      <w:r w:rsidRPr="00597FFB">
        <w:rPr>
          <w:rFonts w:ascii="Times New Roman" w:eastAsiaTheme="minorHAnsi" w:hAnsi="Times New Roman" w:cs="Times New Roman"/>
          <w:sz w:val="24"/>
          <w:szCs w:val="24"/>
        </w:rPr>
        <w:t xml:space="preserve">1-18. </w:t>
      </w:r>
      <w:hyperlink r:id="rId41" w:history="1">
        <w:r w:rsidRPr="00597FFB">
          <w:rPr>
            <w:rFonts w:ascii="Times New Roman" w:eastAsiaTheme="minorHAnsi" w:hAnsi="Times New Roman" w:cs="Times New Roman"/>
            <w:color w:val="0563C1" w:themeColor="hyperlink"/>
            <w:sz w:val="24"/>
            <w:szCs w:val="24"/>
            <w:u w:val="single"/>
          </w:rPr>
          <w:t>https://doi.org/10.1177/0002764219850871</w:t>
        </w:r>
      </w:hyperlink>
    </w:p>
    <w:p w14:paraId="7D0FDEFC"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Kopaei, R., Hamid, M. N., Karami, A., Petrescu-Mag, R. M., &amp; Petrescu, D. C. (2021). Drivers of residents’ home composting intention: Integrating the Theory of Planned Behavior, the Norm Activation Model, and the moderating role of composting knowledge. </w:t>
      </w:r>
      <w:r w:rsidRPr="00597FFB">
        <w:rPr>
          <w:rFonts w:ascii="Times New Roman" w:hAnsi="Times New Roman" w:cs="Times New Roman"/>
          <w:i/>
          <w:iCs/>
          <w:color w:val="000000" w:themeColor="text1"/>
          <w:kern w:val="24"/>
          <w:sz w:val="24"/>
          <w:szCs w:val="24"/>
          <w:lang w:eastAsia="ja-JP"/>
        </w:rPr>
        <w:t>Sustainability, 13</w:t>
      </w:r>
      <w:r w:rsidRPr="00597FFB">
        <w:rPr>
          <w:rFonts w:ascii="Times New Roman" w:hAnsi="Times New Roman" w:cs="Times New Roman"/>
          <w:color w:val="000000" w:themeColor="text1"/>
          <w:kern w:val="24"/>
          <w:sz w:val="24"/>
          <w:szCs w:val="24"/>
          <w:lang w:eastAsia="ja-JP"/>
        </w:rPr>
        <w:t xml:space="preserve">(12), 6826. </w:t>
      </w:r>
      <w:hyperlink r:id="rId42" w:history="1">
        <w:r w:rsidRPr="00597FFB">
          <w:rPr>
            <w:rFonts w:ascii="Times New Roman" w:hAnsi="Times New Roman" w:cs="Times New Roman"/>
            <w:color w:val="000000" w:themeColor="text1"/>
            <w:kern w:val="24"/>
            <w:sz w:val="24"/>
            <w:szCs w:val="24"/>
            <w:u w:val="single"/>
            <w:lang w:eastAsia="ja-JP"/>
          </w:rPr>
          <w:t>https://doi.org/10.3390/su13126826</w:t>
        </w:r>
      </w:hyperlink>
      <w:r w:rsidRPr="00597FFB">
        <w:rPr>
          <w:rFonts w:ascii="Times New Roman" w:hAnsi="Times New Roman" w:cs="Times New Roman"/>
          <w:color w:val="000000" w:themeColor="text1"/>
          <w:kern w:val="24"/>
          <w:sz w:val="24"/>
          <w:szCs w:val="24"/>
          <w:lang w:eastAsia="ja-JP"/>
        </w:rPr>
        <w:t>.</w:t>
      </w:r>
    </w:p>
    <w:p w14:paraId="64EA72D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Kosai, S., Kishita, Y., &amp; Yamasue, E. (2020). Estimation of the metal flow of WEEE in Vietnam considering lifespan transition.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154</w:t>
      </w:r>
      <w:r w:rsidRPr="00597FFB">
        <w:rPr>
          <w:rFonts w:ascii="Times New Roman" w:eastAsia="SimSun" w:hAnsi="Times New Roman" w:cs="Times New Roman"/>
          <w:kern w:val="24"/>
          <w:sz w:val="24"/>
          <w:szCs w:val="24"/>
          <w:lang w:val="en-GB" w:eastAsia="ja-JP"/>
        </w:rPr>
        <w:t>, 104621. https://doi.org/10.1016/j.resconrec.2019.104621</w:t>
      </w:r>
    </w:p>
    <w:p w14:paraId="11438CC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Kousaiti, A., Hahladakis, J. N., Savvilotidou, V., Pivnenko, K., Tyrovola, K., Xekoukoulotakis, N., Astrup, T. F., &amp; Gidarakos, E. (2020). Assessment of tetrabromobisphenol-A (TBBPA) content in plastic waste recovered from WEEE. </w:t>
      </w:r>
      <w:r w:rsidRPr="00597FFB">
        <w:rPr>
          <w:rFonts w:ascii="Times New Roman" w:eastAsia="SimSun" w:hAnsi="Times New Roman" w:cs="Times New Roman"/>
          <w:i/>
          <w:iCs/>
          <w:kern w:val="24"/>
          <w:sz w:val="24"/>
          <w:szCs w:val="24"/>
          <w:lang w:val="en-GB" w:eastAsia="ja-JP"/>
        </w:rPr>
        <w:t>Journal of Hazardous Materials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390</w:t>
      </w:r>
      <w:r w:rsidRPr="00597FFB">
        <w:rPr>
          <w:rFonts w:ascii="Times New Roman" w:eastAsia="SimSun" w:hAnsi="Times New Roman" w:cs="Times New Roman"/>
          <w:kern w:val="24"/>
          <w:sz w:val="24"/>
          <w:szCs w:val="24"/>
          <w:lang w:val="en-GB" w:eastAsia="ja-JP"/>
        </w:rPr>
        <w:t>, 121641. https://doi.org/10.1016/j.jhazmat.2019.121641</w:t>
      </w:r>
    </w:p>
    <w:p w14:paraId="677C616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Kulin, J., &amp; Johansson Sevä, I. (2020). Quality of government and the relationship between environmental concern and pro-environmental behavior: A cross-national study. </w:t>
      </w:r>
      <w:r w:rsidRPr="00597FFB">
        <w:rPr>
          <w:rFonts w:ascii="Times New Roman" w:eastAsia="Times New Roman" w:hAnsi="Times New Roman" w:cs="Times New Roman"/>
          <w:i/>
          <w:iCs/>
          <w:color w:val="000000" w:themeColor="text1"/>
          <w:sz w:val="24"/>
          <w:szCs w:val="24"/>
          <w:lang w:eastAsia="en-GB"/>
        </w:rPr>
        <w:t>Environmental Politics</w:t>
      </w:r>
      <w:r w:rsidRPr="00597FFB">
        <w:rPr>
          <w:rFonts w:ascii="Times New Roman" w:eastAsia="Times New Roman" w:hAnsi="Times New Roman" w:cs="Times New Roman"/>
          <w:color w:val="000000" w:themeColor="text1"/>
          <w:sz w:val="24"/>
          <w:szCs w:val="24"/>
          <w:lang w:eastAsia="en-GB"/>
        </w:rPr>
        <w:t>, 1–26. https://doi.org/10.1080/09644016.2020.1809160</w:t>
      </w:r>
    </w:p>
    <w:p w14:paraId="29B134E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Kumar, A. (2019). Exploring young adults’ e-waste recycling behaviour using an extended theory of planned behaviour model: A cross-cultural study.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141</w:t>
      </w:r>
      <w:r w:rsidRPr="00597FFB">
        <w:rPr>
          <w:rFonts w:ascii="Times New Roman" w:eastAsia="SimSun" w:hAnsi="Times New Roman" w:cs="Times New Roman"/>
          <w:kern w:val="24"/>
          <w:sz w:val="24"/>
          <w:szCs w:val="24"/>
          <w:lang w:val="en-GB" w:eastAsia="ja-JP"/>
        </w:rPr>
        <w:t>, 378–389. https://doi.org/10.1016/j.resconrec.2018.10.013</w:t>
      </w:r>
    </w:p>
    <w:p w14:paraId="0E46B01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Kumar, A., &amp; Dixit, G. (2018). An analysis of barriers affecting the implementation of e-waste management practices in India: A novel ISM-DEMATEL approach. </w:t>
      </w:r>
      <w:r w:rsidRPr="00597FFB">
        <w:rPr>
          <w:rFonts w:ascii="Times New Roman" w:eastAsia="SimSun" w:hAnsi="Times New Roman" w:cs="Times New Roman"/>
          <w:i/>
          <w:iCs/>
          <w:kern w:val="24"/>
          <w:sz w:val="24"/>
          <w:szCs w:val="24"/>
          <w:lang w:val="en-GB" w:eastAsia="ja-JP"/>
        </w:rPr>
        <w:t>Sustainable Production and Consumption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14</w:t>
      </w:r>
      <w:r w:rsidRPr="00597FFB">
        <w:rPr>
          <w:rFonts w:ascii="Times New Roman" w:eastAsia="SimSun" w:hAnsi="Times New Roman" w:cs="Times New Roman"/>
          <w:kern w:val="24"/>
          <w:sz w:val="24"/>
          <w:szCs w:val="24"/>
          <w:lang w:val="en-GB" w:eastAsia="ja-JP"/>
        </w:rPr>
        <w:t>, 36–52. https://doi.org/10.1016/j.spc.2018.01.002</w:t>
      </w:r>
    </w:p>
    <w:p w14:paraId="1A322EB0" w14:textId="3C3217A9" w:rsidR="007562B3" w:rsidRPr="00597FFB" w:rsidRDefault="007562B3" w:rsidP="00C610DB">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 xml:space="preserve">Kushwah, S., Dhir, A., &amp; Sagar, M. (2019). Understanding consumer resistance to the consumption of organic food. A study of ethical consumption, purchasing, and choice behavior. </w:t>
      </w:r>
      <w:r w:rsidRPr="00597FFB">
        <w:rPr>
          <w:rFonts w:ascii="Times New Roman" w:eastAsia="Times New Roman" w:hAnsi="Times New Roman" w:cs="Times New Roman"/>
          <w:i/>
          <w:iCs/>
          <w:color w:val="000000"/>
          <w:kern w:val="24"/>
          <w:sz w:val="24"/>
          <w:szCs w:val="24"/>
          <w:lang w:eastAsia="ja-JP"/>
        </w:rPr>
        <w:t>Food Quality and Preference, 77</w:t>
      </w:r>
      <w:r w:rsidRPr="00597FFB">
        <w:rPr>
          <w:rFonts w:ascii="Times New Roman" w:eastAsia="Times New Roman" w:hAnsi="Times New Roman" w:cs="Times New Roman"/>
          <w:color w:val="000000"/>
          <w:kern w:val="24"/>
          <w:sz w:val="24"/>
          <w:szCs w:val="24"/>
          <w:lang w:eastAsia="ja-JP"/>
        </w:rPr>
        <w:t xml:space="preserve">, 1-14. </w:t>
      </w:r>
      <w:hyperlink r:id="rId43" w:history="1">
        <w:r w:rsidRPr="00597FFB">
          <w:rPr>
            <w:rFonts w:ascii="Times New Roman" w:eastAsia="Times New Roman" w:hAnsi="Times New Roman" w:cs="Times New Roman"/>
            <w:color w:val="000000"/>
            <w:kern w:val="24"/>
            <w:sz w:val="24"/>
            <w:szCs w:val="24"/>
            <w:u w:val="single"/>
            <w:lang w:eastAsia="ja-JP"/>
          </w:rPr>
          <w:t>https://doi.org/10.1016/j.foodqual.2019.04.003</w:t>
        </w:r>
      </w:hyperlink>
      <w:r w:rsidRPr="00597FFB">
        <w:rPr>
          <w:rFonts w:ascii="Times New Roman" w:eastAsia="Times New Roman" w:hAnsi="Times New Roman" w:cs="Times New Roman"/>
          <w:color w:val="000000"/>
          <w:kern w:val="24"/>
          <w:sz w:val="24"/>
          <w:szCs w:val="24"/>
          <w:lang w:eastAsia="ja-JP"/>
        </w:rPr>
        <w:t>.</w:t>
      </w:r>
    </w:p>
    <w:p w14:paraId="1235D5D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Kryscynski, D., Coff, R., &amp; Campbell, B. (2021). Charting a path between firm</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specific incentives and human capital</w:t>
      </w:r>
      <w:r w:rsidRPr="00597FFB">
        <w:rPr>
          <w:rFonts w:ascii="Cambria Math" w:eastAsia="Times New Roman" w:hAnsi="Cambria Math" w:cs="Cambria Math"/>
          <w:color w:val="000000" w:themeColor="text1"/>
          <w:sz w:val="24"/>
          <w:szCs w:val="24"/>
          <w:lang w:eastAsia="en-GB"/>
        </w:rPr>
        <w:t>‐</w:t>
      </w:r>
      <w:r w:rsidRPr="00597FFB">
        <w:rPr>
          <w:rFonts w:ascii="Times New Roman" w:eastAsia="Times New Roman" w:hAnsi="Times New Roman" w:cs="Times New Roman"/>
          <w:color w:val="000000" w:themeColor="text1"/>
          <w:sz w:val="24"/>
          <w:szCs w:val="24"/>
          <w:lang w:eastAsia="en-GB"/>
        </w:rPr>
        <w:t xml:space="preserve">based competitive advantage. </w:t>
      </w:r>
      <w:r w:rsidRPr="00597FFB">
        <w:rPr>
          <w:rFonts w:ascii="Times New Roman" w:eastAsia="Times New Roman" w:hAnsi="Times New Roman" w:cs="Times New Roman"/>
          <w:i/>
          <w:iCs/>
          <w:color w:val="000000" w:themeColor="text1"/>
          <w:sz w:val="24"/>
          <w:szCs w:val="24"/>
          <w:lang w:eastAsia="en-GB"/>
        </w:rPr>
        <w:t>Strategic Management Journal</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42</w:t>
      </w:r>
      <w:r w:rsidRPr="00597FFB">
        <w:rPr>
          <w:rFonts w:ascii="Times New Roman" w:eastAsia="Times New Roman" w:hAnsi="Times New Roman" w:cs="Times New Roman"/>
          <w:color w:val="000000" w:themeColor="text1"/>
          <w:sz w:val="24"/>
          <w:szCs w:val="24"/>
          <w:lang w:eastAsia="en-GB"/>
        </w:rPr>
        <w:t>(2), 386–412. https://doi.org/10.1002/smj.3226</w:t>
      </w:r>
    </w:p>
    <w:p w14:paraId="3659E3B6"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Kushwah, S., Dhir, A., &amp; Sagar, M. (2019). Understanding consumer resistance to the consumption of organic food. A study of ethical consumption, purchasing, and choice behaviour. </w:t>
      </w:r>
      <w:r w:rsidRPr="00597FFB">
        <w:rPr>
          <w:rFonts w:ascii="Times New Roman" w:hAnsi="Times New Roman" w:cs="Times New Roman"/>
          <w:i/>
          <w:iCs/>
          <w:color w:val="000000" w:themeColor="text1"/>
          <w:kern w:val="24"/>
          <w:sz w:val="24"/>
          <w:szCs w:val="24"/>
          <w:lang w:eastAsia="ja-JP"/>
        </w:rPr>
        <w:t>Food Quality and Preference, 77</w:t>
      </w:r>
      <w:r w:rsidRPr="00597FFB">
        <w:rPr>
          <w:rFonts w:ascii="Times New Roman" w:hAnsi="Times New Roman" w:cs="Times New Roman"/>
          <w:color w:val="000000" w:themeColor="text1"/>
          <w:kern w:val="24"/>
          <w:sz w:val="24"/>
          <w:szCs w:val="24"/>
          <w:lang w:eastAsia="ja-JP"/>
        </w:rPr>
        <w:t xml:space="preserve">, 1-14. </w:t>
      </w:r>
      <w:hyperlink r:id="rId44" w:history="1">
        <w:r w:rsidRPr="00597FFB">
          <w:rPr>
            <w:rFonts w:ascii="Times New Roman" w:hAnsi="Times New Roman" w:cs="Times New Roman"/>
            <w:color w:val="000000" w:themeColor="text1"/>
            <w:kern w:val="24"/>
            <w:sz w:val="24"/>
            <w:szCs w:val="24"/>
            <w:u w:val="single"/>
            <w:lang w:eastAsia="ja-JP"/>
          </w:rPr>
          <w:t>https://doi.org/10.1016/j.foodqual.2019.04.003</w:t>
        </w:r>
      </w:hyperlink>
      <w:r w:rsidRPr="00597FFB">
        <w:rPr>
          <w:rFonts w:ascii="Times New Roman" w:hAnsi="Times New Roman" w:cs="Times New Roman"/>
          <w:color w:val="000000" w:themeColor="text1"/>
          <w:kern w:val="24"/>
          <w:sz w:val="24"/>
          <w:szCs w:val="24"/>
          <w:lang w:eastAsia="ja-JP"/>
        </w:rPr>
        <w:t>.</w:t>
      </w:r>
    </w:p>
    <w:p w14:paraId="31819CF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Lange, F., &amp; Dewitte, S. (2019). Cognitive Flexibility and Pro–Environmental Behaviour: A Multimethod Approach. </w:t>
      </w:r>
      <w:r w:rsidRPr="00597FFB">
        <w:rPr>
          <w:rFonts w:ascii="Times New Roman" w:eastAsia="SimSun" w:hAnsi="Times New Roman" w:cs="Times New Roman"/>
          <w:i/>
          <w:iCs/>
          <w:kern w:val="24"/>
          <w:sz w:val="24"/>
          <w:szCs w:val="24"/>
          <w:lang w:val="en-GB" w:eastAsia="ja-JP"/>
        </w:rPr>
        <w:t>European Journal of Personality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33</w:t>
      </w:r>
      <w:r w:rsidRPr="00597FFB">
        <w:rPr>
          <w:rFonts w:ascii="Times New Roman" w:eastAsia="SimSun" w:hAnsi="Times New Roman" w:cs="Times New Roman"/>
          <w:kern w:val="24"/>
          <w:sz w:val="24"/>
          <w:szCs w:val="24"/>
          <w:lang w:val="en-GB" w:eastAsia="ja-JP"/>
        </w:rPr>
        <w:t>(4), 488–505. https://doi.org/10.1002/per.2204</w:t>
      </w:r>
    </w:p>
    <w:p w14:paraId="546EFC5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Law, G., Bloyce, D., &amp; Waddington, I. (2020). Sporting celebrity and conspicuous consumption: A case study of professional footballers in England. </w:t>
      </w:r>
      <w:r w:rsidRPr="00597FFB">
        <w:rPr>
          <w:rFonts w:ascii="Times New Roman" w:hAnsi="Times New Roman" w:cs="Times New Roman"/>
          <w:i/>
          <w:iCs/>
          <w:color w:val="000000" w:themeColor="text1"/>
          <w:kern w:val="24"/>
          <w:sz w:val="24"/>
          <w:szCs w:val="24"/>
          <w:lang w:eastAsia="ja-JP"/>
        </w:rPr>
        <w:t>International Review for the Sociology of Sport,</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56</w:t>
      </w:r>
      <w:r w:rsidRPr="00597FFB">
        <w:rPr>
          <w:rFonts w:ascii="Times New Roman" w:hAnsi="Times New Roman" w:cs="Times New Roman"/>
          <w:color w:val="000000" w:themeColor="text1"/>
          <w:kern w:val="24"/>
          <w:sz w:val="24"/>
          <w:szCs w:val="24"/>
          <w:lang w:eastAsia="ja-JP"/>
        </w:rPr>
        <w:t xml:space="preserve">(7), 923-942. </w:t>
      </w:r>
      <w:hyperlink r:id="rId45" w:history="1">
        <w:r w:rsidRPr="00597FFB">
          <w:rPr>
            <w:rFonts w:ascii="Times New Roman" w:hAnsi="Times New Roman" w:cs="Times New Roman"/>
            <w:color w:val="000000" w:themeColor="text1"/>
            <w:kern w:val="24"/>
            <w:sz w:val="24"/>
            <w:szCs w:val="24"/>
            <w:u w:val="single"/>
            <w:lang w:eastAsia="ja-JP"/>
          </w:rPr>
          <w:t>https://doi.org/10.1177/1012690220968106</w:t>
        </w:r>
      </w:hyperlink>
      <w:r w:rsidRPr="00597FFB">
        <w:rPr>
          <w:rFonts w:ascii="Times New Roman" w:hAnsi="Times New Roman" w:cs="Times New Roman"/>
          <w:color w:val="000000" w:themeColor="text1"/>
          <w:kern w:val="24"/>
          <w:sz w:val="24"/>
          <w:szCs w:val="24"/>
          <w:lang w:eastAsia="ja-JP"/>
        </w:rPr>
        <w:t>.</w:t>
      </w:r>
    </w:p>
    <w:p w14:paraId="40D30B7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Ledermann, T., Rudaz, M., Wu, Q., &amp; Cui, M. (2022). Determine power and sample size for the simple and mediation Actor–Partner Interdependence Model. </w:t>
      </w:r>
      <w:r w:rsidRPr="00597FFB">
        <w:rPr>
          <w:rFonts w:ascii="Times New Roman" w:eastAsia="SimSun" w:hAnsi="Times New Roman" w:cs="Times New Roman"/>
          <w:i/>
          <w:iCs/>
          <w:kern w:val="24"/>
          <w:sz w:val="24"/>
          <w:szCs w:val="24"/>
          <w:lang w:val="en-GB" w:eastAsia="ja-JP"/>
        </w:rPr>
        <w:t>Family Relations</w:t>
      </w:r>
      <w:r w:rsidRPr="00597FFB">
        <w:rPr>
          <w:rFonts w:ascii="Times New Roman" w:eastAsia="SimSun" w:hAnsi="Times New Roman" w:cs="Times New Roman"/>
          <w:kern w:val="24"/>
          <w:sz w:val="24"/>
          <w:szCs w:val="24"/>
          <w:lang w:val="en-GB" w:eastAsia="ja-JP"/>
        </w:rPr>
        <w:t>, fare.12644. https://doi.org/10.1111/fare.12644</w:t>
      </w:r>
    </w:p>
    <w:p w14:paraId="7B6CA69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Lee, W.-J., Kim, H. V., Choi, J.-H., Panomsuwan, G., Lee, Y.-C., Rho, B.-S., &amp; Kang, J. (2018). Recycling waste soot from merchant ships to produce anode materials for rechargeable lithium-ion batteries. </w:t>
      </w:r>
      <w:r w:rsidRPr="00597FFB">
        <w:rPr>
          <w:rFonts w:ascii="Times New Roman" w:eastAsia="Times New Roman" w:hAnsi="Times New Roman" w:cs="Times New Roman"/>
          <w:i/>
          <w:iCs/>
          <w:color w:val="000000" w:themeColor="text1"/>
          <w:sz w:val="24"/>
          <w:szCs w:val="24"/>
          <w:lang w:eastAsia="en-GB"/>
        </w:rPr>
        <w:t>Scientific Reports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8</w:t>
      </w:r>
      <w:r w:rsidRPr="00597FFB">
        <w:rPr>
          <w:rFonts w:ascii="Times New Roman" w:eastAsia="Times New Roman" w:hAnsi="Times New Roman" w:cs="Times New Roman"/>
          <w:color w:val="000000" w:themeColor="text1"/>
          <w:sz w:val="24"/>
          <w:szCs w:val="24"/>
          <w:lang w:eastAsia="en-GB"/>
        </w:rPr>
        <w:t>(1), 5601. https://doi.org/10.1038/s41598-018-23945-8</w:t>
      </w:r>
    </w:p>
    <w:p w14:paraId="12406D3D"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Li, N., Laux, C., &amp; Antony, J. (2018). Designing for Six Sigma in a private organization in China under TQM implementation: A case study. </w:t>
      </w:r>
      <w:r w:rsidRPr="00597FFB">
        <w:rPr>
          <w:rFonts w:ascii="Times New Roman" w:eastAsia="Times New Roman" w:hAnsi="Times New Roman" w:cs="Times New Roman"/>
          <w:i/>
          <w:iCs/>
          <w:color w:val="000000" w:themeColor="text1"/>
          <w:sz w:val="24"/>
          <w:szCs w:val="24"/>
          <w:lang w:eastAsia="en-GB"/>
        </w:rPr>
        <w:t>Quality Engineering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30</w:t>
      </w:r>
      <w:r w:rsidRPr="00597FFB">
        <w:rPr>
          <w:rFonts w:ascii="Times New Roman" w:eastAsia="Times New Roman" w:hAnsi="Times New Roman" w:cs="Times New Roman"/>
          <w:color w:val="000000" w:themeColor="text1"/>
          <w:sz w:val="24"/>
          <w:szCs w:val="24"/>
          <w:lang w:eastAsia="en-GB"/>
        </w:rPr>
        <w:t>(3), 405–418. https://doi.org/10.1080/08982112.2018.1475674</w:t>
      </w:r>
    </w:p>
    <w:p w14:paraId="4CAB8A69"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Li, W., Yi, P., &amp; Zhang, D. (2018). Sustainability Evaluation of Cities in Northeastern China Using Dynamic TOPSIS-Entropy Methods.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(12), 4542. https://doi.org/10.3390/su10124542</w:t>
      </w:r>
    </w:p>
    <w:p w14:paraId="6BE9C26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Li, X.-H., Cao, C. C., Shi, Y., Bai, W., Gao, H., Qiu, L., Wang, C., Gao, Y., Zhang, S., Xue, X., &amp; Chen, L. (2020). A Survey of Data-driven and Knowledge-aware eXplainable AI. </w:t>
      </w:r>
      <w:r w:rsidRPr="00597FFB">
        <w:rPr>
          <w:rFonts w:ascii="Times New Roman" w:eastAsia="SimSun" w:hAnsi="Times New Roman" w:cs="Times New Roman"/>
          <w:i/>
          <w:iCs/>
          <w:kern w:val="24"/>
          <w:sz w:val="24"/>
          <w:szCs w:val="24"/>
          <w:lang w:val="en-GB" w:eastAsia="ja-JP"/>
        </w:rPr>
        <w:t>IEEE Transactions on Knowledge and Data Engineering</w:t>
      </w:r>
      <w:r w:rsidRPr="00597FFB">
        <w:rPr>
          <w:rFonts w:ascii="Times New Roman" w:eastAsia="SimSun" w:hAnsi="Times New Roman" w:cs="Times New Roman"/>
          <w:kern w:val="24"/>
          <w:sz w:val="24"/>
          <w:szCs w:val="24"/>
          <w:lang w:val="en-GB" w:eastAsia="ja-JP"/>
        </w:rPr>
        <w:t>, 1–1. https://doi.org/10.1109/TKDE.2020.2983930</w:t>
      </w:r>
    </w:p>
    <w:p w14:paraId="01D39E3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Li, Y., Jia, L., Wu, W., Yan, J., &amp; Liu, Y. (2018). Urbanization for rural sustainability – Rethinking China’s urbanization strategy.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178</w:t>
      </w:r>
      <w:r w:rsidRPr="00597FFB">
        <w:rPr>
          <w:rFonts w:ascii="Times New Roman" w:eastAsia="SimSun" w:hAnsi="Times New Roman" w:cs="Times New Roman"/>
          <w:kern w:val="24"/>
          <w:sz w:val="24"/>
          <w:szCs w:val="24"/>
          <w:lang w:val="en-GB" w:eastAsia="ja-JP"/>
        </w:rPr>
        <w:t>, 580–586. https://doi.org/10.1016/j.jclepro.2017.12.273</w:t>
      </w:r>
    </w:p>
    <w:p w14:paraId="2E6A8C9D"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Lincoln, Y. S., &amp; Guba, E. G. (1994). RSVP: We are Pleased to Accept your Invitation. </w:t>
      </w:r>
      <w:r w:rsidRPr="00597FFB">
        <w:rPr>
          <w:rFonts w:ascii="Times New Roman" w:eastAsia="Times New Roman" w:hAnsi="Times New Roman" w:cs="Times New Roman"/>
          <w:i/>
          <w:iCs/>
          <w:color w:val="000000"/>
          <w:sz w:val="24"/>
          <w:szCs w:val="24"/>
          <w:lang w:eastAsia="en-GB"/>
        </w:rPr>
        <w:t>Evaluation Practice</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15</w:t>
      </w:r>
      <w:r w:rsidRPr="00597FFB">
        <w:rPr>
          <w:rFonts w:ascii="Times New Roman" w:eastAsia="Times New Roman" w:hAnsi="Times New Roman" w:cs="Times New Roman"/>
          <w:color w:val="000000"/>
          <w:sz w:val="24"/>
          <w:szCs w:val="24"/>
          <w:lang w:eastAsia="en-GB"/>
        </w:rPr>
        <w:t>(2), 179–192. https://doi.org/10.1177/109821409401500207</w:t>
      </w:r>
    </w:p>
    <w:p w14:paraId="48A11F9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Liu, C., Lin, J., Cao, H., Zhang, Y., &amp; Sun, Z. (2019). Recycling of spent lithium-ion batteries in view of lithium recovery: A critical review.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228</w:t>
      </w:r>
      <w:r w:rsidRPr="00597FFB">
        <w:rPr>
          <w:rFonts w:ascii="Times New Roman" w:eastAsia="SimSun" w:hAnsi="Times New Roman" w:cs="Times New Roman"/>
          <w:kern w:val="24"/>
          <w:sz w:val="24"/>
          <w:szCs w:val="24"/>
          <w:lang w:val="en-GB" w:eastAsia="ja-JP"/>
        </w:rPr>
        <w:t>, 801–813. https://doi.org/10.1016/j.jclepro.2019.04.304</w:t>
      </w:r>
    </w:p>
    <w:p w14:paraId="6845589D"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Liu, H.-C., Chen, X.-Q., Duan, C.-Y., &amp; Wang, Y.-M. (2019). Failure mode and effect analysis using multi-criteria decision making methods: A systematic literature review. </w:t>
      </w:r>
      <w:r w:rsidRPr="00597FFB">
        <w:rPr>
          <w:rFonts w:ascii="Times New Roman" w:eastAsia="Times New Roman" w:hAnsi="Times New Roman" w:cs="Times New Roman"/>
          <w:i/>
          <w:iCs/>
          <w:color w:val="000000" w:themeColor="text1"/>
          <w:sz w:val="24"/>
          <w:szCs w:val="24"/>
          <w:lang w:eastAsia="en-GB"/>
        </w:rPr>
        <w:t>Computers &amp; Industrial Engineering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135</w:t>
      </w:r>
      <w:r w:rsidRPr="00597FFB">
        <w:rPr>
          <w:rFonts w:ascii="Times New Roman" w:eastAsia="Times New Roman" w:hAnsi="Times New Roman" w:cs="Times New Roman"/>
          <w:color w:val="000000" w:themeColor="text1"/>
          <w:sz w:val="24"/>
          <w:szCs w:val="24"/>
          <w:lang w:eastAsia="en-GB"/>
        </w:rPr>
        <w:t>, 881–897. https://doi.org/10.1016/j.cie.2019.06.055</w:t>
      </w:r>
    </w:p>
    <w:p w14:paraId="476575C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Lyon, F. (2015). Access and non-probability sampling in qualitative research on trust. In F. Lyon, G. Möllering, &amp; M. Saunders, </w:t>
      </w:r>
      <w:r w:rsidRPr="00597FFB">
        <w:rPr>
          <w:rFonts w:ascii="Times New Roman" w:eastAsia="SimSun" w:hAnsi="Times New Roman" w:cs="Times New Roman"/>
          <w:i/>
          <w:iCs/>
          <w:kern w:val="24"/>
          <w:sz w:val="24"/>
          <w:szCs w:val="24"/>
          <w:lang w:val="en-GB" w:eastAsia="ja-JP"/>
        </w:rPr>
        <w:t>Handbook of Research Methods on Trust</w:t>
      </w:r>
      <w:r w:rsidRPr="00597FFB">
        <w:rPr>
          <w:rFonts w:ascii="Times New Roman" w:eastAsia="SimSun" w:hAnsi="Times New Roman" w:cs="Times New Roman"/>
          <w:kern w:val="24"/>
          <w:sz w:val="24"/>
          <w:szCs w:val="24"/>
          <w:lang w:val="en-GB" w:eastAsia="ja-JP"/>
        </w:rPr>
        <w:t xml:space="preserve"> (pp. 109–117). Edward Elgar Publishing. https://doi.org/10.4337/9781782547419.00019</w:t>
      </w:r>
    </w:p>
    <w:p w14:paraId="1A64E921"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McCaughey, J. W., Mundir, I., Daly, P., Mahdi, S., &amp; Patt, A. (2017). Trust and distrust of tsunami vertical evacuation buildings: extending protection motivation theory to examine choices under social influence. </w:t>
      </w:r>
      <w:r w:rsidRPr="00597FFB">
        <w:rPr>
          <w:rFonts w:ascii="Times New Roman" w:hAnsi="Times New Roman" w:cs="Times New Roman"/>
          <w:i/>
          <w:iCs/>
          <w:color w:val="000000" w:themeColor="text1"/>
          <w:kern w:val="24"/>
          <w:sz w:val="24"/>
          <w:szCs w:val="24"/>
          <w:lang w:eastAsia="ja-JP"/>
        </w:rPr>
        <w:t>International Journal of Disaster Risk Reduction, 24</w:t>
      </w:r>
      <w:r w:rsidRPr="00597FFB">
        <w:rPr>
          <w:rFonts w:ascii="Times New Roman" w:hAnsi="Times New Roman" w:cs="Times New Roman"/>
          <w:color w:val="000000" w:themeColor="text1"/>
          <w:kern w:val="24"/>
          <w:sz w:val="24"/>
          <w:szCs w:val="24"/>
          <w:lang w:eastAsia="ja-JP"/>
        </w:rPr>
        <w:t>, 462–473. </w:t>
      </w:r>
      <w:hyperlink r:id="rId46" w:history="1">
        <w:r w:rsidRPr="00597FFB">
          <w:rPr>
            <w:rFonts w:ascii="Times New Roman" w:hAnsi="Times New Roman" w:cs="Times New Roman"/>
            <w:color w:val="000000" w:themeColor="text1"/>
            <w:kern w:val="24"/>
            <w:sz w:val="24"/>
            <w:szCs w:val="24"/>
            <w:u w:val="single"/>
            <w:lang w:eastAsia="ja-JP"/>
          </w:rPr>
          <w:t>https://doi.org/10.1016/j.ijdrr.2017.06.016</w:t>
        </w:r>
      </w:hyperlink>
    </w:p>
    <w:p w14:paraId="2C505E8C"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McCollough, J. (2020). The impact of consumers’ time constraint and conspicuous consumption behaviour on the throwaway society. </w:t>
      </w:r>
      <w:r w:rsidRPr="00597FFB">
        <w:rPr>
          <w:rFonts w:ascii="Times New Roman" w:hAnsi="Times New Roman" w:cs="Times New Roman"/>
          <w:i/>
          <w:iCs/>
          <w:color w:val="000000" w:themeColor="text1"/>
          <w:kern w:val="24"/>
          <w:sz w:val="24"/>
          <w:szCs w:val="24"/>
          <w:lang w:eastAsia="ja-JP"/>
        </w:rPr>
        <w:t>International Journal of Consumer Studies,</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44</w:t>
      </w:r>
      <w:r w:rsidRPr="00597FFB">
        <w:rPr>
          <w:rFonts w:ascii="Times New Roman" w:hAnsi="Times New Roman" w:cs="Times New Roman"/>
          <w:color w:val="000000" w:themeColor="text1"/>
          <w:kern w:val="24"/>
          <w:sz w:val="24"/>
          <w:szCs w:val="24"/>
          <w:lang w:eastAsia="ja-JP"/>
        </w:rPr>
        <w:t xml:space="preserve">(1), 33–43. </w:t>
      </w:r>
      <w:hyperlink r:id="rId47" w:history="1">
        <w:r w:rsidRPr="00597FFB">
          <w:rPr>
            <w:rFonts w:ascii="Times New Roman" w:hAnsi="Times New Roman" w:cs="Times New Roman"/>
            <w:color w:val="000000" w:themeColor="text1"/>
            <w:kern w:val="24"/>
            <w:sz w:val="24"/>
            <w:szCs w:val="24"/>
            <w:u w:val="single"/>
            <w:lang w:eastAsia="ja-JP"/>
          </w:rPr>
          <w:t>https://doi.org/10.1111/ijcs.12545</w:t>
        </w:r>
      </w:hyperlink>
      <w:r w:rsidRPr="00597FFB">
        <w:rPr>
          <w:rFonts w:ascii="Times New Roman" w:hAnsi="Times New Roman" w:cs="Times New Roman"/>
          <w:color w:val="000000" w:themeColor="text1"/>
          <w:kern w:val="24"/>
          <w:sz w:val="24"/>
          <w:szCs w:val="24"/>
          <w:lang w:eastAsia="ja-JP"/>
        </w:rPr>
        <w:t>.</w:t>
      </w:r>
    </w:p>
    <w:p w14:paraId="2247E63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MacLennan, K. (2020). </w:t>
      </w:r>
      <w:r w:rsidRPr="00597FFB">
        <w:rPr>
          <w:rFonts w:ascii="Times New Roman" w:eastAsia="SimSun" w:hAnsi="Times New Roman" w:cs="Times New Roman"/>
          <w:i/>
          <w:iCs/>
          <w:kern w:val="24"/>
          <w:sz w:val="24"/>
          <w:szCs w:val="24"/>
          <w:lang w:val="en-GB" w:eastAsia="ja-JP"/>
        </w:rPr>
        <w:t>Constructing the “Other”: Discursive Mechanisms at Play in the Sentencing of Post 9/11 Canadian Terrorism Cases</w:t>
      </w:r>
      <w:r w:rsidRPr="00597FFB">
        <w:rPr>
          <w:rFonts w:ascii="Times New Roman" w:eastAsia="SimSun" w:hAnsi="Times New Roman" w:cs="Times New Roman"/>
          <w:kern w:val="24"/>
          <w:sz w:val="24"/>
          <w:szCs w:val="24"/>
          <w:lang w:val="en-GB" w:eastAsia="ja-JP"/>
        </w:rPr>
        <w:t>. https://doi.org/10.20381/RUOR-24736</w:t>
      </w:r>
    </w:p>
    <w:p w14:paraId="3B58BA0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Maheswari, H., Yudoko, G., Adhiutama, A., &amp; Agustina, H. (2020). Sustainable reverse logistics scorecards for the performance measurement of informal e-waste businesses. </w:t>
      </w:r>
      <w:r w:rsidRPr="00597FFB">
        <w:rPr>
          <w:rFonts w:ascii="Times New Roman" w:eastAsia="Times New Roman" w:hAnsi="Times New Roman" w:cs="Times New Roman"/>
          <w:i/>
          <w:iCs/>
          <w:color w:val="000000" w:themeColor="text1"/>
          <w:sz w:val="24"/>
          <w:szCs w:val="24"/>
          <w:lang w:eastAsia="en-GB"/>
        </w:rPr>
        <w:t>Heliyon, 6</w:t>
      </w:r>
      <w:r w:rsidRPr="00597FFB">
        <w:rPr>
          <w:rFonts w:ascii="Times New Roman" w:eastAsia="Times New Roman" w:hAnsi="Times New Roman" w:cs="Times New Roman"/>
          <w:color w:val="000000" w:themeColor="text1"/>
          <w:sz w:val="24"/>
          <w:szCs w:val="24"/>
          <w:lang w:eastAsia="en-GB"/>
        </w:rPr>
        <w:t>(9), 1-12. doi:10.1016/j.heliyon.2020.e04834</w:t>
      </w:r>
    </w:p>
    <w:p w14:paraId="55E49E4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Mahmud, I., Sultana, S., Rahman, A., Ramayah, T., &amp; Cheng Ling, T. (2020). E-waste recycling intention paradigm of small and medium electronics store managers in Bangladesh: An S–O–R perspective. </w:t>
      </w:r>
      <w:r w:rsidRPr="00597FFB">
        <w:rPr>
          <w:rFonts w:ascii="Times New Roman" w:eastAsia="SimSun" w:hAnsi="Times New Roman" w:cs="Times New Roman"/>
          <w:i/>
          <w:iCs/>
          <w:kern w:val="24"/>
          <w:sz w:val="24"/>
          <w:szCs w:val="24"/>
          <w:lang w:val="en-GB" w:eastAsia="ja-JP"/>
        </w:rPr>
        <w:t>Waste Management &amp; Research: The Journal for a Sustainable Circular Economy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38</w:t>
      </w:r>
      <w:r w:rsidRPr="00597FFB">
        <w:rPr>
          <w:rFonts w:ascii="Times New Roman" w:eastAsia="SimSun" w:hAnsi="Times New Roman" w:cs="Times New Roman"/>
          <w:kern w:val="24"/>
          <w:sz w:val="24"/>
          <w:szCs w:val="24"/>
          <w:lang w:val="en-GB" w:eastAsia="ja-JP"/>
        </w:rPr>
        <w:t>(12), 1438–1449. https://doi.org/10.1177/0734242X20914753</w:t>
      </w:r>
    </w:p>
    <w:p w14:paraId="3E9871B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Mairizal, A. Q., Sembada, A. Y., Tse, K. M., &amp; Rhamdhani, M. A. (2021). Electronic waste generation, economic values, distribution map, and possible recycling system in Indonesia.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293</w:t>
      </w:r>
      <w:r w:rsidRPr="00597FFB">
        <w:rPr>
          <w:rFonts w:ascii="Times New Roman" w:eastAsia="SimSun" w:hAnsi="Times New Roman" w:cs="Times New Roman"/>
          <w:kern w:val="24"/>
          <w:sz w:val="24"/>
          <w:szCs w:val="24"/>
          <w:lang w:val="en-GB" w:eastAsia="ja-JP"/>
        </w:rPr>
        <w:t>, 126096. https://doi.org/10.1016/j.jclepro.2021.126096</w:t>
      </w:r>
    </w:p>
    <w:p w14:paraId="7950541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Maitre-Ekern, E., &amp; Dalhammar, C. (2019). Towards a hierarchy of consumption behaviour in the circular economy. </w:t>
      </w:r>
      <w:r w:rsidRPr="00597FFB">
        <w:rPr>
          <w:rFonts w:ascii="Times New Roman" w:eastAsia="SimSun" w:hAnsi="Times New Roman" w:cs="Times New Roman"/>
          <w:i/>
          <w:iCs/>
          <w:kern w:val="24"/>
          <w:sz w:val="24"/>
          <w:szCs w:val="24"/>
          <w:lang w:val="en-GB" w:eastAsia="ja-JP"/>
        </w:rPr>
        <w:t>Maastricht Journal of European and Comparative Law</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26</w:t>
      </w:r>
      <w:r w:rsidRPr="00597FFB">
        <w:rPr>
          <w:rFonts w:ascii="Times New Roman" w:eastAsia="SimSun" w:hAnsi="Times New Roman" w:cs="Times New Roman"/>
          <w:kern w:val="24"/>
          <w:sz w:val="24"/>
          <w:szCs w:val="24"/>
          <w:lang w:val="en-GB" w:eastAsia="ja-JP"/>
        </w:rPr>
        <w:t>(3), 394–420. https://doi.org/10.1177/1023263X19840943</w:t>
      </w:r>
    </w:p>
    <w:p w14:paraId="19B7274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Malhotra, N. K., Schaller, T. K., &amp; Patil, A. (2017). Common Method Variance in Advertising Research: When to Be Concerned and How to Control for It. </w:t>
      </w:r>
      <w:r w:rsidRPr="00597FFB">
        <w:rPr>
          <w:rFonts w:ascii="Times New Roman" w:eastAsia="SimSun" w:hAnsi="Times New Roman" w:cs="Times New Roman"/>
          <w:i/>
          <w:iCs/>
          <w:kern w:val="24"/>
          <w:sz w:val="24"/>
          <w:szCs w:val="24"/>
          <w:lang w:val="en-GB" w:eastAsia="ja-JP"/>
        </w:rPr>
        <w:t>Journal of Advertising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46</w:t>
      </w:r>
      <w:r w:rsidRPr="00597FFB">
        <w:rPr>
          <w:rFonts w:ascii="Times New Roman" w:eastAsia="SimSun" w:hAnsi="Times New Roman" w:cs="Times New Roman"/>
          <w:kern w:val="24"/>
          <w:sz w:val="24"/>
          <w:szCs w:val="24"/>
          <w:lang w:val="en-GB" w:eastAsia="ja-JP"/>
        </w:rPr>
        <w:t>(1), 193–212. https://doi.org/10.1080/00913367.2016.1252287</w:t>
      </w:r>
    </w:p>
    <w:p w14:paraId="226A09A3"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Malek, J., &amp; Desai, T. N. (2019). Prioritization of sustainable manufacturing barriers using Best Worst Method.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226</w:t>
      </w:r>
      <w:r w:rsidRPr="00597FFB">
        <w:rPr>
          <w:rFonts w:ascii="Times New Roman" w:eastAsia="Times New Roman" w:hAnsi="Times New Roman" w:cs="Times New Roman"/>
          <w:color w:val="000000" w:themeColor="text1"/>
          <w:sz w:val="24"/>
          <w:szCs w:val="24"/>
          <w:lang w:eastAsia="en-GB"/>
        </w:rPr>
        <w:t>, 589–600. https://doi.org/10.1016/j.jclepro.2019.04.056</w:t>
      </w:r>
    </w:p>
    <w:p w14:paraId="590072F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Malik, S. Y., Cao, Y., Mughal, Y. H., Kundi, G. M., Mughal, M. H., &amp; Ramayah, T. (2020). Pathways towards Sustainability in Organizations: Empirical Evidence on the Role of Green Human Resource Management Practices and Green Intellectual Capital.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(8), Article 8. https://doi.org/10.3390/su12083228</w:t>
      </w:r>
    </w:p>
    <w:p w14:paraId="0146D21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Malmqvist, J., Hellberg, K., Möllås, G., Rose, R., &amp; Shevlin, M. (2019). Conducting the Pilot Study: A Neglected Part of the Research Process? Methodological Findings Supporting the Importance of Piloting in Qualitative Research Studies. </w:t>
      </w:r>
      <w:r w:rsidRPr="00597FFB">
        <w:rPr>
          <w:rFonts w:ascii="Times New Roman" w:eastAsia="SimSun" w:hAnsi="Times New Roman" w:cs="Times New Roman"/>
          <w:i/>
          <w:iCs/>
          <w:kern w:val="24"/>
          <w:sz w:val="24"/>
          <w:szCs w:val="24"/>
          <w:lang w:val="en-GB" w:eastAsia="ja-JP"/>
        </w:rPr>
        <w:t>International Journal of Qualitative Methods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18</w:t>
      </w:r>
      <w:r w:rsidRPr="00597FFB">
        <w:rPr>
          <w:rFonts w:ascii="Times New Roman" w:eastAsia="SimSun" w:hAnsi="Times New Roman" w:cs="Times New Roman"/>
          <w:kern w:val="24"/>
          <w:sz w:val="24"/>
          <w:szCs w:val="24"/>
          <w:lang w:val="en-GB" w:eastAsia="ja-JP"/>
        </w:rPr>
        <w:t>, 160940691987834. https://doi.org/10.1177/1609406919878341</w:t>
      </w:r>
    </w:p>
    <w:p w14:paraId="4747F3F3" w14:textId="2F42F7A6"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Masud, M. H., Akram, W., Ahmed, A., Ananno, A. A., Mourshed, M., Hasan, M., &amp; Joardder, M. U. (2019). Towards the effective E-waste management in Bangladesh: A review. </w:t>
      </w:r>
      <w:r w:rsidRPr="00597FFB">
        <w:rPr>
          <w:rFonts w:ascii="Times New Roman" w:eastAsia="Times New Roman" w:hAnsi="Times New Roman" w:cs="Times New Roman"/>
          <w:i/>
          <w:iCs/>
          <w:color w:val="000000" w:themeColor="text1"/>
          <w:sz w:val="24"/>
          <w:szCs w:val="24"/>
          <w:lang w:eastAsia="en-GB"/>
        </w:rPr>
        <w:t>Environmental Science and Pollution Research, 26</w:t>
      </w:r>
      <w:r w:rsidRPr="00597FFB">
        <w:rPr>
          <w:rFonts w:ascii="Times New Roman" w:eastAsia="Times New Roman" w:hAnsi="Times New Roman" w:cs="Times New Roman"/>
          <w:color w:val="000000" w:themeColor="text1"/>
          <w:sz w:val="24"/>
          <w:szCs w:val="24"/>
          <w:lang w:eastAsia="en-GB"/>
        </w:rPr>
        <w:t>, 1250-1276.</w:t>
      </w:r>
    </w:p>
    <w:p w14:paraId="2E667F0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Mathieu, J. E., Luciano, M. M., D’Innocenzo, L., Klock, E. A., &amp; LePine, J. A. (2020). The Development and Construct Validity of a Team Processes Survey Measure. </w:t>
      </w:r>
      <w:r w:rsidRPr="00597FFB">
        <w:rPr>
          <w:rFonts w:ascii="Times New Roman" w:eastAsia="SimSun" w:hAnsi="Times New Roman" w:cs="Times New Roman"/>
          <w:i/>
          <w:iCs/>
          <w:kern w:val="24"/>
          <w:sz w:val="24"/>
          <w:szCs w:val="24"/>
          <w:lang w:val="en-GB" w:eastAsia="ja-JP"/>
        </w:rPr>
        <w:t>Organizational Research Methods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23</w:t>
      </w:r>
      <w:r w:rsidRPr="00597FFB">
        <w:rPr>
          <w:rFonts w:ascii="Times New Roman" w:eastAsia="SimSun" w:hAnsi="Times New Roman" w:cs="Times New Roman"/>
          <w:kern w:val="24"/>
          <w:sz w:val="24"/>
          <w:szCs w:val="24"/>
          <w:lang w:val="en-GB" w:eastAsia="ja-JP"/>
        </w:rPr>
        <w:t>(3), 399–431. https://doi.org/10.1177/1094428119840801</w:t>
      </w:r>
    </w:p>
    <w:p w14:paraId="2D23946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Matthay, E. C., Hagan, E., Gottlieb, L. M., Tan, M. L., Vlahov, D., Adler, N. E., &amp; Glymour, M. M. (2020). Alternative causal inference methods in population health research: Evaluating tradeoffs and triangulating evidence. </w:t>
      </w:r>
      <w:r w:rsidRPr="00597FFB">
        <w:rPr>
          <w:rFonts w:ascii="Times New Roman" w:eastAsia="SimSun" w:hAnsi="Times New Roman" w:cs="Times New Roman"/>
          <w:i/>
          <w:iCs/>
          <w:kern w:val="24"/>
          <w:sz w:val="24"/>
          <w:szCs w:val="24"/>
          <w:lang w:val="en-GB" w:eastAsia="ja-JP"/>
        </w:rPr>
        <w:t>SSM - Population Health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 100526. https://doi.org/10.1016/j.ssmph.2019.100526</w:t>
      </w:r>
    </w:p>
    <w:p w14:paraId="4901B027"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Mawed, M. (2020). Construction and demolition waste management in the UAE: Application and obstacles. </w:t>
      </w:r>
      <w:r w:rsidRPr="00597FFB">
        <w:rPr>
          <w:rFonts w:ascii="Times New Roman" w:eastAsia="Times New Roman" w:hAnsi="Times New Roman" w:cs="Times New Roman"/>
          <w:i/>
          <w:iCs/>
          <w:color w:val="000000" w:themeColor="text1"/>
          <w:sz w:val="24"/>
          <w:szCs w:val="24"/>
          <w:lang w:eastAsia="en-GB"/>
        </w:rPr>
        <w:t>International Journal of GEOMATE</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18</w:t>
      </w:r>
      <w:r w:rsidRPr="00597FFB">
        <w:rPr>
          <w:rFonts w:ascii="Times New Roman" w:eastAsia="Times New Roman" w:hAnsi="Times New Roman" w:cs="Times New Roman"/>
          <w:color w:val="000000" w:themeColor="text1"/>
          <w:sz w:val="24"/>
          <w:szCs w:val="24"/>
          <w:lang w:eastAsia="en-GB"/>
        </w:rPr>
        <w:t>(70). https://doi.org/10.21660/2020.70.45101</w:t>
      </w:r>
    </w:p>
    <w:p w14:paraId="60CF957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McRobert, C. J., Hill, J. C., Smale, T., Hay, E. M., &amp; van der Windt, D. A. (2018). A multi-modal recruitment strategy using social media and internet-mediated methods to recruit a multidisciplinary, international sample of clinicians to an online research study. </w:t>
      </w:r>
      <w:r w:rsidRPr="00597FFB">
        <w:rPr>
          <w:rFonts w:ascii="Times New Roman" w:eastAsia="SimSun" w:hAnsi="Times New Roman" w:cs="Times New Roman"/>
          <w:i/>
          <w:iCs/>
          <w:kern w:val="24"/>
          <w:sz w:val="24"/>
          <w:szCs w:val="24"/>
          <w:lang w:val="en-GB" w:eastAsia="ja-JP"/>
        </w:rPr>
        <w:t>PLOS ONE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(7), e0200184. https://doi.org/10.1371/journal.pone.0200184</w:t>
      </w:r>
    </w:p>
    <w:p w14:paraId="16A6EE0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Meng, B., Chua, B.-L., Ryu, H. B., &amp; Han, H. (2020). Volunteer tourism (VT) traveler behavior: Merging norm activation model and theory of planned behavior. </w:t>
      </w:r>
      <w:r w:rsidRPr="00597FFB">
        <w:rPr>
          <w:rFonts w:ascii="Times New Roman" w:eastAsia="SimSun" w:hAnsi="Times New Roman" w:cs="Times New Roman"/>
          <w:i/>
          <w:iCs/>
          <w:kern w:val="24"/>
          <w:sz w:val="24"/>
          <w:szCs w:val="24"/>
          <w:lang w:val="en-GB" w:eastAsia="ja-JP"/>
        </w:rPr>
        <w:t>Journal of Sustainable Tourism</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28</w:t>
      </w:r>
      <w:r w:rsidRPr="00597FFB">
        <w:rPr>
          <w:rFonts w:ascii="Times New Roman" w:eastAsia="SimSun" w:hAnsi="Times New Roman" w:cs="Times New Roman"/>
          <w:kern w:val="24"/>
          <w:sz w:val="24"/>
          <w:szCs w:val="24"/>
          <w:lang w:val="en-GB" w:eastAsia="ja-JP"/>
        </w:rPr>
        <w:t>(12), 1947–1969. https://doi.org/10.1080/09669582.2020.1778010</w:t>
      </w:r>
    </w:p>
    <w:p w14:paraId="1D0526B5"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Milfont, T. L., Richter, I., Sibley, C. G., Wilson, M. S., &amp; Fischer, R. (2013). Environmental consequences of the desire to dominate and be superior. </w:t>
      </w:r>
      <w:r w:rsidRPr="00597FFB">
        <w:rPr>
          <w:rFonts w:ascii="Times New Roman" w:hAnsi="Times New Roman" w:cs="Times New Roman"/>
          <w:i/>
          <w:iCs/>
          <w:color w:val="000000" w:themeColor="text1"/>
          <w:kern w:val="24"/>
          <w:sz w:val="24"/>
          <w:szCs w:val="24"/>
          <w:lang w:eastAsia="ja-JP"/>
        </w:rPr>
        <w:t>Personality and Social Psychology Bulletin</w:t>
      </w:r>
      <w:r w:rsidRPr="00597FFB">
        <w:rPr>
          <w:rFonts w:ascii="Times New Roman" w:hAnsi="Times New Roman" w:cs="Times New Roman"/>
          <w:color w:val="000000" w:themeColor="text1"/>
          <w:kern w:val="24"/>
          <w:sz w:val="24"/>
          <w:szCs w:val="24"/>
          <w:lang w:eastAsia="ja-JP"/>
        </w:rPr>
        <w:t>, </w:t>
      </w:r>
      <w:r w:rsidRPr="00597FFB">
        <w:rPr>
          <w:rFonts w:ascii="Times New Roman" w:hAnsi="Times New Roman" w:cs="Times New Roman"/>
          <w:i/>
          <w:iCs/>
          <w:color w:val="000000" w:themeColor="text1"/>
          <w:kern w:val="24"/>
          <w:sz w:val="24"/>
          <w:szCs w:val="24"/>
          <w:lang w:eastAsia="ja-JP"/>
        </w:rPr>
        <w:t>39</w:t>
      </w:r>
      <w:r w:rsidRPr="00597FFB">
        <w:rPr>
          <w:rFonts w:ascii="Times New Roman" w:hAnsi="Times New Roman" w:cs="Times New Roman"/>
          <w:color w:val="000000" w:themeColor="text1"/>
          <w:kern w:val="24"/>
          <w:sz w:val="24"/>
          <w:szCs w:val="24"/>
          <w:lang w:eastAsia="ja-JP"/>
        </w:rPr>
        <w:t>(9), 1127–1138. </w:t>
      </w:r>
      <w:hyperlink r:id="rId48" w:history="1">
        <w:r w:rsidRPr="00597FFB">
          <w:rPr>
            <w:rFonts w:ascii="Times New Roman" w:hAnsi="Times New Roman" w:cs="Times New Roman"/>
            <w:color w:val="000000" w:themeColor="text1"/>
            <w:kern w:val="24"/>
            <w:sz w:val="24"/>
            <w:szCs w:val="24"/>
            <w:u w:val="single"/>
            <w:lang w:eastAsia="ja-JP"/>
          </w:rPr>
          <w:t>https://doi.org/10.1177/0146167213490805</w:t>
        </w:r>
      </w:hyperlink>
    </w:p>
    <w:p w14:paraId="69AAA3C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Mhatre, P., &amp; Srivatsa, H. S. (2019). Modelling the purchase intention of millennial and Generation X consumers, towards refurbished mobile phones in India. </w:t>
      </w:r>
      <w:r w:rsidRPr="00597FFB">
        <w:rPr>
          <w:rFonts w:ascii="Times New Roman" w:eastAsia="Times New Roman" w:hAnsi="Times New Roman" w:cs="Times New Roman"/>
          <w:i/>
          <w:iCs/>
          <w:color w:val="000000" w:themeColor="text1"/>
          <w:sz w:val="24"/>
          <w:szCs w:val="24"/>
          <w:lang w:eastAsia="en-GB"/>
        </w:rPr>
        <w:t>International Journal of Green Economics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13</w:t>
      </w:r>
      <w:r w:rsidRPr="00597FFB">
        <w:rPr>
          <w:rFonts w:ascii="Times New Roman" w:eastAsia="Times New Roman" w:hAnsi="Times New Roman" w:cs="Times New Roman"/>
          <w:color w:val="000000" w:themeColor="text1"/>
          <w:sz w:val="24"/>
          <w:szCs w:val="24"/>
          <w:lang w:eastAsia="en-GB"/>
        </w:rPr>
        <w:t>(3/4), 257. https://doi.org/10.1504/IJGE.2019.104512</w:t>
      </w:r>
    </w:p>
    <w:p w14:paraId="5259E1B5"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Mhatre, P., Panchal, R., Singh, A., &amp; Bibyan, S. (2021). A systematic literature review on the circular economy initiatives in the European Union. </w:t>
      </w:r>
      <w:r w:rsidRPr="00597FFB">
        <w:rPr>
          <w:rFonts w:ascii="Times New Roman" w:eastAsia="Times New Roman" w:hAnsi="Times New Roman" w:cs="Times New Roman"/>
          <w:i/>
          <w:iCs/>
          <w:color w:val="000000" w:themeColor="text1"/>
          <w:sz w:val="24"/>
          <w:szCs w:val="24"/>
          <w:lang w:eastAsia="en-GB"/>
        </w:rPr>
        <w:t>Sustainable Production and Consumption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26</w:t>
      </w:r>
      <w:r w:rsidRPr="00597FFB">
        <w:rPr>
          <w:rFonts w:ascii="Times New Roman" w:eastAsia="Times New Roman" w:hAnsi="Times New Roman" w:cs="Times New Roman"/>
          <w:color w:val="000000" w:themeColor="text1"/>
          <w:sz w:val="24"/>
          <w:szCs w:val="24"/>
          <w:lang w:eastAsia="en-GB"/>
        </w:rPr>
        <w:t>, 187–202. https://doi.org/10.1016/j.spc.2020.09.008</w:t>
      </w:r>
    </w:p>
    <w:p w14:paraId="5D34C37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Miner, K. J., Rampedi, I. T., Ifegbesan, A. P., &amp; Machete, F. (2020). Survey on household awareness and willingness to participate in e-waste management in Jos, Plateau State, Nigeria. </w:t>
      </w:r>
      <w:r w:rsidRPr="00597FFB">
        <w:rPr>
          <w:rFonts w:ascii="Times New Roman" w:eastAsia="Times New Roman" w:hAnsi="Times New Roman" w:cs="Times New Roman"/>
          <w:i/>
          <w:iCs/>
          <w:color w:val="000000" w:themeColor="text1"/>
          <w:sz w:val="24"/>
          <w:szCs w:val="24"/>
          <w:lang w:eastAsia="en-GB"/>
        </w:rPr>
        <w:t>Sustainability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12</w:t>
      </w:r>
      <w:r w:rsidRPr="00597FFB">
        <w:rPr>
          <w:rFonts w:ascii="Times New Roman" w:eastAsia="Times New Roman" w:hAnsi="Times New Roman" w:cs="Times New Roman"/>
          <w:color w:val="000000" w:themeColor="text1"/>
          <w:sz w:val="24"/>
          <w:szCs w:val="24"/>
          <w:lang w:eastAsia="en-GB"/>
        </w:rPr>
        <w:t>(3), 1047. https://doi.org/10.3390/su12031047</w:t>
      </w:r>
    </w:p>
    <w:p w14:paraId="4C3C20A5"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Minton, E. A., Spielmann, N., Kahle, L. R., &amp; Kim, C.-H. (2018). The subjective norms of sustainable consumption: A cross-cultural exploration. </w:t>
      </w:r>
      <w:r w:rsidRPr="00597FFB">
        <w:rPr>
          <w:rFonts w:ascii="Times New Roman" w:eastAsia="Times New Roman" w:hAnsi="Times New Roman" w:cs="Times New Roman"/>
          <w:i/>
          <w:iCs/>
          <w:color w:val="000000" w:themeColor="text1"/>
          <w:sz w:val="24"/>
          <w:szCs w:val="24"/>
          <w:lang w:eastAsia="en-GB"/>
        </w:rPr>
        <w:t>Journal of Business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82</w:t>
      </w:r>
      <w:r w:rsidRPr="00597FFB">
        <w:rPr>
          <w:rFonts w:ascii="Times New Roman" w:eastAsia="Times New Roman" w:hAnsi="Times New Roman" w:cs="Times New Roman"/>
          <w:color w:val="000000" w:themeColor="text1"/>
          <w:sz w:val="24"/>
          <w:szCs w:val="24"/>
          <w:lang w:eastAsia="en-GB"/>
        </w:rPr>
        <w:t>, 400–408. https://doi.org/10.1016/j.jbusres.2016.12.031</w:t>
      </w:r>
    </w:p>
    <w:p w14:paraId="39BD476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Monzon, A., Julio, R., &amp; Garcia-Martinez, A. (2020). Hybrid methodology for improving response rates and data quality in mobility surveys. </w:t>
      </w:r>
      <w:r w:rsidRPr="00597FFB">
        <w:rPr>
          <w:rFonts w:ascii="Times New Roman" w:eastAsia="SimSun" w:hAnsi="Times New Roman" w:cs="Times New Roman"/>
          <w:i/>
          <w:iCs/>
          <w:kern w:val="24"/>
          <w:sz w:val="24"/>
          <w:szCs w:val="24"/>
          <w:lang w:val="en-GB" w:eastAsia="ja-JP"/>
        </w:rPr>
        <w:t>Travel Behaviour and Society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w:t>
      </w:r>
      <w:r w:rsidRPr="00597FFB">
        <w:rPr>
          <w:rFonts w:ascii="Times New Roman" w:eastAsia="SimSun" w:hAnsi="Times New Roman" w:cs="Times New Roman"/>
          <w:kern w:val="24"/>
          <w:sz w:val="24"/>
          <w:szCs w:val="24"/>
          <w:lang w:val="en-GB" w:eastAsia="ja-JP"/>
        </w:rPr>
        <w:t>, 155–164. https://doi.org/10.1016/j.tbs.2020.03.012</w:t>
      </w:r>
    </w:p>
    <w:p w14:paraId="2D696F72"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Mousavi, R., Chen, R., Kim, D. J., &amp; Chen, K. (2020). Effectiveness of privacy assurance mechanisms in users’ privacy protection on social networking sites from the perspective of protection motivation theory. </w:t>
      </w:r>
      <w:r w:rsidRPr="00597FFB">
        <w:rPr>
          <w:rFonts w:ascii="Times New Roman" w:eastAsia="Times New Roman" w:hAnsi="Times New Roman" w:cs="Times New Roman"/>
          <w:i/>
          <w:iCs/>
          <w:color w:val="000000"/>
          <w:sz w:val="24"/>
          <w:szCs w:val="24"/>
          <w:lang w:eastAsia="en-GB"/>
        </w:rPr>
        <w:t>Decision Support Systems</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135</w:t>
      </w:r>
      <w:r w:rsidRPr="00597FFB">
        <w:rPr>
          <w:rFonts w:ascii="Times New Roman" w:eastAsia="Times New Roman" w:hAnsi="Times New Roman" w:cs="Times New Roman"/>
          <w:color w:val="000000"/>
          <w:sz w:val="24"/>
          <w:szCs w:val="24"/>
          <w:lang w:eastAsia="en-GB"/>
        </w:rPr>
        <w:t>, 113323. https://doi.org/10.1016/j.dss.2020.113323</w:t>
      </w:r>
    </w:p>
    <w:p w14:paraId="40E53C42"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Muniandy, G., &amp; Anuar, M. M. (2020). Determinants of academicians recycling behaviour. </w:t>
      </w:r>
      <w:r w:rsidRPr="00597FFB">
        <w:rPr>
          <w:rFonts w:ascii="Times New Roman" w:hAnsi="Times New Roman" w:cs="Times New Roman"/>
          <w:i/>
          <w:iCs/>
          <w:color w:val="000000" w:themeColor="text1"/>
          <w:kern w:val="24"/>
          <w:sz w:val="24"/>
          <w:szCs w:val="24"/>
          <w:lang w:eastAsia="ja-JP"/>
        </w:rPr>
        <w:t>Management Science Letters, 10</w:t>
      </w:r>
      <w:r w:rsidRPr="00597FFB">
        <w:rPr>
          <w:rFonts w:ascii="Times New Roman" w:hAnsi="Times New Roman" w:cs="Times New Roman"/>
          <w:color w:val="000000" w:themeColor="text1"/>
          <w:kern w:val="24"/>
          <w:sz w:val="24"/>
          <w:szCs w:val="24"/>
          <w:lang w:eastAsia="ja-JP"/>
        </w:rPr>
        <w:t xml:space="preserve">, 1597–1606. </w:t>
      </w:r>
      <w:hyperlink r:id="rId49" w:history="1">
        <w:r w:rsidRPr="00597FFB">
          <w:rPr>
            <w:rFonts w:ascii="Times New Roman" w:hAnsi="Times New Roman" w:cs="Times New Roman"/>
            <w:color w:val="000000" w:themeColor="text1"/>
            <w:kern w:val="24"/>
            <w:sz w:val="24"/>
            <w:szCs w:val="24"/>
            <w:u w:val="single"/>
            <w:lang w:eastAsia="ja-JP"/>
          </w:rPr>
          <w:t>https://doi.org/10.5267/j.msl.2019.12.007</w:t>
        </w:r>
      </w:hyperlink>
    </w:p>
    <w:p w14:paraId="354593A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Nasrollahi, M., Beynaghi, A., Mohamady, F. M., &amp; Mozafari, M. (2020). Plastic packaging, recycling, and sustainable development. In W. Leal Filho, A. M. Azul, L. Brandli, P. G. özuyar, &amp; T. Wall (Eds.), </w:t>
      </w:r>
      <w:r w:rsidRPr="00597FFB">
        <w:rPr>
          <w:rFonts w:ascii="Times New Roman" w:eastAsia="Times New Roman" w:hAnsi="Times New Roman" w:cs="Times New Roman"/>
          <w:i/>
          <w:iCs/>
          <w:color w:val="000000" w:themeColor="text1"/>
          <w:sz w:val="24"/>
          <w:szCs w:val="24"/>
          <w:lang w:eastAsia="en-GB"/>
        </w:rPr>
        <w:t>Responsible consumption and production</w:t>
      </w:r>
      <w:r w:rsidRPr="00597FFB">
        <w:rPr>
          <w:rFonts w:ascii="Times New Roman" w:eastAsia="Times New Roman" w:hAnsi="Times New Roman" w:cs="Times New Roman"/>
          <w:color w:val="000000" w:themeColor="text1"/>
          <w:sz w:val="24"/>
          <w:szCs w:val="24"/>
          <w:lang w:eastAsia="en-GB"/>
        </w:rPr>
        <w:t xml:space="preserve"> (pp. 544–551). Springer International Publishing. https://doi.org/10.1007/978-3-319-95726-5_110</w:t>
      </w:r>
    </w:p>
    <w:p w14:paraId="493D77A8"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Newman, D. A. (2014). Missing data: Five practical guidelines. </w:t>
      </w:r>
      <w:r w:rsidRPr="00597FFB">
        <w:rPr>
          <w:rFonts w:ascii="Times New Roman" w:eastAsiaTheme="minorHAnsi" w:hAnsi="Times New Roman" w:cs="Times New Roman"/>
          <w:i/>
          <w:iCs/>
          <w:sz w:val="24"/>
          <w:szCs w:val="24"/>
        </w:rPr>
        <w:t>Organizational Research Methods, 17</w:t>
      </w:r>
      <w:r w:rsidRPr="00597FFB">
        <w:rPr>
          <w:rFonts w:ascii="Times New Roman" w:eastAsiaTheme="minorHAnsi" w:hAnsi="Times New Roman" w:cs="Times New Roman"/>
          <w:sz w:val="24"/>
          <w:szCs w:val="24"/>
        </w:rPr>
        <w:t xml:space="preserve">(4), 372-411. </w:t>
      </w:r>
      <w:hyperlink r:id="rId50" w:history="1">
        <w:r w:rsidRPr="00597FFB">
          <w:rPr>
            <w:rFonts w:ascii="Times New Roman" w:eastAsiaTheme="minorHAnsi" w:hAnsi="Times New Roman" w:cs="Times New Roman"/>
            <w:color w:val="0563C1" w:themeColor="hyperlink"/>
            <w:sz w:val="24"/>
            <w:szCs w:val="24"/>
            <w:u w:val="single"/>
          </w:rPr>
          <w:t>https://doi.org/</w:t>
        </w:r>
        <w:r w:rsidRPr="00597FFB">
          <w:rPr>
            <w:rFonts w:eastAsiaTheme="minorHAnsi"/>
            <w:color w:val="0563C1" w:themeColor="hyperlink"/>
            <w:u w:val="single"/>
          </w:rPr>
          <w:t xml:space="preserve"> </w:t>
        </w:r>
        <w:r w:rsidRPr="00597FFB">
          <w:rPr>
            <w:rFonts w:ascii="Times New Roman" w:eastAsiaTheme="minorHAnsi" w:hAnsi="Times New Roman" w:cs="Times New Roman"/>
            <w:color w:val="0563C1" w:themeColor="hyperlink"/>
            <w:sz w:val="24"/>
            <w:szCs w:val="24"/>
            <w:u w:val="single"/>
          </w:rPr>
          <w:t>10.1177/1094428114548590</w:t>
        </w:r>
      </w:hyperlink>
    </w:p>
    <w:p w14:paraId="56243EA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Ngan, S. L., How, B. S., Teng, S. Y., Promentilla, M. A. B., Yatim, P., Er, A. C., &amp; Lam, H. L. (2019). Prioritization of sustainability indicators for promoting the circular economy: The case of developing countries. </w:t>
      </w:r>
      <w:r w:rsidRPr="00597FFB">
        <w:rPr>
          <w:rFonts w:ascii="Times New Roman" w:eastAsia="Times New Roman" w:hAnsi="Times New Roman" w:cs="Times New Roman"/>
          <w:i/>
          <w:iCs/>
          <w:color w:val="000000" w:themeColor="text1"/>
          <w:sz w:val="24"/>
          <w:szCs w:val="24"/>
          <w:lang w:eastAsia="en-GB"/>
        </w:rPr>
        <w:t>Renewable and Sustainable Energy Reviews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111</w:t>
      </w:r>
      <w:r w:rsidRPr="00597FFB">
        <w:rPr>
          <w:rFonts w:ascii="Times New Roman" w:eastAsia="Times New Roman" w:hAnsi="Times New Roman" w:cs="Times New Roman"/>
          <w:color w:val="000000" w:themeColor="text1"/>
          <w:sz w:val="24"/>
          <w:szCs w:val="24"/>
          <w:lang w:eastAsia="en-GB"/>
        </w:rPr>
        <w:t>, 314–331. https://doi.org/10.1016/j.rser.2019.05.001</w:t>
      </w:r>
    </w:p>
    <w:p w14:paraId="47843F3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Ngozwana, N. (2018). Ethical Dilemmas in Qualitative Research Methodology: Researcher’s Reflections. </w:t>
      </w:r>
      <w:r w:rsidRPr="00597FFB">
        <w:rPr>
          <w:rFonts w:ascii="Times New Roman" w:eastAsia="SimSun" w:hAnsi="Times New Roman" w:cs="Times New Roman"/>
          <w:i/>
          <w:iCs/>
          <w:kern w:val="24"/>
          <w:sz w:val="24"/>
          <w:szCs w:val="24"/>
          <w:lang w:val="en-GB" w:eastAsia="ja-JP"/>
        </w:rPr>
        <w:t>International Journal of Educational Methodology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w:t>
      </w:r>
      <w:r w:rsidRPr="00597FFB">
        <w:rPr>
          <w:rFonts w:ascii="Times New Roman" w:eastAsia="SimSun" w:hAnsi="Times New Roman" w:cs="Times New Roman"/>
          <w:kern w:val="24"/>
          <w:sz w:val="24"/>
          <w:szCs w:val="24"/>
          <w:lang w:val="en-GB" w:eastAsia="ja-JP"/>
        </w:rPr>
        <w:t>(1), 19–28. https://doi.org/10.12973/ijem.4.1.19</w:t>
      </w:r>
    </w:p>
    <w:p w14:paraId="377B1EAA"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Nguyen, D. T., Tran, V. D., &amp; Ghafoor, A. (2022). The impact of COVID-19 lockdown on intention to follow preventive measures in Vietnam: Integrated Protection Motivation Theory and Theory Planed Behavior. </w:t>
      </w:r>
      <w:r w:rsidRPr="00597FFB">
        <w:rPr>
          <w:rFonts w:ascii="Times New Roman" w:hAnsi="Times New Roman" w:cs="Times New Roman"/>
          <w:i/>
          <w:iCs/>
          <w:color w:val="000000" w:themeColor="text1"/>
          <w:kern w:val="24"/>
          <w:sz w:val="24"/>
          <w:szCs w:val="24"/>
          <w:lang w:eastAsia="ja-JP"/>
        </w:rPr>
        <w:t>Cogent Business &amp; Management, 9</w:t>
      </w:r>
      <w:r w:rsidRPr="00597FFB">
        <w:rPr>
          <w:rFonts w:ascii="Times New Roman" w:hAnsi="Times New Roman" w:cs="Times New Roman"/>
          <w:color w:val="000000" w:themeColor="text1"/>
          <w:kern w:val="24"/>
          <w:sz w:val="24"/>
          <w:szCs w:val="24"/>
          <w:lang w:eastAsia="ja-JP"/>
        </w:rPr>
        <w:t xml:space="preserve">(1), 1-19. </w:t>
      </w:r>
      <w:hyperlink r:id="rId51" w:history="1">
        <w:r w:rsidRPr="00597FFB">
          <w:rPr>
            <w:rFonts w:ascii="Times New Roman" w:hAnsi="Times New Roman" w:cs="Times New Roman"/>
            <w:color w:val="000000" w:themeColor="text1"/>
            <w:kern w:val="24"/>
            <w:sz w:val="24"/>
            <w:szCs w:val="24"/>
            <w:u w:val="single"/>
            <w:lang w:eastAsia="ja-JP"/>
          </w:rPr>
          <w:t>https://doi.org/10.1080/23311975.2022.2054502</w:t>
        </w:r>
      </w:hyperlink>
      <w:r w:rsidRPr="00597FFB">
        <w:rPr>
          <w:rFonts w:ascii="Times New Roman" w:hAnsi="Times New Roman" w:cs="Times New Roman"/>
          <w:color w:val="000000" w:themeColor="text1"/>
          <w:kern w:val="24"/>
          <w:sz w:val="24"/>
          <w:szCs w:val="24"/>
          <w:lang w:eastAsia="ja-JP"/>
        </w:rPr>
        <w:t>.</w:t>
      </w:r>
    </w:p>
    <w:p w14:paraId="0954443E"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Nguyen, T. N., Lobo, A., &amp; Nguyen, B. K. (2018). Young consumers’ green purchase behaviour in an emerging market. </w:t>
      </w:r>
      <w:r w:rsidRPr="00597FFB">
        <w:rPr>
          <w:rFonts w:ascii="Times New Roman" w:hAnsi="Times New Roman" w:cs="Times New Roman"/>
          <w:i/>
          <w:iCs/>
          <w:color w:val="000000" w:themeColor="text1"/>
          <w:kern w:val="24"/>
          <w:sz w:val="24"/>
          <w:szCs w:val="24"/>
          <w:lang w:eastAsia="ja-JP"/>
        </w:rPr>
        <w:t>Journal of Strategic Marketing, 26</w:t>
      </w:r>
      <w:r w:rsidRPr="00597FFB">
        <w:rPr>
          <w:rFonts w:ascii="Times New Roman" w:hAnsi="Times New Roman" w:cs="Times New Roman"/>
          <w:color w:val="000000" w:themeColor="text1"/>
          <w:kern w:val="24"/>
          <w:sz w:val="24"/>
          <w:szCs w:val="24"/>
          <w:lang w:eastAsia="ja-JP"/>
        </w:rPr>
        <w:t xml:space="preserve">(7), 583–600. </w:t>
      </w:r>
      <w:hyperlink r:id="rId52" w:history="1">
        <w:r w:rsidRPr="00597FFB">
          <w:rPr>
            <w:rFonts w:ascii="Times New Roman" w:hAnsi="Times New Roman" w:cs="Times New Roman"/>
            <w:color w:val="000000" w:themeColor="text1"/>
            <w:kern w:val="24"/>
            <w:sz w:val="24"/>
            <w:szCs w:val="24"/>
            <w:u w:val="single"/>
            <w:lang w:eastAsia="ja-JP"/>
          </w:rPr>
          <w:t>https://doi.org/10.1080/0965254X.2017.1318946</w:t>
        </w:r>
      </w:hyperlink>
      <w:r w:rsidRPr="00597FFB">
        <w:rPr>
          <w:rFonts w:ascii="Times New Roman" w:hAnsi="Times New Roman" w:cs="Times New Roman"/>
          <w:color w:val="000000" w:themeColor="text1"/>
          <w:kern w:val="24"/>
          <w:sz w:val="24"/>
          <w:szCs w:val="24"/>
          <w:lang w:eastAsia="ja-JP"/>
        </w:rPr>
        <w:t>.</w:t>
      </w:r>
    </w:p>
    <w:p w14:paraId="00CAA1E5"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Nhamo, L., Mabhaudhi, T., Mpandeli, S., Dickens, C., Nhemachena, C., Senzanje, A., Naidoo, D., Liphadzi, S., &amp; Modi, A. T. (2020). An integrative analytical model for the water-energy-food nexus: South Africa case study. </w:t>
      </w:r>
      <w:r w:rsidRPr="00597FFB">
        <w:rPr>
          <w:rFonts w:ascii="Times New Roman" w:eastAsia="Times New Roman" w:hAnsi="Times New Roman" w:cs="Times New Roman"/>
          <w:i/>
          <w:iCs/>
          <w:color w:val="000000" w:themeColor="text1"/>
          <w:sz w:val="24"/>
          <w:szCs w:val="24"/>
          <w:lang w:eastAsia="en-GB"/>
        </w:rPr>
        <w:t>Environmental Science &amp; Policy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109</w:t>
      </w:r>
      <w:r w:rsidRPr="00597FFB">
        <w:rPr>
          <w:rFonts w:ascii="Times New Roman" w:eastAsia="Times New Roman" w:hAnsi="Times New Roman" w:cs="Times New Roman"/>
          <w:color w:val="000000" w:themeColor="text1"/>
          <w:sz w:val="24"/>
          <w:szCs w:val="24"/>
          <w:lang w:eastAsia="en-GB"/>
        </w:rPr>
        <w:t>, 15–24. https://doi.org/10.1016/j.envsci.2020.04.010</w:t>
      </w:r>
    </w:p>
    <w:p w14:paraId="78B17779"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Nicolau, J. L., Guix, M., Hernandez-Maskivker, G., &amp; Molenkamp, N. (2020). Millennials’ willingness to pay for green restaurants. </w:t>
      </w:r>
      <w:r w:rsidRPr="00597FFB">
        <w:rPr>
          <w:rFonts w:ascii="Times New Roman" w:eastAsia="Times New Roman" w:hAnsi="Times New Roman" w:cs="Times New Roman"/>
          <w:i/>
          <w:iCs/>
          <w:color w:val="000000" w:themeColor="text1"/>
          <w:sz w:val="24"/>
          <w:szCs w:val="24"/>
          <w:lang w:eastAsia="en-GB"/>
        </w:rPr>
        <w:t>International Journal of Hospitality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90</w:t>
      </w:r>
      <w:r w:rsidRPr="00597FFB">
        <w:rPr>
          <w:rFonts w:ascii="Times New Roman" w:eastAsia="Times New Roman" w:hAnsi="Times New Roman" w:cs="Times New Roman"/>
          <w:color w:val="000000" w:themeColor="text1"/>
          <w:sz w:val="24"/>
          <w:szCs w:val="24"/>
          <w:lang w:eastAsia="en-GB"/>
        </w:rPr>
        <w:t>, 102601. https://doi.org/10.1016/j.ijhm.2020.102601</w:t>
      </w:r>
    </w:p>
    <w:p w14:paraId="4B41606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Noriey, I. M., &amp; Javanmiri, M. S. (2021). The Relationship Between Flipped Learning And Pupils’ Performance: A Reflection On Alternative Philosophical Underpinnings. </w:t>
      </w:r>
      <w:r w:rsidRPr="00597FFB">
        <w:rPr>
          <w:rFonts w:ascii="Times New Roman" w:eastAsia="SimSun" w:hAnsi="Times New Roman" w:cs="Times New Roman"/>
          <w:i/>
          <w:iCs/>
          <w:kern w:val="24"/>
          <w:sz w:val="24"/>
          <w:szCs w:val="24"/>
          <w:lang w:val="en-GB" w:eastAsia="ja-JP"/>
        </w:rPr>
        <w:t>Journal of University of Human Development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7</w:t>
      </w:r>
      <w:r w:rsidRPr="00597FFB">
        <w:rPr>
          <w:rFonts w:ascii="Times New Roman" w:eastAsia="SimSun" w:hAnsi="Times New Roman" w:cs="Times New Roman"/>
          <w:kern w:val="24"/>
          <w:sz w:val="24"/>
          <w:szCs w:val="24"/>
          <w:lang w:val="en-GB" w:eastAsia="ja-JP"/>
        </w:rPr>
        <w:t>(3), 104–114. https://doi.org/10.21928/juhd.v7n3y2021.pp104-114</w:t>
      </w:r>
    </w:p>
    <w:p w14:paraId="261B658C"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Notani, A. (1998). Moderators of perceived behavioral control’s predictiveness in the Theory of Planned Behavior: A meta-analysis. </w:t>
      </w:r>
      <w:r w:rsidRPr="00597FFB">
        <w:rPr>
          <w:rFonts w:ascii="Times New Roman" w:hAnsi="Times New Roman" w:cs="Times New Roman"/>
          <w:i/>
          <w:iCs/>
          <w:color w:val="000000" w:themeColor="text1"/>
          <w:kern w:val="24"/>
          <w:sz w:val="24"/>
          <w:szCs w:val="24"/>
          <w:lang w:eastAsia="ja-JP"/>
        </w:rPr>
        <w:t>Journal of Consumer Psychology, 7</w:t>
      </w:r>
      <w:r w:rsidRPr="00597FFB">
        <w:rPr>
          <w:rFonts w:ascii="Times New Roman" w:hAnsi="Times New Roman" w:cs="Times New Roman"/>
          <w:color w:val="000000" w:themeColor="text1"/>
          <w:kern w:val="24"/>
          <w:sz w:val="24"/>
          <w:szCs w:val="24"/>
          <w:lang w:eastAsia="ja-JP"/>
        </w:rPr>
        <w:t xml:space="preserve">(3), 247–271. </w:t>
      </w:r>
      <w:hyperlink r:id="rId53" w:history="1">
        <w:r w:rsidRPr="00597FFB">
          <w:rPr>
            <w:rFonts w:ascii="Times New Roman" w:hAnsi="Times New Roman" w:cs="Times New Roman"/>
            <w:color w:val="000000" w:themeColor="text1"/>
            <w:kern w:val="24"/>
            <w:sz w:val="24"/>
            <w:szCs w:val="24"/>
            <w:u w:val="single"/>
            <w:lang w:eastAsia="ja-JP"/>
          </w:rPr>
          <w:t>https://doi.org/10.1207/s15327663jcp0703_02</w:t>
        </w:r>
      </w:hyperlink>
      <w:r w:rsidRPr="00597FFB">
        <w:rPr>
          <w:rFonts w:ascii="Times New Roman" w:hAnsi="Times New Roman" w:cs="Times New Roman"/>
          <w:color w:val="000000" w:themeColor="text1"/>
          <w:kern w:val="24"/>
          <w:sz w:val="24"/>
          <w:szCs w:val="24"/>
          <w:lang w:eastAsia="ja-JP"/>
        </w:rPr>
        <w:t>.</w:t>
      </w:r>
    </w:p>
    <w:p w14:paraId="04136C7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O’Brien, R. M., Phelan, T. J., Smith, N. M., &amp; Smits, K. M. (2021). Remediation in developing countries: A review of previously implemented projects and analysis of stakeholder participation efforts. </w:t>
      </w:r>
      <w:r w:rsidRPr="00597FFB">
        <w:rPr>
          <w:rFonts w:ascii="Times New Roman" w:eastAsia="Times New Roman" w:hAnsi="Times New Roman" w:cs="Times New Roman"/>
          <w:i/>
          <w:iCs/>
          <w:color w:val="000000" w:themeColor="text1"/>
          <w:sz w:val="24"/>
          <w:szCs w:val="24"/>
          <w:lang w:eastAsia="en-GB"/>
        </w:rPr>
        <w:t>Critical Reviews in Environmental Science and Technology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51</w:t>
      </w:r>
      <w:r w:rsidRPr="00597FFB">
        <w:rPr>
          <w:rFonts w:ascii="Times New Roman" w:eastAsia="Times New Roman" w:hAnsi="Times New Roman" w:cs="Times New Roman"/>
          <w:color w:val="000000" w:themeColor="text1"/>
          <w:sz w:val="24"/>
          <w:szCs w:val="24"/>
          <w:lang w:eastAsia="en-GB"/>
        </w:rPr>
        <w:t>(12), 1259–1280. https://doi.org/10.1080/10643389.2020.1755203</w:t>
      </w:r>
    </w:p>
    <w:p w14:paraId="78344147"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Onac, C., Kaya, A., Atar, N., Sener, I., &amp; Alpoguz, H. K. (2020). Superiority of modified polymeric membrane with nanomaterial on temperature and mechanical stability and application in industrial waste water. </w:t>
      </w:r>
      <w:r w:rsidRPr="00597FFB">
        <w:rPr>
          <w:rFonts w:ascii="Times New Roman" w:eastAsia="Times New Roman" w:hAnsi="Times New Roman" w:cs="Times New Roman"/>
          <w:i/>
          <w:iCs/>
          <w:color w:val="000000" w:themeColor="text1"/>
          <w:sz w:val="24"/>
          <w:szCs w:val="24"/>
          <w:lang w:eastAsia="en-GB"/>
        </w:rPr>
        <w:t>ECS Journal of Solid State Science and Technology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9</w:t>
      </w:r>
      <w:r w:rsidRPr="00597FFB">
        <w:rPr>
          <w:rFonts w:ascii="Times New Roman" w:eastAsia="Times New Roman" w:hAnsi="Times New Roman" w:cs="Times New Roman"/>
          <w:color w:val="000000" w:themeColor="text1"/>
          <w:sz w:val="24"/>
          <w:szCs w:val="24"/>
          <w:lang w:eastAsia="en-GB"/>
        </w:rPr>
        <w:t>(6), 061019. https://doi.org/10.1149/2162-8777/aba725</w:t>
      </w:r>
    </w:p>
    <w:p w14:paraId="07B9484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Oke, A., &amp; Kruijsen, J. (2016). The importance of specific recycling information in designing a waste management scheme. </w:t>
      </w:r>
      <w:r w:rsidRPr="00597FFB">
        <w:rPr>
          <w:rFonts w:ascii="Times New Roman" w:hAnsi="Times New Roman" w:cs="Times New Roman"/>
          <w:i/>
          <w:iCs/>
          <w:color w:val="000000" w:themeColor="text1"/>
          <w:kern w:val="24"/>
          <w:sz w:val="24"/>
          <w:szCs w:val="24"/>
          <w:lang w:eastAsia="ja-JP"/>
        </w:rPr>
        <w:t>Recycling, 1</w:t>
      </w:r>
      <w:r w:rsidRPr="00597FFB">
        <w:rPr>
          <w:rFonts w:ascii="Times New Roman" w:hAnsi="Times New Roman" w:cs="Times New Roman"/>
          <w:color w:val="000000" w:themeColor="text1"/>
          <w:kern w:val="24"/>
          <w:sz w:val="24"/>
          <w:szCs w:val="24"/>
          <w:lang w:eastAsia="ja-JP"/>
        </w:rPr>
        <w:t xml:space="preserve">, 271–285. </w:t>
      </w:r>
      <w:hyperlink r:id="rId54" w:history="1">
        <w:r w:rsidRPr="00597FFB">
          <w:rPr>
            <w:rFonts w:ascii="Times New Roman" w:hAnsi="Times New Roman" w:cs="Times New Roman"/>
            <w:color w:val="000000" w:themeColor="text1"/>
            <w:kern w:val="24"/>
            <w:sz w:val="24"/>
            <w:szCs w:val="24"/>
            <w:u w:val="single"/>
            <w:lang w:eastAsia="ja-JP"/>
          </w:rPr>
          <w:t>https://doi.org/10.3390/recycling1020271</w:t>
        </w:r>
      </w:hyperlink>
    </w:p>
    <w:p w14:paraId="6A161BC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Onyara, V. (2020). E-Waste as Perceived by Different World Economies: Critical Review of Literature. </w:t>
      </w:r>
      <w:r w:rsidRPr="00597FFB">
        <w:rPr>
          <w:rFonts w:ascii="Times New Roman" w:eastAsia="SimSun" w:hAnsi="Times New Roman" w:cs="Times New Roman"/>
          <w:i/>
          <w:iCs/>
          <w:kern w:val="24"/>
          <w:sz w:val="24"/>
          <w:szCs w:val="24"/>
          <w:lang w:val="en-GB" w:eastAsia="ja-JP"/>
        </w:rPr>
        <w:t>International Journal of Current Aspects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w:t>
      </w:r>
      <w:r w:rsidRPr="00597FFB">
        <w:rPr>
          <w:rFonts w:ascii="Times New Roman" w:eastAsia="SimSun" w:hAnsi="Times New Roman" w:cs="Times New Roman"/>
          <w:kern w:val="24"/>
          <w:sz w:val="24"/>
          <w:szCs w:val="24"/>
          <w:lang w:val="en-GB" w:eastAsia="ja-JP"/>
        </w:rPr>
        <w:t>(1), Article 1. https://doi.org/10.35942/ijcab.v4i1.106</w:t>
      </w:r>
    </w:p>
    <w:p w14:paraId="6D33F77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Ouda, M., Kadadou, D., Swaidan, B., Al-Othman, A., Al-Asheh, S., Banat, F., &amp; Hasan, S. W. (2021). Emerging contaminants in the water bodies of the Middle East and North Africa (MENA): A critical review. </w:t>
      </w:r>
      <w:r w:rsidRPr="00597FFB">
        <w:rPr>
          <w:rFonts w:ascii="Times New Roman" w:eastAsia="SimSun" w:hAnsi="Times New Roman" w:cs="Times New Roman"/>
          <w:i/>
          <w:iCs/>
          <w:kern w:val="24"/>
          <w:sz w:val="24"/>
          <w:szCs w:val="24"/>
          <w:lang w:val="en-GB" w:eastAsia="ja-JP"/>
        </w:rPr>
        <w:t>Science of The Total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754</w:t>
      </w:r>
      <w:r w:rsidRPr="00597FFB">
        <w:rPr>
          <w:rFonts w:ascii="Times New Roman" w:eastAsia="SimSun" w:hAnsi="Times New Roman" w:cs="Times New Roman"/>
          <w:kern w:val="24"/>
          <w:sz w:val="24"/>
          <w:szCs w:val="24"/>
          <w:lang w:val="en-GB" w:eastAsia="ja-JP"/>
        </w:rPr>
        <w:t>, 142177. https://doi.org/10.1016/j.scitotenv.2020.142177</w:t>
      </w:r>
    </w:p>
    <w:p w14:paraId="7DAA1C3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Oudah, M., Jabeen, F., &amp; Dixon, C. (2018). Determinants Linked to Family Business Sustainability in the UAE: An AHP Approach.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w:t>
      </w:r>
      <w:r w:rsidRPr="00597FFB">
        <w:rPr>
          <w:rFonts w:ascii="Times New Roman" w:eastAsia="SimSun" w:hAnsi="Times New Roman" w:cs="Times New Roman"/>
          <w:kern w:val="24"/>
          <w:sz w:val="24"/>
          <w:szCs w:val="24"/>
          <w:lang w:val="en-GB" w:eastAsia="ja-JP"/>
        </w:rPr>
        <w:t>(1), Article 1. https://doi.org/10.3390/su10010246</w:t>
      </w:r>
    </w:p>
    <w:p w14:paraId="020A92C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Pallant, J. (2020). </w:t>
      </w:r>
      <w:r w:rsidRPr="00597FFB">
        <w:rPr>
          <w:rFonts w:ascii="Times New Roman" w:eastAsia="SimSun" w:hAnsi="Times New Roman" w:cs="Times New Roman"/>
          <w:i/>
          <w:iCs/>
          <w:kern w:val="24"/>
          <w:sz w:val="24"/>
          <w:szCs w:val="24"/>
          <w:lang w:val="en-GB" w:eastAsia="ja-JP"/>
        </w:rPr>
        <w:t>SPSS Survival Manual: A Step by Step Guide to Data Analysis Using IBM SPSS</w:t>
      </w:r>
      <w:r w:rsidRPr="00597FFB">
        <w:rPr>
          <w:rFonts w:ascii="Times New Roman" w:eastAsia="SimSun" w:hAnsi="Times New Roman" w:cs="Times New Roman"/>
          <w:kern w:val="24"/>
          <w:sz w:val="24"/>
          <w:szCs w:val="24"/>
          <w:lang w:val="en-GB" w:eastAsia="ja-JP"/>
        </w:rPr>
        <w:t xml:space="preserve"> (7th ed.). Routledge. https://doi.org/10.4324/9781003117452</w:t>
      </w:r>
    </w:p>
    <w:p w14:paraId="6AAC9EF2"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Pakmehr, S., Yazdanpanah, M., &amp; Baradaran, M. (2021). Explaining farmers’ response to climate change</w:t>
      </w:r>
      <w:r w:rsidRPr="00597FFB">
        <w:rPr>
          <w:rFonts w:ascii="Times New Roman" w:hAnsi="Times New Roman" w:cs="Times New Roman"/>
          <w:color w:val="000000" w:themeColor="text1"/>
          <w:kern w:val="24"/>
          <w:sz w:val="24"/>
          <w:szCs w:val="24"/>
          <w:lang w:eastAsia="ja-JP"/>
        </w:rPr>
        <w:noBreakHyphen/>
        <w:t xml:space="preserve">induced water stress through cognitive theory of stress: an Iranian perspective. </w:t>
      </w:r>
      <w:r w:rsidRPr="00597FFB">
        <w:rPr>
          <w:rFonts w:ascii="Times New Roman" w:hAnsi="Times New Roman" w:cs="Times New Roman"/>
          <w:i/>
          <w:iCs/>
          <w:color w:val="000000" w:themeColor="text1"/>
          <w:kern w:val="24"/>
          <w:sz w:val="24"/>
          <w:szCs w:val="24"/>
          <w:lang w:eastAsia="ja-JP"/>
        </w:rPr>
        <w:t>Environment, Development and Sustainability, 23</w:t>
      </w:r>
      <w:r w:rsidRPr="00597FFB">
        <w:rPr>
          <w:rFonts w:ascii="Times New Roman" w:hAnsi="Times New Roman" w:cs="Times New Roman"/>
          <w:color w:val="000000" w:themeColor="text1"/>
          <w:kern w:val="24"/>
          <w:sz w:val="24"/>
          <w:szCs w:val="24"/>
          <w:lang w:eastAsia="ja-JP"/>
        </w:rPr>
        <w:t xml:space="preserve">, 5776–5793. </w:t>
      </w:r>
      <w:hyperlink r:id="rId55" w:history="1">
        <w:r w:rsidRPr="00597FFB">
          <w:rPr>
            <w:rFonts w:ascii="Times New Roman" w:hAnsi="Times New Roman" w:cs="Times New Roman"/>
            <w:color w:val="000000" w:themeColor="text1"/>
            <w:kern w:val="24"/>
            <w:sz w:val="24"/>
            <w:szCs w:val="24"/>
            <w:u w:val="single"/>
            <w:lang w:eastAsia="ja-JP"/>
          </w:rPr>
          <w:t>https://doi.org/10.1007/s10668-020-00846-3</w:t>
        </w:r>
      </w:hyperlink>
    </w:p>
    <w:p w14:paraId="7B5AA9E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Panchal, R., Singh, A., &amp; Diwan, H. (2021). Economic potential of recycling e-waste in India and its impact on import of materials. </w:t>
      </w:r>
      <w:r w:rsidRPr="00597FFB">
        <w:rPr>
          <w:rFonts w:ascii="Times New Roman" w:eastAsia="Times New Roman" w:hAnsi="Times New Roman" w:cs="Times New Roman"/>
          <w:i/>
          <w:iCs/>
          <w:color w:val="000000" w:themeColor="text1"/>
          <w:sz w:val="24"/>
          <w:szCs w:val="24"/>
          <w:lang w:eastAsia="en-GB"/>
        </w:rPr>
        <w:t>Resources Policy, 74</w:t>
      </w:r>
      <w:r w:rsidRPr="00597FFB">
        <w:rPr>
          <w:rFonts w:ascii="Times New Roman" w:eastAsia="Times New Roman" w:hAnsi="Times New Roman" w:cs="Times New Roman"/>
          <w:color w:val="000000" w:themeColor="text1"/>
          <w:sz w:val="24"/>
          <w:szCs w:val="24"/>
          <w:lang w:eastAsia="en-GB"/>
        </w:rPr>
        <w:t>, 1-16.</w:t>
      </w:r>
    </w:p>
    <w:p w14:paraId="603489F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Pandey, P., &amp; Pandey, M. M. (2015). </w:t>
      </w:r>
      <w:r w:rsidRPr="00597FFB">
        <w:rPr>
          <w:rFonts w:ascii="Times New Roman" w:eastAsia="SimSun" w:hAnsi="Times New Roman" w:cs="Times New Roman"/>
          <w:i/>
          <w:iCs/>
          <w:kern w:val="24"/>
          <w:sz w:val="24"/>
          <w:szCs w:val="24"/>
          <w:lang w:val="en-GB" w:eastAsia="ja-JP"/>
        </w:rPr>
        <w:t>Research methodology: Tools &amp; techniques</w:t>
      </w:r>
      <w:r w:rsidRPr="00597FFB">
        <w:rPr>
          <w:rFonts w:ascii="Times New Roman" w:eastAsia="SimSun" w:hAnsi="Times New Roman" w:cs="Times New Roman"/>
          <w:kern w:val="24"/>
          <w:sz w:val="24"/>
          <w:szCs w:val="24"/>
          <w:lang w:val="en-GB" w:eastAsia="ja-JP"/>
        </w:rPr>
        <w:t>.</w:t>
      </w:r>
    </w:p>
    <w:p w14:paraId="5A9D7F3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Panwanitdumrong, K., &amp; Chen, C.-L. (2021). Investigating factors influencing tourists’ environmentally responsible behavior with extended theory of planned behavior for coastal tourism in Thailand. </w:t>
      </w:r>
      <w:r w:rsidRPr="00597FFB">
        <w:rPr>
          <w:rFonts w:ascii="Times New Roman" w:eastAsia="SimSun" w:hAnsi="Times New Roman" w:cs="Times New Roman"/>
          <w:i/>
          <w:iCs/>
          <w:kern w:val="24"/>
          <w:sz w:val="24"/>
          <w:szCs w:val="24"/>
          <w:lang w:val="en-GB" w:eastAsia="ja-JP"/>
        </w:rPr>
        <w:t>Marine Pollution Bulletin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169</w:t>
      </w:r>
      <w:r w:rsidRPr="00597FFB">
        <w:rPr>
          <w:rFonts w:ascii="Times New Roman" w:eastAsia="SimSun" w:hAnsi="Times New Roman" w:cs="Times New Roman"/>
          <w:kern w:val="24"/>
          <w:sz w:val="24"/>
          <w:szCs w:val="24"/>
          <w:lang w:val="en-GB" w:eastAsia="ja-JP"/>
        </w:rPr>
        <w:t>, 112507. https://doi.org/10.1016/j.marpolbul.2021.112507</w:t>
      </w:r>
    </w:p>
    <w:p w14:paraId="6725C9C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Park, H. J., &amp; Lin, L. M. (2020). Exploring attitude–behavior gap in sustainable consumption: Comparison of recycled and upcycled fashion products. </w:t>
      </w:r>
      <w:r w:rsidRPr="00597FFB">
        <w:rPr>
          <w:rFonts w:ascii="Times New Roman" w:eastAsia="Times New Roman" w:hAnsi="Times New Roman" w:cs="Times New Roman"/>
          <w:i/>
          <w:iCs/>
          <w:color w:val="000000" w:themeColor="text1"/>
          <w:sz w:val="24"/>
          <w:szCs w:val="24"/>
          <w:lang w:eastAsia="en-GB"/>
        </w:rPr>
        <w:t>Journal of Business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117</w:t>
      </w:r>
      <w:r w:rsidRPr="00597FFB">
        <w:rPr>
          <w:rFonts w:ascii="Times New Roman" w:eastAsia="Times New Roman" w:hAnsi="Times New Roman" w:cs="Times New Roman"/>
          <w:color w:val="000000" w:themeColor="text1"/>
          <w:sz w:val="24"/>
          <w:szCs w:val="24"/>
          <w:lang w:eastAsia="en-GB"/>
        </w:rPr>
        <w:t>, 623–628. https://doi.org/10.1016/j.jbusres.2018.08.025</w:t>
      </w:r>
    </w:p>
    <w:p w14:paraId="2FB9BF1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Park, Y. S., Konge, L., &amp; Artino, A. R. (2020). The Positivism Paradigm of Research: </w:t>
      </w:r>
      <w:r w:rsidRPr="00597FFB">
        <w:rPr>
          <w:rFonts w:ascii="Times New Roman" w:eastAsia="SimSun" w:hAnsi="Times New Roman" w:cs="Times New Roman"/>
          <w:i/>
          <w:iCs/>
          <w:kern w:val="24"/>
          <w:sz w:val="24"/>
          <w:szCs w:val="24"/>
          <w:lang w:val="en-GB" w:eastAsia="ja-JP"/>
        </w:rPr>
        <w:t>Academic Medicine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95</w:t>
      </w:r>
      <w:r w:rsidRPr="00597FFB">
        <w:rPr>
          <w:rFonts w:ascii="Times New Roman" w:eastAsia="SimSun" w:hAnsi="Times New Roman" w:cs="Times New Roman"/>
          <w:kern w:val="24"/>
          <w:sz w:val="24"/>
          <w:szCs w:val="24"/>
          <w:lang w:val="en-GB" w:eastAsia="ja-JP"/>
        </w:rPr>
        <w:t>(5), 690–694. https://doi.org/10.1097/ACM.0000000000003093</w:t>
      </w:r>
    </w:p>
    <w:p w14:paraId="03E598C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Parlangeli, O., Guidi, S., Marchigiani, E., Bracci, M., &amp; Liston, P. M. (2020). Perceptions of Work-Related Stress and Ethical Misconduct Amongst Non-tenured Researchers in Italy. </w:t>
      </w:r>
      <w:r w:rsidRPr="00597FFB">
        <w:rPr>
          <w:rFonts w:ascii="Times New Roman" w:eastAsia="SimSun" w:hAnsi="Times New Roman" w:cs="Times New Roman"/>
          <w:i/>
          <w:iCs/>
          <w:kern w:val="24"/>
          <w:sz w:val="24"/>
          <w:szCs w:val="24"/>
          <w:lang w:val="en-GB" w:eastAsia="ja-JP"/>
        </w:rPr>
        <w:t>Science and Engineering Ethics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26</w:t>
      </w:r>
      <w:r w:rsidRPr="00597FFB">
        <w:rPr>
          <w:rFonts w:ascii="Times New Roman" w:eastAsia="SimSun" w:hAnsi="Times New Roman" w:cs="Times New Roman"/>
          <w:kern w:val="24"/>
          <w:sz w:val="24"/>
          <w:szCs w:val="24"/>
          <w:lang w:val="en-GB" w:eastAsia="ja-JP"/>
        </w:rPr>
        <w:t>(1), 159–181. https://doi.org/10.1007/s11948-019-00091-6</w:t>
      </w:r>
    </w:p>
    <w:p w14:paraId="1A21AFB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Pencarelli, T., Ali Taha, V., Škerháková, V., Valentiny, T., &amp; Fedorko, R. (2019). Luxury Products and Sustainability Issues from the Perspective of Young Italian Consumers.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(1), 245. https://doi.org/10.3390/su12010245</w:t>
      </w:r>
    </w:p>
    <w:p w14:paraId="195F5255"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Perugini, M., &amp; Bagozzi, R. P. (2001). The role of desires and anticipated emotions in goal-directed behaviours: Broadening and deepening the Theory of Planned Behaviour.” </w:t>
      </w:r>
      <w:r w:rsidRPr="00597FFB">
        <w:rPr>
          <w:rFonts w:ascii="Times New Roman" w:hAnsi="Times New Roman" w:cs="Times New Roman"/>
          <w:i/>
          <w:iCs/>
          <w:color w:val="000000" w:themeColor="text1"/>
          <w:kern w:val="24"/>
          <w:sz w:val="24"/>
          <w:szCs w:val="24"/>
          <w:lang w:eastAsia="ja-JP"/>
        </w:rPr>
        <w:t>British Journal of Social Psychology, 40</w:t>
      </w:r>
      <w:r w:rsidRPr="00597FFB">
        <w:rPr>
          <w:rFonts w:ascii="Times New Roman" w:hAnsi="Times New Roman" w:cs="Times New Roman"/>
          <w:color w:val="000000" w:themeColor="text1"/>
          <w:kern w:val="24"/>
          <w:sz w:val="24"/>
          <w:szCs w:val="24"/>
          <w:lang w:eastAsia="ja-JP"/>
        </w:rPr>
        <w:t xml:space="preserve">(1), 79–98. </w:t>
      </w:r>
      <w:hyperlink r:id="rId56" w:history="1">
        <w:r w:rsidRPr="00597FFB">
          <w:rPr>
            <w:rFonts w:ascii="Times New Roman" w:hAnsi="Times New Roman" w:cs="Times New Roman"/>
            <w:color w:val="000000" w:themeColor="text1"/>
            <w:kern w:val="24"/>
            <w:sz w:val="24"/>
            <w:szCs w:val="24"/>
            <w:u w:val="single"/>
            <w:lang w:eastAsia="ja-JP"/>
          </w:rPr>
          <w:t>https://doi.org/10.1348/014466601164704</w:t>
        </w:r>
      </w:hyperlink>
      <w:r w:rsidRPr="00597FFB">
        <w:rPr>
          <w:rFonts w:ascii="Times New Roman" w:hAnsi="Times New Roman" w:cs="Times New Roman"/>
          <w:color w:val="000000" w:themeColor="text1"/>
          <w:kern w:val="24"/>
          <w:sz w:val="24"/>
          <w:szCs w:val="24"/>
          <w:lang w:eastAsia="ja-JP"/>
        </w:rPr>
        <w:t>.</w:t>
      </w:r>
    </w:p>
    <w:p w14:paraId="3422BDAE" w14:textId="7E0CFE0C" w:rsidR="007562B3" w:rsidRPr="00597FFB" w:rsidRDefault="007562B3" w:rsidP="00C610DB">
      <w:pPr>
        <w:widowControl w:val="0"/>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 xml:space="preserve">Phulwani, P. R., Kumar, D., &amp; Goyal, P. (2021). From systematic literature review to a conceptual framework for consumer disposal behavior towards personal communication devices. </w:t>
      </w:r>
      <w:r w:rsidRPr="00597FFB">
        <w:rPr>
          <w:rFonts w:ascii="Times New Roman" w:eastAsia="Times New Roman" w:hAnsi="Times New Roman" w:cs="Times New Roman"/>
          <w:i/>
          <w:iCs/>
          <w:color w:val="000000"/>
          <w:kern w:val="24"/>
          <w:sz w:val="24"/>
          <w:szCs w:val="24"/>
          <w:lang w:eastAsia="ja-JP"/>
        </w:rPr>
        <w:t>Journal of Consumer Behavior</w:t>
      </w:r>
      <w:r w:rsidRPr="00597FFB">
        <w:rPr>
          <w:rFonts w:ascii="Times New Roman" w:eastAsia="Times New Roman" w:hAnsi="Times New Roman" w:cs="Times New Roman"/>
          <w:color w:val="000000"/>
          <w:kern w:val="24"/>
          <w:sz w:val="24"/>
          <w:szCs w:val="24"/>
          <w:lang w:eastAsia="ja-JP"/>
        </w:rPr>
        <w:t xml:space="preserve">, </w:t>
      </w:r>
      <w:r w:rsidRPr="00597FFB">
        <w:rPr>
          <w:rFonts w:ascii="Times New Roman" w:eastAsia="Times New Roman" w:hAnsi="Times New Roman" w:cs="Times New Roman"/>
          <w:i/>
          <w:iCs/>
          <w:color w:val="000000"/>
          <w:kern w:val="24"/>
          <w:sz w:val="24"/>
          <w:szCs w:val="24"/>
          <w:lang w:eastAsia="ja-JP"/>
        </w:rPr>
        <w:t>20</w:t>
      </w:r>
      <w:r w:rsidRPr="00597FFB">
        <w:rPr>
          <w:rFonts w:ascii="Times New Roman" w:eastAsia="Times New Roman" w:hAnsi="Times New Roman" w:cs="Times New Roman"/>
          <w:color w:val="000000"/>
          <w:kern w:val="24"/>
          <w:sz w:val="24"/>
          <w:szCs w:val="24"/>
          <w:lang w:eastAsia="ja-JP"/>
        </w:rPr>
        <w:t xml:space="preserve">(5), 1353-1370. </w:t>
      </w:r>
      <w:hyperlink r:id="rId57" w:history="1">
        <w:r w:rsidRPr="00597FFB">
          <w:rPr>
            <w:rFonts w:ascii="Times New Roman" w:eastAsia="Times New Roman" w:hAnsi="Times New Roman" w:cs="Times New Roman"/>
            <w:color w:val="000000"/>
            <w:kern w:val="24"/>
            <w:sz w:val="24"/>
            <w:szCs w:val="24"/>
            <w:u w:val="single"/>
            <w:lang w:eastAsia="ja-JP"/>
          </w:rPr>
          <w:t>https://doi.org/10.1002/cb.1940</w:t>
        </w:r>
      </w:hyperlink>
      <w:r w:rsidRPr="00597FFB">
        <w:rPr>
          <w:rFonts w:ascii="Times New Roman" w:eastAsia="Times New Roman" w:hAnsi="Times New Roman" w:cs="Times New Roman"/>
          <w:color w:val="000000"/>
          <w:kern w:val="24"/>
          <w:sz w:val="24"/>
          <w:szCs w:val="24"/>
          <w:lang w:eastAsia="ja-JP"/>
        </w:rPr>
        <w:t>.</w:t>
      </w:r>
    </w:p>
    <w:p w14:paraId="33D381AC"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Newman, D. A. (2014). Missing data: Five practical guidelines. </w:t>
      </w:r>
      <w:r w:rsidRPr="00597FFB">
        <w:rPr>
          <w:rFonts w:ascii="Times New Roman" w:eastAsiaTheme="minorHAnsi" w:hAnsi="Times New Roman" w:cs="Times New Roman"/>
          <w:i/>
          <w:iCs/>
          <w:sz w:val="24"/>
          <w:szCs w:val="24"/>
        </w:rPr>
        <w:t>Organizational Research Methods, 17</w:t>
      </w:r>
      <w:r w:rsidRPr="00597FFB">
        <w:rPr>
          <w:rFonts w:ascii="Times New Roman" w:eastAsiaTheme="minorHAnsi" w:hAnsi="Times New Roman" w:cs="Times New Roman"/>
          <w:sz w:val="24"/>
          <w:szCs w:val="24"/>
        </w:rPr>
        <w:t xml:space="preserve">(4), 372-411. </w:t>
      </w:r>
      <w:hyperlink r:id="rId58" w:history="1">
        <w:r w:rsidRPr="00597FFB">
          <w:rPr>
            <w:rFonts w:ascii="Times New Roman" w:eastAsiaTheme="minorHAnsi" w:hAnsi="Times New Roman" w:cs="Times New Roman"/>
            <w:color w:val="0563C1" w:themeColor="hyperlink"/>
            <w:sz w:val="24"/>
            <w:szCs w:val="24"/>
            <w:u w:val="single"/>
          </w:rPr>
          <w:t>https://doi.org/</w:t>
        </w:r>
        <w:r w:rsidRPr="00597FFB">
          <w:rPr>
            <w:rFonts w:eastAsiaTheme="minorHAnsi"/>
            <w:color w:val="0563C1" w:themeColor="hyperlink"/>
            <w:u w:val="single"/>
          </w:rPr>
          <w:t xml:space="preserve"> </w:t>
        </w:r>
        <w:r w:rsidRPr="00597FFB">
          <w:rPr>
            <w:rFonts w:ascii="Times New Roman" w:eastAsiaTheme="minorHAnsi" w:hAnsi="Times New Roman" w:cs="Times New Roman"/>
            <w:color w:val="0563C1" w:themeColor="hyperlink"/>
            <w:sz w:val="24"/>
            <w:szCs w:val="24"/>
            <w:u w:val="single"/>
          </w:rPr>
          <w:t>10.1177/1094428114548590</w:t>
        </w:r>
      </w:hyperlink>
    </w:p>
    <w:p w14:paraId="5422659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Peterson, E., &amp; Iyengar, S. (2021). Partisan Gaps in Political Information and Information</w:t>
      </w:r>
      <w:r w:rsidRPr="00597FFB">
        <w:rPr>
          <w:rFonts w:ascii="Cambria Math" w:eastAsia="SimSun" w:hAnsi="Cambria Math" w:cs="Cambria Math"/>
          <w:kern w:val="24"/>
          <w:sz w:val="24"/>
          <w:szCs w:val="24"/>
          <w:lang w:val="en-GB" w:eastAsia="ja-JP"/>
        </w:rPr>
        <w:t>‐</w:t>
      </w:r>
      <w:r w:rsidRPr="00597FFB">
        <w:rPr>
          <w:rFonts w:ascii="Times New Roman" w:eastAsia="SimSun" w:hAnsi="Times New Roman" w:cs="Times New Roman"/>
          <w:kern w:val="24"/>
          <w:sz w:val="24"/>
          <w:szCs w:val="24"/>
          <w:lang w:val="en-GB" w:eastAsia="ja-JP"/>
        </w:rPr>
        <w:t xml:space="preserve">Seeking Behavior: Motivated Reasoning or Cheerleading? </w:t>
      </w:r>
      <w:r w:rsidRPr="00597FFB">
        <w:rPr>
          <w:rFonts w:ascii="Times New Roman" w:eastAsia="SimSun" w:hAnsi="Times New Roman" w:cs="Times New Roman"/>
          <w:i/>
          <w:iCs/>
          <w:kern w:val="24"/>
          <w:sz w:val="24"/>
          <w:szCs w:val="24"/>
          <w:lang w:val="en-GB" w:eastAsia="ja-JP"/>
        </w:rPr>
        <w:t>American Journal of Political Science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65</w:t>
      </w:r>
      <w:r w:rsidRPr="00597FFB">
        <w:rPr>
          <w:rFonts w:ascii="Times New Roman" w:eastAsia="SimSun" w:hAnsi="Times New Roman" w:cs="Times New Roman"/>
          <w:kern w:val="24"/>
          <w:sz w:val="24"/>
          <w:szCs w:val="24"/>
          <w:lang w:val="en-GB" w:eastAsia="ja-JP"/>
        </w:rPr>
        <w:t>(1), 133–147. https://doi.org/10.1111/ajps.12535</w:t>
      </w:r>
    </w:p>
    <w:p w14:paraId="469F73D2"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Phulwani, P. R., Kumar, D., &amp; Goyal, P. (2021). From systematic literature review to a conceptual framework for consumer disposal behavior towards personal communication devices. </w:t>
      </w:r>
      <w:r w:rsidRPr="00597FFB">
        <w:rPr>
          <w:rFonts w:ascii="Times New Roman" w:hAnsi="Times New Roman" w:cs="Times New Roman"/>
          <w:i/>
          <w:iCs/>
          <w:color w:val="000000" w:themeColor="text1"/>
          <w:kern w:val="24"/>
          <w:sz w:val="24"/>
          <w:szCs w:val="24"/>
          <w:lang w:eastAsia="ja-JP"/>
        </w:rPr>
        <w:t>Journal of Consumer Behaviour</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20</w:t>
      </w:r>
      <w:r w:rsidRPr="00597FFB">
        <w:rPr>
          <w:rFonts w:ascii="Times New Roman" w:hAnsi="Times New Roman" w:cs="Times New Roman"/>
          <w:color w:val="000000" w:themeColor="text1"/>
          <w:kern w:val="24"/>
          <w:sz w:val="24"/>
          <w:szCs w:val="24"/>
          <w:lang w:eastAsia="ja-JP"/>
        </w:rPr>
        <w:t xml:space="preserve">(5), 1353-1370. </w:t>
      </w:r>
      <w:hyperlink r:id="rId59" w:history="1">
        <w:r w:rsidRPr="00597FFB">
          <w:rPr>
            <w:rFonts w:ascii="Times New Roman" w:hAnsi="Times New Roman" w:cs="Times New Roman"/>
            <w:color w:val="000000" w:themeColor="text1"/>
            <w:kern w:val="24"/>
            <w:sz w:val="24"/>
            <w:szCs w:val="24"/>
            <w:u w:val="single"/>
            <w:lang w:eastAsia="ja-JP"/>
          </w:rPr>
          <w:t>https://doi.org/10.1002/cb.1940</w:t>
        </w:r>
      </w:hyperlink>
      <w:r w:rsidRPr="00597FFB">
        <w:rPr>
          <w:rFonts w:ascii="Times New Roman" w:hAnsi="Times New Roman" w:cs="Times New Roman"/>
          <w:color w:val="000000" w:themeColor="text1"/>
          <w:kern w:val="24"/>
          <w:sz w:val="24"/>
          <w:szCs w:val="24"/>
          <w:lang w:eastAsia="ja-JP"/>
        </w:rPr>
        <w:t>.</w:t>
      </w:r>
    </w:p>
    <w:p w14:paraId="6E2B1AB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Pinheiro, G. de S., Nascimento, V. B., Dicks, M., Costa, V. T., &amp; Lames, M. (2021). Design and Validation of an Observational System for Penalty Kick Analysis in Football (OSPAF). </w:t>
      </w:r>
      <w:r w:rsidRPr="00597FFB">
        <w:rPr>
          <w:rFonts w:ascii="Times New Roman" w:eastAsia="SimSun" w:hAnsi="Times New Roman" w:cs="Times New Roman"/>
          <w:i/>
          <w:iCs/>
          <w:kern w:val="24"/>
          <w:sz w:val="24"/>
          <w:szCs w:val="24"/>
          <w:lang w:val="en-GB" w:eastAsia="ja-JP"/>
        </w:rPr>
        <w:t>Frontiers in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 661179. https://doi.org/10.3389/fpsyg.2021.661179</w:t>
      </w:r>
    </w:p>
    <w:p w14:paraId="06AC35F3"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Pinto, J. (2019). Key to effective organizational performance management lies at the intersection of paradox theory and stakeholder theory. </w:t>
      </w:r>
      <w:r w:rsidRPr="00597FFB">
        <w:rPr>
          <w:rFonts w:ascii="Times New Roman" w:eastAsia="Times New Roman" w:hAnsi="Times New Roman" w:cs="Times New Roman"/>
          <w:i/>
          <w:iCs/>
          <w:color w:val="000000" w:themeColor="text1"/>
          <w:sz w:val="24"/>
          <w:szCs w:val="24"/>
          <w:lang w:eastAsia="en-GB"/>
        </w:rPr>
        <w:t>International Journal of Management Reviews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21</w:t>
      </w:r>
      <w:r w:rsidRPr="00597FFB">
        <w:rPr>
          <w:rFonts w:ascii="Times New Roman" w:eastAsia="Times New Roman" w:hAnsi="Times New Roman" w:cs="Times New Roman"/>
          <w:color w:val="000000" w:themeColor="text1"/>
          <w:sz w:val="24"/>
          <w:szCs w:val="24"/>
          <w:lang w:eastAsia="en-GB"/>
        </w:rPr>
        <w:t>(2), 185–208. https://doi.org/10.1111/ijmr.12199</w:t>
      </w:r>
    </w:p>
    <w:p w14:paraId="179E549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Piprani, A. Z., Jaafar, N. I., &amp; Mohezar Ali, S. (2020). Prioritizing resilient capability factors of dealing with supply chain disruptions: An analytical hierarchy process (AHP) application in the textile industry. </w:t>
      </w:r>
      <w:r w:rsidRPr="00597FFB">
        <w:rPr>
          <w:rFonts w:ascii="Times New Roman" w:eastAsia="Times New Roman" w:hAnsi="Times New Roman" w:cs="Times New Roman"/>
          <w:i/>
          <w:iCs/>
          <w:color w:val="000000" w:themeColor="text1"/>
          <w:sz w:val="24"/>
          <w:szCs w:val="24"/>
          <w:lang w:eastAsia="en-GB"/>
        </w:rPr>
        <w:t>Benchmarking: An International Journal</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27</w:t>
      </w:r>
      <w:r w:rsidRPr="00597FFB">
        <w:rPr>
          <w:rFonts w:ascii="Times New Roman" w:eastAsia="Times New Roman" w:hAnsi="Times New Roman" w:cs="Times New Roman"/>
          <w:color w:val="000000" w:themeColor="text1"/>
          <w:sz w:val="24"/>
          <w:szCs w:val="24"/>
          <w:lang w:eastAsia="en-GB"/>
        </w:rPr>
        <w:t>(9), 2537–2563. https://doi.org/10.1108/BIJ-03-2019-0111</w:t>
      </w:r>
    </w:p>
    <w:p w14:paraId="301EF560"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Podsakoff, P. M., MacKenzie, S. B., Lee, J.-Y., &amp; Podsakoff, N. P. (2003). Common method biases in behavioral research: A critical review of the literature and recommended remedies. </w:t>
      </w:r>
      <w:r w:rsidRPr="00597FFB">
        <w:rPr>
          <w:rFonts w:ascii="Times New Roman" w:eastAsia="Times New Roman" w:hAnsi="Times New Roman" w:cs="Times New Roman"/>
          <w:i/>
          <w:iCs/>
          <w:color w:val="000000"/>
          <w:sz w:val="24"/>
          <w:szCs w:val="24"/>
          <w:lang w:eastAsia="en-GB"/>
        </w:rPr>
        <w:t>Journal of Applied Psychology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88</w:t>
      </w:r>
      <w:r w:rsidRPr="00597FFB">
        <w:rPr>
          <w:rFonts w:ascii="Times New Roman" w:eastAsia="Times New Roman" w:hAnsi="Times New Roman" w:cs="Times New Roman"/>
          <w:color w:val="000000"/>
          <w:sz w:val="24"/>
          <w:szCs w:val="24"/>
          <w:lang w:eastAsia="en-GB"/>
        </w:rPr>
        <w:t>(5), 879–903. https://doi.org/10.1037/0021-9010.88.5.879</w:t>
      </w:r>
    </w:p>
    <w:p w14:paraId="2EB82E4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Pongpimol, S., Badir, Y. F., Erik, B. L. J., &amp; Sukhotu, V. (2020). A multi-criteria assessment of alternative sustainable solid waste management of flexible packaging. </w:t>
      </w:r>
      <w:r w:rsidRPr="00597FFB">
        <w:rPr>
          <w:rFonts w:ascii="Times New Roman" w:eastAsia="SimSun" w:hAnsi="Times New Roman" w:cs="Times New Roman"/>
          <w:i/>
          <w:iCs/>
          <w:kern w:val="24"/>
          <w:sz w:val="24"/>
          <w:szCs w:val="24"/>
          <w:lang w:val="en-GB" w:eastAsia="ja-JP"/>
        </w:rPr>
        <w:t>Management of Environmental Quality: An International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31</w:t>
      </w:r>
      <w:r w:rsidRPr="00597FFB">
        <w:rPr>
          <w:rFonts w:ascii="Times New Roman" w:eastAsia="SimSun" w:hAnsi="Times New Roman" w:cs="Times New Roman"/>
          <w:kern w:val="24"/>
          <w:sz w:val="24"/>
          <w:szCs w:val="24"/>
          <w:lang w:val="en-GB" w:eastAsia="ja-JP"/>
        </w:rPr>
        <w:t>(1), Article 1. https://doi.org/10.1108/MEQ-11-2018-0197</w:t>
      </w:r>
    </w:p>
    <w:p w14:paraId="6AD441C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Ponnada, A., Wang, S., Chu, D., Do, B., Dunton, G., &amp; Intille, S. (2022). Intensive Longitudinal Data Collection Using Microinteraction Ecological Momentary Assessment: Pilot and Preliminary Results. </w:t>
      </w:r>
      <w:r w:rsidRPr="00597FFB">
        <w:rPr>
          <w:rFonts w:ascii="Times New Roman" w:eastAsia="SimSun" w:hAnsi="Times New Roman" w:cs="Times New Roman"/>
          <w:i/>
          <w:iCs/>
          <w:kern w:val="24"/>
          <w:sz w:val="24"/>
          <w:szCs w:val="24"/>
          <w:lang w:val="en-GB" w:eastAsia="ja-JP"/>
        </w:rPr>
        <w:t>JMIR Formative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6</w:t>
      </w:r>
      <w:r w:rsidRPr="00597FFB">
        <w:rPr>
          <w:rFonts w:ascii="Times New Roman" w:eastAsia="SimSun" w:hAnsi="Times New Roman" w:cs="Times New Roman"/>
          <w:kern w:val="24"/>
          <w:sz w:val="24"/>
          <w:szCs w:val="24"/>
          <w:lang w:val="en-GB" w:eastAsia="ja-JP"/>
        </w:rPr>
        <w:t>(2), e32772. https://doi.org/10.2196/32772</w:t>
      </w:r>
    </w:p>
    <w:p w14:paraId="6BECE71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Pont, A., Robles, A., &amp; Gil, J. A. (2019). e-Waste: Everything an ICT scientist and developer should know. </w:t>
      </w:r>
      <w:r w:rsidRPr="00597FFB">
        <w:rPr>
          <w:rFonts w:ascii="Times New Roman" w:eastAsia="Times New Roman" w:hAnsi="Times New Roman" w:cs="Times New Roman"/>
          <w:i/>
          <w:iCs/>
          <w:color w:val="000000" w:themeColor="text1"/>
          <w:sz w:val="24"/>
          <w:szCs w:val="24"/>
          <w:lang w:eastAsia="en-GB"/>
        </w:rPr>
        <w:t>IEEE Access, 7</w:t>
      </w:r>
      <w:r w:rsidRPr="00597FFB">
        <w:rPr>
          <w:rFonts w:ascii="Times New Roman" w:eastAsia="Times New Roman" w:hAnsi="Times New Roman" w:cs="Times New Roman"/>
          <w:color w:val="000000" w:themeColor="text1"/>
          <w:sz w:val="24"/>
          <w:szCs w:val="24"/>
          <w:lang w:eastAsia="en-GB"/>
        </w:rPr>
        <w:t>, 169614-169635.</w:t>
      </w:r>
    </w:p>
    <w:p w14:paraId="7A69DE7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Pujara, Y., Pathak, P., Sharma, A., &amp; Govani, J. (2019). Review on Indian Municipal Solid Waste Management practices for reduction of environmental impacts to achieve sustainable development goals. </w:t>
      </w:r>
      <w:r w:rsidRPr="00597FFB">
        <w:rPr>
          <w:rFonts w:ascii="Times New Roman" w:eastAsia="Times New Roman" w:hAnsi="Times New Roman" w:cs="Times New Roman"/>
          <w:i/>
          <w:iCs/>
          <w:color w:val="000000" w:themeColor="text1"/>
          <w:sz w:val="24"/>
          <w:szCs w:val="24"/>
          <w:lang w:eastAsia="en-GB"/>
        </w:rPr>
        <w:t>Journal of Environmental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248</w:t>
      </w:r>
      <w:r w:rsidRPr="00597FFB">
        <w:rPr>
          <w:rFonts w:ascii="Times New Roman" w:eastAsia="Times New Roman" w:hAnsi="Times New Roman" w:cs="Times New Roman"/>
          <w:color w:val="000000" w:themeColor="text1"/>
          <w:sz w:val="24"/>
          <w:szCs w:val="24"/>
          <w:lang w:eastAsia="en-GB"/>
        </w:rPr>
        <w:t>, 109238. https://doi.org/10.1016/j.jenvman.2019.07.009</w:t>
      </w:r>
    </w:p>
    <w:p w14:paraId="00A0EE89" w14:textId="0561D212" w:rsidR="007562B3" w:rsidRPr="00597FFB" w:rsidRDefault="007562B3" w:rsidP="00C610DB">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Rahman, A., Ai, P. T., &amp; Imran, M. (2020). Factors influencing electronic waste (e-waste) separation intention of electronic shop owners in Bangladesh: A conceptual model. </w:t>
      </w:r>
      <w:r w:rsidRPr="00597FFB">
        <w:rPr>
          <w:rFonts w:ascii="Times New Roman" w:hAnsi="Times New Roman" w:cs="Times New Roman"/>
          <w:i/>
          <w:iCs/>
          <w:color w:val="000000" w:themeColor="text1"/>
          <w:kern w:val="24"/>
          <w:sz w:val="24"/>
          <w:szCs w:val="24"/>
          <w:lang w:eastAsia="ja-JP"/>
        </w:rPr>
        <w:t>International Journal of Industrial Management,</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5</w:t>
      </w:r>
      <w:r w:rsidRPr="00597FFB">
        <w:rPr>
          <w:rFonts w:ascii="Times New Roman" w:hAnsi="Times New Roman" w:cs="Times New Roman"/>
          <w:color w:val="000000" w:themeColor="text1"/>
          <w:kern w:val="24"/>
          <w:sz w:val="24"/>
          <w:szCs w:val="24"/>
          <w:lang w:eastAsia="ja-JP"/>
        </w:rPr>
        <w:t xml:space="preserve">, 29–37. </w:t>
      </w:r>
      <w:hyperlink r:id="rId60" w:history="1">
        <w:r w:rsidRPr="00597FFB">
          <w:rPr>
            <w:rFonts w:ascii="Times New Roman" w:hAnsi="Times New Roman" w:cs="Times New Roman"/>
            <w:color w:val="000000" w:themeColor="text1"/>
            <w:kern w:val="24"/>
            <w:sz w:val="24"/>
            <w:szCs w:val="24"/>
            <w:u w:val="single"/>
            <w:lang w:eastAsia="ja-JP"/>
          </w:rPr>
          <w:t>https://doi.org/10.15282/ijim.5.0.2020.5620</w:t>
        </w:r>
      </w:hyperlink>
      <w:r w:rsidRPr="00597FFB">
        <w:rPr>
          <w:rFonts w:ascii="Times New Roman" w:hAnsi="Times New Roman" w:cs="Times New Roman"/>
          <w:color w:val="000000" w:themeColor="text1"/>
          <w:kern w:val="24"/>
          <w:sz w:val="24"/>
          <w:szCs w:val="24"/>
          <w:lang w:eastAsia="ja-JP"/>
        </w:rPr>
        <w:t>.</w:t>
      </w:r>
    </w:p>
    <w:p w14:paraId="38EBB94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Rahman, A., Teoh, A. P., &amp; Mahmud, I. (2020). FACTORS INFLUENCING ELECTRONIC WASTE (E-WASTE) SEPARATION INTENTION OF ELECTRONIC SHOP OWNERS IN BANGLADESH: A CONCEPTUAL MODEL. </w:t>
      </w:r>
      <w:r w:rsidRPr="00597FFB">
        <w:rPr>
          <w:rFonts w:ascii="Times New Roman" w:eastAsia="SimSun" w:hAnsi="Times New Roman" w:cs="Times New Roman"/>
          <w:i/>
          <w:iCs/>
          <w:kern w:val="24"/>
          <w:sz w:val="24"/>
          <w:szCs w:val="24"/>
          <w:lang w:val="en-GB" w:eastAsia="ja-JP"/>
        </w:rPr>
        <w:t>International Journal of Industrial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w:t>
      </w:r>
      <w:r w:rsidRPr="00597FFB">
        <w:rPr>
          <w:rFonts w:ascii="Times New Roman" w:eastAsia="SimSun" w:hAnsi="Times New Roman" w:cs="Times New Roman"/>
          <w:kern w:val="24"/>
          <w:sz w:val="24"/>
          <w:szCs w:val="24"/>
          <w:lang w:val="en-GB" w:eastAsia="ja-JP"/>
        </w:rPr>
        <w:t>, 29–37. https://doi.org/10.15282/ijim.5.0.2020.5620</w:t>
      </w:r>
    </w:p>
    <w:p w14:paraId="462F21B9"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Rainear, A. M., &amp; Christensen, J. L. (2017). Protection motivation theory as an explanatory framework for pro-environmental behavioral intentions. </w:t>
      </w:r>
      <w:r w:rsidRPr="00597FFB">
        <w:rPr>
          <w:rFonts w:ascii="Times New Roman" w:hAnsi="Times New Roman" w:cs="Times New Roman"/>
          <w:i/>
          <w:iCs/>
          <w:color w:val="000000" w:themeColor="text1"/>
          <w:kern w:val="24"/>
          <w:sz w:val="24"/>
          <w:szCs w:val="24"/>
          <w:lang w:eastAsia="ja-JP"/>
        </w:rPr>
        <w:t>Communication Research Reports, 34</w:t>
      </w:r>
      <w:r w:rsidRPr="00597FFB">
        <w:rPr>
          <w:rFonts w:ascii="Times New Roman" w:hAnsi="Times New Roman" w:cs="Times New Roman"/>
          <w:color w:val="000000" w:themeColor="text1"/>
          <w:kern w:val="24"/>
          <w:sz w:val="24"/>
          <w:szCs w:val="24"/>
          <w:lang w:eastAsia="ja-JP"/>
        </w:rPr>
        <w:t>, 239–248.</w:t>
      </w:r>
    </w:p>
    <w:p w14:paraId="192D881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Rajmohan, K. V. S., Ramya, C., Raja Viswanathan, M., &amp; Varjani, S. (2019). Plastic pollutants: Effective waste management for pollution control and abatement. </w:t>
      </w:r>
      <w:r w:rsidRPr="00597FFB">
        <w:rPr>
          <w:rFonts w:ascii="Times New Roman" w:eastAsia="Times New Roman" w:hAnsi="Times New Roman" w:cs="Times New Roman"/>
          <w:i/>
          <w:iCs/>
          <w:color w:val="000000" w:themeColor="text1"/>
          <w:sz w:val="24"/>
          <w:szCs w:val="24"/>
          <w:lang w:eastAsia="en-GB"/>
        </w:rPr>
        <w:t>Current Opinion in Environmental Science &amp; Health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12</w:t>
      </w:r>
      <w:r w:rsidRPr="00597FFB">
        <w:rPr>
          <w:rFonts w:ascii="Times New Roman" w:eastAsia="Times New Roman" w:hAnsi="Times New Roman" w:cs="Times New Roman"/>
          <w:color w:val="000000" w:themeColor="text1"/>
          <w:sz w:val="24"/>
          <w:szCs w:val="24"/>
          <w:lang w:eastAsia="en-GB"/>
        </w:rPr>
        <w:t>, 72–84. https://doi.org/10.1016/j.coesh.2019.08.006</w:t>
      </w:r>
    </w:p>
    <w:p w14:paraId="02CB3BBE"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Ramanayaka, S., Keerthanan, S., &amp; Vithanage, M. (2020). Urban mining of E-waste: Treasure hunting for precious nanometals. In </w:t>
      </w:r>
      <w:r w:rsidRPr="00597FFB">
        <w:rPr>
          <w:rFonts w:ascii="Times New Roman" w:eastAsia="SimSun" w:hAnsi="Times New Roman" w:cs="Times New Roman"/>
          <w:i/>
          <w:iCs/>
          <w:kern w:val="24"/>
          <w:sz w:val="24"/>
          <w:szCs w:val="24"/>
          <w:lang w:val="en-GB" w:eastAsia="ja-JP"/>
        </w:rPr>
        <w:t>Handbook of Electronic Waste Management</w:t>
      </w:r>
      <w:r w:rsidRPr="00597FFB">
        <w:rPr>
          <w:rFonts w:ascii="Times New Roman" w:eastAsia="SimSun" w:hAnsi="Times New Roman" w:cs="Times New Roman"/>
          <w:kern w:val="24"/>
          <w:sz w:val="24"/>
          <w:szCs w:val="24"/>
          <w:lang w:val="en-GB" w:eastAsia="ja-JP"/>
        </w:rPr>
        <w:t xml:space="preserve"> (pp. 19–54). Elsevier. https://doi.org/10.1016/B978-0-12-817030-4.00023-1</w:t>
      </w:r>
    </w:p>
    <w:p w14:paraId="58E53658" w14:textId="07203C4A"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Ramzan, S., Liu, C., Munir, H., &amp; Xu, Y. (2019). Assessing young consumers’ awareness and participation in sustainable e-waste management practices: A survey study in Northwest China. </w:t>
      </w:r>
      <w:r w:rsidRPr="00597FFB">
        <w:rPr>
          <w:rFonts w:ascii="Times New Roman" w:eastAsia="Times New Roman" w:hAnsi="Times New Roman" w:cs="Times New Roman"/>
          <w:i/>
          <w:iCs/>
          <w:color w:val="000000" w:themeColor="text1"/>
          <w:sz w:val="24"/>
          <w:szCs w:val="24"/>
          <w:lang w:eastAsia="en-GB"/>
        </w:rPr>
        <w:t>Environmental Science and Pollution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26</w:t>
      </w:r>
      <w:r w:rsidRPr="00597FFB">
        <w:rPr>
          <w:rFonts w:ascii="Times New Roman" w:eastAsia="Times New Roman" w:hAnsi="Times New Roman" w:cs="Times New Roman"/>
          <w:color w:val="000000" w:themeColor="text1"/>
          <w:sz w:val="24"/>
          <w:szCs w:val="24"/>
          <w:lang w:eastAsia="en-GB"/>
        </w:rPr>
        <w:t>(19), 20003–20013. https://doi.org/10.1007/s11356-019-05310-y</w:t>
      </w:r>
    </w:p>
    <w:p w14:paraId="6C62A66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Ramzan, S., Liu, C., Xu, Y., Munir, H., &amp; Gupta, B. (2020). The adoption of online e-waste collection platform to improve environmental sustainability: An empirical study of Chinese millennials. </w:t>
      </w:r>
      <w:r w:rsidRPr="00597FFB">
        <w:rPr>
          <w:rFonts w:ascii="Times New Roman" w:eastAsia="SimSun" w:hAnsi="Times New Roman" w:cs="Times New Roman"/>
          <w:i/>
          <w:iCs/>
          <w:kern w:val="24"/>
          <w:sz w:val="24"/>
          <w:szCs w:val="24"/>
          <w:lang w:val="en-GB" w:eastAsia="ja-JP"/>
        </w:rPr>
        <w:t>Management of Environmental Quality: An International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32</w:t>
      </w:r>
      <w:r w:rsidRPr="00597FFB">
        <w:rPr>
          <w:rFonts w:ascii="Times New Roman" w:eastAsia="SimSun" w:hAnsi="Times New Roman" w:cs="Times New Roman"/>
          <w:kern w:val="24"/>
          <w:sz w:val="24"/>
          <w:szCs w:val="24"/>
          <w:lang w:val="en-GB" w:eastAsia="ja-JP"/>
        </w:rPr>
        <w:t>(2), Article 2. https://doi.org/10.1108/MEQ-02-2020-0028</w:t>
      </w:r>
    </w:p>
    <w:p w14:paraId="1F95E45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Rastegari Kopaei, H., Nooripoor, M., Karami, A., Petrescu-Mag, R. M., &amp; Petrescu, D. C. (2021). Drivers of Residents’ Home Composting Intention: Integrating the Theory of Planned Behavior, the Norm Activation Model, and the Moderating Role of Composting Knowledge. </w:t>
      </w:r>
      <w:r w:rsidRPr="00597FFB">
        <w:rPr>
          <w:rFonts w:ascii="Times New Roman" w:eastAsia="SimSun" w:hAnsi="Times New Roman" w:cs="Times New Roman"/>
          <w:i/>
          <w:iCs/>
          <w:kern w:val="24"/>
          <w:sz w:val="24"/>
          <w:szCs w:val="24"/>
          <w:lang w:val="en-GB" w:eastAsia="ja-JP"/>
        </w:rPr>
        <w:t>Sustainability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w:t>
      </w:r>
      <w:r w:rsidRPr="00597FFB">
        <w:rPr>
          <w:rFonts w:ascii="Times New Roman" w:eastAsia="SimSun" w:hAnsi="Times New Roman" w:cs="Times New Roman"/>
          <w:kern w:val="24"/>
          <w:sz w:val="24"/>
          <w:szCs w:val="24"/>
          <w:lang w:val="en-GB" w:eastAsia="ja-JP"/>
        </w:rPr>
        <w:t>(12), 6826. https://doi.org/10.3390/su13126826</w:t>
      </w:r>
    </w:p>
    <w:p w14:paraId="5465458D"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Razali, F., Daud, D., Weng-Wai, C., &amp; Anthony Jiram, W. R. (2020). Waste separation at source behaviour among Malaysian households: The Theory of Planned Behaviour with moral norm. </w:t>
      </w:r>
      <w:r w:rsidRPr="00597FFB">
        <w:rPr>
          <w:rFonts w:ascii="Times New Roman" w:eastAsia="SimSun" w:hAnsi="Times New Roman" w:cs="Times New Roman"/>
          <w:i/>
          <w:iCs/>
          <w:kern w:val="24"/>
          <w:sz w:val="24"/>
          <w:szCs w:val="24"/>
          <w:lang w:val="en-GB" w:eastAsia="ja-JP"/>
        </w:rPr>
        <w:t>Journal of Cleaner Production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271</w:t>
      </w:r>
      <w:r w:rsidRPr="00597FFB">
        <w:rPr>
          <w:rFonts w:ascii="Times New Roman" w:eastAsia="SimSun" w:hAnsi="Times New Roman" w:cs="Times New Roman"/>
          <w:kern w:val="24"/>
          <w:sz w:val="24"/>
          <w:szCs w:val="24"/>
          <w:lang w:val="en-GB" w:eastAsia="ja-JP"/>
        </w:rPr>
        <w:t>, 122025. https://doi.org/10.1016/j.jclepro.2020.122025</w:t>
      </w:r>
    </w:p>
    <w:p w14:paraId="4C2A26A9"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Reckwitz, A. (2002). Toward a theory of social practices: A development in culturalist theorizing. </w:t>
      </w:r>
      <w:r w:rsidRPr="00597FFB">
        <w:rPr>
          <w:rFonts w:ascii="Times New Roman" w:hAnsi="Times New Roman" w:cs="Times New Roman"/>
          <w:i/>
          <w:iCs/>
          <w:color w:val="000000" w:themeColor="text1"/>
          <w:kern w:val="24"/>
          <w:sz w:val="24"/>
          <w:szCs w:val="24"/>
          <w:lang w:eastAsia="ja-JP"/>
        </w:rPr>
        <w:t>European Journal of Social Theory,</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5</w:t>
      </w:r>
      <w:r w:rsidRPr="00597FFB">
        <w:rPr>
          <w:rFonts w:ascii="Times New Roman" w:hAnsi="Times New Roman" w:cs="Times New Roman"/>
          <w:color w:val="000000" w:themeColor="text1"/>
          <w:kern w:val="24"/>
          <w:sz w:val="24"/>
          <w:szCs w:val="24"/>
          <w:lang w:eastAsia="ja-JP"/>
        </w:rPr>
        <w:t xml:space="preserve">(2), 243–263. </w:t>
      </w:r>
      <w:hyperlink r:id="rId61" w:history="1">
        <w:r w:rsidRPr="00597FFB">
          <w:rPr>
            <w:rFonts w:ascii="Times New Roman" w:hAnsi="Times New Roman" w:cs="Times New Roman"/>
            <w:color w:val="000000" w:themeColor="text1"/>
            <w:kern w:val="24"/>
            <w:sz w:val="24"/>
            <w:szCs w:val="24"/>
            <w:u w:val="single"/>
            <w:lang w:eastAsia="ja-JP"/>
          </w:rPr>
          <w:t>https://doi.org/10.1177/13684310222225432</w:t>
        </w:r>
      </w:hyperlink>
      <w:r w:rsidRPr="00597FFB">
        <w:rPr>
          <w:rFonts w:ascii="Times New Roman" w:hAnsi="Times New Roman" w:cs="Times New Roman"/>
          <w:color w:val="000000" w:themeColor="text1"/>
          <w:kern w:val="24"/>
          <w:sz w:val="24"/>
          <w:szCs w:val="24"/>
          <w:lang w:eastAsia="ja-JP"/>
        </w:rPr>
        <w:t>.</w:t>
      </w:r>
    </w:p>
    <w:p w14:paraId="081A059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Reynolds, C. R., Altmann, R., &amp; Allen, D. N. (2021). </w:t>
      </w:r>
      <w:r w:rsidRPr="00597FFB">
        <w:rPr>
          <w:rFonts w:ascii="Times New Roman" w:eastAsia="SimSun" w:hAnsi="Times New Roman" w:cs="Times New Roman"/>
          <w:i/>
          <w:iCs/>
          <w:kern w:val="24"/>
          <w:sz w:val="24"/>
          <w:szCs w:val="24"/>
          <w:lang w:val="en-GB" w:eastAsia="ja-JP"/>
        </w:rPr>
        <w:t>Mastering modern psychological testing: Theory and methods</w:t>
      </w:r>
      <w:r w:rsidRPr="00597FFB">
        <w:rPr>
          <w:rFonts w:ascii="Times New Roman" w:eastAsia="SimSun" w:hAnsi="Times New Roman" w:cs="Times New Roman"/>
          <w:kern w:val="24"/>
          <w:sz w:val="24"/>
          <w:szCs w:val="24"/>
          <w:lang w:val="en-GB" w:eastAsia="ja-JP"/>
        </w:rPr>
        <w:t xml:space="preserve"> (Second edition). Springer. https://doi.org/10.1007/978-3-030-59455-8</w:t>
      </w:r>
    </w:p>
    <w:p w14:paraId="6954AC9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Rodrigues, C., Capitão, S., Picado-Santos, L., &amp; Almeida, A. (2020). Full recycling of asphalt concrete with waste cooking oil as rejuvenator and LDPE from urban waste as binder modifier. </w:t>
      </w:r>
      <w:r w:rsidRPr="00597FFB">
        <w:rPr>
          <w:rFonts w:ascii="Times New Roman" w:eastAsia="Times New Roman" w:hAnsi="Times New Roman" w:cs="Times New Roman"/>
          <w:i/>
          <w:iCs/>
          <w:color w:val="000000" w:themeColor="text1"/>
          <w:sz w:val="24"/>
          <w:szCs w:val="24"/>
          <w:lang w:eastAsia="en-GB"/>
        </w:rPr>
        <w:t>Sustainability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12</w:t>
      </w:r>
      <w:r w:rsidRPr="00597FFB">
        <w:rPr>
          <w:rFonts w:ascii="Times New Roman" w:eastAsia="Times New Roman" w:hAnsi="Times New Roman" w:cs="Times New Roman"/>
          <w:color w:val="000000" w:themeColor="text1"/>
          <w:sz w:val="24"/>
          <w:szCs w:val="24"/>
          <w:lang w:eastAsia="en-GB"/>
        </w:rPr>
        <w:t>(19), 8222. https://doi.org/10.3390/su12198222</w:t>
      </w:r>
    </w:p>
    <w:p w14:paraId="706F2FE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Rippetoe, P. A., Ronald W., &amp; Rogers, R. W., (1987). Effects of components of protection motivation theory on adaptive and maladaptive coping with a health threat. </w:t>
      </w:r>
      <w:r w:rsidRPr="00597FFB">
        <w:rPr>
          <w:rFonts w:ascii="Times New Roman" w:hAnsi="Times New Roman" w:cs="Times New Roman"/>
          <w:i/>
          <w:iCs/>
          <w:color w:val="000000" w:themeColor="text1"/>
          <w:kern w:val="24"/>
          <w:sz w:val="24"/>
          <w:szCs w:val="24"/>
          <w:lang w:eastAsia="ja-JP"/>
        </w:rPr>
        <w:t>Journal of Personal and Social Psychology, 52</w:t>
      </w:r>
      <w:r w:rsidRPr="00597FFB">
        <w:rPr>
          <w:rFonts w:ascii="Times New Roman" w:hAnsi="Times New Roman" w:cs="Times New Roman"/>
          <w:color w:val="000000" w:themeColor="text1"/>
          <w:kern w:val="24"/>
          <w:sz w:val="24"/>
          <w:szCs w:val="24"/>
          <w:lang w:eastAsia="ja-JP"/>
        </w:rPr>
        <w:t>, 596–604.</w:t>
      </w:r>
    </w:p>
    <w:p w14:paraId="748D3FC0"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Rogers, R. W. (1975). A protection motivation theory of fear appeals and attitude change. </w:t>
      </w:r>
      <w:r w:rsidRPr="00597FFB">
        <w:rPr>
          <w:rFonts w:ascii="Times New Roman" w:hAnsi="Times New Roman" w:cs="Times New Roman"/>
          <w:i/>
          <w:iCs/>
          <w:color w:val="000000" w:themeColor="text1"/>
          <w:kern w:val="24"/>
          <w:sz w:val="24"/>
          <w:szCs w:val="24"/>
          <w:lang w:eastAsia="ja-JP"/>
        </w:rPr>
        <w:t>Journal of Psychology, 91</w:t>
      </w:r>
      <w:r w:rsidRPr="00597FFB">
        <w:rPr>
          <w:rFonts w:ascii="Times New Roman" w:hAnsi="Times New Roman" w:cs="Times New Roman"/>
          <w:color w:val="000000" w:themeColor="text1"/>
          <w:kern w:val="24"/>
          <w:sz w:val="24"/>
          <w:szCs w:val="24"/>
          <w:lang w:eastAsia="ja-JP"/>
        </w:rPr>
        <w:t>, 93–114.</w:t>
      </w:r>
    </w:p>
    <w:p w14:paraId="69D3A7C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Rousseau, S. (2020). Millennials’ acceptance of product-service systems: Leasing smartphones in Flanders (Belgium).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246</w:t>
      </w:r>
      <w:r w:rsidRPr="00597FFB">
        <w:rPr>
          <w:rFonts w:ascii="Times New Roman" w:eastAsia="Times New Roman" w:hAnsi="Times New Roman" w:cs="Times New Roman"/>
          <w:color w:val="000000" w:themeColor="text1"/>
          <w:sz w:val="24"/>
          <w:szCs w:val="24"/>
          <w:lang w:eastAsia="en-GB"/>
        </w:rPr>
        <w:t>, 118992. https://doi.org/10.1016/j.jclepro.2019.118992</w:t>
      </w:r>
    </w:p>
    <w:p w14:paraId="77D76C7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Rosenthal, S. (2018). Procedural information and behavioral control: Longitudinal analysis of the intention-behavior gap in the context of recycling. </w:t>
      </w:r>
      <w:r w:rsidRPr="00597FFB">
        <w:rPr>
          <w:rFonts w:ascii="Times New Roman" w:hAnsi="Times New Roman" w:cs="Times New Roman"/>
          <w:i/>
          <w:iCs/>
          <w:color w:val="000000" w:themeColor="text1"/>
          <w:kern w:val="24"/>
          <w:sz w:val="24"/>
          <w:szCs w:val="24"/>
          <w:lang w:eastAsia="ja-JP"/>
        </w:rPr>
        <w:t>Recycling, 3</w:t>
      </w:r>
      <w:r w:rsidRPr="00597FFB">
        <w:rPr>
          <w:rFonts w:ascii="Times New Roman" w:hAnsi="Times New Roman" w:cs="Times New Roman"/>
          <w:color w:val="000000" w:themeColor="text1"/>
          <w:kern w:val="24"/>
          <w:sz w:val="24"/>
          <w:szCs w:val="24"/>
          <w:lang w:eastAsia="ja-JP"/>
        </w:rPr>
        <w:t xml:space="preserve">(1), 5. </w:t>
      </w:r>
      <w:hyperlink r:id="rId62" w:history="1">
        <w:r w:rsidRPr="00597FFB">
          <w:rPr>
            <w:rFonts w:ascii="Times New Roman" w:hAnsi="Times New Roman" w:cs="Times New Roman"/>
            <w:color w:val="000000" w:themeColor="text1"/>
            <w:kern w:val="24"/>
            <w:sz w:val="24"/>
            <w:szCs w:val="24"/>
            <w:u w:val="single"/>
            <w:lang w:eastAsia="ja-JP"/>
          </w:rPr>
          <w:t>https://doi.org/10.3390/recycling3010005</w:t>
        </w:r>
      </w:hyperlink>
    </w:p>
    <w:p w14:paraId="1E689A1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Saleem, M. A. (2019). </w:t>
      </w:r>
      <w:r w:rsidRPr="00597FFB">
        <w:rPr>
          <w:rFonts w:ascii="Times New Roman" w:eastAsia="SimSun" w:hAnsi="Times New Roman" w:cs="Times New Roman"/>
          <w:i/>
          <w:iCs/>
          <w:kern w:val="24"/>
          <w:sz w:val="24"/>
          <w:szCs w:val="24"/>
          <w:lang w:val="en-GB" w:eastAsia="ja-JP"/>
        </w:rPr>
        <w:t>Model of eco-socially conscious consumer behaviour related to choice and use of personal cars: Evidence from an emerging economy</w:t>
      </w:r>
      <w:r w:rsidRPr="00597FFB">
        <w:rPr>
          <w:rFonts w:ascii="Times New Roman" w:eastAsia="SimSun" w:hAnsi="Times New Roman" w:cs="Times New Roman"/>
          <w:kern w:val="24"/>
          <w:sz w:val="24"/>
          <w:szCs w:val="24"/>
          <w:lang w:val="en-GB" w:eastAsia="ja-JP"/>
        </w:rPr>
        <w:t>. https://doi.org/10.25903/5D9C136C79BB6</w:t>
      </w:r>
    </w:p>
    <w:p w14:paraId="40E003F1" w14:textId="356D9462"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Salem, M. A., Shawtari, F., Shamsudin, M. F., &amp; Hussain, H. B. I. (2018). The consequences of integrating stakeholder engagement in sustainable development (environmental perspectives): Do stakeholders matter? </w:t>
      </w:r>
      <w:r w:rsidRPr="00597FFB">
        <w:rPr>
          <w:rFonts w:ascii="Times New Roman" w:eastAsia="Times New Roman" w:hAnsi="Times New Roman" w:cs="Times New Roman"/>
          <w:i/>
          <w:iCs/>
          <w:color w:val="000000" w:themeColor="text1"/>
          <w:sz w:val="24"/>
          <w:szCs w:val="24"/>
          <w:lang w:eastAsia="en-GB"/>
        </w:rPr>
        <w:t>Sustainable Development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26</w:t>
      </w:r>
      <w:r w:rsidRPr="00597FFB">
        <w:rPr>
          <w:rFonts w:ascii="Times New Roman" w:eastAsia="Times New Roman" w:hAnsi="Times New Roman" w:cs="Times New Roman"/>
          <w:color w:val="000000" w:themeColor="text1"/>
          <w:sz w:val="24"/>
          <w:szCs w:val="24"/>
          <w:lang w:eastAsia="en-GB"/>
        </w:rPr>
        <w:t>(3), 255–268. https://doi.org/10.1002/sd.1699</w:t>
      </w:r>
    </w:p>
    <w:p w14:paraId="6D040B8A"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Saunders, M. N. K., Lewis, P., &amp; Thornhill, A. (2019). </w:t>
      </w:r>
      <w:r w:rsidRPr="00597FFB">
        <w:rPr>
          <w:rFonts w:ascii="Times New Roman" w:eastAsia="Times New Roman" w:hAnsi="Times New Roman" w:cs="Times New Roman"/>
          <w:i/>
          <w:iCs/>
          <w:color w:val="000000"/>
          <w:sz w:val="24"/>
          <w:szCs w:val="24"/>
          <w:lang w:eastAsia="en-GB"/>
        </w:rPr>
        <w:t>Research methods for business students</w:t>
      </w:r>
      <w:r w:rsidRPr="00597FFB">
        <w:rPr>
          <w:rFonts w:ascii="Times New Roman" w:eastAsia="Times New Roman" w:hAnsi="Times New Roman" w:cs="Times New Roman"/>
          <w:color w:val="000000"/>
          <w:sz w:val="24"/>
          <w:szCs w:val="24"/>
          <w:lang w:eastAsia="en-GB"/>
        </w:rPr>
        <w:t xml:space="preserve"> (Eighth Edition). Pearson.</w:t>
      </w:r>
    </w:p>
    <w:p w14:paraId="4F3BA8EA"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eastAsia="en-GB"/>
        </w:rPr>
      </w:pPr>
      <w:r w:rsidRPr="00597FFB">
        <w:rPr>
          <w:rFonts w:ascii="Times New Roman" w:eastAsia="Times New Roman" w:hAnsi="Times New Roman" w:cs="Times New Roman"/>
          <w:color w:val="000000"/>
          <w:sz w:val="24"/>
          <w:szCs w:val="24"/>
          <w:lang w:eastAsia="en-GB"/>
        </w:rPr>
        <w:t xml:space="preserve">Saunders, M., Glenn, A. E., &amp; Kohn, L. M. (2010). Exploring the evolutionary ecology of fungal endophytes in agricultural systems: Using functional traits to reveal mechanisms in community processes: Community ecology of agricultural endophytes. </w:t>
      </w:r>
      <w:r w:rsidRPr="00597FFB">
        <w:rPr>
          <w:rFonts w:ascii="Times New Roman" w:eastAsia="Times New Roman" w:hAnsi="Times New Roman" w:cs="Times New Roman"/>
          <w:i/>
          <w:iCs/>
          <w:color w:val="000000"/>
          <w:sz w:val="24"/>
          <w:szCs w:val="24"/>
          <w:lang w:eastAsia="en-GB"/>
        </w:rPr>
        <w:t>Evolutionary Applications</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3</w:t>
      </w:r>
      <w:r w:rsidRPr="00597FFB">
        <w:rPr>
          <w:rFonts w:ascii="Times New Roman" w:eastAsia="Times New Roman" w:hAnsi="Times New Roman" w:cs="Times New Roman"/>
          <w:color w:val="000000"/>
          <w:sz w:val="24"/>
          <w:szCs w:val="24"/>
          <w:lang w:eastAsia="en-GB"/>
        </w:rPr>
        <w:t xml:space="preserve">(5–6), 525–537. </w:t>
      </w:r>
      <w:hyperlink r:id="rId63" w:history="1">
        <w:r w:rsidRPr="00597FFB">
          <w:rPr>
            <w:rFonts w:ascii="Times New Roman" w:eastAsia="Times New Roman" w:hAnsi="Times New Roman" w:cs="Times New Roman"/>
            <w:color w:val="0563C1" w:themeColor="hyperlink"/>
            <w:sz w:val="24"/>
            <w:szCs w:val="24"/>
            <w:u w:val="single"/>
            <w:lang w:eastAsia="en-GB"/>
          </w:rPr>
          <w:t>https://doi.org/10.1111/j.1752-4571.2010.00141.x</w:t>
        </w:r>
      </w:hyperlink>
    </w:p>
    <w:p w14:paraId="3ECBF58B"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Saunders, P. A., Neuenschwander, S., &amp; Perrin, N. (2018). Sex chromosome turnovers and genetic drift: A simulation study. </w:t>
      </w:r>
      <w:r w:rsidRPr="00597FFB">
        <w:rPr>
          <w:rFonts w:ascii="Times New Roman" w:eastAsia="Times New Roman" w:hAnsi="Times New Roman" w:cs="Times New Roman"/>
          <w:i/>
          <w:iCs/>
          <w:color w:val="000000"/>
          <w:sz w:val="24"/>
          <w:szCs w:val="24"/>
          <w:lang w:eastAsia="en-GB"/>
        </w:rPr>
        <w:t>Journal of Evolutionary Biology</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31</w:t>
      </w:r>
      <w:r w:rsidRPr="00597FFB">
        <w:rPr>
          <w:rFonts w:ascii="Times New Roman" w:eastAsia="Times New Roman" w:hAnsi="Times New Roman" w:cs="Times New Roman"/>
          <w:color w:val="000000"/>
          <w:sz w:val="24"/>
          <w:szCs w:val="24"/>
          <w:lang w:eastAsia="en-GB"/>
        </w:rPr>
        <w:t>(9), 1413–1419. https://doi.org/10.1111/jeb.13336</w:t>
      </w:r>
    </w:p>
    <w:p w14:paraId="3197BBD9"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Saunders, P., Naidoo, Y., &amp; Wong, M. (2022). Comparing the Monetary and Living Standards Approaches to Poverty Using the Australian Experience. </w:t>
      </w:r>
      <w:r w:rsidRPr="00597FFB">
        <w:rPr>
          <w:rFonts w:ascii="Times New Roman" w:eastAsia="Times New Roman" w:hAnsi="Times New Roman" w:cs="Times New Roman"/>
          <w:i/>
          <w:iCs/>
          <w:color w:val="000000"/>
          <w:sz w:val="24"/>
          <w:szCs w:val="24"/>
          <w:lang w:eastAsia="en-GB"/>
        </w:rPr>
        <w:t>Social Indicators Research</w:t>
      </w:r>
      <w:r w:rsidRPr="00597FFB">
        <w:rPr>
          <w:rFonts w:ascii="Times New Roman" w:eastAsia="Times New Roman" w:hAnsi="Times New Roman" w:cs="Times New Roman"/>
          <w:color w:val="000000"/>
          <w:sz w:val="24"/>
          <w:szCs w:val="24"/>
          <w:lang w:eastAsia="en-GB"/>
        </w:rPr>
        <w:t>. https://doi.org/10.1007/s11205-022-02888-8</w:t>
      </w:r>
    </w:p>
    <w:p w14:paraId="250E5252"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Scalia, G., Grambow, C. A., Pernici, B., Li, Y.-P., &amp; Green, W. H. (2020). Evaluating Scalable Uncertainty Estimation Methods for Deep Learning-Based Molecular Property Prediction. </w:t>
      </w:r>
      <w:r w:rsidRPr="00597FFB">
        <w:rPr>
          <w:rFonts w:ascii="Times New Roman" w:eastAsia="Times New Roman" w:hAnsi="Times New Roman" w:cs="Times New Roman"/>
          <w:i/>
          <w:iCs/>
          <w:color w:val="000000"/>
          <w:sz w:val="24"/>
          <w:szCs w:val="24"/>
          <w:lang w:eastAsia="en-GB"/>
        </w:rPr>
        <w:t>Journal of Chemical Information and Modeling</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60</w:t>
      </w:r>
      <w:r w:rsidRPr="00597FFB">
        <w:rPr>
          <w:rFonts w:ascii="Times New Roman" w:eastAsia="Times New Roman" w:hAnsi="Times New Roman" w:cs="Times New Roman"/>
          <w:color w:val="000000"/>
          <w:sz w:val="24"/>
          <w:szCs w:val="24"/>
          <w:lang w:eastAsia="en-GB"/>
        </w:rPr>
        <w:t>(6), 2697–2717. https://doi.org/10.1021/acs.jcim.9b00975</w:t>
      </w:r>
    </w:p>
    <w:p w14:paraId="3178C924"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val="en-GB" w:eastAsia="en-GB"/>
        </w:rPr>
      </w:pPr>
      <w:r w:rsidRPr="00597FFB">
        <w:rPr>
          <w:rFonts w:ascii="Times New Roman" w:eastAsia="Times New Roman" w:hAnsi="Times New Roman" w:cs="Times New Roman"/>
          <w:color w:val="000000"/>
          <w:sz w:val="24"/>
          <w:szCs w:val="24"/>
          <w:lang w:eastAsia="en-GB"/>
        </w:rPr>
        <w:t xml:space="preserve">Scheel, A. M., Tiokhin, L., Isager, P. M., &amp; Lakens, D. (2021). Why Hypothesis Testers Should Spend Less Time Testing Hypotheses. </w:t>
      </w:r>
      <w:r w:rsidRPr="00597FFB">
        <w:rPr>
          <w:rFonts w:ascii="Times New Roman" w:eastAsia="Times New Roman" w:hAnsi="Times New Roman" w:cs="Times New Roman"/>
          <w:i/>
          <w:iCs/>
          <w:color w:val="000000"/>
          <w:sz w:val="24"/>
          <w:szCs w:val="24"/>
          <w:lang w:eastAsia="en-GB"/>
        </w:rPr>
        <w:t>Perspectives on Psychological Science</w:t>
      </w:r>
      <w:r w:rsidRPr="00597FFB">
        <w:rPr>
          <w:rFonts w:ascii="Times New Roman" w:eastAsia="Times New Roman" w:hAnsi="Times New Roman" w:cs="Times New Roman"/>
          <w:color w:val="000000"/>
          <w:sz w:val="24"/>
          <w:szCs w:val="24"/>
          <w:lang w:eastAsia="en-GB"/>
        </w:rPr>
        <w:t xml:space="preserve">, </w:t>
      </w:r>
      <w:r w:rsidRPr="00597FFB">
        <w:rPr>
          <w:rFonts w:ascii="Times New Roman" w:eastAsia="Times New Roman" w:hAnsi="Times New Roman" w:cs="Times New Roman"/>
          <w:i/>
          <w:iCs/>
          <w:color w:val="000000"/>
          <w:sz w:val="24"/>
          <w:szCs w:val="24"/>
          <w:lang w:eastAsia="en-GB"/>
        </w:rPr>
        <w:t>16</w:t>
      </w:r>
      <w:r w:rsidRPr="00597FFB">
        <w:rPr>
          <w:rFonts w:ascii="Times New Roman" w:eastAsia="Times New Roman" w:hAnsi="Times New Roman" w:cs="Times New Roman"/>
          <w:color w:val="000000"/>
          <w:sz w:val="24"/>
          <w:szCs w:val="24"/>
          <w:lang w:eastAsia="en-GB"/>
        </w:rPr>
        <w:t>(4), 744–755. https://doi.org/10.1177/1745691620966795</w:t>
      </w:r>
    </w:p>
    <w:p w14:paraId="01C92A2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Schwartz, S. H. (1977). Normative Influences on Altruism. In </w:t>
      </w:r>
      <w:r w:rsidRPr="00597FFB">
        <w:rPr>
          <w:rFonts w:ascii="Times New Roman" w:eastAsia="SimSun" w:hAnsi="Times New Roman" w:cs="Times New Roman"/>
          <w:i/>
          <w:iCs/>
          <w:kern w:val="24"/>
          <w:sz w:val="24"/>
          <w:szCs w:val="24"/>
          <w:lang w:val="en-GB" w:eastAsia="ja-JP"/>
        </w:rPr>
        <w:t>Advances in Experimental Social Psychology</w:t>
      </w:r>
      <w:r w:rsidRPr="00597FFB">
        <w:rPr>
          <w:rFonts w:ascii="Times New Roman" w:eastAsia="SimSun" w:hAnsi="Times New Roman" w:cs="Times New Roman"/>
          <w:kern w:val="24"/>
          <w:sz w:val="24"/>
          <w:szCs w:val="24"/>
          <w:lang w:val="en-GB" w:eastAsia="ja-JP"/>
        </w:rPr>
        <w:t xml:space="preserve"> (Vol. 10, pp. 221–279). Elsevier. https://doi.org/10.1016/S0065-2601(08)60358-5</w:t>
      </w:r>
    </w:p>
    <w:p w14:paraId="1D628C89"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Sengupta, D. (2018). </w:t>
      </w:r>
      <w:r w:rsidRPr="00597FFB">
        <w:rPr>
          <w:rFonts w:ascii="Times New Roman" w:eastAsiaTheme="minorHAnsi" w:hAnsi="Times New Roman" w:cs="Times New Roman"/>
          <w:i/>
          <w:iCs/>
          <w:sz w:val="24"/>
          <w:szCs w:val="24"/>
        </w:rPr>
        <w:t>The life of Y: Engaging millennials as employees and consumers</w:t>
      </w:r>
      <w:r w:rsidRPr="00597FFB">
        <w:rPr>
          <w:rFonts w:ascii="Times New Roman" w:eastAsiaTheme="minorHAnsi" w:hAnsi="Times New Roman" w:cs="Times New Roman"/>
          <w:sz w:val="24"/>
          <w:szCs w:val="24"/>
        </w:rPr>
        <w:t>. New Delhi, India: SAGE Publications India Pvt Ltd.</w:t>
      </w:r>
    </w:p>
    <w:p w14:paraId="68B614F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Shaikh, S., Thomas, K., &amp; Zuhair, S. (2020). An exploratory study of e-waste creation and disposal: Upstream considerations.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155</w:t>
      </w:r>
      <w:r w:rsidRPr="00597FFB">
        <w:rPr>
          <w:rFonts w:ascii="Times New Roman" w:eastAsia="SimSun" w:hAnsi="Times New Roman" w:cs="Times New Roman"/>
          <w:kern w:val="24"/>
          <w:sz w:val="24"/>
          <w:szCs w:val="24"/>
          <w:lang w:val="en-GB" w:eastAsia="ja-JP"/>
        </w:rPr>
        <w:t>, 104662. https://doi.org/10.1016/j.resconrec.2019.104662</w:t>
      </w:r>
    </w:p>
    <w:p w14:paraId="2C50787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Sharma, M., Joshi, S., &amp; Kumar, A. (2020a). Assessing enablers of e-waste management in circular economy using DEMATEL method: An Indian perspective.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(12), Article 12. https://doi.org/10.1007/s11356-020-07765-w</w:t>
      </w:r>
    </w:p>
    <w:p w14:paraId="26295FE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Sharma, M., Joshi, S., &amp; Kumar, A. (2020b). Assessing enablers of e-waste management in circular economy using DEMATEL method: An Indian perspective. </w:t>
      </w:r>
      <w:r w:rsidRPr="00597FFB">
        <w:rPr>
          <w:rFonts w:ascii="Times New Roman" w:eastAsia="SimSun" w:hAnsi="Times New Roman" w:cs="Times New Roman"/>
          <w:i/>
          <w:iCs/>
          <w:kern w:val="24"/>
          <w:sz w:val="24"/>
          <w:szCs w:val="24"/>
          <w:lang w:val="en-GB" w:eastAsia="ja-JP"/>
        </w:rPr>
        <w:t>Environmental Science and Pollution Research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27</w:t>
      </w:r>
      <w:r w:rsidRPr="00597FFB">
        <w:rPr>
          <w:rFonts w:ascii="Times New Roman" w:eastAsia="SimSun" w:hAnsi="Times New Roman" w:cs="Times New Roman"/>
          <w:kern w:val="24"/>
          <w:sz w:val="24"/>
          <w:szCs w:val="24"/>
          <w:lang w:val="en-GB" w:eastAsia="ja-JP"/>
        </w:rPr>
        <w:t>(12), 13325–13338. https://doi.org/10.1007/s11356-020-07765-w</w:t>
      </w:r>
    </w:p>
    <w:p w14:paraId="1C517E2F" w14:textId="77777777" w:rsidR="007562B3" w:rsidRPr="00597FFB" w:rsidRDefault="007562B3" w:rsidP="007562B3">
      <w:pPr>
        <w:widowControl w:val="0"/>
        <w:spacing w:after="0" w:line="480" w:lineRule="auto"/>
        <w:ind w:left="720" w:hanging="720"/>
        <w:rPr>
          <w:rFonts w:ascii="Times New Roman" w:eastAsia="Times New Roman" w:hAnsi="Times New Roman" w:cs="Times New Roman"/>
          <w:color w:val="000000"/>
          <w:sz w:val="24"/>
          <w:szCs w:val="24"/>
          <w:lang w:eastAsia="en-GB"/>
        </w:rPr>
      </w:pPr>
      <w:r w:rsidRPr="00597FFB">
        <w:rPr>
          <w:rFonts w:ascii="Times New Roman" w:eastAsia="Times New Roman" w:hAnsi="Times New Roman" w:cs="Times New Roman"/>
          <w:color w:val="000000"/>
          <w:sz w:val="24"/>
          <w:szCs w:val="24"/>
          <w:lang w:eastAsia="en-GB"/>
        </w:rPr>
        <w:t xml:space="preserve">Shearer, L. A. (2020). </w:t>
      </w:r>
      <w:r w:rsidRPr="00597FFB">
        <w:rPr>
          <w:rFonts w:ascii="Times New Roman" w:eastAsia="Times New Roman" w:hAnsi="Times New Roman" w:cs="Times New Roman"/>
          <w:i/>
          <w:iCs/>
          <w:color w:val="000000"/>
          <w:sz w:val="24"/>
          <w:szCs w:val="24"/>
          <w:lang w:eastAsia="en-GB"/>
        </w:rPr>
        <w:t>Food for Thought: Applying Behavioural Insights to Household Food Waste Recycling Behaviour.</w:t>
      </w:r>
      <w:r w:rsidRPr="00597FFB">
        <w:rPr>
          <w:rFonts w:ascii="Times New Roman" w:eastAsia="Times New Roman" w:hAnsi="Times New Roman" w:cs="Times New Roman"/>
          <w:color w:val="000000"/>
          <w:sz w:val="24"/>
          <w:szCs w:val="24"/>
          <w:lang w:eastAsia="en-GB"/>
        </w:rPr>
        <w:t xml:space="preserve"> [Application/pdf]. </w:t>
      </w:r>
      <w:hyperlink r:id="rId64" w:history="1">
        <w:r w:rsidRPr="00597FFB">
          <w:rPr>
            <w:rFonts w:ascii="Times New Roman" w:eastAsia="Times New Roman" w:hAnsi="Times New Roman" w:cs="Times New Roman"/>
            <w:color w:val="0563C1" w:themeColor="hyperlink"/>
            <w:sz w:val="24"/>
            <w:szCs w:val="24"/>
            <w:u w:val="single"/>
            <w:lang w:eastAsia="en-GB"/>
          </w:rPr>
          <w:t>https://doi.org/10.15126/THESIS.00853724</w:t>
        </w:r>
      </w:hyperlink>
    </w:p>
    <w:p w14:paraId="7D62934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Shin, H. W., &amp; Kang, J. (2021). What motivates your environmentally sustainable stay? Exploration of the underlying mechanism of consumers’ intentions to use green peer-to-peer accommodations. </w:t>
      </w:r>
      <w:r w:rsidRPr="00597FFB">
        <w:rPr>
          <w:rFonts w:ascii="Times New Roman" w:eastAsia="Times New Roman" w:hAnsi="Times New Roman" w:cs="Times New Roman"/>
          <w:i/>
          <w:iCs/>
          <w:color w:val="000000" w:themeColor="text1"/>
          <w:sz w:val="24"/>
          <w:szCs w:val="24"/>
          <w:lang w:eastAsia="en-GB"/>
        </w:rPr>
        <w:t>Journal of Travel &amp; Tourism Marketing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38</w:t>
      </w:r>
      <w:r w:rsidRPr="00597FFB">
        <w:rPr>
          <w:rFonts w:ascii="Times New Roman" w:eastAsia="Times New Roman" w:hAnsi="Times New Roman" w:cs="Times New Roman"/>
          <w:color w:val="000000" w:themeColor="text1"/>
          <w:sz w:val="24"/>
          <w:szCs w:val="24"/>
          <w:lang w:eastAsia="en-GB"/>
        </w:rPr>
        <w:t>(4), 413–430. https://doi.org/10.1080/10548408.2021.1921672</w:t>
      </w:r>
    </w:p>
    <w:p w14:paraId="49BA2D6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Shittu, O. S., Williams, I. D., &amp; Shaw, P. J. (2021). Global E-waste management: Can WEEE make a difference? A review of e-waste trends, legislation, contemporary issues and future challenges. </w:t>
      </w:r>
      <w:r w:rsidRPr="00597FFB">
        <w:rPr>
          <w:rFonts w:ascii="Times New Roman" w:eastAsia="SimSun" w:hAnsi="Times New Roman" w:cs="Times New Roman"/>
          <w:i/>
          <w:iCs/>
          <w:kern w:val="24"/>
          <w:sz w:val="24"/>
          <w:szCs w:val="24"/>
          <w:lang w:val="en-GB" w:eastAsia="ja-JP"/>
        </w:rPr>
        <w:t>Waste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120</w:t>
      </w:r>
      <w:r w:rsidRPr="00597FFB">
        <w:rPr>
          <w:rFonts w:ascii="Times New Roman" w:eastAsia="SimSun" w:hAnsi="Times New Roman" w:cs="Times New Roman"/>
          <w:kern w:val="24"/>
          <w:sz w:val="24"/>
          <w:szCs w:val="24"/>
          <w:lang w:val="en-GB" w:eastAsia="ja-JP"/>
        </w:rPr>
        <w:t>, 549–563. https://doi.org/10.1016/j.wasman.2020.10.016</w:t>
      </w:r>
    </w:p>
    <w:p w14:paraId="066D351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Singh, S. K., Del Giudice, M., Chiappetta Jabbour, C. J., Latan, H., &amp; Sohal, A. S. (2022). Stakeholder pressure, green innovation, and performance in small and medium</w:t>
      </w:r>
      <w:r w:rsidRPr="00597FFB">
        <w:rPr>
          <w:rFonts w:ascii="Cambria Math" w:eastAsia="SimSun" w:hAnsi="Cambria Math" w:cs="Cambria Math"/>
          <w:kern w:val="24"/>
          <w:sz w:val="24"/>
          <w:szCs w:val="24"/>
          <w:lang w:val="en-GB" w:eastAsia="ja-JP"/>
        </w:rPr>
        <w:t>‐</w:t>
      </w:r>
      <w:r w:rsidRPr="00597FFB">
        <w:rPr>
          <w:rFonts w:ascii="Times New Roman" w:eastAsia="SimSun" w:hAnsi="Times New Roman" w:cs="Times New Roman"/>
          <w:kern w:val="24"/>
          <w:sz w:val="24"/>
          <w:szCs w:val="24"/>
          <w:lang w:val="en-GB" w:eastAsia="ja-JP"/>
        </w:rPr>
        <w:t xml:space="preserve">sized enterprises: The role of green dynamic capabilities. </w:t>
      </w:r>
      <w:r w:rsidRPr="00597FFB">
        <w:rPr>
          <w:rFonts w:ascii="Times New Roman" w:eastAsia="SimSun" w:hAnsi="Times New Roman" w:cs="Times New Roman"/>
          <w:i/>
          <w:iCs/>
          <w:kern w:val="24"/>
          <w:sz w:val="24"/>
          <w:szCs w:val="24"/>
          <w:lang w:val="en-GB" w:eastAsia="ja-JP"/>
        </w:rPr>
        <w:t>Business Strategy and the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31</w:t>
      </w:r>
      <w:r w:rsidRPr="00597FFB">
        <w:rPr>
          <w:rFonts w:ascii="Times New Roman" w:eastAsia="SimSun" w:hAnsi="Times New Roman" w:cs="Times New Roman"/>
          <w:kern w:val="24"/>
          <w:sz w:val="24"/>
          <w:szCs w:val="24"/>
          <w:lang w:val="en-GB" w:eastAsia="ja-JP"/>
        </w:rPr>
        <w:t>(1), 500–514. https://doi.org/10.1002/bse.2906</w:t>
      </w:r>
    </w:p>
    <w:p w14:paraId="269B922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Singh, S. K., &amp; Gaur, S. S. (2018). Entrepreneurship and innovation management in emerging economies. </w:t>
      </w:r>
      <w:r w:rsidRPr="00597FFB">
        <w:rPr>
          <w:rFonts w:ascii="Times New Roman" w:eastAsia="SimSun" w:hAnsi="Times New Roman" w:cs="Times New Roman"/>
          <w:i/>
          <w:iCs/>
          <w:kern w:val="24"/>
          <w:sz w:val="24"/>
          <w:szCs w:val="24"/>
          <w:lang w:val="en-GB" w:eastAsia="ja-JP"/>
        </w:rPr>
        <w:t>Management Decision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56</w:t>
      </w:r>
      <w:r w:rsidRPr="00597FFB">
        <w:rPr>
          <w:rFonts w:ascii="Times New Roman" w:eastAsia="SimSun" w:hAnsi="Times New Roman" w:cs="Times New Roman"/>
          <w:kern w:val="24"/>
          <w:sz w:val="24"/>
          <w:szCs w:val="24"/>
          <w:lang w:val="en-GB" w:eastAsia="ja-JP"/>
        </w:rPr>
        <w:t>(1), 2–5. https://doi.org/10.1108/MD-11-2017-1131</w:t>
      </w:r>
    </w:p>
    <w:p w14:paraId="39436665"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Sörme, L., Voxberg, E., Rosenlund, J., Jensen, S., &amp; Augustsson, A. (2019). Coloured plastic bags for Kerbside collection of waste from households—To improve waste recycling. </w:t>
      </w:r>
      <w:r w:rsidRPr="00597FFB">
        <w:rPr>
          <w:rFonts w:ascii="Times New Roman" w:hAnsi="Times New Roman" w:cs="Times New Roman"/>
          <w:i/>
          <w:iCs/>
          <w:color w:val="000000" w:themeColor="text1"/>
          <w:kern w:val="24"/>
          <w:sz w:val="24"/>
          <w:szCs w:val="24"/>
          <w:lang w:eastAsia="ja-JP"/>
        </w:rPr>
        <w:t>Recycling, 4</w:t>
      </w:r>
      <w:r w:rsidRPr="00597FFB">
        <w:rPr>
          <w:rFonts w:ascii="Times New Roman" w:hAnsi="Times New Roman" w:cs="Times New Roman"/>
          <w:color w:val="000000" w:themeColor="text1"/>
          <w:kern w:val="24"/>
          <w:sz w:val="24"/>
          <w:szCs w:val="24"/>
          <w:lang w:eastAsia="ja-JP"/>
        </w:rPr>
        <w:t xml:space="preserve">(2), 20. </w:t>
      </w:r>
      <w:hyperlink r:id="rId65" w:history="1">
        <w:r w:rsidRPr="00597FFB">
          <w:rPr>
            <w:rFonts w:ascii="Times New Roman" w:hAnsi="Times New Roman" w:cs="Times New Roman"/>
            <w:color w:val="000000" w:themeColor="text1"/>
            <w:kern w:val="24"/>
            <w:sz w:val="24"/>
            <w:szCs w:val="24"/>
            <w:u w:val="single"/>
            <w:lang w:eastAsia="ja-JP"/>
          </w:rPr>
          <w:t>https://doi.org/10.3390/recycling4020020</w:t>
        </w:r>
      </w:hyperlink>
      <w:r w:rsidRPr="00597FFB">
        <w:rPr>
          <w:rFonts w:ascii="Times New Roman" w:hAnsi="Times New Roman" w:cs="Times New Roman"/>
          <w:color w:val="000000" w:themeColor="text1"/>
          <w:kern w:val="24"/>
          <w:sz w:val="24"/>
          <w:szCs w:val="24"/>
          <w:lang w:eastAsia="ja-JP"/>
        </w:rPr>
        <w:t>.</w:t>
      </w:r>
    </w:p>
    <w:p w14:paraId="69BC044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Srivastava, A. K., Dixit, S., &amp; Srivastava, A. A. (2021). Criticism of Triple Bottom Line: TBL (With Special Reference to Sustainability). </w:t>
      </w:r>
      <w:r w:rsidRPr="00597FFB">
        <w:rPr>
          <w:rFonts w:ascii="Times New Roman" w:eastAsia="SimSun" w:hAnsi="Times New Roman" w:cs="Times New Roman"/>
          <w:i/>
          <w:iCs/>
          <w:kern w:val="24"/>
          <w:sz w:val="24"/>
          <w:szCs w:val="24"/>
          <w:lang w:val="en-GB" w:eastAsia="ja-JP"/>
        </w:rPr>
        <w:t>Corporate Reputation Review</w:t>
      </w:r>
      <w:r w:rsidRPr="00597FFB">
        <w:rPr>
          <w:rFonts w:ascii="Times New Roman" w:eastAsia="SimSun" w:hAnsi="Times New Roman" w:cs="Times New Roman"/>
          <w:kern w:val="24"/>
          <w:sz w:val="24"/>
          <w:szCs w:val="24"/>
          <w:lang w:val="en-GB" w:eastAsia="ja-JP"/>
        </w:rPr>
        <w:t>. https://doi.org/10.1057/s41299-021-00111-x</w:t>
      </w:r>
    </w:p>
    <w:p w14:paraId="6CFE3FCF" w14:textId="77777777" w:rsidR="007562B3" w:rsidRPr="00597FFB" w:rsidRDefault="007562B3" w:rsidP="007562B3">
      <w:pPr>
        <w:widowControl w:val="0"/>
        <w:spacing w:after="0" w:line="480" w:lineRule="auto"/>
        <w:ind w:left="720" w:hanging="720"/>
        <w:rPr>
          <w:rFonts w:ascii="Times New Roman" w:eastAsiaTheme="minorHAnsi" w:hAnsi="Times New Roman" w:cs="Times New Roman"/>
          <w:sz w:val="24"/>
          <w:szCs w:val="24"/>
        </w:rPr>
      </w:pPr>
      <w:r w:rsidRPr="00597FFB">
        <w:rPr>
          <w:rFonts w:ascii="Times New Roman" w:eastAsiaTheme="minorHAnsi" w:hAnsi="Times New Roman" w:cs="Times New Roman"/>
          <w:sz w:val="24"/>
          <w:szCs w:val="24"/>
        </w:rPr>
        <w:t xml:space="preserve">Statistics Centre. </w:t>
      </w:r>
      <w:r w:rsidRPr="00597FFB">
        <w:rPr>
          <w:rFonts w:ascii="Times New Roman" w:eastAsiaTheme="minorHAnsi" w:hAnsi="Times New Roman" w:cs="Times New Roman"/>
          <w:i/>
          <w:iCs/>
          <w:sz w:val="24"/>
          <w:szCs w:val="24"/>
        </w:rPr>
        <w:t>Household surveys and censuses: Standard and definitions</w:t>
      </w:r>
      <w:r w:rsidRPr="00597FFB">
        <w:rPr>
          <w:rFonts w:ascii="Times New Roman" w:eastAsiaTheme="minorHAnsi" w:hAnsi="Times New Roman" w:cs="Times New Roman"/>
          <w:sz w:val="24"/>
          <w:szCs w:val="24"/>
        </w:rPr>
        <w:t xml:space="preserve">. Retrieved from </w:t>
      </w:r>
      <w:hyperlink r:id="rId66" w:history="1">
        <w:r w:rsidRPr="00597FFB">
          <w:rPr>
            <w:rFonts w:ascii="Times New Roman" w:eastAsiaTheme="minorHAnsi" w:hAnsi="Times New Roman" w:cs="Times New Roman"/>
            <w:color w:val="0563C1" w:themeColor="hyperlink"/>
            <w:sz w:val="24"/>
            <w:szCs w:val="24"/>
            <w:u w:val="single"/>
          </w:rPr>
          <w:t>https://www.scad.gov.ae/MethodologyDocumentLib/Household%20Surveys%20and%20Censuses%20-%20Metho%20-%20En.pdf</w:t>
        </w:r>
      </w:hyperlink>
    </w:p>
    <w:p w14:paraId="70E2E4B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Stehman, S. V., Fonte, C. C., Foody, G. M., &amp; See, L. (2018). Using volunteered geographic information (VGI) in design-based statistical inference for area estimation and accuracy assessment of land cover. </w:t>
      </w:r>
      <w:r w:rsidRPr="00597FFB">
        <w:rPr>
          <w:rFonts w:ascii="Times New Roman" w:eastAsia="SimSun" w:hAnsi="Times New Roman" w:cs="Times New Roman"/>
          <w:i/>
          <w:iCs/>
          <w:kern w:val="24"/>
          <w:sz w:val="24"/>
          <w:szCs w:val="24"/>
          <w:lang w:val="en-GB" w:eastAsia="ja-JP"/>
        </w:rPr>
        <w:t>Remote Sensing of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212</w:t>
      </w:r>
      <w:r w:rsidRPr="00597FFB">
        <w:rPr>
          <w:rFonts w:ascii="Times New Roman" w:eastAsia="SimSun" w:hAnsi="Times New Roman" w:cs="Times New Roman"/>
          <w:kern w:val="24"/>
          <w:sz w:val="24"/>
          <w:szCs w:val="24"/>
          <w:lang w:val="en-GB" w:eastAsia="ja-JP"/>
        </w:rPr>
        <w:t>, 47–59. https://doi.org/10.1016/j.rse.2018.04.014</w:t>
      </w:r>
    </w:p>
    <w:p w14:paraId="4B6DAF9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Stern, C. R., Kilian, R., Olker, B., Hauri, E. H., &amp; Kurtis Kyser, T. (1999). Evidence from mantle xenoliths for relatively thin (&lt;100 km) continental lithosphere below the Phanerozoic crust of southernmost South America. In </w:t>
      </w:r>
      <w:r w:rsidRPr="00597FFB">
        <w:rPr>
          <w:rFonts w:ascii="Times New Roman" w:eastAsia="SimSun" w:hAnsi="Times New Roman" w:cs="Times New Roman"/>
          <w:i/>
          <w:iCs/>
          <w:kern w:val="24"/>
          <w:sz w:val="24"/>
          <w:szCs w:val="24"/>
          <w:lang w:val="en-GB" w:eastAsia="ja-JP"/>
        </w:rPr>
        <w:t>Developments in Geotectonics</w:t>
      </w:r>
      <w:r w:rsidRPr="00597FFB">
        <w:rPr>
          <w:rFonts w:ascii="Times New Roman" w:eastAsia="SimSun" w:hAnsi="Times New Roman" w:cs="Times New Roman"/>
          <w:kern w:val="24"/>
          <w:sz w:val="24"/>
          <w:szCs w:val="24"/>
          <w:lang w:val="en-GB" w:eastAsia="ja-JP"/>
        </w:rPr>
        <w:t xml:space="preserve"> (Vol. 24, pp. 217–235). Elsevier. https://doi.org/10.1016/S0419-0254(99)80013-5</w:t>
      </w:r>
    </w:p>
    <w:p w14:paraId="49F58BE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Story, D. A., &amp; Tait, A. R. (2019). Survey Research. </w:t>
      </w:r>
      <w:r w:rsidRPr="00597FFB">
        <w:rPr>
          <w:rFonts w:ascii="Times New Roman" w:eastAsia="SimSun" w:hAnsi="Times New Roman" w:cs="Times New Roman"/>
          <w:i/>
          <w:iCs/>
          <w:kern w:val="24"/>
          <w:sz w:val="24"/>
          <w:szCs w:val="24"/>
          <w:lang w:val="en-GB" w:eastAsia="ja-JP"/>
        </w:rPr>
        <w:t>Anesthesiology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130</w:t>
      </w:r>
      <w:r w:rsidRPr="00597FFB">
        <w:rPr>
          <w:rFonts w:ascii="Times New Roman" w:eastAsia="SimSun" w:hAnsi="Times New Roman" w:cs="Times New Roman"/>
          <w:kern w:val="24"/>
          <w:sz w:val="24"/>
          <w:szCs w:val="24"/>
          <w:lang w:val="en-GB" w:eastAsia="ja-JP"/>
        </w:rPr>
        <w:t>(2), 192–202. https://doi.org/10.1097/ALN.0000000000002436</w:t>
      </w:r>
    </w:p>
    <w:p w14:paraId="6C059753"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Suau-Sanchez, P., Voltes-Dorta, A., &amp; Cugueró-Escofet, N. (2020). An early assessment of the impact of COVID-19 on air transport: Just another crisis or the end of aviation as we know it? </w:t>
      </w:r>
      <w:r w:rsidRPr="00597FFB">
        <w:rPr>
          <w:rFonts w:ascii="Times New Roman" w:eastAsia="SimSun" w:hAnsi="Times New Roman" w:cs="Times New Roman"/>
          <w:i/>
          <w:iCs/>
          <w:kern w:val="24"/>
          <w:sz w:val="24"/>
          <w:szCs w:val="24"/>
          <w:lang w:val="en-GB" w:eastAsia="ja-JP"/>
        </w:rPr>
        <w:t>Journal of Transport Geography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86</w:t>
      </w:r>
      <w:r w:rsidRPr="00597FFB">
        <w:rPr>
          <w:rFonts w:ascii="Times New Roman" w:eastAsia="SimSun" w:hAnsi="Times New Roman" w:cs="Times New Roman"/>
          <w:kern w:val="24"/>
          <w:sz w:val="24"/>
          <w:szCs w:val="24"/>
          <w:lang w:val="en-GB" w:eastAsia="ja-JP"/>
        </w:rPr>
        <w:t>, 102749. https://doi.org/10.1016/j.jtrangeo.2020.102749</w:t>
      </w:r>
    </w:p>
    <w:p w14:paraId="2D8B4D0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Sujata, M., Khor, K.-S., Ramayah, T., &amp; Teoh, A. P. (2019). The role of social media on recycling behaviour. </w:t>
      </w:r>
      <w:r w:rsidRPr="00597FFB">
        <w:rPr>
          <w:rFonts w:ascii="Times New Roman" w:eastAsia="SimSun" w:hAnsi="Times New Roman" w:cs="Times New Roman"/>
          <w:i/>
          <w:iCs/>
          <w:kern w:val="24"/>
          <w:sz w:val="24"/>
          <w:szCs w:val="24"/>
          <w:lang w:val="en-GB" w:eastAsia="ja-JP"/>
        </w:rPr>
        <w:t>Sustainable Production and Consumption</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w:t>
      </w:r>
      <w:r w:rsidRPr="00597FFB">
        <w:rPr>
          <w:rFonts w:ascii="Times New Roman" w:eastAsia="SimSun" w:hAnsi="Times New Roman" w:cs="Times New Roman"/>
          <w:kern w:val="24"/>
          <w:sz w:val="24"/>
          <w:szCs w:val="24"/>
          <w:lang w:val="en-GB" w:eastAsia="ja-JP"/>
        </w:rPr>
        <w:t>, 365–374. https://doi.org/10.1016/j.spc.2019.08.005</w:t>
      </w:r>
    </w:p>
    <w:p w14:paraId="68C9DFC9" w14:textId="71BB5A0C" w:rsidR="007562B3" w:rsidRPr="00597FFB" w:rsidRDefault="007562B3" w:rsidP="00C610DB">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Swinerd, C., &amp; McNaught, K. R. (2015). Comparing a simulation model with various analytic models of the international diffusion of consumer technology. </w:t>
      </w:r>
      <w:r w:rsidRPr="00597FFB">
        <w:rPr>
          <w:rFonts w:ascii="Times New Roman" w:hAnsi="Times New Roman" w:cs="Times New Roman"/>
          <w:i/>
          <w:iCs/>
          <w:color w:val="000000" w:themeColor="text1"/>
          <w:kern w:val="24"/>
          <w:sz w:val="24"/>
          <w:szCs w:val="24"/>
          <w:lang w:eastAsia="ja-JP"/>
        </w:rPr>
        <w:t>Technological Forecasting and Social Change,</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100</w:t>
      </w:r>
      <w:r w:rsidRPr="00597FFB">
        <w:rPr>
          <w:rFonts w:ascii="Times New Roman" w:hAnsi="Times New Roman" w:cs="Times New Roman"/>
          <w:color w:val="000000" w:themeColor="text1"/>
          <w:kern w:val="24"/>
          <w:sz w:val="24"/>
          <w:szCs w:val="24"/>
          <w:lang w:eastAsia="ja-JP"/>
        </w:rPr>
        <w:t xml:space="preserve">, 330–343. </w:t>
      </w:r>
      <w:hyperlink r:id="rId67" w:history="1">
        <w:r w:rsidRPr="00597FFB">
          <w:rPr>
            <w:rFonts w:ascii="Times New Roman" w:hAnsi="Times New Roman" w:cs="Times New Roman"/>
            <w:color w:val="000000" w:themeColor="text1"/>
            <w:kern w:val="24"/>
            <w:sz w:val="24"/>
            <w:szCs w:val="24"/>
            <w:u w:val="single"/>
            <w:lang w:eastAsia="ja-JP"/>
          </w:rPr>
          <w:t>https://doi.org/10.1016/j.techfore.2015.08.003</w:t>
        </w:r>
      </w:hyperlink>
      <w:r w:rsidRPr="00597FFB">
        <w:rPr>
          <w:rFonts w:ascii="Times New Roman" w:hAnsi="Times New Roman" w:cs="Times New Roman"/>
          <w:color w:val="000000" w:themeColor="text1"/>
          <w:kern w:val="24"/>
          <w:sz w:val="24"/>
          <w:szCs w:val="24"/>
          <w:lang w:eastAsia="ja-JP"/>
        </w:rPr>
        <w:t>.</w:t>
      </w:r>
    </w:p>
    <w:p w14:paraId="239B1AB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Taufique, K. M. R., &amp; Islam, S. (2021). Green marketing in emerging Asia: Antecedents of green consumer behavior among younger millennials. </w:t>
      </w:r>
      <w:r w:rsidRPr="00597FFB">
        <w:rPr>
          <w:rFonts w:ascii="Times New Roman" w:eastAsia="Times New Roman" w:hAnsi="Times New Roman" w:cs="Times New Roman"/>
          <w:i/>
          <w:iCs/>
          <w:color w:val="000000" w:themeColor="text1"/>
          <w:sz w:val="24"/>
          <w:szCs w:val="24"/>
          <w:lang w:eastAsia="en-GB"/>
        </w:rPr>
        <w:t>Journal of Asia Business Studies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ahead-of-print</w:t>
      </w:r>
      <w:r w:rsidRPr="00597FFB">
        <w:rPr>
          <w:rFonts w:ascii="Times New Roman" w:eastAsia="Times New Roman" w:hAnsi="Times New Roman" w:cs="Times New Roman"/>
          <w:color w:val="000000" w:themeColor="text1"/>
          <w:sz w:val="24"/>
          <w:szCs w:val="24"/>
          <w:lang w:eastAsia="en-GB"/>
        </w:rPr>
        <w:t>(ahead-of-print). https://doi.org/10.1108/JABS-03-2020-0094</w:t>
      </w:r>
    </w:p>
    <w:p w14:paraId="105D4351"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Tabernero, C., &amp; Hernández, B. (2011). Collective motivation for managing our common environment. In M. Bonaiuto, M. Bonnes, A. M. Nenci, G. Carrus (Eds.), </w:t>
      </w:r>
      <w:r w:rsidRPr="00597FFB">
        <w:rPr>
          <w:rFonts w:ascii="Times New Roman" w:hAnsi="Times New Roman" w:cs="Times New Roman"/>
          <w:i/>
          <w:iCs/>
          <w:color w:val="000000" w:themeColor="text1"/>
          <w:kern w:val="24"/>
          <w:sz w:val="24"/>
          <w:szCs w:val="24"/>
          <w:lang w:eastAsia="ja-JP"/>
        </w:rPr>
        <w:t>Advances in people – Environment studies</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 xml:space="preserve">Vol. 2. Urban diversities—Environmental and Social Issues </w:t>
      </w:r>
      <w:r w:rsidRPr="00597FFB">
        <w:rPr>
          <w:rFonts w:ascii="Times New Roman" w:hAnsi="Times New Roman" w:cs="Times New Roman"/>
          <w:color w:val="000000" w:themeColor="text1"/>
          <w:kern w:val="24"/>
          <w:sz w:val="24"/>
          <w:szCs w:val="24"/>
          <w:lang w:eastAsia="ja-JP"/>
        </w:rPr>
        <w:t>(pp. 193–202). Göttingen, Germany: Hogrefe Publishing.</w:t>
      </w:r>
    </w:p>
    <w:p w14:paraId="64EC238F"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Tam, K.-P., &amp; Chan, H.-W. (2017). Environmental concern has a weaker association with pro-environmental behavior in some societies than others: A cross-cultural psychology perspective. </w:t>
      </w:r>
      <w:r w:rsidRPr="00597FFB">
        <w:rPr>
          <w:rFonts w:ascii="Times New Roman" w:hAnsi="Times New Roman" w:cs="Times New Roman"/>
          <w:i/>
          <w:iCs/>
          <w:color w:val="000000" w:themeColor="text1"/>
          <w:kern w:val="24"/>
          <w:sz w:val="24"/>
          <w:szCs w:val="24"/>
          <w:lang w:eastAsia="ja-JP"/>
        </w:rPr>
        <w:t>Journal of Environmental Psychology,</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53</w:t>
      </w:r>
      <w:r w:rsidRPr="00597FFB">
        <w:rPr>
          <w:rFonts w:ascii="Times New Roman" w:hAnsi="Times New Roman" w:cs="Times New Roman"/>
          <w:color w:val="000000" w:themeColor="text1"/>
          <w:kern w:val="24"/>
          <w:sz w:val="24"/>
          <w:szCs w:val="24"/>
          <w:lang w:eastAsia="ja-JP"/>
        </w:rPr>
        <w:t xml:space="preserve">, 213–223. </w:t>
      </w:r>
      <w:hyperlink r:id="rId68" w:history="1">
        <w:r w:rsidRPr="00597FFB">
          <w:rPr>
            <w:rFonts w:ascii="Times New Roman" w:hAnsi="Times New Roman" w:cs="Times New Roman"/>
            <w:color w:val="000000" w:themeColor="text1"/>
            <w:kern w:val="24"/>
            <w:sz w:val="24"/>
            <w:szCs w:val="24"/>
            <w:u w:val="single"/>
            <w:lang w:eastAsia="ja-JP"/>
          </w:rPr>
          <w:t>https://doi.org/10.1016/j.jenvp.2017.09.001</w:t>
        </w:r>
      </w:hyperlink>
      <w:r w:rsidRPr="00597FFB">
        <w:rPr>
          <w:rFonts w:ascii="Times New Roman" w:hAnsi="Times New Roman" w:cs="Times New Roman"/>
          <w:color w:val="000000" w:themeColor="text1"/>
          <w:kern w:val="24"/>
          <w:sz w:val="24"/>
          <w:szCs w:val="24"/>
          <w:lang w:eastAsia="ja-JP"/>
        </w:rPr>
        <w:t>.</w:t>
      </w:r>
    </w:p>
    <w:p w14:paraId="521D1A70"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Taylor, S., &amp; Todd, P. (1995). Decomposition and crossover effects in the theory of planned behavior: A study of consumer adoption intentions. </w:t>
      </w:r>
      <w:r w:rsidRPr="00597FFB">
        <w:rPr>
          <w:rFonts w:ascii="Times New Roman" w:eastAsia="SimSun" w:hAnsi="Times New Roman" w:cs="Times New Roman"/>
          <w:i/>
          <w:iCs/>
          <w:kern w:val="24"/>
          <w:sz w:val="24"/>
          <w:szCs w:val="24"/>
          <w:lang w:val="en-GB" w:eastAsia="ja-JP"/>
        </w:rPr>
        <w:t>International Journal of Research in Marketing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12</w:t>
      </w:r>
      <w:r w:rsidRPr="00597FFB">
        <w:rPr>
          <w:rFonts w:ascii="Times New Roman" w:eastAsia="SimSun" w:hAnsi="Times New Roman" w:cs="Times New Roman"/>
          <w:kern w:val="24"/>
          <w:sz w:val="24"/>
          <w:szCs w:val="24"/>
          <w:lang w:val="en-GB" w:eastAsia="ja-JP"/>
        </w:rPr>
        <w:t>(2), 137–155. https://doi.org/10.1016/0167-8116(94)00019-K</w:t>
      </w:r>
    </w:p>
    <w:p w14:paraId="418C0D55"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Tchetchik, A., Kaplan, S., &amp; Blass, V. (2021). </w:t>
      </w:r>
      <w:r w:rsidRPr="00597FFB">
        <w:rPr>
          <w:rFonts w:ascii="Times New Roman" w:hAnsi="Times New Roman" w:cs="Times New Roman"/>
          <w:color w:val="000000" w:themeColor="text1"/>
          <w:kern w:val="24"/>
          <w:sz w:val="24"/>
          <w:szCs w:val="24"/>
          <w:lang w:val="en-GB" w:eastAsia="ja-JP"/>
        </w:rPr>
        <w:t>Recycling and consumption reduction following the COVID-19 lockdown: The effect of threat and coping appraisal, past behavior and information</w:t>
      </w:r>
      <w:r w:rsidRPr="00597FFB">
        <w:rPr>
          <w:rFonts w:ascii="Times New Roman" w:hAnsi="Times New Roman" w:cs="Times New Roman"/>
          <w:color w:val="000000" w:themeColor="text1"/>
          <w:kern w:val="24"/>
          <w:sz w:val="24"/>
          <w:szCs w:val="24"/>
          <w:lang w:eastAsia="ja-JP"/>
        </w:rPr>
        <w:t xml:space="preserve">. Resources, Conservation &amp; Recycling, 167, 105370. </w:t>
      </w:r>
      <w:hyperlink r:id="rId69" w:history="1">
        <w:r w:rsidRPr="00597FFB">
          <w:rPr>
            <w:rFonts w:ascii="Times New Roman" w:hAnsi="Times New Roman" w:cs="Times New Roman"/>
            <w:color w:val="000000" w:themeColor="text1"/>
            <w:kern w:val="24"/>
            <w:sz w:val="24"/>
            <w:szCs w:val="24"/>
            <w:u w:val="single"/>
            <w:lang w:eastAsia="ja-JP"/>
          </w:rPr>
          <w:t>https://doi.org/10.1016/j.resconrec.2020.105370</w:t>
        </w:r>
      </w:hyperlink>
    </w:p>
    <w:p w14:paraId="34E85D2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ten Haken, I., Ben Allouch, S., &amp; van Harten, W. H. (2021). Education and training of nurses in the use of advanced medical technologies in home care related to patient safety: A cross-sectional survey. </w:t>
      </w:r>
      <w:r w:rsidRPr="00597FFB">
        <w:rPr>
          <w:rFonts w:ascii="Times New Roman" w:eastAsia="SimSun" w:hAnsi="Times New Roman" w:cs="Times New Roman"/>
          <w:i/>
          <w:iCs/>
          <w:kern w:val="24"/>
          <w:sz w:val="24"/>
          <w:szCs w:val="24"/>
          <w:lang w:val="en-GB" w:eastAsia="ja-JP"/>
        </w:rPr>
        <w:t>Nurse Education Today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100</w:t>
      </w:r>
      <w:r w:rsidRPr="00597FFB">
        <w:rPr>
          <w:rFonts w:ascii="Times New Roman" w:eastAsia="SimSun" w:hAnsi="Times New Roman" w:cs="Times New Roman"/>
          <w:kern w:val="24"/>
          <w:sz w:val="24"/>
          <w:szCs w:val="24"/>
          <w:lang w:val="en-GB" w:eastAsia="ja-JP"/>
        </w:rPr>
        <w:t>, 104813. https://doi.org/10.1016/j.nedt.2021.104813</w:t>
      </w:r>
    </w:p>
    <w:p w14:paraId="5149A05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The World Bank Group. (2022a). </w:t>
      </w:r>
      <w:r w:rsidRPr="00597FFB">
        <w:rPr>
          <w:rFonts w:ascii="Times New Roman" w:eastAsia="Times New Roman" w:hAnsi="Times New Roman" w:cs="Times New Roman"/>
          <w:i/>
          <w:iCs/>
          <w:color w:val="000000" w:themeColor="text1"/>
          <w:sz w:val="24"/>
          <w:szCs w:val="24"/>
          <w:lang w:eastAsia="en-GB"/>
        </w:rPr>
        <w:t>Individuals using the Internet (% of population) | Data</w:t>
      </w:r>
      <w:r w:rsidRPr="00597FFB">
        <w:rPr>
          <w:rFonts w:ascii="Times New Roman" w:eastAsia="Times New Roman" w:hAnsi="Times New Roman" w:cs="Times New Roman"/>
          <w:color w:val="000000" w:themeColor="text1"/>
          <w:sz w:val="24"/>
          <w:szCs w:val="24"/>
          <w:lang w:eastAsia="en-GB"/>
        </w:rPr>
        <w:t>. Retrieved from https://data.worldbank.org/indicator/IT.NET.USER.ZS?end=2020&amp;start=2005&amp;view=chart</w:t>
      </w:r>
    </w:p>
    <w:p w14:paraId="109A06C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The World Bank Group. (2022b). </w:t>
      </w:r>
      <w:r w:rsidRPr="00597FFB">
        <w:rPr>
          <w:rFonts w:ascii="Times New Roman" w:eastAsia="Times New Roman" w:hAnsi="Times New Roman" w:cs="Times New Roman"/>
          <w:i/>
          <w:iCs/>
          <w:color w:val="000000" w:themeColor="text1"/>
          <w:sz w:val="24"/>
          <w:szCs w:val="24"/>
          <w:lang w:eastAsia="en-GB"/>
        </w:rPr>
        <w:t>GDP per capita (current US$) - United Arab Emirates | Data</w:t>
      </w:r>
      <w:r w:rsidRPr="00597FFB">
        <w:rPr>
          <w:rFonts w:ascii="Times New Roman" w:eastAsia="Times New Roman" w:hAnsi="Times New Roman" w:cs="Times New Roman"/>
          <w:color w:val="000000" w:themeColor="text1"/>
          <w:sz w:val="24"/>
          <w:szCs w:val="24"/>
          <w:lang w:eastAsia="en-GB"/>
        </w:rPr>
        <w:t>. Retrieved from The World Bank Group: https://data.worldbank.org/indicator/NY.GDP.PCAP.CD?locations=AE</w:t>
      </w:r>
    </w:p>
    <w:p w14:paraId="00029E7E"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Thøgersen, J. (1996). Recycling and morality: A critical review of the literature. </w:t>
      </w:r>
      <w:r w:rsidRPr="00597FFB">
        <w:rPr>
          <w:rFonts w:ascii="Times New Roman" w:hAnsi="Times New Roman" w:cs="Times New Roman"/>
          <w:i/>
          <w:iCs/>
          <w:color w:val="000000" w:themeColor="text1"/>
          <w:kern w:val="24"/>
          <w:sz w:val="24"/>
          <w:szCs w:val="24"/>
          <w:lang w:eastAsia="ja-JP"/>
        </w:rPr>
        <w:t>Environment and Behavior, 28</w:t>
      </w:r>
      <w:r w:rsidRPr="00597FFB">
        <w:rPr>
          <w:rFonts w:ascii="Times New Roman" w:hAnsi="Times New Roman" w:cs="Times New Roman"/>
          <w:color w:val="000000" w:themeColor="text1"/>
          <w:kern w:val="24"/>
          <w:sz w:val="24"/>
          <w:szCs w:val="24"/>
          <w:lang w:eastAsia="ja-JP"/>
        </w:rPr>
        <w:t xml:space="preserve">(4), 536–558. </w:t>
      </w:r>
      <w:hyperlink r:id="rId70" w:history="1">
        <w:r w:rsidRPr="00597FFB">
          <w:rPr>
            <w:rFonts w:ascii="Times New Roman" w:hAnsi="Times New Roman" w:cs="Times New Roman"/>
            <w:color w:val="000000" w:themeColor="text1"/>
            <w:kern w:val="24"/>
            <w:sz w:val="24"/>
            <w:szCs w:val="24"/>
            <w:u w:val="single"/>
            <w:lang w:eastAsia="ja-JP"/>
          </w:rPr>
          <w:t>https://doi.org/10.1177/0013916596284006</w:t>
        </w:r>
      </w:hyperlink>
      <w:r w:rsidRPr="00597FFB">
        <w:rPr>
          <w:rFonts w:ascii="Times New Roman" w:hAnsi="Times New Roman" w:cs="Times New Roman"/>
          <w:color w:val="000000" w:themeColor="text1"/>
          <w:kern w:val="24"/>
          <w:sz w:val="24"/>
          <w:szCs w:val="24"/>
          <w:lang w:eastAsia="ja-JP"/>
        </w:rPr>
        <w:t>.</w:t>
      </w:r>
    </w:p>
    <w:p w14:paraId="7F8702F7"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Thøgersen, J. (1999). Spillover processes in the development of a sustainable consumption pattern. </w:t>
      </w:r>
      <w:r w:rsidRPr="00597FFB">
        <w:rPr>
          <w:rFonts w:ascii="Times New Roman" w:hAnsi="Times New Roman" w:cs="Times New Roman"/>
          <w:i/>
          <w:iCs/>
          <w:color w:val="000000" w:themeColor="text1"/>
          <w:kern w:val="24"/>
          <w:sz w:val="24"/>
          <w:szCs w:val="24"/>
          <w:lang w:eastAsia="ja-JP"/>
        </w:rPr>
        <w:t>Journal of Economic Psychology, 20</w:t>
      </w:r>
      <w:r w:rsidRPr="00597FFB">
        <w:rPr>
          <w:rFonts w:ascii="Times New Roman" w:hAnsi="Times New Roman" w:cs="Times New Roman"/>
          <w:color w:val="000000" w:themeColor="text1"/>
          <w:kern w:val="24"/>
          <w:sz w:val="24"/>
          <w:szCs w:val="24"/>
          <w:lang w:eastAsia="ja-JP"/>
        </w:rPr>
        <w:t xml:space="preserve">(1), 53–81. </w:t>
      </w:r>
      <w:hyperlink r:id="rId71" w:history="1">
        <w:r w:rsidRPr="00597FFB">
          <w:rPr>
            <w:rFonts w:ascii="Times New Roman" w:hAnsi="Times New Roman" w:cs="Times New Roman"/>
            <w:color w:val="000000" w:themeColor="text1"/>
            <w:kern w:val="24"/>
            <w:sz w:val="24"/>
            <w:szCs w:val="24"/>
            <w:u w:val="single"/>
            <w:lang w:eastAsia="ja-JP"/>
          </w:rPr>
          <w:t>https://doi.org/10.1016/S0167-4870(98)00043-9</w:t>
        </w:r>
      </w:hyperlink>
      <w:r w:rsidRPr="00597FFB">
        <w:rPr>
          <w:rFonts w:ascii="Times New Roman" w:hAnsi="Times New Roman" w:cs="Times New Roman"/>
          <w:color w:val="000000" w:themeColor="text1"/>
          <w:kern w:val="24"/>
          <w:sz w:val="24"/>
          <w:szCs w:val="24"/>
          <w:lang w:eastAsia="ja-JP"/>
        </w:rPr>
        <w:t>.</w:t>
      </w:r>
    </w:p>
    <w:p w14:paraId="7989AA99"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Thøgersen, J. (2006). Norms for environmentally responsible behaviour: An extended taxonomy. </w:t>
      </w:r>
      <w:r w:rsidRPr="00597FFB">
        <w:rPr>
          <w:rFonts w:ascii="Times New Roman" w:hAnsi="Times New Roman" w:cs="Times New Roman"/>
          <w:i/>
          <w:iCs/>
          <w:color w:val="000000" w:themeColor="text1"/>
          <w:kern w:val="24"/>
          <w:sz w:val="24"/>
          <w:szCs w:val="24"/>
          <w:lang w:eastAsia="ja-JP"/>
        </w:rPr>
        <w:t>Journal of Environmental Psychology, 26</w:t>
      </w:r>
      <w:r w:rsidRPr="00597FFB">
        <w:rPr>
          <w:rFonts w:ascii="Times New Roman" w:hAnsi="Times New Roman" w:cs="Times New Roman"/>
          <w:color w:val="000000" w:themeColor="text1"/>
          <w:kern w:val="24"/>
          <w:sz w:val="24"/>
          <w:szCs w:val="24"/>
          <w:lang w:eastAsia="ja-JP"/>
        </w:rPr>
        <w:t xml:space="preserve">(4), 247–261. </w:t>
      </w:r>
      <w:hyperlink r:id="rId72" w:history="1">
        <w:r w:rsidRPr="00597FFB">
          <w:rPr>
            <w:rFonts w:ascii="Times New Roman" w:hAnsi="Times New Roman" w:cs="Times New Roman"/>
            <w:color w:val="000000" w:themeColor="text1"/>
            <w:kern w:val="24"/>
            <w:sz w:val="24"/>
            <w:szCs w:val="24"/>
            <w:u w:val="single"/>
            <w:lang w:eastAsia="ja-JP"/>
          </w:rPr>
          <w:t>https://doi.org/10.1016/j.jenvp.2006.09.004</w:t>
        </w:r>
      </w:hyperlink>
      <w:r w:rsidRPr="00597FFB">
        <w:rPr>
          <w:rFonts w:ascii="Times New Roman" w:hAnsi="Times New Roman" w:cs="Times New Roman"/>
          <w:color w:val="000000" w:themeColor="text1"/>
          <w:kern w:val="24"/>
          <w:sz w:val="24"/>
          <w:szCs w:val="24"/>
          <w:lang w:eastAsia="ja-JP"/>
        </w:rPr>
        <w:t>.</w:t>
      </w:r>
    </w:p>
    <w:p w14:paraId="3162BABA"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Tsai, F. M., Bui, T.-D., Tseng, M.-L., Ali, M. H., Lim, M. K., &amp; Chiu, A. S. (2021). Sustainable supply chain management trends in world regions: A data-driven analysis. </w:t>
      </w:r>
      <w:r w:rsidRPr="00597FFB">
        <w:rPr>
          <w:rFonts w:ascii="Times New Roman" w:eastAsia="Times New Roman" w:hAnsi="Times New Roman" w:cs="Times New Roman"/>
          <w:i/>
          <w:iCs/>
          <w:color w:val="000000" w:themeColor="text1"/>
          <w:sz w:val="24"/>
          <w:szCs w:val="24"/>
          <w:lang w:eastAsia="en-GB"/>
        </w:rPr>
        <w:t>Resources, Conservation and Recycling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167</w:t>
      </w:r>
      <w:r w:rsidRPr="00597FFB">
        <w:rPr>
          <w:rFonts w:ascii="Times New Roman" w:eastAsia="Times New Roman" w:hAnsi="Times New Roman" w:cs="Times New Roman"/>
          <w:color w:val="000000" w:themeColor="text1"/>
          <w:sz w:val="24"/>
          <w:szCs w:val="24"/>
          <w:lang w:eastAsia="en-GB"/>
        </w:rPr>
        <w:t>, 105421. https://doi.org/10.1016/j.resconrec.2021.105421</w:t>
      </w:r>
    </w:p>
    <w:p w14:paraId="33A230E3"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Tsydenova, N., &amp; Heyken, M. (2019). Formal and informal e-waste collection in Mexico City. In A. Pehlken, M. Kalverkamp, &amp; R. Wittstock (Ed.), </w:t>
      </w:r>
      <w:r w:rsidRPr="00597FFB">
        <w:rPr>
          <w:rFonts w:ascii="Times New Roman" w:eastAsia="Times New Roman" w:hAnsi="Times New Roman" w:cs="Times New Roman"/>
          <w:i/>
          <w:iCs/>
          <w:color w:val="000000" w:themeColor="text1"/>
          <w:sz w:val="24"/>
          <w:szCs w:val="24"/>
          <w:lang w:eastAsia="en-GB"/>
        </w:rPr>
        <w:t>Cascade Use in Technologies 2018: Internationale Konferenz zur Kaskadennutzung und Kreislaufwirtschaft – Oldenburg 2018</w:t>
      </w:r>
      <w:r w:rsidRPr="00597FFB">
        <w:rPr>
          <w:rFonts w:ascii="Times New Roman" w:eastAsia="Times New Roman" w:hAnsi="Times New Roman" w:cs="Times New Roman"/>
          <w:color w:val="000000" w:themeColor="text1"/>
          <w:sz w:val="24"/>
          <w:szCs w:val="24"/>
          <w:lang w:eastAsia="en-GB"/>
        </w:rPr>
        <w:t xml:space="preserve"> (pp. 30-37). Oldenburg, Germany: Springer Vieweg. doi:10.1007/978-3-662-57886-5</w:t>
      </w:r>
    </w:p>
    <w:p w14:paraId="703A3A98"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Tonglet, M., Phillips, P. S., &amp; Read, A. D. (2004). </w:t>
      </w:r>
      <w:r w:rsidRPr="00597FFB">
        <w:rPr>
          <w:rFonts w:ascii="Times New Roman" w:eastAsia="SimSun" w:hAnsi="Times New Roman" w:cs="Times New Roman"/>
          <w:i/>
          <w:iCs/>
          <w:kern w:val="24"/>
          <w:sz w:val="24"/>
          <w:szCs w:val="24"/>
          <w:lang w:val="en-GB" w:eastAsia="ja-JP"/>
        </w:rPr>
        <w:t>Using the Theory of Planned Behaviour to investigate the determinants of recycling behaviour: A case study from Brixworth, UK</w:t>
      </w:r>
      <w:r w:rsidRPr="00597FFB">
        <w:rPr>
          <w:rFonts w:ascii="Times New Roman" w:eastAsia="SimSun" w:hAnsi="Times New Roman" w:cs="Times New Roman"/>
          <w:kern w:val="24"/>
          <w:sz w:val="24"/>
          <w:szCs w:val="24"/>
          <w:lang w:val="en-GB" w:eastAsia="ja-JP"/>
        </w:rPr>
        <w:t>. 24.</w:t>
      </w:r>
    </w:p>
    <w:p w14:paraId="04E6DA06"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Triandis, H. C. (1980). Reflections on Trends in Cross-Cultural Research. </w:t>
      </w:r>
      <w:r w:rsidRPr="00597FFB">
        <w:rPr>
          <w:rFonts w:ascii="Times New Roman" w:eastAsia="SimSun" w:hAnsi="Times New Roman" w:cs="Times New Roman"/>
          <w:i/>
          <w:iCs/>
          <w:kern w:val="24"/>
          <w:sz w:val="24"/>
          <w:szCs w:val="24"/>
          <w:lang w:val="en-GB" w:eastAsia="ja-JP"/>
        </w:rPr>
        <w:t>Journal of Cross-Cultural Psychology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11</w:t>
      </w:r>
      <w:r w:rsidRPr="00597FFB">
        <w:rPr>
          <w:rFonts w:ascii="Times New Roman" w:eastAsia="SimSun" w:hAnsi="Times New Roman" w:cs="Times New Roman"/>
          <w:kern w:val="24"/>
          <w:sz w:val="24"/>
          <w:szCs w:val="24"/>
          <w:lang w:val="en-GB" w:eastAsia="ja-JP"/>
        </w:rPr>
        <w:t>(1), 35–58. https://doi.org/10.1177/0022022180111003</w:t>
      </w:r>
    </w:p>
    <w:p w14:paraId="63642DAA" w14:textId="03AC47A4" w:rsidR="007562B3" w:rsidRPr="00597FFB" w:rsidRDefault="007562B3" w:rsidP="00C610DB">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Turner, J. C., &amp; Oakes, P. J. (1986). The significance of the social identity concept for social psychology with reference to individualism, interactionism and social influence. </w:t>
      </w:r>
      <w:r w:rsidRPr="00597FFB">
        <w:rPr>
          <w:rFonts w:ascii="Times New Roman" w:hAnsi="Times New Roman" w:cs="Times New Roman"/>
          <w:i/>
          <w:iCs/>
          <w:color w:val="000000" w:themeColor="text1"/>
          <w:kern w:val="24"/>
          <w:sz w:val="24"/>
          <w:szCs w:val="24"/>
          <w:lang w:eastAsia="ja-JP"/>
        </w:rPr>
        <w:t>British Journal of Social Psychology, 25</w:t>
      </w:r>
      <w:r w:rsidRPr="00597FFB">
        <w:rPr>
          <w:rFonts w:ascii="Times New Roman" w:hAnsi="Times New Roman" w:cs="Times New Roman"/>
          <w:color w:val="000000" w:themeColor="text1"/>
          <w:kern w:val="24"/>
          <w:sz w:val="24"/>
          <w:szCs w:val="24"/>
          <w:lang w:eastAsia="ja-JP"/>
        </w:rPr>
        <w:t xml:space="preserve">(3), 237–252. </w:t>
      </w:r>
      <w:hyperlink r:id="rId73" w:history="1">
        <w:r w:rsidRPr="00597FFB">
          <w:rPr>
            <w:rFonts w:ascii="Times New Roman" w:hAnsi="Times New Roman" w:cs="Times New Roman"/>
            <w:color w:val="000000" w:themeColor="text1"/>
            <w:kern w:val="24"/>
            <w:sz w:val="24"/>
            <w:szCs w:val="24"/>
            <w:u w:val="single"/>
            <w:lang w:eastAsia="ja-JP"/>
          </w:rPr>
          <w:t>https://doi.org/10.1111/j.2044-8309.1986.tb00732.x</w:t>
        </w:r>
      </w:hyperlink>
      <w:r w:rsidRPr="00597FFB">
        <w:rPr>
          <w:rFonts w:ascii="Times New Roman" w:hAnsi="Times New Roman" w:cs="Times New Roman"/>
          <w:color w:val="000000" w:themeColor="text1"/>
          <w:kern w:val="24"/>
          <w:sz w:val="24"/>
          <w:szCs w:val="24"/>
          <w:lang w:eastAsia="ja-JP"/>
        </w:rPr>
        <w:t>.</w:t>
      </w:r>
    </w:p>
    <w:p w14:paraId="1538C63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Utz, C., Becker, S., Schnitzler, T., Farke, F. M., Herbert, F., Schaewitz, L., Degeling, M., &amp; Dürmuth, M. (2021). Apps Against the Spread: Privacy Implications and User Acceptance of COVID-19-Related Smartphone Apps on Three Continents. </w:t>
      </w:r>
      <w:r w:rsidRPr="00597FFB">
        <w:rPr>
          <w:rFonts w:ascii="Times New Roman" w:eastAsia="SimSun" w:hAnsi="Times New Roman" w:cs="Times New Roman"/>
          <w:i/>
          <w:iCs/>
          <w:kern w:val="24"/>
          <w:sz w:val="24"/>
          <w:szCs w:val="24"/>
          <w:lang w:val="en-GB" w:eastAsia="ja-JP"/>
        </w:rPr>
        <w:t>Proceedings of the 2021 CHI Conference on Human Factors in Computing Systems</w:t>
      </w:r>
      <w:r w:rsidRPr="00597FFB">
        <w:rPr>
          <w:rFonts w:ascii="Times New Roman" w:eastAsia="SimSun" w:hAnsi="Times New Roman" w:cs="Times New Roman"/>
          <w:kern w:val="24"/>
          <w:sz w:val="24"/>
          <w:szCs w:val="24"/>
          <w:lang w:val="en-GB" w:eastAsia="ja-JP"/>
        </w:rPr>
        <w:t>, 1–22. https://doi.org/10.1145/3411764.3445517</w:t>
      </w:r>
    </w:p>
    <w:p w14:paraId="3E194F0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Varotto, A., &amp; Spagnolli, A. (2017). Psychological strategies to promote household recycling. A systematic review with meta-analysis of validated field interventions, Journal of Environmental Psychology, 51, 168-188. https://doi: 10.1016/j.jenvp.2017.03.011</w:t>
      </w:r>
    </w:p>
    <w:p w14:paraId="6BF97C9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Vasileiou, K., Barnett, J., Thorpe, S., &amp; Young, T. (2018). Characterising and justifying sample size sufficiency in interview-based studies: Systematic analysis of qualitative health research over a 15-year period. </w:t>
      </w:r>
      <w:r w:rsidRPr="00597FFB">
        <w:rPr>
          <w:rFonts w:ascii="Times New Roman" w:eastAsia="SimSun" w:hAnsi="Times New Roman" w:cs="Times New Roman"/>
          <w:i/>
          <w:iCs/>
          <w:kern w:val="24"/>
          <w:sz w:val="24"/>
          <w:szCs w:val="24"/>
          <w:lang w:val="en-GB" w:eastAsia="ja-JP"/>
        </w:rPr>
        <w:t>BMC Medical Research Methodology</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18</w:t>
      </w:r>
      <w:r w:rsidRPr="00597FFB">
        <w:rPr>
          <w:rFonts w:ascii="Times New Roman" w:eastAsia="SimSun" w:hAnsi="Times New Roman" w:cs="Times New Roman"/>
          <w:kern w:val="24"/>
          <w:sz w:val="24"/>
          <w:szCs w:val="24"/>
          <w:lang w:val="en-GB" w:eastAsia="ja-JP"/>
        </w:rPr>
        <w:t>(1), 148. https://doi.org/10.1186/s12874-018-0594-7</w:t>
      </w:r>
    </w:p>
    <w:p w14:paraId="5D2E47E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Vassanadumrongdee, S., &amp; Kittipongvises, S. (2018). Factors influencing source separation intention and willingness to pay for improving waste management in Bangkok, Thailand. </w:t>
      </w:r>
      <w:r w:rsidRPr="00597FFB">
        <w:rPr>
          <w:rFonts w:ascii="Times New Roman" w:eastAsia="Times New Roman" w:hAnsi="Times New Roman" w:cs="Times New Roman"/>
          <w:i/>
          <w:iCs/>
          <w:color w:val="000000" w:themeColor="text1"/>
          <w:sz w:val="24"/>
          <w:szCs w:val="24"/>
          <w:lang w:eastAsia="en-GB"/>
        </w:rPr>
        <w:t>Sustainable Environment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28</w:t>
      </w:r>
      <w:r w:rsidRPr="00597FFB">
        <w:rPr>
          <w:rFonts w:ascii="Times New Roman" w:eastAsia="Times New Roman" w:hAnsi="Times New Roman" w:cs="Times New Roman"/>
          <w:color w:val="000000" w:themeColor="text1"/>
          <w:sz w:val="24"/>
          <w:szCs w:val="24"/>
          <w:lang w:eastAsia="en-GB"/>
        </w:rPr>
        <w:t>(2), 90–99. https://doi.org/10.1016/j.serj.2017.11.003</w:t>
      </w:r>
    </w:p>
    <w:p w14:paraId="538A7EF4"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Wagner, T. P. (2013). Examining the concept of convenient collection: An application to extended producer responsibility and product stewardship frameworks. </w:t>
      </w:r>
      <w:r w:rsidRPr="00597FFB">
        <w:rPr>
          <w:rFonts w:ascii="Times New Roman" w:hAnsi="Times New Roman" w:cs="Times New Roman"/>
          <w:i/>
          <w:iCs/>
          <w:color w:val="000000" w:themeColor="text1"/>
          <w:kern w:val="24"/>
          <w:sz w:val="24"/>
          <w:szCs w:val="24"/>
          <w:lang w:eastAsia="ja-JP"/>
        </w:rPr>
        <w:t>Waste Management, 33</w:t>
      </w:r>
      <w:r w:rsidRPr="00597FFB">
        <w:rPr>
          <w:rFonts w:ascii="Times New Roman" w:hAnsi="Times New Roman" w:cs="Times New Roman"/>
          <w:color w:val="000000" w:themeColor="text1"/>
          <w:kern w:val="24"/>
          <w:sz w:val="24"/>
          <w:szCs w:val="24"/>
          <w:lang w:eastAsia="ja-JP"/>
        </w:rPr>
        <w:t xml:space="preserve">(3), 499–507. </w:t>
      </w:r>
      <w:hyperlink r:id="rId74" w:history="1">
        <w:r w:rsidRPr="00597FFB">
          <w:rPr>
            <w:rFonts w:ascii="Times New Roman" w:hAnsi="Times New Roman" w:cs="Times New Roman"/>
            <w:color w:val="000000" w:themeColor="text1"/>
            <w:kern w:val="24"/>
            <w:sz w:val="24"/>
            <w:szCs w:val="24"/>
            <w:u w:val="single"/>
            <w:lang w:eastAsia="ja-JP"/>
          </w:rPr>
          <w:t>https://doi.org/10.1016/j.wasman.2012.06.015</w:t>
        </w:r>
      </w:hyperlink>
      <w:r w:rsidRPr="00597FFB">
        <w:rPr>
          <w:rFonts w:ascii="Times New Roman" w:hAnsi="Times New Roman" w:cs="Times New Roman"/>
          <w:color w:val="000000" w:themeColor="text1"/>
          <w:kern w:val="24"/>
          <w:sz w:val="24"/>
          <w:szCs w:val="24"/>
          <w:lang w:eastAsia="ja-JP"/>
        </w:rPr>
        <w:t>.</w:t>
      </w:r>
    </w:p>
    <w:p w14:paraId="03353C6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kern w:val="24"/>
          <w:sz w:val="24"/>
          <w:szCs w:val="24"/>
          <w:lang w:eastAsia="ja-JP"/>
        </w:rPr>
      </w:pPr>
      <w:r w:rsidRPr="00597FFB">
        <w:rPr>
          <w:rFonts w:ascii="Times New Roman" w:eastAsia="Times New Roman" w:hAnsi="Times New Roman" w:cs="Times New Roman"/>
          <w:color w:val="000000"/>
          <w:kern w:val="24"/>
          <w:sz w:val="24"/>
          <w:szCs w:val="24"/>
          <w:lang w:eastAsia="ja-JP"/>
        </w:rPr>
        <w:t>Wang, B. (2019). Determinants shaping willingness towards on-line recycling behavior: An empirical study of household e-waste recycling in China. Resources, Conservation and Recycling, 143, 218-225.</w:t>
      </w:r>
    </w:p>
    <w:p w14:paraId="2C5ABBCB"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Wang, W., Qu, Y., Liu, Y., &amp; Zhang, Y. (2020a). Understanding the barriers for internet-based e-waste collection system in China. </w:t>
      </w:r>
      <w:r w:rsidRPr="00597FFB">
        <w:rPr>
          <w:rFonts w:ascii="Times New Roman" w:eastAsia="Times New Roman" w:hAnsi="Times New Roman" w:cs="Times New Roman"/>
          <w:i/>
          <w:iCs/>
          <w:color w:val="000000" w:themeColor="text1"/>
          <w:sz w:val="24"/>
          <w:szCs w:val="24"/>
          <w:lang w:eastAsia="en-GB"/>
        </w:rPr>
        <w:t>Journal of Environmental Planning and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63</w:t>
      </w:r>
      <w:r w:rsidRPr="00597FFB">
        <w:rPr>
          <w:rFonts w:ascii="Times New Roman" w:eastAsia="Times New Roman" w:hAnsi="Times New Roman" w:cs="Times New Roman"/>
          <w:color w:val="000000" w:themeColor="text1"/>
          <w:sz w:val="24"/>
          <w:szCs w:val="24"/>
          <w:lang w:eastAsia="en-GB"/>
        </w:rPr>
        <w:t>(4), 629–650. https://doi.org/10.1080/09640568.2019.1601618</w:t>
      </w:r>
    </w:p>
    <w:p w14:paraId="2FE3311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Wang, W., Qu, Y., Liu, Y., &amp; Zhang, Y. (2020b). Understanding the barriers for Internet-based e-waste collection system in China. </w:t>
      </w:r>
      <w:r w:rsidRPr="00597FFB">
        <w:rPr>
          <w:rFonts w:ascii="Times New Roman" w:eastAsia="Times New Roman" w:hAnsi="Times New Roman" w:cs="Times New Roman"/>
          <w:i/>
          <w:iCs/>
          <w:color w:val="000000" w:themeColor="text1"/>
          <w:sz w:val="24"/>
          <w:szCs w:val="24"/>
          <w:lang w:eastAsia="en-GB"/>
        </w:rPr>
        <w:t>Journal of Environmental Planning and Management</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63</w:t>
      </w:r>
      <w:r w:rsidRPr="00597FFB">
        <w:rPr>
          <w:rFonts w:ascii="Times New Roman" w:eastAsia="Times New Roman" w:hAnsi="Times New Roman" w:cs="Times New Roman"/>
          <w:color w:val="000000" w:themeColor="text1"/>
          <w:sz w:val="24"/>
          <w:szCs w:val="24"/>
          <w:lang w:eastAsia="en-GB"/>
        </w:rPr>
        <w:t>(4), 629–650. https://doi.org/10.1080/09640568.2019.1601618</w:t>
      </w:r>
    </w:p>
    <w:p w14:paraId="39DE2D3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Westercamp, N., Staedke, S. G., Maiteki-Sebuguzi, C., Ndyabakira, A., Okiring, J. M., Kigozi, S. P., Dorsey, G., Broughton, E., Hutchinson, E., Massoud, M. R., &amp; Rowe, A. K. (2021). Effectiveness of in-service training plus the collaborative improvement strategy on the quality of routine malaria surveillance data: Results of a pilot study in Kayunga District, Uganda. </w:t>
      </w:r>
      <w:r w:rsidRPr="00597FFB">
        <w:rPr>
          <w:rFonts w:ascii="Times New Roman" w:eastAsia="SimSun" w:hAnsi="Times New Roman" w:cs="Times New Roman"/>
          <w:i/>
          <w:iCs/>
          <w:kern w:val="24"/>
          <w:sz w:val="24"/>
          <w:szCs w:val="24"/>
          <w:lang w:val="en-GB" w:eastAsia="ja-JP"/>
        </w:rPr>
        <w:t>Malaria Journal</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20</w:t>
      </w:r>
      <w:r w:rsidRPr="00597FFB">
        <w:rPr>
          <w:rFonts w:ascii="Times New Roman" w:eastAsia="SimSun" w:hAnsi="Times New Roman" w:cs="Times New Roman"/>
          <w:kern w:val="24"/>
          <w:sz w:val="24"/>
          <w:szCs w:val="24"/>
          <w:lang w:val="en-GB" w:eastAsia="ja-JP"/>
        </w:rPr>
        <w:t>(1), 290. https://doi.org/10.1186/s12936-021-03822-y</w:t>
      </w:r>
    </w:p>
    <w:p w14:paraId="1B7A9C16"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Wiesmeth, H. (2020). Stakeholder engagement for environmental innovations. </w:t>
      </w:r>
      <w:r w:rsidRPr="00597FFB">
        <w:rPr>
          <w:rFonts w:ascii="Times New Roman" w:eastAsia="Times New Roman" w:hAnsi="Times New Roman" w:cs="Times New Roman"/>
          <w:i/>
          <w:iCs/>
          <w:color w:val="000000" w:themeColor="text1"/>
          <w:sz w:val="24"/>
          <w:szCs w:val="24"/>
          <w:lang w:eastAsia="en-GB"/>
        </w:rPr>
        <w:t>Journal of Business Research</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119</w:t>
      </w:r>
      <w:r w:rsidRPr="00597FFB">
        <w:rPr>
          <w:rFonts w:ascii="Times New Roman" w:eastAsia="Times New Roman" w:hAnsi="Times New Roman" w:cs="Times New Roman"/>
          <w:color w:val="000000" w:themeColor="text1"/>
          <w:sz w:val="24"/>
          <w:szCs w:val="24"/>
          <w:lang w:eastAsia="en-GB"/>
        </w:rPr>
        <w:t>, 310–320. https://doi.org/10.1016/j.jbusres.2018.12.054</w:t>
      </w:r>
    </w:p>
    <w:p w14:paraId="49C2B56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Williams, T., Kennedy-Malone, L., Thompson, J., &amp; Monge, E. C. (2022). The effect of an exergame on physical activity among older adults residing in a long-term care facility: A pilot study. </w:t>
      </w:r>
      <w:r w:rsidRPr="00597FFB">
        <w:rPr>
          <w:rFonts w:ascii="Times New Roman" w:eastAsia="SimSun" w:hAnsi="Times New Roman" w:cs="Times New Roman"/>
          <w:i/>
          <w:iCs/>
          <w:kern w:val="24"/>
          <w:sz w:val="24"/>
          <w:szCs w:val="24"/>
          <w:lang w:val="en-GB" w:eastAsia="ja-JP"/>
        </w:rPr>
        <w:t>Geriatric Nursing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44</w:t>
      </w:r>
      <w:r w:rsidRPr="00597FFB">
        <w:rPr>
          <w:rFonts w:ascii="Times New Roman" w:eastAsia="SimSun" w:hAnsi="Times New Roman" w:cs="Times New Roman"/>
          <w:kern w:val="24"/>
          <w:sz w:val="24"/>
          <w:szCs w:val="24"/>
          <w:lang w:val="en-GB" w:eastAsia="ja-JP"/>
        </w:rPr>
        <w:t>, 48–53. https://doi.org/10.1016/j.gerinurse.2022.01.001</w:t>
      </w:r>
    </w:p>
    <w:p w14:paraId="4DB73B11"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Winterich, K. P., Nenkov, G. Y., &amp; Gonzales, G. E. (2019). Knowing what it makes: How product transformation salience increases recycling. </w:t>
      </w:r>
      <w:r w:rsidRPr="00597FFB">
        <w:rPr>
          <w:rFonts w:ascii="Times New Roman" w:eastAsia="Times New Roman" w:hAnsi="Times New Roman" w:cs="Times New Roman"/>
          <w:i/>
          <w:iCs/>
          <w:color w:val="000000" w:themeColor="text1"/>
          <w:sz w:val="24"/>
          <w:szCs w:val="24"/>
          <w:lang w:eastAsia="en-GB"/>
        </w:rPr>
        <w:t>Journal of Marketing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83</w:t>
      </w:r>
      <w:r w:rsidRPr="00597FFB">
        <w:rPr>
          <w:rFonts w:ascii="Times New Roman" w:eastAsia="Times New Roman" w:hAnsi="Times New Roman" w:cs="Times New Roman"/>
          <w:color w:val="000000" w:themeColor="text1"/>
          <w:sz w:val="24"/>
          <w:szCs w:val="24"/>
          <w:lang w:eastAsia="en-GB"/>
        </w:rPr>
        <w:t>(4), 21–37. https://doi.org/10.1177/0022242919842167</w:t>
      </w:r>
    </w:p>
    <w:p w14:paraId="0961C98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Wong Shan Yuan, P., Kit Mun, N., &amp; Devi Rajendran, S. (2019). A study on barriers to implement e-waste management. </w:t>
      </w:r>
      <w:r w:rsidRPr="00597FFB">
        <w:rPr>
          <w:rFonts w:ascii="Times New Roman" w:eastAsia="Times New Roman" w:hAnsi="Times New Roman" w:cs="Times New Roman"/>
          <w:i/>
          <w:iCs/>
          <w:color w:val="000000" w:themeColor="text1"/>
          <w:sz w:val="24"/>
          <w:szCs w:val="24"/>
          <w:lang w:eastAsia="en-GB"/>
        </w:rPr>
        <w:t>E3S Web of Conferences</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136</w:t>
      </w:r>
      <w:r w:rsidRPr="00597FFB">
        <w:rPr>
          <w:rFonts w:ascii="Times New Roman" w:eastAsia="Times New Roman" w:hAnsi="Times New Roman" w:cs="Times New Roman"/>
          <w:color w:val="000000" w:themeColor="text1"/>
          <w:sz w:val="24"/>
          <w:szCs w:val="24"/>
          <w:lang w:eastAsia="en-GB"/>
        </w:rPr>
        <w:t>, 02026. https://doi.org/10.1051/e3sconf/201913602026</w:t>
      </w:r>
    </w:p>
    <w:p w14:paraId="077DFFE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Witthohn, R. (2023). Raw Materials. In R. Witthohn, </w:t>
      </w:r>
      <w:r w:rsidRPr="00597FFB">
        <w:rPr>
          <w:rFonts w:ascii="Times New Roman" w:eastAsia="SimSun" w:hAnsi="Times New Roman" w:cs="Times New Roman"/>
          <w:i/>
          <w:iCs/>
          <w:kern w:val="24"/>
          <w:sz w:val="24"/>
          <w:szCs w:val="24"/>
          <w:lang w:val="en-GB" w:eastAsia="ja-JP"/>
        </w:rPr>
        <w:t>International Shipping</w:t>
      </w:r>
      <w:r w:rsidRPr="00597FFB">
        <w:rPr>
          <w:rFonts w:ascii="Times New Roman" w:eastAsia="SimSun" w:hAnsi="Times New Roman" w:cs="Times New Roman"/>
          <w:kern w:val="24"/>
          <w:sz w:val="24"/>
          <w:szCs w:val="24"/>
          <w:lang w:val="en-GB" w:eastAsia="ja-JP"/>
        </w:rPr>
        <w:t xml:space="preserve"> (pp. 135–250). Springer Fachmedien Wiesbaden. https://doi.org/10.1007/978-3-658-34273-9_2</w:t>
      </w:r>
    </w:p>
    <w:p w14:paraId="07CF77BF"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Xu, L., Ling, M., Lu, Y., &amp; Shen, M. (2017). Understanding household waste separation behaviour: Testing the roles of moral, past experience, and perceived policy effectiveness within the theory of planned behaviour. </w:t>
      </w:r>
      <w:r w:rsidRPr="00597FFB">
        <w:rPr>
          <w:rFonts w:ascii="Times New Roman" w:hAnsi="Times New Roman" w:cs="Times New Roman"/>
          <w:i/>
          <w:iCs/>
          <w:color w:val="000000" w:themeColor="text1"/>
          <w:kern w:val="24"/>
          <w:sz w:val="24"/>
          <w:szCs w:val="24"/>
          <w:lang w:eastAsia="ja-JP"/>
        </w:rPr>
        <w:t>Sustainability, 9</w:t>
      </w:r>
      <w:r w:rsidRPr="00597FFB">
        <w:rPr>
          <w:rFonts w:ascii="Times New Roman" w:hAnsi="Times New Roman" w:cs="Times New Roman"/>
          <w:color w:val="000000" w:themeColor="text1"/>
          <w:kern w:val="24"/>
          <w:sz w:val="24"/>
          <w:szCs w:val="24"/>
          <w:lang w:eastAsia="ja-JP"/>
        </w:rPr>
        <w:t xml:space="preserve">(4), 625. </w:t>
      </w:r>
      <w:hyperlink r:id="rId75" w:history="1">
        <w:r w:rsidRPr="00597FFB">
          <w:rPr>
            <w:rFonts w:ascii="Times New Roman" w:hAnsi="Times New Roman" w:cs="Times New Roman"/>
            <w:color w:val="000000" w:themeColor="text1"/>
            <w:kern w:val="24"/>
            <w:sz w:val="24"/>
            <w:szCs w:val="24"/>
            <w:u w:val="single"/>
            <w:lang w:eastAsia="ja-JP"/>
          </w:rPr>
          <w:t>https://doi.org/10.3390/su9040625</w:t>
        </w:r>
      </w:hyperlink>
      <w:r w:rsidRPr="00597FFB">
        <w:rPr>
          <w:rFonts w:ascii="Times New Roman" w:hAnsi="Times New Roman" w:cs="Times New Roman"/>
          <w:color w:val="000000" w:themeColor="text1"/>
          <w:kern w:val="24"/>
          <w:sz w:val="24"/>
          <w:szCs w:val="24"/>
          <w:lang w:eastAsia="ja-JP"/>
        </w:rPr>
        <w:t>.</w:t>
      </w:r>
    </w:p>
    <w:p w14:paraId="3D3195A8"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Xu, M., Fan, B., Zhang, Y., Li, A., Li, Y., Lv, M., Shi, Y., Zhu, S., &amp; Qian, T. (2020). Effects of resource-oriented waste management on optimizing water-food-energy nexus in rural China: A material and energy flow analysis.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276</w:t>
      </w:r>
      <w:r w:rsidRPr="00597FFB">
        <w:rPr>
          <w:rFonts w:ascii="Times New Roman" w:eastAsia="Times New Roman" w:hAnsi="Times New Roman" w:cs="Times New Roman"/>
          <w:color w:val="000000" w:themeColor="text1"/>
          <w:sz w:val="24"/>
          <w:szCs w:val="24"/>
          <w:lang w:eastAsia="en-GB"/>
        </w:rPr>
        <w:t>, 124259. https://doi.org/10.1016/j.jclepro.2020.124259</w:t>
      </w:r>
    </w:p>
    <w:p w14:paraId="32471B82"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Yang, X., Chen, L., Wei, L., &amp; Su, Q. (2020). Personal and Media Factors Related to Citizens’ Pro-environmental Behavioral Intention against Haze in China: A Moderating Analysis of TPB. </w:t>
      </w:r>
      <w:r w:rsidRPr="00597FFB">
        <w:rPr>
          <w:rFonts w:ascii="Times New Roman" w:eastAsia="SimSun" w:hAnsi="Times New Roman" w:cs="Times New Roman"/>
          <w:i/>
          <w:iCs/>
          <w:kern w:val="24"/>
          <w:sz w:val="24"/>
          <w:szCs w:val="24"/>
          <w:lang w:val="en-GB" w:eastAsia="ja-JP"/>
        </w:rPr>
        <w:t>International Journal of Environmental Research and Public Health</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17</w:t>
      </w:r>
      <w:r w:rsidRPr="00597FFB">
        <w:rPr>
          <w:rFonts w:ascii="Times New Roman" w:eastAsia="SimSun" w:hAnsi="Times New Roman" w:cs="Times New Roman"/>
          <w:kern w:val="24"/>
          <w:sz w:val="24"/>
          <w:szCs w:val="24"/>
          <w:lang w:val="en-GB" w:eastAsia="ja-JP"/>
        </w:rPr>
        <w:t>(7), 2314. https://doi.org/10.3390/ijerph17072314</w:t>
      </w:r>
    </w:p>
    <w:p w14:paraId="6CF71D05"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Yarimoglu, E., &amp; Gunay, T. (2020a). The extended theory of planned behavior in Turkish customers’ intentions to visit green hotels. </w:t>
      </w:r>
      <w:r w:rsidRPr="00597FFB">
        <w:rPr>
          <w:rFonts w:ascii="Times New Roman" w:eastAsia="SimSun" w:hAnsi="Times New Roman" w:cs="Times New Roman"/>
          <w:i/>
          <w:iCs/>
          <w:kern w:val="24"/>
          <w:sz w:val="24"/>
          <w:szCs w:val="24"/>
          <w:lang w:val="en-GB" w:eastAsia="ja-JP"/>
        </w:rPr>
        <w:t>Business Strategy and the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w:t>
      </w:r>
      <w:r w:rsidRPr="00597FFB">
        <w:rPr>
          <w:rFonts w:ascii="Times New Roman" w:eastAsia="SimSun" w:hAnsi="Times New Roman" w:cs="Times New Roman"/>
          <w:kern w:val="24"/>
          <w:sz w:val="24"/>
          <w:szCs w:val="24"/>
          <w:lang w:val="en-GB" w:eastAsia="ja-JP"/>
        </w:rPr>
        <w:t>(3), Article 3. https://doi.org/10.1002/bse.2419</w:t>
      </w:r>
    </w:p>
    <w:p w14:paraId="5F213E01"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Yarimoglu, E., &amp; Gunay, T. (2020b). The extended theory of planned behavior in Turkish customers’ intentions to visit green hotels. </w:t>
      </w:r>
      <w:r w:rsidRPr="00597FFB">
        <w:rPr>
          <w:rFonts w:ascii="Times New Roman" w:eastAsia="SimSun" w:hAnsi="Times New Roman" w:cs="Times New Roman"/>
          <w:i/>
          <w:iCs/>
          <w:kern w:val="24"/>
          <w:sz w:val="24"/>
          <w:szCs w:val="24"/>
          <w:lang w:val="en-GB" w:eastAsia="ja-JP"/>
        </w:rPr>
        <w:t>Business Strategy and the Environment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29</w:t>
      </w:r>
      <w:r w:rsidRPr="00597FFB">
        <w:rPr>
          <w:rFonts w:ascii="Times New Roman" w:eastAsia="SimSun" w:hAnsi="Times New Roman" w:cs="Times New Roman"/>
          <w:kern w:val="24"/>
          <w:sz w:val="24"/>
          <w:szCs w:val="24"/>
          <w:lang w:val="en-GB" w:eastAsia="ja-JP"/>
        </w:rPr>
        <w:t>(3), 1097–1108. https://doi.org/10.1002/bse.2419</w:t>
      </w:r>
    </w:p>
    <w:p w14:paraId="19548980"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Ylä-Mella, J., &amp; Román, E. (2019). Waste electrical and electronic equipment management in Europe. In </w:t>
      </w:r>
      <w:r w:rsidRPr="00597FFB">
        <w:rPr>
          <w:rFonts w:ascii="Times New Roman" w:eastAsia="Times New Roman" w:hAnsi="Times New Roman" w:cs="Times New Roman"/>
          <w:i/>
          <w:iCs/>
          <w:color w:val="000000" w:themeColor="text1"/>
          <w:sz w:val="24"/>
          <w:szCs w:val="24"/>
          <w:lang w:eastAsia="en-GB"/>
        </w:rPr>
        <w:t>Waste Electrical and Electronic Equipment (WEEE) Handbook</w:t>
      </w:r>
      <w:r w:rsidRPr="00597FFB">
        <w:rPr>
          <w:rFonts w:ascii="Times New Roman" w:eastAsia="Times New Roman" w:hAnsi="Times New Roman" w:cs="Times New Roman"/>
          <w:color w:val="000000" w:themeColor="text1"/>
          <w:sz w:val="24"/>
          <w:szCs w:val="24"/>
          <w:lang w:eastAsia="en-GB"/>
        </w:rPr>
        <w:t xml:space="preserve"> (pp. 483–519). Elsevier. https://doi.org/10.1016/B978-0-08-102158-3.00018-5</w:t>
      </w:r>
    </w:p>
    <w:p w14:paraId="5B2BC4DF"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Young, M. E., &amp; Ryan, A. (2020). Postpositivism in Health Professions Education Scholarship: </w:t>
      </w:r>
      <w:r w:rsidRPr="00597FFB">
        <w:rPr>
          <w:rFonts w:ascii="Times New Roman" w:eastAsia="SimSun" w:hAnsi="Times New Roman" w:cs="Times New Roman"/>
          <w:i/>
          <w:iCs/>
          <w:kern w:val="24"/>
          <w:sz w:val="24"/>
          <w:szCs w:val="24"/>
          <w:lang w:val="en-GB" w:eastAsia="ja-JP"/>
        </w:rPr>
        <w:t>Academic Medicine</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95</w:t>
      </w:r>
      <w:r w:rsidRPr="00597FFB">
        <w:rPr>
          <w:rFonts w:ascii="Times New Roman" w:eastAsia="SimSun" w:hAnsi="Times New Roman" w:cs="Times New Roman"/>
          <w:kern w:val="24"/>
          <w:sz w:val="24"/>
          <w:szCs w:val="24"/>
          <w:lang w:val="en-GB" w:eastAsia="ja-JP"/>
        </w:rPr>
        <w:t>(5), 695–699. https://doi.org/10.1097/ACM.0000000000003089</w:t>
      </w:r>
    </w:p>
    <w:p w14:paraId="392C82E4"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Yushkova, E., &amp; Feng, Y. (2017). What explains the intention to bring mobile phones for recycling? A study on university students in China and Germany. </w:t>
      </w:r>
      <w:r w:rsidRPr="00597FFB">
        <w:rPr>
          <w:rFonts w:ascii="Times New Roman" w:eastAsia="Times New Roman" w:hAnsi="Times New Roman" w:cs="Times New Roman"/>
          <w:i/>
          <w:iCs/>
          <w:color w:val="000000" w:themeColor="text1"/>
          <w:sz w:val="24"/>
          <w:szCs w:val="24"/>
          <w:lang w:eastAsia="en-GB"/>
        </w:rPr>
        <w:t>International Economics and Economic Policy, 14</w:t>
      </w:r>
      <w:r w:rsidRPr="00597FFB">
        <w:rPr>
          <w:rFonts w:ascii="Times New Roman" w:eastAsia="Times New Roman" w:hAnsi="Times New Roman" w:cs="Times New Roman"/>
          <w:color w:val="000000" w:themeColor="text1"/>
          <w:sz w:val="24"/>
          <w:szCs w:val="24"/>
          <w:lang w:eastAsia="en-GB"/>
        </w:rPr>
        <w:t>(2-3), 501-516.</w:t>
      </w:r>
    </w:p>
    <w:p w14:paraId="3479CF63" w14:textId="47708B7B" w:rsidR="007562B3" w:rsidRPr="00597FFB" w:rsidRDefault="007562B3" w:rsidP="00C610DB">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Zabala, A. (2019). Illegal electronic waste recycling trends. </w:t>
      </w:r>
      <w:r w:rsidRPr="00597FFB">
        <w:rPr>
          <w:rFonts w:ascii="Times New Roman" w:eastAsia="Times New Roman" w:hAnsi="Times New Roman" w:cs="Times New Roman"/>
          <w:i/>
          <w:iCs/>
          <w:color w:val="000000" w:themeColor="text1"/>
          <w:sz w:val="24"/>
          <w:szCs w:val="24"/>
          <w:lang w:eastAsia="en-GB"/>
        </w:rPr>
        <w:t>Nature Sustainability</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w:t>
      </w:r>
      <w:r w:rsidRPr="00597FFB">
        <w:rPr>
          <w:rFonts w:ascii="Times New Roman" w:eastAsia="Times New Roman" w:hAnsi="Times New Roman" w:cs="Times New Roman"/>
          <w:color w:val="000000" w:themeColor="text1"/>
          <w:sz w:val="24"/>
          <w:szCs w:val="24"/>
          <w:lang w:eastAsia="en-GB"/>
        </w:rPr>
        <w:t>(5), 353–354. https://doi.org/10.1038/s41893-019-0289-z</w:t>
      </w:r>
    </w:p>
    <w:p w14:paraId="4015E31B"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Zamani, S. Z. (2022). Small and Medium Enterprises (SMEs) facing an evolving technological era: A systematic literature review on the adoption of technologies in SMEs. </w:t>
      </w:r>
      <w:r w:rsidRPr="00597FFB">
        <w:rPr>
          <w:rFonts w:ascii="Times New Roman" w:eastAsia="SimSun" w:hAnsi="Times New Roman" w:cs="Times New Roman"/>
          <w:i/>
          <w:iCs/>
          <w:kern w:val="24"/>
          <w:sz w:val="24"/>
          <w:szCs w:val="24"/>
          <w:lang w:val="en-GB" w:eastAsia="ja-JP"/>
        </w:rPr>
        <w:t>European Journal of Innovation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25</w:t>
      </w:r>
      <w:r w:rsidRPr="00597FFB">
        <w:rPr>
          <w:rFonts w:ascii="Times New Roman" w:eastAsia="SimSun" w:hAnsi="Times New Roman" w:cs="Times New Roman"/>
          <w:kern w:val="24"/>
          <w:sz w:val="24"/>
          <w:szCs w:val="24"/>
          <w:lang w:val="en-GB" w:eastAsia="ja-JP"/>
        </w:rPr>
        <w:t>(6), 735–757. https://doi.org/10.1108/EJIM-07-2021-0360</w:t>
      </w:r>
    </w:p>
    <w:p w14:paraId="22B649FE"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Zhang, Y., Wu, S., &amp; Rasheed, M. I. (2020). Conscientiousness and smartphone recycling intention: The moderating effect of risk perception. </w:t>
      </w:r>
      <w:r w:rsidRPr="00597FFB">
        <w:rPr>
          <w:rFonts w:ascii="Times New Roman" w:hAnsi="Times New Roman" w:cs="Times New Roman"/>
          <w:i/>
          <w:iCs/>
          <w:color w:val="000000" w:themeColor="text1"/>
          <w:kern w:val="24"/>
          <w:sz w:val="24"/>
          <w:szCs w:val="24"/>
          <w:lang w:eastAsia="ja-JP"/>
        </w:rPr>
        <w:t>Waste Management,</w:t>
      </w:r>
      <w:r w:rsidRPr="00597FFB">
        <w:rPr>
          <w:rFonts w:ascii="Times New Roman" w:hAnsi="Times New Roman" w:cs="Times New Roman"/>
          <w:color w:val="000000" w:themeColor="text1"/>
          <w:kern w:val="24"/>
          <w:sz w:val="24"/>
          <w:szCs w:val="24"/>
          <w:lang w:eastAsia="ja-JP"/>
        </w:rPr>
        <w:t xml:space="preserve"> </w:t>
      </w:r>
      <w:r w:rsidRPr="00597FFB">
        <w:rPr>
          <w:rFonts w:ascii="Times New Roman" w:hAnsi="Times New Roman" w:cs="Times New Roman"/>
          <w:i/>
          <w:iCs/>
          <w:color w:val="000000" w:themeColor="text1"/>
          <w:kern w:val="24"/>
          <w:sz w:val="24"/>
          <w:szCs w:val="24"/>
          <w:lang w:eastAsia="ja-JP"/>
        </w:rPr>
        <w:t>101</w:t>
      </w:r>
      <w:r w:rsidRPr="00597FFB">
        <w:rPr>
          <w:rFonts w:ascii="Times New Roman" w:hAnsi="Times New Roman" w:cs="Times New Roman"/>
          <w:color w:val="000000" w:themeColor="text1"/>
          <w:kern w:val="24"/>
          <w:sz w:val="24"/>
          <w:szCs w:val="24"/>
          <w:lang w:eastAsia="ja-JP"/>
        </w:rPr>
        <w:t xml:space="preserve">, 116–125. </w:t>
      </w:r>
      <w:hyperlink r:id="rId76" w:history="1">
        <w:r w:rsidRPr="00597FFB">
          <w:rPr>
            <w:rFonts w:ascii="Times New Roman" w:hAnsi="Times New Roman" w:cs="Times New Roman"/>
            <w:color w:val="000000" w:themeColor="text1"/>
            <w:kern w:val="24"/>
            <w:sz w:val="24"/>
            <w:szCs w:val="24"/>
            <w:u w:val="single"/>
            <w:lang w:eastAsia="ja-JP"/>
          </w:rPr>
          <w:t>https://doi.org/10.1016/j.wasman.2019.09.040</w:t>
        </w:r>
      </w:hyperlink>
      <w:r w:rsidRPr="00597FFB">
        <w:rPr>
          <w:rFonts w:ascii="Times New Roman" w:hAnsi="Times New Roman" w:cs="Times New Roman"/>
          <w:color w:val="000000" w:themeColor="text1"/>
          <w:kern w:val="24"/>
          <w:sz w:val="24"/>
          <w:szCs w:val="24"/>
          <w:lang w:eastAsia="ja-JP"/>
        </w:rPr>
        <w:t>.</w:t>
      </w:r>
    </w:p>
    <w:p w14:paraId="46415E2E"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Zeng, H., Chen, X., Xiao, X., &amp; Zhou, Z. (2017). Institutional pressures, sustainable supply chain management, and circular economy capability: Empirical evidence from Chinese eco-industrial park firms.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155</w:t>
      </w:r>
      <w:r w:rsidRPr="00597FFB">
        <w:rPr>
          <w:rFonts w:ascii="Times New Roman" w:eastAsia="Times New Roman" w:hAnsi="Times New Roman" w:cs="Times New Roman"/>
          <w:color w:val="000000" w:themeColor="text1"/>
          <w:sz w:val="24"/>
          <w:szCs w:val="24"/>
          <w:lang w:eastAsia="en-GB"/>
        </w:rPr>
        <w:t>, 54–65. https://doi.org/10.1016/j.jclepro.2016.10.093</w:t>
      </w:r>
    </w:p>
    <w:p w14:paraId="54C6DA6F"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Zhang, A., Venkatesh, V. G., Liu, Y., Wan, M., Qu, T., &amp; Huisingh, D. (2019). Barriers to smart waste management for a circular economy in China. </w:t>
      </w:r>
      <w:r w:rsidRPr="00597FFB">
        <w:rPr>
          <w:rFonts w:ascii="Times New Roman" w:eastAsia="Times New Roman" w:hAnsi="Times New Roman" w:cs="Times New Roman"/>
          <w:i/>
          <w:iCs/>
          <w:color w:val="000000" w:themeColor="text1"/>
          <w:sz w:val="24"/>
          <w:szCs w:val="24"/>
          <w:lang w:eastAsia="en-GB"/>
        </w:rPr>
        <w:t>Journal of Cleaner Production</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240</w:t>
      </w:r>
      <w:r w:rsidRPr="00597FFB">
        <w:rPr>
          <w:rFonts w:ascii="Times New Roman" w:eastAsia="Times New Roman" w:hAnsi="Times New Roman" w:cs="Times New Roman"/>
          <w:color w:val="000000" w:themeColor="text1"/>
          <w:sz w:val="24"/>
          <w:szCs w:val="24"/>
          <w:lang w:eastAsia="en-GB"/>
        </w:rPr>
        <w:t>, 118198. https://doi.org/10.1016/j.jclepro.2019.118198</w:t>
      </w:r>
    </w:p>
    <w:p w14:paraId="6BB6B85A"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Zhang, D., Rong, Z., &amp; Ji, Q. (2019). Green innovation and firm performance: Evidence from listed companies in China. </w:t>
      </w:r>
      <w:r w:rsidRPr="00597FFB">
        <w:rPr>
          <w:rFonts w:ascii="Times New Roman" w:eastAsia="SimSun" w:hAnsi="Times New Roman" w:cs="Times New Roman"/>
          <w:i/>
          <w:iCs/>
          <w:kern w:val="24"/>
          <w:sz w:val="24"/>
          <w:szCs w:val="24"/>
          <w:lang w:val="en-GB" w:eastAsia="ja-JP"/>
        </w:rPr>
        <w:t>Resources, Conservation and Recycling</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144</w:t>
      </w:r>
      <w:r w:rsidRPr="00597FFB">
        <w:rPr>
          <w:rFonts w:ascii="Times New Roman" w:eastAsia="SimSun" w:hAnsi="Times New Roman" w:cs="Times New Roman"/>
          <w:kern w:val="24"/>
          <w:sz w:val="24"/>
          <w:szCs w:val="24"/>
          <w:lang w:val="en-GB" w:eastAsia="ja-JP"/>
        </w:rPr>
        <w:t>, 48–55. https://doi.org/10.1016/j.resconrec.2019.01.023</w:t>
      </w:r>
    </w:p>
    <w:p w14:paraId="5BCB4157"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Zhao, H., Zhang, H., Xu, Y., Lu, J., &amp; He, W. (2018). Relation between awe and environmentalism: the role of social dominance orientation. </w:t>
      </w:r>
      <w:r w:rsidRPr="00597FFB">
        <w:rPr>
          <w:rFonts w:ascii="Times New Roman" w:hAnsi="Times New Roman" w:cs="Times New Roman"/>
          <w:i/>
          <w:iCs/>
          <w:color w:val="000000" w:themeColor="text1"/>
          <w:kern w:val="24"/>
          <w:sz w:val="24"/>
          <w:szCs w:val="24"/>
          <w:lang w:eastAsia="ja-JP"/>
        </w:rPr>
        <w:t>Frontiers in Psychology, 9</w:t>
      </w:r>
      <w:r w:rsidRPr="00597FFB">
        <w:rPr>
          <w:rFonts w:ascii="Times New Roman" w:hAnsi="Times New Roman" w:cs="Times New Roman"/>
          <w:color w:val="000000" w:themeColor="text1"/>
          <w:kern w:val="24"/>
          <w:sz w:val="24"/>
          <w:szCs w:val="24"/>
          <w:lang w:eastAsia="ja-JP"/>
        </w:rPr>
        <w:t xml:space="preserve">(article number 2367). </w:t>
      </w:r>
      <w:hyperlink r:id="rId77" w:history="1">
        <w:r w:rsidRPr="00597FFB">
          <w:rPr>
            <w:rFonts w:ascii="Times New Roman" w:hAnsi="Times New Roman" w:cs="Times New Roman"/>
            <w:color w:val="000000" w:themeColor="text1"/>
            <w:kern w:val="24"/>
            <w:sz w:val="24"/>
            <w:szCs w:val="24"/>
            <w:u w:val="single"/>
            <w:lang w:eastAsia="ja-JP"/>
          </w:rPr>
          <w:t>https://doi.org/10.3389/fpsyg.2018.02367</w:t>
        </w:r>
      </w:hyperlink>
      <w:r w:rsidRPr="00597FFB">
        <w:rPr>
          <w:rFonts w:ascii="Times New Roman" w:hAnsi="Times New Roman" w:cs="Times New Roman"/>
          <w:color w:val="000000" w:themeColor="text1"/>
          <w:kern w:val="24"/>
          <w:sz w:val="24"/>
          <w:szCs w:val="24"/>
          <w:lang w:eastAsia="ja-JP"/>
        </w:rPr>
        <w:t>.</w:t>
      </w:r>
    </w:p>
    <w:p w14:paraId="1F968F22" w14:textId="77777777" w:rsidR="007562B3" w:rsidRPr="00597FFB" w:rsidRDefault="007562B3" w:rsidP="007562B3">
      <w:pPr>
        <w:spacing w:after="0" w:line="480" w:lineRule="auto"/>
        <w:ind w:left="720" w:hanging="720"/>
        <w:rPr>
          <w:rFonts w:ascii="Times New Roman" w:eastAsia="Times New Roman" w:hAnsi="Times New Roman" w:cs="Times New Roman"/>
          <w:color w:val="000000" w:themeColor="text1"/>
          <w:sz w:val="24"/>
          <w:szCs w:val="24"/>
          <w:lang w:eastAsia="en-GB"/>
        </w:rPr>
      </w:pPr>
      <w:r w:rsidRPr="00597FFB">
        <w:rPr>
          <w:rFonts w:ascii="Times New Roman" w:eastAsia="Times New Roman" w:hAnsi="Times New Roman" w:cs="Times New Roman"/>
          <w:color w:val="000000" w:themeColor="text1"/>
          <w:sz w:val="24"/>
          <w:szCs w:val="24"/>
          <w:lang w:eastAsia="en-GB"/>
        </w:rPr>
        <w:t xml:space="preserve">Zhang, L., &amp; Cude, B. J. (2018). Chinese consumers’ purchase intentions for luxury clothing: A comparison between luxury consumers and non-luxury consumers. </w:t>
      </w:r>
      <w:r w:rsidRPr="00597FFB">
        <w:rPr>
          <w:rFonts w:ascii="Times New Roman" w:eastAsia="Times New Roman" w:hAnsi="Times New Roman" w:cs="Times New Roman"/>
          <w:i/>
          <w:iCs/>
          <w:color w:val="000000" w:themeColor="text1"/>
          <w:sz w:val="24"/>
          <w:szCs w:val="24"/>
          <w:lang w:eastAsia="en-GB"/>
        </w:rPr>
        <w:t>Journal of International Consumer Marketing</w:t>
      </w:r>
      <w:r w:rsidRPr="00597FFB">
        <w:rPr>
          <w:rFonts w:ascii="Times New Roman" w:eastAsia="Times New Roman" w:hAnsi="Times New Roman" w:cs="Times New Roman"/>
          <w:color w:val="000000" w:themeColor="text1"/>
          <w:sz w:val="24"/>
          <w:szCs w:val="24"/>
          <w:lang w:eastAsia="en-GB"/>
        </w:rPr>
        <w:t xml:space="preserve">, </w:t>
      </w:r>
      <w:r w:rsidRPr="00597FFB">
        <w:rPr>
          <w:rFonts w:ascii="Times New Roman" w:eastAsia="Times New Roman" w:hAnsi="Times New Roman" w:cs="Times New Roman"/>
          <w:i/>
          <w:iCs/>
          <w:color w:val="000000" w:themeColor="text1"/>
          <w:sz w:val="24"/>
          <w:szCs w:val="24"/>
          <w:lang w:eastAsia="en-GB"/>
        </w:rPr>
        <w:t>30</w:t>
      </w:r>
      <w:r w:rsidRPr="00597FFB">
        <w:rPr>
          <w:rFonts w:ascii="Times New Roman" w:eastAsia="Times New Roman" w:hAnsi="Times New Roman" w:cs="Times New Roman"/>
          <w:color w:val="000000" w:themeColor="text1"/>
          <w:sz w:val="24"/>
          <w:szCs w:val="24"/>
          <w:lang w:eastAsia="en-GB"/>
        </w:rPr>
        <w:t>(5), 336–349. https://doi.org/10.1080/08961530.2018.1466225</w:t>
      </w:r>
    </w:p>
    <w:p w14:paraId="6DFDCDBC"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Zheng, X., &amp; Cai, Z. (2020). Privacy-Preserved Data Sharing Towards Multiple Parties in Industrial IoTs. </w:t>
      </w:r>
      <w:r w:rsidRPr="00597FFB">
        <w:rPr>
          <w:rFonts w:ascii="Times New Roman" w:eastAsia="SimSun" w:hAnsi="Times New Roman" w:cs="Times New Roman"/>
          <w:i/>
          <w:iCs/>
          <w:kern w:val="24"/>
          <w:sz w:val="24"/>
          <w:szCs w:val="24"/>
          <w:lang w:val="en-GB" w:eastAsia="ja-JP"/>
        </w:rPr>
        <w:t>IEEE Journal on Selected Areas in Communications</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38</w:t>
      </w:r>
      <w:r w:rsidRPr="00597FFB">
        <w:rPr>
          <w:rFonts w:ascii="Times New Roman" w:eastAsia="SimSun" w:hAnsi="Times New Roman" w:cs="Times New Roman"/>
          <w:kern w:val="24"/>
          <w:sz w:val="24"/>
          <w:szCs w:val="24"/>
          <w:lang w:val="en-GB" w:eastAsia="ja-JP"/>
        </w:rPr>
        <w:t>(5), 968–979. https://doi.org/10.1109/JSAC.2020.2980802</w:t>
      </w:r>
    </w:p>
    <w:p w14:paraId="3CCAA2F4"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val="en-GB" w:eastAsia="ja-JP"/>
        </w:rPr>
      </w:pPr>
      <w:r w:rsidRPr="00597FFB">
        <w:rPr>
          <w:rFonts w:ascii="Times New Roman" w:eastAsia="SimSun" w:hAnsi="Times New Roman" w:cs="Times New Roman"/>
          <w:kern w:val="24"/>
          <w:sz w:val="24"/>
          <w:szCs w:val="24"/>
          <w:lang w:val="en-GB" w:eastAsia="ja-JP"/>
        </w:rPr>
        <w:t xml:space="preserve">Zhang, Y., Wu, S., &amp; Rasheed, M. I. (2020). Conscientiousness and smartphone recycling intention: The moderating effect of risk perception. </w:t>
      </w:r>
      <w:r w:rsidRPr="00597FFB">
        <w:rPr>
          <w:rFonts w:ascii="Times New Roman" w:eastAsia="SimSun" w:hAnsi="Times New Roman" w:cs="Times New Roman"/>
          <w:i/>
          <w:iCs/>
          <w:kern w:val="24"/>
          <w:sz w:val="24"/>
          <w:szCs w:val="24"/>
          <w:lang w:val="en-GB" w:eastAsia="ja-JP"/>
        </w:rPr>
        <w:t>Waste Management</w:t>
      </w:r>
      <w:r w:rsidRPr="00597FFB">
        <w:rPr>
          <w:rFonts w:ascii="Times New Roman" w:eastAsia="SimSun" w:hAnsi="Times New Roman" w:cs="Times New Roman"/>
          <w:kern w:val="24"/>
          <w:sz w:val="24"/>
          <w:szCs w:val="24"/>
          <w:lang w:val="en-GB" w:eastAsia="ja-JP"/>
        </w:rPr>
        <w:t xml:space="preserve">, </w:t>
      </w:r>
      <w:r w:rsidRPr="00597FFB">
        <w:rPr>
          <w:rFonts w:ascii="Times New Roman" w:eastAsia="SimSun" w:hAnsi="Times New Roman" w:cs="Times New Roman"/>
          <w:i/>
          <w:iCs/>
          <w:kern w:val="24"/>
          <w:sz w:val="24"/>
          <w:szCs w:val="24"/>
          <w:lang w:val="en-GB" w:eastAsia="ja-JP"/>
        </w:rPr>
        <w:t>101</w:t>
      </w:r>
      <w:r w:rsidRPr="00597FFB">
        <w:rPr>
          <w:rFonts w:ascii="Times New Roman" w:eastAsia="SimSun" w:hAnsi="Times New Roman" w:cs="Times New Roman"/>
          <w:kern w:val="24"/>
          <w:sz w:val="24"/>
          <w:szCs w:val="24"/>
          <w:lang w:val="en-GB" w:eastAsia="ja-JP"/>
        </w:rPr>
        <w:t>, 116–125. https://doi.org/10.1016/j.wasman.2019.09.040</w:t>
      </w:r>
    </w:p>
    <w:p w14:paraId="44DA35A5" w14:textId="77777777" w:rsidR="007562B3" w:rsidRPr="00597FFB" w:rsidRDefault="007562B3" w:rsidP="007562B3">
      <w:pPr>
        <w:spacing w:after="0" w:line="480" w:lineRule="auto"/>
        <w:ind w:left="720" w:hanging="720"/>
        <w:rPr>
          <w:rFonts w:ascii="Times New Roman" w:hAnsi="Times New Roman" w:cs="Times New Roman"/>
          <w:color w:val="000000" w:themeColor="text1"/>
          <w:kern w:val="24"/>
          <w:sz w:val="24"/>
          <w:szCs w:val="24"/>
          <w:lang w:eastAsia="ja-JP"/>
        </w:rPr>
      </w:pPr>
      <w:r w:rsidRPr="00597FFB">
        <w:rPr>
          <w:rFonts w:ascii="Times New Roman" w:hAnsi="Times New Roman" w:cs="Times New Roman"/>
          <w:color w:val="000000" w:themeColor="text1"/>
          <w:kern w:val="24"/>
          <w:sz w:val="24"/>
          <w:szCs w:val="24"/>
          <w:lang w:eastAsia="ja-JP"/>
        </w:rPr>
        <w:t xml:space="preserve">Zhu, Z., Wang, R., Hu, J., &amp; Jiang, Z. (2022). Can protection motivation theory predict pro-environmental behaviour of small rural tourism enterprises? An extended model including community involvement. </w:t>
      </w:r>
      <w:r w:rsidRPr="00597FFB">
        <w:rPr>
          <w:rFonts w:ascii="Times New Roman" w:hAnsi="Times New Roman" w:cs="Times New Roman"/>
          <w:i/>
          <w:iCs/>
          <w:color w:val="000000" w:themeColor="text1"/>
          <w:kern w:val="24"/>
          <w:sz w:val="24"/>
          <w:szCs w:val="24"/>
          <w:lang w:eastAsia="ja-JP"/>
        </w:rPr>
        <w:t>Asia Pacific Journal of Tourism Research, 27</w:t>
      </w:r>
      <w:r w:rsidRPr="00597FFB">
        <w:rPr>
          <w:rFonts w:ascii="Times New Roman" w:hAnsi="Times New Roman" w:cs="Times New Roman"/>
          <w:color w:val="000000" w:themeColor="text1"/>
          <w:kern w:val="24"/>
          <w:sz w:val="24"/>
          <w:szCs w:val="24"/>
          <w:lang w:eastAsia="ja-JP"/>
        </w:rPr>
        <w:t xml:space="preserve">(4), 428-442. </w:t>
      </w:r>
      <w:r w:rsidRPr="00597FFB">
        <w:rPr>
          <w:rFonts w:ascii="Times New Roman" w:hAnsi="Times New Roman" w:cs="Times New Roman"/>
          <w:color w:val="000000" w:themeColor="text1"/>
          <w:kern w:val="24"/>
          <w:sz w:val="24"/>
          <w:szCs w:val="24"/>
          <w:u w:val="single"/>
          <w:lang w:eastAsia="ja-JP"/>
        </w:rPr>
        <w:t>https://doi.org/10.1080/10941665.2022.2075777</w:t>
      </w:r>
      <w:r w:rsidRPr="00597FFB">
        <w:rPr>
          <w:rFonts w:ascii="Times New Roman" w:hAnsi="Times New Roman" w:cs="Times New Roman"/>
          <w:color w:val="000000" w:themeColor="text1"/>
          <w:kern w:val="24"/>
          <w:sz w:val="24"/>
          <w:szCs w:val="24"/>
          <w:lang w:eastAsia="ja-JP"/>
        </w:rPr>
        <w:t>.</w:t>
      </w:r>
    </w:p>
    <w:p w14:paraId="0248CDF7" w14:textId="77777777" w:rsidR="007562B3" w:rsidRPr="00597FFB" w:rsidRDefault="007562B3" w:rsidP="007562B3">
      <w:pPr>
        <w:spacing w:after="0" w:line="480" w:lineRule="auto"/>
        <w:ind w:left="720" w:hanging="720"/>
        <w:rPr>
          <w:rFonts w:ascii="Times New Roman" w:eastAsia="SimSun" w:hAnsi="Times New Roman" w:cs="Times New Roman"/>
          <w:kern w:val="24"/>
          <w:sz w:val="24"/>
          <w:szCs w:val="24"/>
          <w:lang w:eastAsia="ja-JP"/>
        </w:rPr>
      </w:pPr>
      <w:r w:rsidRPr="00597FFB">
        <w:rPr>
          <w:rFonts w:ascii="Times New Roman" w:eastAsia="SimSun" w:hAnsi="Times New Roman" w:cs="Times New Roman"/>
          <w:kern w:val="24"/>
          <w:sz w:val="24"/>
          <w:szCs w:val="24"/>
          <w:lang w:eastAsia="ja-JP"/>
        </w:rPr>
        <w:t xml:space="preserve">  </w:t>
      </w:r>
    </w:p>
    <w:p w14:paraId="20224948" w14:textId="3E123A19" w:rsidR="00300DDE" w:rsidRPr="00597FFB" w:rsidRDefault="007562B3" w:rsidP="007562B3">
      <w:pPr>
        <w:spacing w:after="120" w:line="480" w:lineRule="auto"/>
        <w:ind w:left="720" w:hanging="720"/>
        <w:jc w:val="both"/>
        <w:rPr>
          <w:rFonts w:ascii="Times New Roman" w:eastAsia="SimSun" w:hAnsi="Times New Roman" w:cs="Times New Roman"/>
          <w:noProof/>
          <w:kern w:val="24"/>
          <w:sz w:val="24"/>
          <w:szCs w:val="24"/>
          <w:lang w:val="en-GB" w:eastAsia="ja-JP"/>
        </w:rPr>
        <w:sectPr w:rsidR="00300DDE" w:rsidRPr="00597FFB" w:rsidSect="003A2D76">
          <w:pgSz w:w="11909" w:h="16834" w:code="9"/>
          <w:pgMar w:top="1800" w:right="2160" w:bottom="1800" w:left="2160" w:header="720" w:footer="720" w:gutter="0"/>
          <w:lnNumType w:countBy="1" w:restart="continuous"/>
          <w:cols w:space="720"/>
          <w:docGrid w:linePitch="360"/>
        </w:sectPr>
      </w:pPr>
      <w:r w:rsidRPr="00597FFB">
        <w:rPr>
          <w:rFonts w:ascii="Times New Roman" w:eastAsia="SimSun" w:hAnsi="Times New Roman" w:cs="Times New Roman"/>
          <w:noProof/>
          <w:kern w:val="24"/>
          <w:sz w:val="24"/>
          <w:szCs w:val="24"/>
          <w:lang w:val="en-GB" w:eastAsia="ja-JP"/>
        </w:rPr>
        <w:fldChar w:fldCharType="end"/>
      </w:r>
    </w:p>
    <w:p w14:paraId="291BC89F" w14:textId="77777777" w:rsidR="00963C19" w:rsidRPr="00597FFB" w:rsidRDefault="00963C19" w:rsidP="00963C19">
      <w:pPr>
        <w:pStyle w:val="Heading1"/>
        <w:jc w:val="center"/>
        <w:rPr>
          <w:rFonts w:asciiTheme="majorBidi" w:hAnsiTheme="majorBidi"/>
          <w:b/>
          <w:bCs/>
          <w:color w:val="000000" w:themeColor="text1"/>
          <w:sz w:val="26"/>
          <w:szCs w:val="26"/>
        </w:rPr>
      </w:pPr>
      <w:bookmarkStart w:id="304" w:name="_Toc127170389"/>
      <w:r w:rsidRPr="00597FFB">
        <w:rPr>
          <w:rFonts w:asciiTheme="majorBidi" w:hAnsiTheme="majorBidi"/>
          <w:b/>
          <w:bCs/>
          <w:color w:val="000000" w:themeColor="text1"/>
          <w:sz w:val="26"/>
          <w:szCs w:val="26"/>
        </w:rPr>
        <w:t>APPENDIXES</w:t>
      </w:r>
      <w:bookmarkEnd w:id="304"/>
    </w:p>
    <w:p w14:paraId="29EC39BB" w14:textId="77777777" w:rsidR="00963C19" w:rsidRPr="00597FFB" w:rsidRDefault="00963C19" w:rsidP="00963C19">
      <w:pPr>
        <w:pStyle w:val="Heading2"/>
        <w:rPr>
          <w:rFonts w:asciiTheme="majorBidi" w:hAnsiTheme="majorBidi"/>
          <w:b/>
          <w:bCs/>
          <w:color w:val="000000" w:themeColor="text1"/>
          <w:sz w:val="26"/>
          <w:szCs w:val="26"/>
        </w:rPr>
      </w:pPr>
      <w:bookmarkStart w:id="305" w:name="_Toc127170390"/>
      <w:r w:rsidRPr="00597FFB">
        <w:rPr>
          <w:rFonts w:asciiTheme="majorBidi" w:hAnsiTheme="majorBidi"/>
          <w:b/>
          <w:bCs/>
          <w:color w:val="000000" w:themeColor="text1"/>
          <w:sz w:val="26"/>
          <w:szCs w:val="26"/>
        </w:rPr>
        <w:t>APPENDIX A</w:t>
      </w:r>
      <w:bookmarkEnd w:id="305"/>
    </w:p>
    <w:p w14:paraId="666F76B9"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anchor distT="0" distB="0" distL="114300" distR="114300" simplePos="0" relativeHeight="251675648" behindDoc="0" locked="0" layoutInCell="1" allowOverlap="1" wp14:anchorId="70C68A1C" wp14:editId="0BAD3535">
            <wp:simplePos x="0" y="0"/>
            <wp:positionH relativeFrom="margin">
              <wp:align>right</wp:align>
            </wp:positionH>
            <wp:positionV relativeFrom="paragraph">
              <wp:posOffset>188595</wp:posOffset>
            </wp:positionV>
            <wp:extent cx="4819015" cy="6924675"/>
            <wp:effectExtent l="0" t="0" r="635" b="9525"/>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19015" cy="6924675"/>
                    </a:xfrm>
                    <a:prstGeom prst="rect">
                      <a:avLst/>
                    </a:prstGeom>
                    <a:noFill/>
                    <a:ln>
                      <a:noFill/>
                    </a:ln>
                  </pic:spPr>
                </pic:pic>
              </a:graphicData>
            </a:graphic>
            <wp14:sizeRelV relativeFrom="margin">
              <wp14:pctHeight>0</wp14:pctHeight>
            </wp14:sizeRelV>
          </wp:anchor>
        </w:drawing>
      </w:r>
    </w:p>
    <w:p w14:paraId="5D2A9576" w14:textId="77777777" w:rsidR="00963C19" w:rsidRPr="00597FFB" w:rsidRDefault="00963C19" w:rsidP="00963C19">
      <w:pPr>
        <w:spacing w:line="480" w:lineRule="auto"/>
        <w:jc w:val="both"/>
        <w:rPr>
          <w:rFonts w:ascii="Times New Roman" w:hAnsi="Times New Roman" w:cs="Times New Roman"/>
          <w:b/>
          <w:sz w:val="24"/>
          <w:szCs w:val="24"/>
        </w:rPr>
      </w:pPr>
    </w:p>
    <w:p w14:paraId="45B4AC2E" w14:textId="77777777" w:rsidR="00963C19" w:rsidRPr="00597FFB" w:rsidRDefault="00963C19" w:rsidP="00963C19">
      <w:pPr>
        <w:spacing w:line="480" w:lineRule="auto"/>
        <w:jc w:val="both"/>
        <w:rPr>
          <w:rFonts w:ascii="Times New Roman" w:hAnsi="Times New Roman" w:cs="Times New Roman"/>
          <w:b/>
          <w:sz w:val="24"/>
          <w:szCs w:val="24"/>
        </w:rPr>
      </w:pPr>
    </w:p>
    <w:p w14:paraId="3F3E3229" w14:textId="77777777" w:rsidR="00963C19" w:rsidRPr="00597FFB" w:rsidRDefault="00963C19" w:rsidP="00963C19">
      <w:pPr>
        <w:spacing w:line="480" w:lineRule="auto"/>
        <w:jc w:val="both"/>
        <w:rPr>
          <w:rFonts w:ascii="Times New Roman" w:hAnsi="Times New Roman" w:cs="Times New Roman"/>
          <w:b/>
          <w:sz w:val="24"/>
          <w:szCs w:val="24"/>
        </w:rPr>
        <w:sectPr w:rsidR="00963C19" w:rsidRPr="00597FFB" w:rsidSect="00AE2B04">
          <w:pgSz w:w="11909" w:h="16834" w:code="9"/>
          <w:pgMar w:top="2880" w:right="2160" w:bottom="1800" w:left="2160" w:header="720" w:footer="720" w:gutter="0"/>
          <w:cols w:space="720"/>
          <w:docGrid w:linePitch="360"/>
        </w:sectPr>
      </w:pPr>
    </w:p>
    <w:p w14:paraId="50171361"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inline distT="0" distB="0" distL="0" distR="0" wp14:anchorId="0EDEEE6D" wp14:editId="196D799B">
            <wp:extent cx="4819015" cy="7308850"/>
            <wp:effectExtent l="0" t="0" r="635" b="635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19015" cy="7308850"/>
                    </a:xfrm>
                    <a:prstGeom prst="rect">
                      <a:avLst/>
                    </a:prstGeom>
                    <a:noFill/>
                    <a:ln>
                      <a:noFill/>
                    </a:ln>
                  </pic:spPr>
                </pic:pic>
              </a:graphicData>
            </a:graphic>
          </wp:inline>
        </w:drawing>
      </w:r>
    </w:p>
    <w:p w14:paraId="204F4AD4" w14:textId="77777777" w:rsidR="00963C19" w:rsidRPr="00597FFB" w:rsidRDefault="00963C19" w:rsidP="00963C19">
      <w:pPr>
        <w:spacing w:line="480" w:lineRule="auto"/>
        <w:jc w:val="both"/>
        <w:rPr>
          <w:rFonts w:ascii="Times New Roman" w:hAnsi="Times New Roman" w:cs="Times New Roman"/>
          <w:b/>
          <w:sz w:val="24"/>
          <w:szCs w:val="24"/>
        </w:rPr>
      </w:pPr>
    </w:p>
    <w:p w14:paraId="1CF671A6" w14:textId="77777777" w:rsidR="00963C19" w:rsidRPr="00597FFB" w:rsidRDefault="00963C19" w:rsidP="00963C19">
      <w:pPr>
        <w:spacing w:line="480" w:lineRule="auto"/>
        <w:jc w:val="both"/>
        <w:rPr>
          <w:rFonts w:ascii="Times New Roman" w:hAnsi="Times New Roman" w:cs="Times New Roman"/>
          <w:b/>
          <w:sz w:val="24"/>
          <w:szCs w:val="24"/>
        </w:rPr>
      </w:pPr>
    </w:p>
    <w:p w14:paraId="35729D7C"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inline distT="0" distB="0" distL="0" distR="0" wp14:anchorId="17DEF705" wp14:editId="5FB727C6">
            <wp:extent cx="4819015" cy="7308850"/>
            <wp:effectExtent l="0" t="0" r="635"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19015" cy="7308850"/>
                    </a:xfrm>
                    <a:prstGeom prst="rect">
                      <a:avLst/>
                    </a:prstGeom>
                    <a:noFill/>
                    <a:ln>
                      <a:noFill/>
                    </a:ln>
                  </pic:spPr>
                </pic:pic>
              </a:graphicData>
            </a:graphic>
          </wp:inline>
        </w:drawing>
      </w:r>
    </w:p>
    <w:p w14:paraId="09107006" w14:textId="77777777" w:rsidR="00963C19" w:rsidRPr="00597FFB" w:rsidRDefault="00963C19" w:rsidP="00963C19">
      <w:pPr>
        <w:spacing w:line="480" w:lineRule="auto"/>
        <w:jc w:val="both"/>
        <w:rPr>
          <w:rFonts w:ascii="Times New Roman" w:hAnsi="Times New Roman" w:cs="Times New Roman"/>
          <w:b/>
          <w:sz w:val="24"/>
          <w:szCs w:val="24"/>
        </w:rPr>
      </w:pPr>
    </w:p>
    <w:p w14:paraId="56A63EB7" w14:textId="77777777" w:rsidR="00963C19" w:rsidRPr="00597FFB" w:rsidRDefault="00963C19" w:rsidP="00963C19">
      <w:pPr>
        <w:spacing w:line="480" w:lineRule="auto"/>
        <w:jc w:val="both"/>
        <w:rPr>
          <w:rFonts w:ascii="Times New Roman" w:hAnsi="Times New Roman" w:cs="Times New Roman"/>
          <w:b/>
          <w:sz w:val="24"/>
          <w:szCs w:val="24"/>
        </w:rPr>
      </w:pPr>
    </w:p>
    <w:p w14:paraId="42C0D696" w14:textId="77777777" w:rsidR="00963C19" w:rsidRPr="00597FFB" w:rsidRDefault="00963C19" w:rsidP="00963C19">
      <w:pPr>
        <w:spacing w:line="480" w:lineRule="auto"/>
        <w:jc w:val="both"/>
        <w:rPr>
          <w:rFonts w:ascii="Times New Roman" w:hAnsi="Times New Roman" w:cs="Times New Roman"/>
          <w:b/>
          <w:sz w:val="24"/>
          <w:szCs w:val="24"/>
        </w:rPr>
      </w:pPr>
    </w:p>
    <w:p w14:paraId="7AF505BD"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inline distT="0" distB="0" distL="0" distR="0" wp14:anchorId="107DB02C" wp14:editId="40DC4846">
            <wp:extent cx="4819015" cy="7308850"/>
            <wp:effectExtent l="0" t="0" r="635" b="635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19015" cy="7308850"/>
                    </a:xfrm>
                    <a:prstGeom prst="rect">
                      <a:avLst/>
                    </a:prstGeom>
                    <a:noFill/>
                    <a:ln>
                      <a:noFill/>
                    </a:ln>
                  </pic:spPr>
                </pic:pic>
              </a:graphicData>
            </a:graphic>
          </wp:inline>
        </w:drawing>
      </w:r>
    </w:p>
    <w:p w14:paraId="24EA2E48" w14:textId="77777777" w:rsidR="00963C19" w:rsidRPr="00597FFB" w:rsidRDefault="00963C19" w:rsidP="00963C19">
      <w:pPr>
        <w:spacing w:line="480" w:lineRule="auto"/>
        <w:jc w:val="both"/>
        <w:rPr>
          <w:rFonts w:ascii="Times New Roman" w:hAnsi="Times New Roman" w:cs="Times New Roman"/>
          <w:b/>
          <w:sz w:val="24"/>
          <w:szCs w:val="24"/>
        </w:rPr>
      </w:pPr>
    </w:p>
    <w:p w14:paraId="46FE3521" w14:textId="77777777" w:rsidR="00963C19" w:rsidRPr="00597FFB" w:rsidRDefault="00963C19" w:rsidP="00963C19">
      <w:pPr>
        <w:spacing w:line="480" w:lineRule="auto"/>
        <w:jc w:val="both"/>
        <w:rPr>
          <w:rFonts w:ascii="Times New Roman" w:hAnsi="Times New Roman" w:cs="Times New Roman"/>
          <w:b/>
          <w:sz w:val="24"/>
          <w:szCs w:val="24"/>
        </w:rPr>
      </w:pPr>
    </w:p>
    <w:p w14:paraId="21491CF0"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inline distT="0" distB="0" distL="0" distR="0" wp14:anchorId="5DCD796C" wp14:editId="2EB815D4">
            <wp:extent cx="4819015" cy="7308850"/>
            <wp:effectExtent l="0" t="0" r="635" b="635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19015" cy="7308850"/>
                    </a:xfrm>
                    <a:prstGeom prst="rect">
                      <a:avLst/>
                    </a:prstGeom>
                    <a:noFill/>
                    <a:ln>
                      <a:noFill/>
                    </a:ln>
                  </pic:spPr>
                </pic:pic>
              </a:graphicData>
            </a:graphic>
          </wp:inline>
        </w:drawing>
      </w:r>
    </w:p>
    <w:p w14:paraId="0CE7F6E3" w14:textId="77777777" w:rsidR="00963C19" w:rsidRPr="00597FFB" w:rsidRDefault="00963C19" w:rsidP="00963C19">
      <w:pPr>
        <w:spacing w:line="480" w:lineRule="auto"/>
        <w:jc w:val="both"/>
        <w:rPr>
          <w:rFonts w:ascii="Times New Roman" w:hAnsi="Times New Roman" w:cs="Times New Roman"/>
          <w:b/>
          <w:sz w:val="24"/>
          <w:szCs w:val="24"/>
        </w:rPr>
      </w:pPr>
    </w:p>
    <w:p w14:paraId="39F711D2" w14:textId="77777777" w:rsidR="00963C19" w:rsidRPr="00597FFB" w:rsidRDefault="00963C19" w:rsidP="00963C19">
      <w:pPr>
        <w:spacing w:line="480" w:lineRule="auto"/>
        <w:jc w:val="both"/>
        <w:rPr>
          <w:rFonts w:ascii="Times New Roman" w:hAnsi="Times New Roman" w:cs="Times New Roman"/>
          <w:b/>
          <w:sz w:val="24"/>
          <w:szCs w:val="24"/>
        </w:rPr>
      </w:pPr>
    </w:p>
    <w:p w14:paraId="56737756" w14:textId="77777777" w:rsidR="00963C19" w:rsidRPr="00597FFB" w:rsidRDefault="00963C19" w:rsidP="00963C19">
      <w:pPr>
        <w:spacing w:line="480" w:lineRule="auto"/>
        <w:jc w:val="both"/>
        <w:rPr>
          <w:rFonts w:ascii="Times New Roman" w:hAnsi="Times New Roman" w:cs="Times New Roman"/>
          <w:b/>
          <w:sz w:val="24"/>
          <w:szCs w:val="24"/>
        </w:rPr>
      </w:pPr>
      <w:r w:rsidRPr="00597FFB">
        <w:rPr>
          <w:noProof/>
        </w:rPr>
        <w:drawing>
          <wp:inline distT="0" distB="0" distL="0" distR="0" wp14:anchorId="672A2793" wp14:editId="573D3022">
            <wp:extent cx="4819015" cy="6836410"/>
            <wp:effectExtent l="0" t="0" r="635" b="254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19015" cy="6836410"/>
                    </a:xfrm>
                    <a:prstGeom prst="rect">
                      <a:avLst/>
                    </a:prstGeom>
                    <a:noFill/>
                    <a:ln>
                      <a:noFill/>
                    </a:ln>
                  </pic:spPr>
                </pic:pic>
              </a:graphicData>
            </a:graphic>
          </wp:inline>
        </w:drawing>
      </w:r>
    </w:p>
    <w:p w14:paraId="26B5F41D" w14:textId="77777777" w:rsidR="00963C19" w:rsidRPr="00597FFB" w:rsidRDefault="00963C19" w:rsidP="00963C19">
      <w:pPr>
        <w:spacing w:line="480" w:lineRule="auto"/>
        <w:jc w:val="both"/>
        <w:rPr>
          <w:rFonts w:ascii="Times New Roman" w:hAnsi="Times New Roman" w:cs="Times New Roman"/>
          <w:b/>
          <w:sz w:val="24"/>
          <w:szCs w:val="24"/>
        </w:rPr>
      </w:pPr>
    </w:p>
    <w:p w14:paraId="2D62B628" w14:textId="77777777" w:rsidR="00963C19" w:rsidRPr="00597FFB" w:rsidRDefault="00963C19" w:rsidP="00963C19">
      <w:pPr>
        <w:spacing w:line="480" w:lineRule="auto"/>
        <w:jc w:val="both"/>
        <w:rPr>
          <w:rFonts w:ascii="Times New Roman" w:hAnsi="Times New Roman" w:cs="Times New Roman"/>
          <w:b/>
          <w:sz w:val="24"/>
          <w:szCs w:val="24"/>
        </w:rPr>
      </w:pPr>
    </w:p>
    <w:p w14:paraId="3EF2EA28" w14:textId="77777777" w:rsidR="00963C19" w:rsidRPr="00597FFB" w:rsidRDefault="00963C19" w:rsidP="00963C19">
      <w:pPr>
        <w:spacing w:line="480" w:lineRule="auto"/>
        <w:jc w:val="both"/>
        <w:rPr>
          <w:rFonts w:ascii="Times New Roman" w:hAnsi="Times New Roman" w:cs="Times New Roman"/>
          <w:b/>
          <w:sz w:val="24"/>
          <w:szCs w:val="24"/>
        </w:rPr>
      </w:pPr>
    </w:p>
    <w:p w14:paraId="080DE144" w14:textId="77777777" w:rsidR="00963C19" w:rsidRPr="00597FFB" w:rsidRDefault="00963C19" w:rsidP="00963C19">
      <w:pPr>
        <w:spacing w:line="480" w:lineRule="auto"/>
        <w:jc w:val="both"/>
        <w:rPr>
          <w:rFonts w:ascii="Times New Roman" w:hAnsi="Times New Roman" w:cs="Times New Roman"/>
          <w:b/>
          <w:sz w:val="24"/>
          <w:szCs w:val="24"/>
        </w:rPr>
        <w:sectPr w:rsidR="00963C19" w:rsidRPr="00597FFB" w:rsidSect="00763117">
          <w:pgSz w:w="11909" w:h="16834" w:code="9"/>
          <w:pgMar w:top="1800" w:right="2160" w:bottom="1800" w:left="2160" w:header="720" w:footer="720" w:gutter="0"/>
          <w:cols w:space="720"/>
          <w:docGrid w:linePitch="360"/>
        </w:sectPr>
      </w:pPr>
      <w:r w:rsidRPr="00597FFB">
        <w:rPr>
          <w:noProof/>
        </w:rPr>
        <w:drawing>
          <wp:inline distT="0" distB="0" distL="0" distR="0" wp14:anchorId="616C5A3F" wp14:editId="14CF112F">
            <wp:extent cx="4819015" cy="3658235"/>
            <wp:effectExtent l="0" t="0" r="63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19015" cy="3658235"/>
                    </a:xfrm>
                    <a:prstGeom prst="rect">
                      <a:avLst/>
                    </a:prstGeom>
                    <a:noFill/>
                    <a:ln>
                      <a:noFill/>
                    </a:ln>
                  </pic:spPr>
                </pic:pic>
              </a:graphicData>
            </a:graphic>
          </wp:inline>
        </w:drawing>
      </w:r>
    </w:p>
    <w:p w14:paraId="1787B44A" w14:textId="77777777" w:rsidR="00963C19" w:rsidRPr="00597FFB" w:rsidRDefault="00963C19" w:rsidP="00963C19">
      <w:pPr>
        <w:pStyle w:val="Heading2"/>
        <w:rPr>
          <w:rFonts w:asciiTheme="majorBidi" w:hAnsiTheme="majorBidi"/>
          <w:b/>
          <w:bCs/>
          <w:color w:val="000000" w:themeColor="text1"/>
          <w:sz w:val="26"/>
          <w:szCs w:val="26"/>
        </w:rPr>
      </w:pPr>
      <w:bookmarkStart w:id="306" w:name="_Toc127170391"/>
      <w:r w:rsidRPr="00597FFB">
        <w:rPr>
          <w:rFonts w:asciiTheme="majorBidi" w:hAnsiTheme="majorBidi"/>
          <w:b/>
          <w:bCs/>
          <w:color w:val="000000" w:themeColor="text1"/>
          <w:sz w:val="26"/>
          <w:szCs w:val="26"/>
        </w:rPr>
        <w:t>APPENDIX B</w:t>
      </w:r>
      <w:bookmarkEnd w:id="306"/>
    </w:p>
    <w:p w14:paraId="4C1C3267" w14:textId="77777777" w:rsidR="00963C19" w:rsidRPr="00272CCF" w:rsidRDefault="00963C19" w:rsidP="00963C19">
      <w:pPr>
        <w:spacing w:line="480" w:lineRule="auto"/>
        <w:jc w:val="both"/>
        <w:rPr>
          <w:rFonts w:ascii="Times New Roman" w:hAnsi="Times New Roman" w:cs="Times New Roman"/>
          <w:i/>
          <w:iCs/>
          <w:sz w:val="24"/>
          <w:szCs w:val="24"/>
        </w:rPr>
        <w:sectPr w:rsidR="00963C19" w:rsidRPr="00272CCF" w:rsidSect="0011345A">
          <w:pgSz w:w="11909" w:h="16834" w:code="9"/>
          <w:pgMar w:top="1800" w:right="2160" w:bottom="1800" w:left="2160" w:header="720" w:footer="720" w:gutter="0"/>
          <w:cols w:space="720"/>
          <w:docGrid w:linePitch="360"/>
        </w:sectPr>
      </w:pPr>
      <w:r w:rsidRPr="00597FFB">
        <w:rPr>
          <w:i/>
          <w:iCs/>
          <w:noProof/>
        </w:rPr>
        <w:drawing>
          <wp:anchor distT="0" distB="0" distL="114300" distR="114300" simplePos="0" relativeHeight="251677696" behindDoc="0" locked="0" layoutInCell="1" allowOverlap="1" wp14:anchorId="66D2F9EF" wp14:editId="46CB3910">
            <wp:simplePos x="0" y="0"/>
            <wp:positionH relativeFrom="column">
              <wp:posOffset>-12065</wp:posOffset>
            </wp:positionH>
            <wp:positionV relativeFrom="paragraph">
              <wp:posOffset>375920</wp:posOffset>
            </wp:positionV>
            <wp:extent cx="5235561" cy="6640830"/>
            <wp:effectExtent l="0" t="0" r="3810" b="7620"/>
            <wp:wrapNone/>
            <wp:docPr id="56" name="Picture 5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able&#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35561" cy="6640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7FFB">
        <w:rPr>
          <w:rFonts w:ascii="Times New Roman" w:hAnsi="Times New Roman" w:cs="Times New Roman"/>
          <w:i/>
          <w:iCs/>
          <w:sz w:val="24"/>
          <w:szCs w:val="24"/>
        </w:rPr>
        <w:t xml:space="preserve">IRB </w:t>
      </w:r>
      <w:proofErr w:type="spellStart"/>
      <w:r w:rsidRPr="00597FFB">
        <w:rPr>
          <w:rFonts w:ascii="Times New Roman" w:hAnsi="Times New Roman" w:cs="Times New Roman"/>
          <w:i/>
          <w:iCs/>
          <w:sz w:val="24"/>
          <w:szCs w:val="24"/>
        </w:rPr>
        <w:t>Approva</w:t>
      </w:r>
      <w:proofErr w:type="spellEnd"/>
    </w:p>
    <w:p w14:paraId="01D3240A" w14:textId="77777777" w:rsidR="00300DDE" w:rsidRDefault="00300DDE" w:rsidP="00300DDE"/>
    <w:p w14:paraId="14751E77" w14:textId="77777777" w:rsidR="00300DDE" w:rsidRDefault="00300DDE" w:rsidP="00300DDE"/>
    <w:p w14:paraId="3DA73874" w14:textId="77777777" w:rsidR="00300DDE" w:rsidRDefault="00300DDE" w:rsidP="00300DDE"/>
    <w:p w14:paraId="16EED1B8" w14:textId="77777777" w:rsidR="00300DDE" w:rsidRDefault="00300DDE" w:rsidP="00300DDE"/>
    <w:p w14:paraId="37183DFE" w14:textId="77777777" w:rsidR="00300DDE" w:rsidRDefault="00300DDE" w:rsidP="00300DDE"/>
    <w:p w14:paraId="339CA562" w14:textId="77777777" w:rsidR="00300DDE" w:rsidRDefault="00300DDE" w:rsidP="00300DDE"/>
    <w:p w14:paraId="4FCD6389" w14:textId="77777777" w:rsidR="00300DDE" w:rsidRDefault="00300DDE" w:rsidP="00300DDE"/>
    <w:p w14:paraId="11BF2D73" w14:textId="77777777" w:rsidR="00300DDE" w:rsidRDefault="00300DDE" w:rsidP="00300DDE"/>
    <w:p w14:paraId="100551C9" w14:textId="77777777" w:rsidR="00300DDE" w:rsidRDefault="00300DDE" w:rsidP="00300DDE"/>
    <w:p w14:paraId="43E247AC" w14:textId="77777777" w:rsidR="00300DDE" w:rsidRDefault="00300DDE" w:rsidP="00300DDE"/>
    <w:p w14:paraId="0807600D" w14:textId="77777777" w:rsidR="00300DDE" w:rsidRDefault="00300DDE" w:rsidP="00300DDE"/>
    <w:p w14:paraId="7DAF0D6F" w14:textId="77777777" w:rsidR="00300DDE" w:rsidRDefault="00300DDE" w:rsidP="00300DDE"/>
    <w:p w14:paraId="7973D65B" w14:textId="77777777" w:rsidR="00300DDE" w:rsidRDefault="00300DDE" w:rsidP="00300DDE"/>
    <w:p w14:paraId="70F00FA4" w14:textId="77777777" w:rsidR="00300DDE" w:rsidRDefault="00300DDE" w:rsidP="00300DDE"/>
    <w:p w14:paraId="22FB865F" w14:textId="77777777" w:rsidR="00300DDE" w:rsidRDefault="00300DDE" w:rsidP="00300DDE"/>
    <w:p w14:paraId="1B4F3180" w14:textId="77777777" w:rsidR="00300DDE" w:rsidRDefault="00300DDE" w:rsidP="00300DDE"/>
    <w:p w14:paraId="2BBAB9A3" w14:textId="77777777" w:rsidR="00300DDE" w:rsidRDefault="00300DDE" w:rsidP="00300DDE"/>
    <w:p w14:paraId="33B94046" w14:textId="77777777" w:rsidR="00300DDE" w:rsidRDefault="00300DDE" w:rsidP="00300DDE"/>
    <w:p w14:paraId="0339619B" w14:textId="77777777" w:rsidR="00300DDE" w:rsidRDefault="00300DDE" w:rsidP="00300DDE"/>
    <w:p w14:paraId="77047E5B" w14:textId="77777777" w:rsidR="00300DDE" w:rsidRDefault="00300DDE" w:rsidP="00300DDE"/>
    <w:p w14:paraId="0805EBA7" w14:textId="77777777" w:rsidR="00300DDE" w:rsidRDefault="00300DDE" w:rsidP="00300DDE"/>
    <w:p w14:paraId="4773C841" w14:textId="77777777" w:rsidR="00300DDE" w:rsidRDefault="00300DDE" w:rsidP="00300DDE"/>
    <w:p w14:paraId="40BC59AD" w14:textId="77777777" w:rsidR="00300DDE" w:rsidRDefault="00300DDE" w:rsidP="00300DDE"/>
    <w:p w14:paraId="2E56E19E" w14:textId="77777777" w:rsidR="00300DDE" w:rsidRDefault="00300DDE" w:rsidP="00300DDE"/>
    <w:p w14:paraId="08FA48A0" w14:textId="3177D1AF" w:rsidR="00E15BC5" w:rsidRPr="00727371" w:rsidRDefault="00E15BC5" w:rsidP="00727371">
      <w:pPr>
        <w:pStyle w:val="Heading2"/>
        <w:rPr>
          <w:rFonts w:asciiTheme="majorBidi" w:hAnsiTheme="majorBidi"/>
          <w:b/>
          <w:bCs/>
          <w:color w:val="000000" w:themeColor="text1"/>
          <w:sz w:val="26"/>
          <w:szCs w:val="26"/>
        </w:rPr>
        <w:sectPr w:rsidR="00E15BC5" w:rsidRPr="00727371" w:rsidSect="00A30B59">
          <w:pgSz w:w="11909" w:h="16834" w:code="9"/>
          <w:pgMar w:top="1800" w:right="2160" w:bottom="1800" w:left="1170" w:header="720" w:footer="720" w:gutter="0"/>
          <w:cols w:space="720"/>
          <w:docGrid w:linePitch="360"/>
        </w:sectPr>
      </w:pPr>
    </w:p>
    <w:p w14:paraId="75BE51B9" w14:textId="77777777" w:rsidR="00A30B59" w:rsidRDefault="00A30B59" w:rsidP="00690C74">
      <w:pPr>
        <w:spacing w:line="480" w:lineRule="auto"/>
        <w:jc w:val="both"/>
        <w:rPr>
          <w:rFonts w:ascii="Times New Roman" w:hAnsi="Times New Roman" w:cs="Times New Roman"/>
          <w:sz w:val="24"/>
          <w:szCs w:val="24"/>
        </w:rPr>
      </w:pPr>
    </w:p>
    <w:sectPr w:rsidR="00A30B59" w:rsidSect="00E15BC5">
      <w:pgSz w:w="16834" w:h="11909" w:orient="landscape" w:code="9"/>
      <w:pgMar w:top="1170" w:right="1800" w:bottom="21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B9928" w14:textId="77777777" w:rsidR="00C93C33" w:rsidRDefault="00C93C33" w:rsidP="00C63A04">
      <w:pPr>
        <w:spacing w:after="0" w:line="240" w:lineRule="auto"/>
      </w:pPr>
      <w:r>
        <w:separator/>
      </w:r>
    </w:p>
  </w:endnote>
  <w:endnote w:type="continuationSeparator" w:id="0">
    <w:p w14:paraId="0A2BB59D" w14:textId="77777777" w:rsidR="00C93C33" w:rsidRDefault="00C93C33" w:rsidP="00C6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B2"/>
    <w:family w:val="auto"/>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F761" w14:textId="77777777" w:rsidR="000B5F75" w:rsidRDefault="000B5F7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759B155" w14:textId="099DE1F4" w:rsidR="00344E88" w:rsidRPr="0049120E" w:rsidRDefault="00344E88" w:rsidP="0049120E">
    <w:pPr>
      <w:pStyle w:val="Footer"/>
      <w:jc w:val="center"/>
      <w:rPr>
        <w:caps/>
        <w:noProof/>
        <w:color w:val="4472C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B24CE" w14:textId="77777777" w:rsidR="00C93C33" w:rsidRDefault="00C93C33" w:rsidP="00C63A04">
      <w:pPr>
        <w:spacing w:after="0" w:line="240" w:lineRule="auto"/>
      </w:pPr>
      <w:r>
        <w:separator/>
      </w:r>
    </w:p>
  </w:footnote>
  <w:footnote w:type="continuationSeparator" w:id="0">
    <w:p w14:paraId="627273CF" w14:textId="77777777" w:rsidR="00C93C33" w:rsidRDefault="00C93C33" w:rsidP="00C63A04">
      <w:pPr>
        <w:spacing w:after="0" w:line="240" w:lineRule="auto"/>
      </w:pPr>
      <w:r>
        <w:continuationSeparator/>
      </w:r>
    </w:p>
  </w:footnote>
  <w:footnote w:id="1">
    <w:p w14:paraId="4CB6CA53" w14:textId="77777777" w:rsidR="009D4FB4" w:rsidRPr="00B263C3" w:rsidRDefault="009D4FB4" w:rsidP="0072417B">
      <w:pPr>
        <w:pStyle w:val="FootnoteText"/>
        <w:ind w:firstLine="0"/>
        <w:jc w:val="both"/>
        <w:rPr>
          <w:sz w:val="20"/>
        </w:rPr>
      </w:pPr>
      <w:r w:rsidRPr="00340CF6">
        <w:rPr>
          <w:rStyle w:val="FootnoteReference"/>
        </w:rPr>
        <w:footnoteRef/>
      </w:r>
      <w:r w:rsidRPr="00B263C3">
        <w:rPr>
          <w:sz w:val="20"/>
        </w:rPr>
        <w:t xml:space="preserve"> * Antimony (Sb) is a toxic metalloid and Sb contamination of soil and water is considered to be a serious global concern for human health (Bai et al., 2017).</w:t>
      </w:r>
    </w:p>
  </w:footnote>
  <w:footnote w:id="2">
    <w:p w14:paraId="1B7CB43C" w14:textId="77777777" w:rsidR="009D4FB4" w:rsidRPr="00A50BDE" w:rsidRDefault="009D4FB4" w:rsidP="0072417B">
      <w:pPr>
        <w:pStyle w:val="FootnoteText"/>
        <w:ind w:firstLine="0"/>
        <w:jc w:val="both"/>
        <w:rPr>
          <w:sz w:val="20"/>
        </w:rPr>
      </w:pPr>
      <w:r w:rsidRPr="00340CF6">
        <w:rPr>
          <w:rStyle w:val="FootnoteReference"/>
        </w:rPr>
        <w:footnoteRef/>
      </w:r>
      <w:r w:rsidRPr="00A50BDE">
        <w:rPr>
          <w:sz w:val="20"/>
        </w:rPr>
        <w:t xml:space="preserve"> </w:t>
      </w:r>
      <w:r w:rsidRPr="00A50BDE">
        <w:rPr>
          <w:rStyle w:val="FootnoteReference"/>
          <w:sz w:val="20"/>
        </w:rPr>
        <w:t>*</w:t>
      </w:r>
      <w:r w:rsidRPr="00A50BDE">
        <w:rPr>
          <w:sz w:val="20"/>
        </w:rPr>
        <w:t xml:space="preserve">  The Basel Convention on the Control of Transboundary Movements of Hazardous Wastes and Their Disposal, known as the Basel Convention, is an international treaty designed to control the movement of hazardous waste between nations, and particularly from developed to developing nations (Meneghini,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styleLink w:val="Umdheyablist1"/>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A6D185C"/>
    <w:multiLevelType w:val="multilevel"/>
    <w:tmpl w:val="8C7AA39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473186"/>
    <w:multiLevelType w:val="hybridMultilevel"/>
    <w:tmpl w:val="44803B08"/>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077DAA"/>
    <w:multiLevelType w:val="hybridMultilevel"/>
    <w:tmpl w:val="AA725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2D3D61"/>
    <w:multiLevelType w:val="hybridMultilevel"/>
    <w:tmpl w:val="C64029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3470A73"/>
    <w:multiLevelType w:val="hybridMultilevel"/>
    <w:tmpl w:val="12DCFA6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95F4F62"/>
    <w:multiLevelType w:val="hybridMultilevel"/>
    <w:tmpl w:val="68B69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C81873"/>
    <w:multiLevelType w:val="hybridMultilevel"/>
    <w:tmpl w:val="8F2C2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2D438C"/>
    <w:multiLevelType w:val="hybridMultilevel"/>
    <w:tmpl w:val="2B444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5320CE"/>
    <w:multiLevelType w:val="hybridMultilevel"/>
    <w:tmpl w:val="10642F7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3D3F5F02"/>
    <w:multiLevelType w:val="multilevel"/>
    <w:tmpl w:val="C87AA50A"/>
    <w:lvl w:ilvl="0">
      <w:start w:val="1"/>
      <w:numFmt w:val="decimal"/>
      <w:lvlText w:val="%1."/>
      <w:lvlJc w:val="left"/>
      <w:pPr>
        <w:ind w:left="720" w:hanging="360"/>
      </w:pPr>
      <w:rPr>
        <w:rFonts w:hint="default"/>
      </w:rPr>
    </w:lvl>
    <w:lvl w:ilv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2C63F6"/>
    <w:multiLevelType w:val="hybridMultilevel"/>
    <w:tmpl w:val="9C3072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7106A3A"/>
    <w:multiLevelType w:val="hybridMultilevel"/>
    <w:tmpl w:val="4154C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107013"/>
    <w:multiLevelType w:val="hybridMultilevel"/>
    <w:tmpl w:val="9C3072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71C44E4"/>
    <w:multiLevelType w:val="hybridMultilevel"/>
    <w:tmpl w:val="3B0A36EC"/>
    <w:lvl w:ilvl="0" w:tplc="958CC464">
      <w:start w:val="1"/>
      <w:numFmt w:val="lowerRoman"/>
      <w:lvlText w:val="(%1)"/>
      <w:lvlJc w:val="left"/>
      <w:pPr>
        <w:ind w:left="1080" w:hanging="720"/>
      </w:pPr>
      <w:rPr>
        <w:rFonts w:hint="default"/>
      </w:rPr>
    </w:lvl>
    <w:lvl w:ilvl="1" w:tplc="CA243DBA" w:tentative="1">
      <w:start w:val="1"/>
      <w:numFmt w:val="lowerLetter"/>
      <w:lvlText w:val="%2."/>
      <w:lvlJc w:val="left"/>
      <w:pPr>
        <w:ind w:left="1440" w:hanging="360"/>
      </w:pPr>
    </w:lvl>
    <w:lvl w:ilvl="2" w:tplc="678620D6" w:tentative="1">
      <w:start w:val="1"/>
      <w:numFmt w:val="lowerRoman"/>
      <w:lvlText w:val="%3."/>
      <w:lvlJc w:val="right"/>
      <w:pPr>
        <w:ind w:left="2160" w:hanging="180"/>
      </w:pPr>
    </w:lvl>
    <w:lvl w:ilvl="3" w:tplc="32A652EA" w:tentative="1">
      <w:start w:val="1"/>
      <w:numFmt w:val="decimal"/>
      <w:lvlText w:val="%4."/>
      <w:lvlJc w:val="left"/>
      <w:pPr>
        <w:ind w:left="2880" w:hanging="360"/>
      </w:pPr>
    </w:lvl>
    <w:lvl w:ilvl="4" w:tplc="3AA2E8C4" w:tentative="1">
      <w:start w:val="1"/>
      <w:numFmt w:val="lowerLetter"/>
      <w:lvlText w:val="%5."/>
      <w:lvlJc w:val="left"/>
      <w:pPr>
        <w:ind w:left="3600" w:hanging="360"/>
      </w:pPr>
    </w:lvl>
    <w:lvl w:ilvl="5" w:tplc="4ACC08C4" w:tentative="1">
      <w:start w:val="1"/>
      <w:numFmt w:val="lowerRoman"/>
      <w:lvlText w:val="%6."/>
      <w:lvlJc w:val="right"/>
      <w:pPr>
        <w:ind w:left="4320" w:hanging="180"/>
      </w:pPr>
    </w:lvl>
    <w:lvl w:ilvl="6" w:tplc="C33EA992" w:tentative="1">
      <w:start w:val="1"/>
      <w:numFmt w:val="decimal"/>
      <w:lvlText w:val="%7."/>
      <w:lvlJc w:val="left"/>
      <w:pPr>
        <w:ind w:left="5040" w:hanging="360"/>
      </w:pPr>
    </w:lvl>
    <w:lvl w:ilvl="7" w:tplc="CB7CF2B6" w:tentative="1">
      <w:start w:val="1"/>
      <w:numFmt w:val="lowerLetter"/>
      <w:lvlText w:val="%8."/>
      <w:lvlJc w:val="left"/>
      <w:pPr>
        <w:ind w:left="5760" w:hanging="360"/>
      </w:pPr>
    </w:lvl>
    <w:lvl w:ilvl="8" w:tplc="C0865FF0" w:tentative="1">
      <w:start w:val="1"/>
      <w:numFmt w:val="lowerRoman"/>
      <w:lvlText w:val="%9."/>
      <w:lvlJc w:val="right"/>
      <w:pPr>
        <w:ind w:left="6480" w:hanging="180"/>
      </w:pPr>
    </w:lvl>
  </w:abstractNum>
  <w:abstractNum w:abstractNumId="24" w15:restartNumberingAfterBreak="0">
    <w:nsid w:val="479E3373"/>
    <w:multiLevelType w:val="hybridMultilevel"/>
    <w:tmpl w:val="002E5B76"/>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F5049D"/>
    <w:multiLevelType w:val="multilevel"/>
    <w:tmpl w:val="6AD4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C931F7"/>
    <w:multiLevelType w:val="multilevel"/>
    <w:tmpl w:val="0409001D"/>
    <w:styleLink w:val="Style1"/>
    <w:lvl w:ilvl="0">
      <w:start w:val="1"/>
      <w:numFmt w:val="decimal"/>
      <w:lvlText w:val="%1"/>
      <w:lvlJc w:val="left"/>
      <w:pPr>
        <w:ind w:left="360" w:hanging="360"/>
      </w:pPr>
      <w:rPr>
        <w:rFonts w:ascii="Times New Roman" w:hAnsi="Times New Roman" w:cs="Times New Roman" w:hint="default"/>
        <w:color w:val="auto"/>
        <w:sz w:val="22"/>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A7A3C44"/>
    <w:multiLevelType w:val="multilevel"/>
    <w:tmpl w:val="7AF47CE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1B371D"/>
    <w:multiLevelType w:val="hybridMultilevel"/>
    <w:tmpl w:val="3D927846"/>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57353A"/>
    <w:multiLevelType w:val="multilevel"/>
    <w:tmpl w:val="4AA65828"/>
    <w:styleLink w:val="Style11"/>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71268E9"/>
    <w:multiLevelType w:val="multilevel"/>
    <w:tmpl w:val="D45A2E8A"/>
    <w:lvl w:ilvl="0">
      <w:start w:val="2"/>
      <w:numFmt w:val="decimal"/>
      <w:lvlText w:val="%1."/>
      <w:lvlJc w:val="left"/>
      <w:pPr>
        <w:ind w:left="360" w:hanging="360"/>
      </w:pPr>
      <w:rPr>
        <w:rFonts w:eastAsia="Calibri" w:hint="default"/>
        <w:b/>
        <w:color w:val="auto"/>
      </w:rPr>
    </w:lvl>
    <w:lvl w:ilvl="1">
      <w:start w:val="2"/>
      <w:numFmt w:val="decimal"/>
      <w:pStyle w:val="Heading11"/>
      <w:lvlText w:val="%1.%2."/>
      <w:lvlJc w:val="left"/>
      <w:pPr>
        <w:ind w:left="405" w:hanging="360"/>
      </w:pPr>
      <w:rPr>
        <w:rFonts w:eastAsia="Calibri" w:hint="default"/>
        <w:b/>
        <w:color w:val="auto"/>
      </w:rPr>
    </w:lvl>
    <w:lvl w:ilvl="2">
      <w:start w:val="1"/>
      <w:numFmt w:val="decimal"/>
      <w:lvlText w:val="%1.%2.%3."/>
      <w:lvlJc w:val="left"/>
      <w:pPr>
        <w:ind w:left="810" w:hanging="720"/>
      </w:pPr>
      <w:rPr>
        <w:rFonts w:eastAsia="Calibri" w:hint="default"/>
        <w:b/>
        <w:color w:val="auto"/>
      </w:rPr>
    </w:lvl>
    <w:lvl w:ilvl="3">
      <w:start w:val="1"/>
      <w:numFmt w:val="decimal"/>
      <w:lvlText w:val="%1.%2.%3.%4."/>
      <w:lvlJc w:val="left"/>
      <w:pPr>
        <w:ind w:left="855" w:hanging="720"/>
      </w:pPr>
      <w:rPr>
        <w:rFonts w:eastAsia="Calibri" w:hint="default"/>
        <w:b/>
        <w:color w:val="auto"/>
      </w:rPr>
    </w:lvl>
    <w:lvl w:ilvl="4">
      <w:start w:val="1"/>
      <w:numFmt w:val="decimal"/>
      <w:lvlText w:val="%1.%2.%3.%4.%5."/>
      <w:lvlJc w:val="left"/>
      <w:pPr>
        <w:ind w:left="1260" w:hanging="1080"/>
      </w:pPr>
      <w:rPr>
        <w:rFonts w:eastAsia="Calibri" w:hint="default"/>
        <w:b/>
        <w:color w:val="auto"/>
      </w:rPr>
    </w:lvl>
    <w:lvl w:ilvl="5">
      <w:start w:val="1"/>
      <w:numFmt w:val="decimal"/>
      <w:lvlText w:val="%1.%2.%3.%4.%5.%6."/>
      <w:lvlJc w:val="left"/>
      <w:pPr>
        <w:ind w:left="1305" w:hanging="1080"/>
      </w:pPr>
      <w:rPr>
        <w:rFonts w:eastAsia="Calibri" w:hint="default"/>
        <w:b/>
        <w:color w:val="auto"/>
      </w:rPr>
    </w:lvl>
    <w:lvl w:ilvl="6">
      <w:start w:val="1"/>
      <w:numFmt w:val="decimal"/>
      <w:lvlText w:val="%1.%2.%3.%4.%5.%6.%7."/>
      <w:lvlJc w:val="left"/>
      <w:pPr>
        <w:ind w:left="1710" w:hanging="1440"/>
      </w:pPr>
      <w:rPr>
        <w:rFonts w:eastAsia="Calibri" w:hint="default"/>
        <w:b/>
        <w:color w:val="auto"/>
      </w:rPr>
    </w:lvl>
    <w:lvl w:ilvl="7">
      <w:start w:val="1"/>
      <w:numFmt w:val="decimal"/>
      <w:lvlText w:val="%1.%2.%3.%4.%5.%6.%7.%8."/>
      <w:lvlJc w:val="left"/>
      <w:pPr>
        <w:ind w:left="1755" w:hanging="1440"/>
      </w:pPr>
      <w:rPr>
        <w:rFonts w:eastAsia="Calibri" w:hint="default"/>
        <w:b/>
        <w:color w:val="auto"/>
      </w:rPr>
    </w:lvl>
    <w:lvl w:ilvl="8">
      <w:start w:val="1"/>
      <w:numFmt w:val="decimal"/>
      <w:lvlText w:val="%1.%2.%3.%4.%5.%6.%7.%8.%9."/>
      <w:lvlJc w:val="left"/>
      <w:pPr>
        <w:ind w:left="2160" w:hanging="1800"/>
      </w:pPr>
      <w:rPr>
        <w:rFonts w:eastAsia="Calibri" w:hint="default"/>
        <w:b/>
        <w:color w:val="auto"/>
      </w:rPr>
    </w:lvl>
  </w:abstractNum>
  <w:abstractNum w:abstractNumId="31" w15:restartNumberingAfterBreak="0">
    <w:nsid w:val="6F4D3A90"/>
    <w:multiLevelType w:val="hybridMultilevel"/>
    <w:tmpl w:val="D0AA80C4"/>
    <w:lvl w:ilvl="0" w:tplc="5AB682F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33A446F"/>
    <w:multiLevelType w:val="hybridMultilevel"/>
    <w:tmpl w:val="4FE2FC62"/>
    <w:lvl w:ilvl="0" w:tplc="FFFFFFF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8E647C"/>
    <w:multiLevelType w:val="multilevel"/>
    <w:tmpl w:val="F2B6AF26"/>
    <w:styleLink w:val="Umdheyablist"/>
    <w:lvl w:ilvl="0">
      <w:start w:val="1"/>
      <w:numFmt w:val="decimal"/>
      <w:lvlText w:val="%1"/>
      <w:lvlJc w:val="left"/>
      <w:pPr>
        <w:ind w:left="432" w:hanging="432"/>
      </w:pPr>
      <w:rPr>
        <w:rFonts w:ascii="Times New Roman" w:hAnsi="Times New Roman" w:hint="default"/>
        <w:b/>
        <w:sz w:val="24"/>
      </w:rPr>
    </w:lvl>
    <w:lvl w:ilvl="1">
      <w:numFmt w:val="decimal"/>
      <w:lvlRestart w:val="0"/>
      <w:lvlText w:val="%1.%2"/>
      <w:lvlJc w:val="left"/>
      <w:pPr>
        <w:ind w:left="576" w:hanging="576"/>
      </w:pPr>
      <w:rPr>
        <w:rFonts w:ascii="Times New Roman" w:hAnsi="Times New Roman" w:hint="default"/>
        <w:b/>
        <w:sz w:val="24"/>
      </w:rPr>
    </w:lvl>
    <w:lvl w:ilvl="2">
      <w:start w:val="1"/>
      <w:numFmt w:val="decimal"/>
      <w:lvlText w:val="%1.%2.%3"/>
      <w:lvlJc w:val="left"/>
      <w:pPr>
        <w:ind w:left="720" w:hanging="720"/>
      </w:pPr>
      <w:rPr>
        <w:rFonts w:ascii="Times New Roman" w:hAnsi="Times New Roman" w:hint="default"/>
        <w:b/>
        <w:sz w:val="24"/>
      </w:rPr>
    </w:lvl>
    <w:lvl w:ilvl="3">
      <w:start w:val="1"/>
      <w:numFmt w:val="none"/>
      <w:lvlText w:val="(i)"/>
      <w:lvlJc w:val="left"/>
      <w:pPr>
        <w:ind w:left="864" w:hanging="864"/>
      </w:pPr>
      <w:rPr>
        <w:rFonts w:ascii="Times New Roman" w:hAnsi="Times New Roman" w:hint="default"/>
        <w:b/>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4AE76CE"/>
    <w:multiLevelType w:val="hybridMultilevel"/>
    <w:tmpl w:val="04CC8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7229889">
    <w:abstractNumId w:val="9"/>
  </w:num>
  <w:num w:numId="2" w16cid:durableId="1298995974">
    <w:abstractNumId w:val="7"/>
  </w:num>
  <w:num w:numId="3" w16cid:durableId="21135277">
    <w:abstractNumId w:val="6"/>
  </w:num>
  <w:num w:numId="4" w16cid:durableId="221598986">
    <w:abstractNumId w:val="5"/>
  </w:num>
  <w:num w:numId="5" w16cid:durableId="1626085855">
    <w:abstractNumId w:val="4"/>
  </w:num>
  <w:num w:numId="6" w16cid:durableId="1702708898">
    <w:abstractNumId w:val="8"/>
  </w:num>
  <w:num w:numId="7" w16cid:durableId="460685209">
    <w:abstractNumId w:val="3"/>
  </w:num>
  <w:num w:numId="8" w16cid:durableId="475534505">
    <w:abstractNumId w:val="2"/>
  </w:num>
  <w:num w:numId="9" w16cid:durableId="803540480">
    <w:abstractNumId w:val="1"/>
  </w:num>
  <w:num w:numId="10" w16cid:durableId="1243486789">
    <w:abstractNumId w:val="0"/>
  </w:num>
  <w:num w:numId="11" w16cid:durableId="485129794">
    <w:abstractNumId w:val="26"/>
  </w:num>
  <w:num w:numId="12" w16cid:durableId="452482266">
    <w:abstractNumId w:val="23"/>
  </w:num>
  <w:num w:numId="13" w16cid:durableId="140539375">
    <w:abstractNumId w:val="30"/>
  </w:num>
  <w:num w:numId="14" w16cid:durableId="1844084712">
    <w:abstractNumId w:val="17"/>
  </w:num>
  <w:num w:numId="15" w16cid:durableId="862473550">
    <w:abstractNumId w:val="12"/>
  </w:num>
  <w:num w:numId="16" w16cid:durableId="465203456">
    <w:abstractNumId w:val="15"/>
  </w:num>
  <w:num w:numId="17" w16cid:durableId="1436704971">
    <w:abstractNumId w:val="29"/>
  </w:num>
  <w:num w:numId="18" w16cid:durableId="185219625">
    <w:abstractNumId w:val="33"/>
  </w:num>
  <w:num w:numId="19" w16cid:durableId="1677072672">
    <w:abstractNumId w:val="31"/>
  </w:num>
  <w:num w:numId="20" w16cid:durableId="990060908">
    <w:abstractNumId w:val="19"/>
  </w:num>
  <w:num w:numId="21" w16cid:durableId="1492869919">
    <w:abstractNumId w:val="34"/>
  </w:num>
  <w:num w:numId="22" w16cid:durableId="804003959">
    <w:abstractNumId w:val="16"/>
  </w:num>
  <w:num w:numId="23" w16cid:durableId="2073504877">
    <w:abstractNumId w:val="13"/>
  </w:num>
  <w:num w:numId="24" w16cid:durableId="1515923777">
    <w:abstractNumId w:val="22"/>
  </w:num>
  <w:num w:numId="25" w16cid:durableId="295456796">
    <w:abstractNumId w:val="20"/>
  </w:num>
  <w:num w:numId="26" w16cid:durableId="544676467">
    <w:abstractNumId w:val="28"/>
  </w:num>
  <w:num w:numId="27" w16cid:durableId="1557660607">
    <w:abstractNumId w:val="11"/>
  </w:num>
  <w:num w:numId="28" w16cid:durableId="1292857293">
    <w:abstractNumId w:val="32"/>
  </w:num>
  <w:num w:numId="29" w16cid:durableId="1138182898">
    <w:abstractNumId w:val="24"/>
  </w:num>
  <w:num w:numId="30" w16cid:durableId="1675843073">
    <w:abstractNumId w:val="25"/>
  </w:num>
  <w:num w:numId="31" w16cid:durableId="810485013">
    <w:abstractNumId w:val="18"/>
  </w:num>
  <w:num w:numId="32" w16cid:durableId="124587979">
    <w:abstractNumId w:val="14"/>
  </w:num>
  <w:num w:numId="33" w16cid:durableId="2116633143">
    <w:abstractNumId w:val="27"/>
  </w:num>
  <w:num w:numId="34" w16cid:durableId="1922250177">
    <w:abstractNumId w:val="21"/>
  </w:num>
  <w:num w:numId="35" w16cid:durableId="1450658063">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M0MTcxtzA0NTUwMTNX0lEKTi0uzszPAykwtKwFAGFMyZ8tAAAA"/>
  </w:docVars>
  <w:rsids>
    <w:rsidRoot w:val="005960A5"/>
    <w:rsid w:val="00000F16"/>
    <w:rsid w:val="00001571"/>
    <w:rsid w:val="00001C55"/>
    <w:rsid w:val="000040F9"/>
    <w:rsid w:val="000046D5"/>
    <w:rsid w:val="00004B80"/>
    <w:rsid w:val="0000500D"/>
    <w:rsid w:val="00005B47"/>
    <w:rsid w:val="00011BB7"/>
    <w:rsid w:val="0001214D"/>
    <w:rsid w:val="000127CD"/>
    <w:rsid w:val="00012C6E"/>
    <w:rsid w:val="00014198"/>
    <w:rsid w:val="000145CA"/>
    <w:rsid w:val="00014740"/>
    <w:rsid w:val="00014B4C"/>
    <w:rsid w:val="000155BA"/>
    <w:rsid w:val="0001583F"/>
    <w:rsid w:val="000172CC"/>
    <w:rsid w:val="00020EB0"/>
    <w:rsid w:val="000212B8"/>
    <w:rsid w:val="00023F17"/>
    <w:rsid w:val="00025389"/>
    <w:rsid w:val="0002538C"/>
    <w:rsid w:val="00025958"/>
    <w:rsid w:val="000259E6"/>
    <w:rsid w:val="0002689C"/>
    <w:rsid w:val="00027355"/>
    <w:rsid w:val="000276DE"/>
    <w:rsid w:val="00030790"/>
    <w:rsid w:val="0003140E"/>
    <w:rsid w:val="000317E0"/>
    <w:rsid w:val="000318EF"/>
    <w:rsid w:val="00031BAB"/>
    <w:rsid w:val="00032C28"/>
    <w:rsid w:val="000335EA"/>
    <w:rsid w:val="0003413E"/>
    <w:rsid w:val="000356C6"/>
    <w:rsid w:val="00035A20"/>
    <w:rsid w:val="00035B64"/>
    <w:rsid w:val="00035C02"/>
    <w:rsid w:val="00035D79"/>
    <w:rsid w:val="000360AA"/>
    <w:rsid w:val="000373F4"/>
    <w:rsid w:val="00037600"/>
    <w:rsid w:val="000403F3"/>
    <w:rsid w:val="0004161D"/>
    <w:rsid w:val="00042FE8"/>
    <w:rsid w:val="0004498A"/>
    <w:rsid w:val="00047D16"/>
    <w:rsid w:val="0005027B"/>
    <w:rsid w:val="0005031D"/>
    <w:rsid w:val="00050596"/>
    <w:rsid w:val="00050762"/>
    <w:rsid w:val="00050AF3"/>
    <w:rsid w:val="00051592"/>
    <w:rsid w:val="00051B4C"/>
    <w:rsid w:val="0005375A"/>
    <w:rsid w:val="0005419A"/>
    <w:rsid w:val="0005462C"/>
    <w:rsid w:val="00056BFC"/>
    <w:rsid w:val="00060263"/>
    <w:rsid w:val="0006068E"/>
    <w:rsid w:val="00061376"/>
    <w:rsid w:val="0006164C"/>
    <w:rsid w:val="00062F04"/>
    <w:rsid w:val="00063F53"/>
    <w:rsid w:val="00064FCD"/>
    <w:rsid w:val="00066257"/>
    <w:rsid w:val="00067142"/>
    <w:rsid w:val="000671B3"/>
    <w:rsid w:val="00070876"/>
    <w:rsid w:val="00070FDC"/>
    <w:rsid w:val="00072848"/>
    <w:rsid w:val="00073ED0"/>
    <w:rsid w:val="00073F36"/>
    <w:rsid w:val="00074722"/>
    <w:rsid w:val="000749F8"/>
    <w:rsid w:val="00074B83"/>
    <w:rsid w:val="00074E06"/>
    <w:rsid w:val="000758D7"/>
    <w:rsid w:val="00075AB5"/>
    <w:rsid w:val="000760DD"/>
    <w:rsid w:val="000769A9"/>
    <w:rsid w:val="00080997"/>
    <w:rsid w:val="00081CF7"/>
    <w:rsid w:val="0008228B"/>
    <w:rsid w:val="000831B2"/>
    <w:rsid w:val="000831DC"/>
    <w:rsid w:val="0008340D"/>
    <w:rsid w:val="000845E8"/>
    <w:rsid w:val="00084A07"/>
    <w:rsid w:val="000903A2"/>
    <w:rsid w:val="00090838"/>
    <w:rsid w:val="000910DF"/>
    <w:rsid w:val="00091105"/>
    <w:rsid w:val="00091563"/>
    <w:rsid w:val="00091A18"/>
    <w:rsid w:val="00091F9D"/>
    <w:rsid w:val="0009286C"/>
    <w:rsid w:val="0009293E"/>
    <w:rsid w:val="0009431C"/>
    <w:rsid w:val="000943E9"/>
    <w:rsid w:val="00094C77"/>
    <w:rsid w:val="00095050"/>
    <w:rsid w:val="0009665D"/>
    <w:rsid w:val="00097599"/>
    <w:rsid w:val="000A2416"/>
    <w:rsid w:val="000A38AA"/>
    <w:rsid w:val="000A45BF"/>
    <w:rsid w:val="000A6C7F"/>
    <w:rsid w:val="000A6DA0"/>
    <w:rsid w:val="000B075F"/>
    <w:rsid w:val="000B1DD9"/>
    <w:rsid w:val="000B394E"/>
    <w:rsid w:val="000B4A0F"/>
    <w:rsid w:val="000B57C2"/>
    <w:rsid w:val="000B5F75"/>
    <w:rsid w:val="000B6B8D"/>
    <w:rsid w:val="000B6F87"/>
    <w:rsid w:val="000C0480"/>
    <w:rsid w:val="000C12C6"/>
    <w:rsid w:val="000C12EE"/>
    <w:rsid w:val="000C3FE3"/>
    <w:rsid w:val="000C5B65"/>
    <w:rsid w:val="000C664E"/>
    <w:rsid w:val="000C74EF"/>
    <w:rsid w:val="000C7987"/>
    <w:rsid w:val="000D39E8"/>
    <w:rsid w:val="000D46E9"/>
    <w:rsid w:val="000D4B01"/>
    <w:rsid w:val="000D4CF1"/>
    <w:rsid w:val="000D4EC3"/>
    <w:rsid w:val="000D71E9"/>
    <w:rsid w:val="000D7765"/>
    <w:rsid w:val="000E0972"/>
    <w:rsid w:val="000E187F"/>
    <w:rsid w:val="000E27C0"/>
    <w:rsid w:val="000E31D1"/>
    <w:rsid w:val="000E4DF8"/>
    <w:rsid w:val="000E7F3E"/>
    <w:rsid w:val="000F2DFA"/>
    <w:rsid w:val="000F361B"/>
    <w:rsid w:val="000F3711"/>
    <w:rsid w:val="000F7B2E"/>
    <w:rsid w:val="000F7B36"/>
    <w:rsid w:val="00100B66"/>
    <w:rsid w:val="0010155B"/>
    <w:rsid w:val="00101CE1"/>
    <w:rsid w:val="00101F13"/>
    <w:rsid w:val="001028AE"/>
    <w:rsid w:val="00102C17"/>
    <w:rsid w:val="001030F9"/>
    <w:rsid w:val="001036C5"/>
    <w:rsid w:val="00104086"/>
    <w:rsid w:val="00107D45"/>
    <w:rsid w:val="00111C47"/>
    <w:rsid w:val="00112306"/>
    <w:rsid w:val="0011345A"/>
    <w:rsid w:val="0011418D"/>
    <w:rsid w:val="001147DA"/>
    <w:rsid w:val="001151B8"/>
    <w:rsid w:val="00115523"/>
    <w:rsid w:val="00115952"/>
    <w:rsid w:val="0012052E"/>
    <w:rsid w:val="00120755"/>
    <w:rsid w:val="0012086E"/>
    <w:rsid w:val="001221EF"/>
    <w:rsid w:val="001229AD"/>
    <w:rsid w:val="00123A6A"/>
    <w:rsid w:val="0012464D"/>
    <w:rsid w:val="00124887"/>
    <w:rsid w:val="001248FA"/>
    <w:rsid w:val="0012585D"/>
    <w:rsid w:val="001258AB"/>
    <w:rsid w:val="00127D08"/>
    <w:rsid w:val="00132C3E"/>
    <w:rsid w:val="00134B76"/>
    <w:rsid w:val="00135659"/>
    <w:rsid w:val="001357AA"/>
    <w:rsid w:val="00135826"/>
    <w:rsid w:val="00135ED6"/>
    <w:rsid w:val="0013608A"/>
    <w:rsid w:val="00137769"/>
    <w:rsid w:val="001417C5"/>
    <w:rsid w:val="00141E71"/>
    <w:rsid w:val="001423E7"/>
    <w:rsid w:val="001426A7"/>
    <w:rsid w:val="00145ED2"/>
    <w:rsid w:val="00147E11"/>
    <w:rsid w:val="00151249"/>
    <w:rsid w:val="00151E4D"/>
    <w:rsid w:val="001529B2"/>
    <w:rsid w:val="00153913"/>
    <w:rsid w:val="001556A9"/>
    <w:rsid w:val="00156C44"/>
    <w:rsid w:val="00156CAB"/>
    <w:rsid w:val="001603E7"/>
    <w:rsid w:val="0016316A"/>
    <w:rsid w:val="0016332B"/>
    <w:rsid w:val="001633DC"/>
    <w:rsid w:val="00163FBF"/>
    <w:rsid w:val="001646C7"/>
    <w:rsid w:val="001653FA"/>
    <w:rsid w:val="00165752"/>
    <w:rsid w:val="001661F8"/>
    <w:rsid w:val="00167B05"/>
    <w:rsid w:val="00167EAB"/>
    <w:rsid w:val="001702F9"/>
    <w:rsid w:val="001712DC"/>
    <w:rsid w:val="001714DA"/>
    <w:rsid w:val="00171546"/>
    <w:rsid w:val="00171661"/>
    <w:rsid w:val="00171A6C"/>
    <w:rsid w:val="00173BF9"/>
    <w:rsid w:val="00173C3E"/>
    <w:rsid w:val="00173FB8"/>
    <w:rsid w:val="00174887"/>
    <w:rsid w:val="00174C35"/>
    <w:rsid w:val="00175B10"/>
    <w:rsid w:val="00176D55"/>
    <w:rsid w:val="001813F7"/>
    <w:rsid w:val="001814B3"/>
    <w:rsid w:val="001820EE"/>
    <w:rsid w:val="0018213F"/>
    <w:rsid w:val="00182244"/>
    <w:rsid w:val="001829EE"/>
    <w:rsid w:val="00183122"/>
    <w:rsid w:val="001852C6"/>
    <w:rsid w:val="00185A34"/>
    <w:rsid w:val="00185C03"/>
    <w:rsid w:val="001876F8"/>
    <w:rsid w:val="00192486"/>
    <w:rsid w:val="00192FB6"/>
    <w:rsid w:val="00194B4F"/>
    <w:rsid w:val="00195507"/>
    <w:rsid w:val="00195613"/>
    <w:rsid w:val="0019602E"/>
    <w:rsid w:val="0019739E"/>
    <w:rsid w:val="00197FA5"/>
    <w:rsid w:val="001A03A1"/>
    <w:rsid w:val="001A1535"/>
    <w:rsid w:val="001A4643"/>
    <w:rsid w:val="001A6192"/>
    <w:rsid w:val="001A7901"/>
    <w:rsid w:val="001B0389"/>
    <w:rsid w:val="001B0F00"/>
    <w:rsid w:val="001B10E8"/>
    <w:rsid w:val="001B1AC8"/>
    <w:rsid w:val="001B284E"/>
    <w:rsid w:val="001B2E76"/>
    <w:rsid w:val="001B3DAC"/>
    <w:rsid w:val="001B3FEB"/>
    <w:rsid w:val="001B569C"/>
    <w:rsid w:val="001B5DEF"/>
    <w:rsid w:val="001B68E4"/>
    <w:rsid w:val="001B78B3"/>
    <w:rsid w:val="001B7A40"/>
    <w:rsid w:val="001C041C"/>
    <w:rsid w:val="001C0EA7"/>
    <w:rsid w:val="001C1992"/>
    <w:rsid w:val="001C33B3"/>
    <w:rsid w:val="001C33FE"/>
    <w:rsid w:val="001C3DD0"/>
    <w:rsid w:val="001C4225"/>
    <w:rsid w:val="001C42E3"/>
    <w:rsid w:val="001C5C90"/>
    <w:rsid w:val="001C619D"/>
    <w:rsid w:val="001C78D1"/>
    <w:rsid w:val="001D2FBB"/>
    <w:rsid w:val="001D45C6"/>
    <w:rsid w:val="001D67D3"/>
    <w:rsid w:val="001E01D5"/>
    <w:rsid w:val="001E134C"/>
    <w:rsid w:val="001E2835"/>
    <w:rsid w:val="001E7711"/>
    <w:rsid w:val="001F1130"/>
    <w:rsid w:val="001F17C5"/>
    <w:rsid w:val="001F1830"/>
    <w:rsid w:val="001F25E2"/>
    <w:rsid w:val="001F28D6"/>
    <w:rsid w:val="001F2D9B"/>
    <w:rsid w:val="001F3708"/>
    <w:rsid w:val="001F3CEE"/>
    <w:rsid w:val="001F4146"/>
    <w:rsid w:val="001F476F"/>
    <w:rsid w:val="001F484B"/>
    <w:rsid w:val="001F4EAE"/>
    <w:rsid w:val="001F5740"/>
    <w:rsid w:val="002001A2"/>
    <w:rsid w:val="00201277"/>
    <w:rsid w:val="00201411"/>
    <w:rsid w:val="00203839"/>
    <w:rsid w:val="002038C6"/>
    <w:rsid w:val="00203F38"/>
    <w:rsid w:val="002048D5"/>
    <w:rsid w:val="0020594A"/>
    <w:rsid w:val="00205EE9"/>
    <w:rsid w:val="00206DFA"/>
    <w:rsid w:val="00207040"/>
    <w:rsid w:val="00207111"/>
    <w:rsid w:val="0021023B"/>
    <w:rsid w:val="002105B9"/>
    <w:rsid w:val="00210A56"/>
    <w:rsid w:val="002118EC"/>
    <w:rsid w:val="00214D81"/>
    <w:rsid w:val="00217179"/>
    <w:rsid w:val="00221E71"/>
    <w:rsid w:val="00223EA0"/>
    <w:rsid w:val="00224617"/>
    <w:rsid w:val="00224633"/>
    <w:rsid w:val="002278B4"/>
    <w:rsid w:val="00230BB9"/>
    <w:rsid w:val="00231FC4"/>
    <w:rsid w:val="00232575"/>
    <w:rsid w:val="00232635"/>
    <w:rsid w:val="00232809"/>
    <w:rsid w:val="00233E9E"/>
    <w:rsid w:val="0023672C"/>
    <w:rsid w:val="00237113"/>
    <w:rsid w:val="00237245"/>
    <w:rsid w:val="00237955"/>
    <w:rsid w:val="00237CA9"/>
    <w:rsid w:val="00237ED2"/>
    <w:rsid w:val="002406C6"/>
    <w:rsid w:val="00240B52"/>
    <w:rsid w:val="00240DC5"/>
    <w:rsid w:val="00241031"/>
    <w:rsid w:val="002424C9"/>
    <w:rsid w:val="00243C65"/>
    <w:rsid w:val="0024408F"/>
    <w:rsid w:val="002463D3"/>
    <w:rsid w:val="0024647F"/>
    <w:rsid w:val="00246A0A"/>
    <w:rsid w:val="00246D2B"/>
    <w:rsid w:val="00246EA8"/>
    <w:rsid w:val="002475EC"/>
    <w:rsid w:val="00247EAE"/>
    <w:rsid w:val="00250E2B"/>
    <w:rsid w:val="0025164F"/>
    <w:rsid w:val="00251E32"/>
    <w:rsid w:val="00252AC3"/>
    <w:rsid w:val="00252C4F"/>
    <w:rsid w:val="0025532D"/>
    <w:rsid w:val="002554A0"/>
    <w:rsid w:val="00255879"/>
    <w:rsid w:val="00256727"/>
    <w:rsid w:val="002576AA"/>
    <w:rsid w:val="00257BF1"/>
    <w:rsid w:val="00257E68"/>
    <w:rsid w:val="0026162D"/>
    <w:rsid w:val="002628B4"/>
    <w:rsid w:val="00265B9A"/>
    <w:rsid w:val="002668B3"/>
    <w:rsid w:val="00266E3F"/>
    <w:rsid w:val="002677F5"/>
    <w:rsid w:val="002705CA"/>
    <w:rsid w:val="00270883"/>
    <w:rsid w:val="00271BF3"/>
    <w:rsid w:val="00272CCF"/>
    <w:rsid w:val="0027401E"/>
    <w:rsid w:val="002741C8"/>
    <w:rsid w:val="00274FBD"/>
    <w:rsid w:val="002756AC"/>
    <w:rsid w:val="002757F4"/>
    <w:rsid w:val="002759BD"/>
    <w:rsid w:val="00275C8B"/>
    <w:rsid w:val="00281723"/>
    <w:rsid w:val="00281DAD"/>
    <w:rsid w:val="00282187"/>
    <w:rsid w:val="002837B8"/>
    <w:rsid w:val="00283BC5"/>
    <w:rsid w:val="00283E27"/>
    <w:rsid w:val="00284F14"/>
    <w:rsid w:val="0028516D"/>
    <w:rsid w:val="00285787"/>
    <w:rsid w:val="00285A93"/>
    <w:rsid w:val="00285D13"/>
    <w:rsid w:val="00286FD3"/>
    <w:rsid w:val="00287805"/>
    <w:rsid w:val="00287A57"/>
    <w:rsid w:val="002909EC"/>
    <w:rsid w:val="002918EB"/>
    <w:rsid w:val="00291CE5"/>
    <w:rsid w:val="00292630"/>
    <w:rsid w:val="002931B4"/>
    <w:rsid w:val="00294200"/>
    <w:rsid w:val="00294700"/>
    <w:rsid w:val="00295FD7"/>
    <w:rsid w:val="0029622F"/>
    <w:rsid w:val="002964C0"/>
    <w:rsid w:val="00296B58"/>
    <w:rsid w:val="0029702C"/>
    <w:rsid w:val="0029718E"/>
    <w:rsid w:val="002A038C"/>
    <w:rsid w:val="002A041C"/>
    <w:rsid w:val="002A189C"/>
    <w:rsid w:val="002A1FAD"/>
    <w:rsid w:val="002A2E11"/>
    <w:rsid w:val="002A376D"/>
    <w:rsid w:val="002A3D00"/>
    <w:rsid w:val="002A58A9"/>
    <w:rsid w:val="002B1E7A"/>
    <w:rsid w:val="002B433B"/>
    <w:rsid w:val="002B481D"/>
    <w:rsid w:val="002B5B2B"/>
    <w:rsid w:val="002B74F6"/>
    <w:rsid w:val="002B79F0"/>
    <w:rsid w:val="002C017F"/>
    <w:rsid w:val="002C0D4C"/>
    <w:rsid w:val="002C19D0"/>
    <w:rsid w:val="002C1A58"/>
    <w:rsid w:val="002C24D4"/>
    <w:rsid w:val="002C39DB"/>
    <w:rsid w:val="002C3D98"/>
    <w:rsid w:val="002C7E2A"/>
    <w:rsid w:val="002C7EFD"/>
    <w:rsid w:val="002D034F"/>
    <w:rsid w:val="002D04A8"/>
    <w:rsid w:val="002D052B"/>
    <w:rsid w:val="002D1D93"/>
    <w:rsid w:val="002D5CC3"/>
    <w:rsid w:val="002D62A0"/>
    <w:rsid w:val="002D6DD8"/>
    <w:rsid w:val="002D73D8"/>
    <w:rsid w:val="002D785B"/>
    <w:rsid w:val="002D78F7"/>
    <w:rsid w:val="002E1698"/>
    <w:rsid w:val="002E213F"/>
    <w:rsid w:val="002E4409"/>
    <w:rsid w:val="002E45F3"/>
    <w:rsid w:val="002E4A3C"/>
    <w:rsid w:val="002E70AF"/>
    <w:rsid w:val="002E7AFC"/>
    <w:rsid w:val="002E7B74"/>
    <w:rsid w:val="002F091C"/>
    <w:rsid w:val="002F1EA2"/>
    <w:rsid w:val="002F2510"/>
    <w:rsid w:val="002F2959"/>
    <w:rsid w:val="002F2C99"/>
    <w:rsid w:val="002F2F10"/>
    <w:rsid w:val="002F4A65"/>
    <w:rsid w:val="002F5BC4"/>
    <w:rsid w:val="002F7003"/>
    <w:rsid w:val="002F7E96"/>
    <w:rsid w:val="00300177"/>
    <w:rsid w:val="00300359"/>
    <w:rsid w:val="003008CF"/>
    <w:rsid w:val="00300DDE"/>
    <w:rsid w:val="003020B7"/>
    <w:rsid w:val="00302C96"/>
    <w:rsid w:val="003040E8"/>
    <w:rsid w:val="00306FF5"/>
    <w:rsid w:val="003105EC"/>
    <w:rsid w:val="003107D1"/>
    <w:rsid w:val="00310F4F"/>
    <w:rsid w:val="003111A4"/>
    <w:rsid w:val="00311483"/>
    <w:rsid w:val="00311924"/>
    <w:rsid w:val="00312877"/>
    <w:rsid w:val="00313281"/>
    <w:rsid w:val="00314A2C"/>
    <w:rsid w:val="00315724"/>
    <w:rsid w:val="0031627A"/>
    <w:rsid w:val="003167DD"/>
    <w:rsid w:val="003175AB"/>
    <w:rsid w:val="00317D73"/>
    <w:rsid w:val="0032061C"/>
    <w:rsid w:val="0032162F"/>
    <w:rsid w:val="00321A99"/>
    <w:rsid w:val="00323407"/>
    <w:rsid w:val="00323599"/>
    <w:rsid w:val="00323D02"/>
    <w:rsid w:val="0032481C"/>
    <w:rsid w:val="00324A69"/>
    <w:rsid w:val="003255CB"/>
    <w:rsid w:val="00325BE9"/>
    <w:rsid w:val="00326715"/>
    <w:rsid w:val="003271D8"/>
    <w:rsid w:val="0033061C"/>
    <w:rsid w:val="003309D5"/>
    <w:rsid w:val="0033320C"/>
    <w:rsid w:val="00334044"/>
    <w:rsid w:val="00334989"/>
    <w:rsid w:val="00340CF6"/>
    <w:rsid w:val="00341B1E"/>
    <w:rsid w:val="00342ED6"/>
    <w:rsid w:val="0034309F"/>
    <w:rsid w:val="00343729"/>
    <w:rsid w:val="003445FB"/>
    <w:rsid w:val="00344E88"/>
    <w:rsid w:val="00345B07"/>
    <w:rsid w:val="003471BD"/>
    <w:rsid w:val="0034773C"/>
    <w:rsid w:val="003503DC"/>
    <w:rsid w:val="003507BC"/>
    <w:rsid w:val="003514B5"/>
    <w:rsid w:val="003522DB"/>
    <w:rsid w:val="003538E8"/>
    <w:rsid w:val="00353EAC"/>
    <w:rsid w:val="003545D4"/>
    <w:rsid w:val="0035574A"/>
    <w:rsid w:val="0035686D"/>
    <w:rsid w:val="00356BCB"/>
    <w:rsid w:val="003575CB"/>
    <w:rsid w:val="00357748"/>
    <w:rsid w:val="00361AAC"/>
    <w:rsid w:val="0036213A"/>
    <w:rsid w:val="003626C5"/>
    <w:rsid w:val="00362796"/>
    <w:rsid w:val="00362D59"/>
    <w:rsid w:val="00362E21"/>
    <w:rsid w:val="00365170"/>
    <w:rsid w:val="0036588E"/>
    <w:rsid w:val="003668F3"/>
    <w:rsid w:val="00371006"/>
    <w:rsid w:val="003718AC"/>
    <w:rsid w:val="00373683"/>
    <w:rsid w:val="0037375E"/>
    <w:rsid w:val="0037385B"/>
    <w:rsid w:val="00373886"/>
    <w:rsid w:val="00373D8F"/>
    <w:rsid w:val="00374078"/>
    <w:rsid w:val="003747D4"/>
    <w:rsid w:val="00375757"/>
    <w:rsid w:val="00376380"/>
    <w:rsid w:val="00376C35"/>
    <w:rsid w:val="00376CDF"/>
    <w:rsid w:val="0038094E"/>
    <w:rsid w:val="00380B5A"/>
    <w:rsid w:val="00380F8E"/>
    <w:rsid w:val="00381435"/>
    <w:rsid w:val="003815B9"/>
    <w:rsid w:val="0038316F"/>
    <w:rsid w:val="00383319"/>
    <w:rsid w:val="003834FE"/>
    <w:rsid w:val="00385CA0"/>
    <w:rsid w:val="00386236"/>
    <w:rsid w:val="003866D1"/>
    <w:rsid w:val="00387A78"/>
    <w:rsid w:val="003904ED"/>
    <w:rsid w:val="003912EE"/>
    <w:rsid w:val="00392107"/>
    <w:rsid w:val="0039224D"/>
    <w:rsid w:val="0039335A"/>
    <w:rsid w:val="00395C1E"/>
    <w:rsid w:val="0039700E"/>
    <w:rsid w:val="00397296"/>
    <w:rsid w:val="00397DAB"/>
    <w:rsid w:val="003A0209"/>
    <w:rsid w:val="003A1FCC"/>
    <w:rsid w:val="003A2045"/>
    <w:rsid w:val="003A251F"/>
    <w:rsid w:val="003A2926"/>
    <w:rsid w:val="003A2D76"/>
    <w:rsid w:val="003A3971"/>
    <w:rsid w:val="003A4982"/>
    <w:rsid w:val="003A4EAD"/>
    <w:rsid w:val="003A5A03"/>
    <w:rsid w:val="003A6825"/>
    <w:rsid w:val="003A7BA6"/>
    <w:rsid w:val="003B027B"/>
    <w:rsid w:val="003B1F7A"/>
    <w:rsid w:val="003B2072"/>
    <w:rsid w:val="003B3029"/>
    <w:rsid w:val="003B321C"/>
    <w:rsid w:val="003B391E"/>
    <w:rsid w:val="003B58F8"/>
    <w:rsid w:val="003B7837"/>
    <w:rsid w:val="003C07FC"/>
    <w:rsid w:val="003C1AE5"/>
    <w:rsid w:val="003C3CB6"/>
    <w:rsid w:val="003C4CA7"/>
    <w:rsid w:val="003C5106"/>
    <w:rsid w:val="003C562A"/>
    <w:rsid w:val="003C5D81"/>
    <w:rsid w:val="003C5EB3"/>
    <w:rsid w:val="003C6F27"/>
    <w:rsid w:val="003C7052"/>
    <w:rsid w:val="003C79AE"/>
    <w:rsid w:val="003D1BC8"/>
    <w:rsid w:val="003D20E0"/>
    <w:rsid w:val="003D2575"/>
    <w:rsid w:val="003D27A7"/>
    <w:rsid w:val="003D37DF"/>
    <w:rsid w:val="003D3EFD"/>
    <w:rsid w:val="003D4CB1"/>
    <w:rsid w:val="003D55FE"/>
    <w:rsid w:val="003E0D23"/>
    <w:rsid w:val="003E1D2B"/>
    <w:rsid w:val="003E354E"/>
    <w:rsid w:val="003E359B"/>
    <w:rsid w:val="003E36C4"/>
    <w:rsid w:val="003E40E9"/>
    <w:rsid w:val="003E59E3"/>
    <w:rsid w:val="003F0AE2"/>
    <w:rsid w:val="003F19BE"/>
    <w:rsid w:val="003F1A32"/>
    <w:rsid w:val="003F231C"/>
    <w:rsid w:val="003F3D77"/>
    <w:rsid w:val="003F6411"/>
    <w:rsid w:val="003F65DE"/>
    <w:rsid w:val="003F7344"/>
    <w:rsid w:val="004001A9"/>
    <w:rsid w:val="00400501"/>
    <w:rsid w:val="00400747"/>
    <w:rsid w:val="00400B59"/>
    <w:rsid w:val="0040133A"/>
    <w:rsid w:val="0040290F"/>
    <w:rsid w:val="00402954"/>
    <w:rsid w:val="00402D8E"/>
    <w:rsid w:val="00403AFA"/>
    <w:rsid w:val="00404A7F"/>
    <w:rsid w:val="004066C1"/>
    <w:rsid w:val="00406B08"/>
    <w:rsid w:val="00406DDD"/>
    <w:rsid w:val="00407523"/>
    <w:rsid w:val="004105E5"/>
    <w:rsid w:val="00411516"/>
    <w:rsid w:val="00411853"/>
    <w:rsid w:val="0041235F"/>
    <w:rsid w:val="0041445D"/>
    <w:rsid w:val="00415BB4"/>
    <w:rsid w:val="00416BC9"/>
    <w:rsid w:val="00416E0A"/>
    <w:rsid w:val="00416FB9"/>
    <w:rsid w:val="00417433"/>
    <w:rsid w:val="00420088"/>
    <w:rsid w:val="00420F2E"/>
    <w:rsid w:val="0042141E"/>
    <w:rsid w:val="004236D6"/>
    <w:rsid w:val="00423FDA"/>
    <w:rsid w:val="004262A3"/>
    <w:rsid w:val="00426D34"/>
    <w:rsid w:val="00426FA3"/>
    <w:rsid w:val="0043160E"/>
    <w:rsid w:val="00431C81"/>
    <w:rsid w:val="00431DCA"/>
    <w:rsid w:val="0043350D"/>
    <w:rsid w:val="004355C7"/>
    <w:rsid w:val="00436681"/>
    <w:rsid w:val="00437787"/>
    <w:rsid w:val="00437A68"/>
    <w:rsid w:val="00440D45"/>
    <w:rsid w:val="004411E1"/>
    <w:rsid w:val="004428A6"/>
    <w:rsid w:val="00444FB4"/>
    <w:rsid w:val="00446ECB"/>
    <w:rsid w:val="004474B0"/>
    <w:rsid w:val="0044777E"/>
    <w:rsid w:val="00447BC2"/>
    <w:rsid w:val="00450C49"/>
    <w:rsid w:val="00451B9C"/>
    <w:rsid w:val="00452A1D"/>
    <w:rsid w:val="00452DA6"/>
    <w:rsid w:val="00455290"/>
    <w:rsid w:val="004570DB"/>
    <w:rsid w:val="00460E15"/>
    <w:rsid w:val="004615BF"/>
    <w:rsid w:val="00463A8E"/>
    <w:rsid w:val="00463AAA"/>
    <w:rsid w:val="00463B37"/>
    <w:rsid w:val="00464185"/>
    <w:rsid w:val="00465A8D"/>
    <w:rsid w:val="00467435"/>
    <w:rsid w:val="004676C2"/>
    <w:rsid w:val="00471D48"/>
    <w:rsid w:val="00472C4B"/>
    <w:rsid w:val="0047356C"/>
    <w:rsid w:val="00473F20"/>
    <w:rsid w:val="00474760"/>
    <w:rsid w:val="00475A1B"/>
    <w:rsid w:val="00475F49"/>
    <w:rsid w:val="004774EB"/>
    <w:rsid w:val="004801FE"/>
    <w:rsid w:val="004811CE"/>
    <w:rsid w:val="004819FE"/>
    <w:rsid w:val="0048207E"/>
    <w:rsid w:val="00482617"/>
    <w:rsid w:val="0049120E"/>
    <w:rsid w:val="00491BD7"/>
    <w:rsid w:val="004942B6"/>
    <w:rsid w:val="00494FF2"/>
    <w:rsid w:val="004954C5"/>
    <w:rsid w:val="00496725"/>
    <w:rsid w:val="00497261"/>
    <w:rsid w:val="0049768D"/>
    <w:rsid w:val="004A02B1"/>
    <w:rsid w:val="004A118B"/>
    <w:rsid w:val="004A16B6"/>
    <w:rsid w:val="004A214D"/>
    <w:rsid w:val="004A2250"/>
    <w:rsid w:val="004A2405"/>
    <w:rsid w:val="004A2DCA"/>
    <w:rsid w:val="004A33F1"/>
    <w:rsid w:val="004A3C5F"/>
    <w:rsid w:val="004A3D82"/>
    <w:rsid w:val="004A4AE2"/>
    <w:rsid w:val="004A4F6F"/>
    <w:rsid w:val="004A69AA"/>
    <w:rsid w:val="004B458A"/>
    <w:rsid w:val="004B51F5"/>
    <w:rsid w:val="004B5D04"/>
    <w:rsid w:val="004B6D98"/>
    <w:rsid w:val="004B6E02"/>
    <w:rsid w:val="004C04A8"/>
    <w:rsid w:val="004C09E9"/>
    <w:rsid w:val="004C233F"/>
    <w:rsid w:val="004C2F8E"/>
    <w:rsid w:val="004C3A03"/>
    <w:rsid w:val="004C4810"/>
    <w:rsid w:val="004C758C"/>
    <w:rsid w:val="004D18C0"/>
    <w:rsid w:val="004D27DB"/>
    <w:rsid w:val="004D3D81"/>
    <w:rsid w:val="004D46F8"/>
    <w:rsid w:val="004D5ECF"/>
    <w:rsid w:val="004E18CF"/>
    <w:rsid w:val="004E1A61"/>
    <w:rsid w:val="004E2436"/>
    <w:rsid w:val="004E2F22"/>
    <w:rsid w:val="004E3535"/>
    <w:rsid w:val="004E3FD6"/>
    <w:rsid w:val="004E49F3"/>
    <w:rsid w:val="004E5E6B"/>
    <w:rsid w:val="004E6513"/>
    <w:rsid w:val="004E6741"/>
    <w:rsid w:val="004E6B42"/>
    <w:rsid w:val="004E6C93"/>
    <w:rsid w:val="004F0C3A"/>
    <w:rsid w:val="004F3B9B"/>
    <w:rsid w:val="004F4C73"/>
    <w:rsid w:val="004F6DB8"/>
    <w:rsid w:val="00500329"/>
    <w:rsid w:val="00500370"/>
    <w:rsid w:val="00500592"/>
    <w:rsid w:val="00502374"/>
    <w:rsid w:val="00502F79"/>
    <w:rsid w:val="00503699"/>
    <w:rsid w:val="00504905"/>
    <w:rsid w:val="00505050"/>
    <w:rsid w:val="005059A6"/>
    <w:rsid w:val="00507C29"/>
    <w:rsid w:val="005113FA"/>
    <w:rsid w:val="005118DB"/>
    <w:rsid w:val="00512923"/>
    <w:rsid w:val="00512D0D"/>
    <w:rsid w:val="00520BF4"/>
    <w:rsid w:val="00521E9E"/>
    <w:rsid w:val="005221CA"/>
    <w:rsid w:val="005223F3"/>
    <w:rsid w:val="005225C0"/>
    <w:rsid w:val="005229B1"/>
    <w:rsid w:val="00523278"/>
    <w:rsid w:val="00523382"/>
    <w:rsid w:val="00523D2D"/>
    <w:rsid w:val="00524709"/>
    <w:rsid w:val="00525B56"/>
    <w:rsid w:val="005271AC"/>
    <w:rsid w:val="00527275"/>
    <w:rsid w:val="00533BD9"/>
    <w:rsid w:val="0053461A"/>
    <w:rsid w:val="005349FD"/>
    <w:rsid w:val="00537695"/>
    <w:rsid w:val="00537956"/>
    <w:rsid w:val="00540301"/>
    <w:rsid w:val="00540A8F"/>
    <w:rsid w:val="00541EB7"/>
    <w:rsid w:val="005423D8"/>
    <w:rsid w:val="0054246F"/>
    <w:rsid w:val="0054338F"/>
    <w:rsid w:val="00543C6F"/>
    <w:rsid w:val="00543DFF"/>
    <w:rsid w:val="00544C91"/>
    <w:rsid w:val="00545FEF"/>
    <w:rsid w:val="00547849"/>
    <w:rsid w:val="00547EAE"/>
    <w:rsid w:val="0055052D"/>
    <w:rsid w:val="005511EF"/>
    <w:rsid w:val="005521D4"/>
    <w:rsid w:val="0055275F"/>
    <w:rsid w:val="00552E35"/>
    <w:rsid w:val="00554E60"/>
    <w:rsid w:val="005554F4"/>
    <w:rsid w:val="0055698B"/>
    <w:rsid w:val="00560CE7"/>
    <w:rsid w:val="00562FD0"/>
    <w:rsid w:val="00563D8B"/>
    <w:rsid w:val="00563DE6"/>
    <w:rsid w:val="00564372"/>
    <w:rsid w:val="0056566E"/>
    <w:rsid w:val="00565FEF"/>
    <w:rsid w:val="00567010"/>
    <w:rsid w:val="0056705A"/>
    <w:rsid w:val="0056707D"/>
    <w:rsid w:val="005672BA"/>
    <w:rsid w:val="005674DA"/>
    <w:rsid w:val="00570764"/>
    <w:rsid w:val="00570AA8"/>
    <w:rsid w:val="00572B62"/>
    <w:rsid w:val="00573008"/>
    <w:rsid w:val="00574E3C"/>
    <w:rsid w:val="005757FA"/>
    <w:rsid w:val="005765EB"/>
    <w:rsid w:val="005766CE"/>
    <w:rsid w:val="005803C1"/>
    <w:rsid w:val="0058076B"/>
    <w:rsid w:val="00580F91"/>
    <w:rsid w:val="0058177C"/>
    <w:rsid w:val="00582307"/>
    <w:rsid w:val="005828C6"/>
    <w:rsid w:val="00583345"/>
    <w:rsid w:val="00584289"/>
    <w:rsid w:val="00584AE2"/>
    <w:rsid w:val="00585BCB"/>
    <w:rsid w:val="005870A3"/>
    <w:rsid w:val="00587D9F"/>
    <w:rsid w:val="005907AF"/>
    <w:rsid w:val="005916A7"/>
    <w:rsid w:val="00591809"/>
    <w:rsid w:val="00592937"/>
    <w:rsid w:val="00593851"/>
    <w:rsid w:val="00595269"/>
    <w:rsid w:val="005955E3"/>
    <w:rsid w:val="00595ACC"/>
    <w:rsid w:val="005960A5"/>
    <w:rsid w:val="005962CE"/>
    <w:rsid w:val="005969BC"/>
    <w:rsid w:val="00597FFB"/>
    <w:rsid w:val="005A152E"/>
    <w:rsid w:val="005A3937"/>
    <w:rsid w:val="005A51D7"/>
    <w:rsid w:val="005A5510"/>
    <w:rsid w:val="005A5FB7"/>
    <w:rsid w:val="005A73F3"/>
    <w:rsid w:val="005A7F4C"/>
    <w:rsid w:val="005B0B5A"/>
    <w:rsid w:val="005B0EE6"/>
    <w:rsid w:val="005B1428"/>
    <w:rsid w:val="005B1E7E"/>
    <w:rsid w:val="005B2733"/>
    <w:rsid w:val="005B2916"/>
    <w:rsid w:val="005B4701"/>
    <w:rsid w:val="005B4D7E"/>
    <w:rsid w:val="005B5670"/>
    <w:rsid w:val="005B63DE"/>
    <w:rsid w:val="005B63EA"/>
    <w:rsid w:val="005B70A1"/>
    <w:rsid w:val="005B7E99"/>
    <w:rsid w:val="005C1083"/>
    <w:rsid w:val="005C10A2"/>
    <w:rsid w:val="005C1C07"/>
    <w:rsid w:val="005C2360"/>
    <w:rsid w:val="005C4614"/>
    <w:rsid w:val="005C4A5B"/>
    <w:rsid w:val="005C4BF7"/>
    <w:rsid w:val="005C5949"/>
    <w:rsid w:val="005C6EC4"/>
    <w:rsid w:val="005D00FB"/>
    <w:rsid w:val="005D0D18"/>
    <w:rsid w:val="005D126A"/>
    <w:rsid w:val="005D29FD"/>
    <w:rsid w:val="005D2BB6"/>
    <w:rsid w:val="005D5B3E"/>
    <w:rsid w:val="005D5E86"/>
    <w:rsid w:val="005D71D6"/>
    <w:rsid w:val="005D76FE"/>
    <w:rsid w:val="005D7756"/>
    <w:rsid w:val="005D7763"/>
    <w:rsid w:val="005E1D30"/>
    <w:rsid w:val="005E3470"/>
    <w:rsid w:val="005E4100"/>
    <w:rsid w:val="005E5E60"/>
    <w:rsid w:val="005E78DC"/>
    <w:rsid w:val="005F020F"/>
    <w:rsid w:val="005F0330"/>
    <w:rsid w:val="005F09A5"/>
    <w:rsid w:val="005F1984"/>
    <w:rsid w:val="005F3C95"/>
    <w:rsid w:val="005F4892"/>
    <w:rsid w:val="005F530E"/>
    <w:rsid w:val="005F7202"/>
    <w:rsid w:val="005F771E"/>
    <w:rsid w:val="00600DCD"/>
    <w:rsid w:val="00600E3C"/>
    <w:rsid w:val="0060202D"/>
    <w:rsid w:val="006040E8"/>
    <w:rsid w:val="00604A7D"/>
    <w:rsid w:val="00604B03"/>
    <w:rsid w:val="00605808"/>
    <w:rsid w:val="00605D17"/>
    <w:rsid w:val="00606AC8"/>
    <w:rsid w:val="00607658"/>
    <w:rsid w:val="00607DF3"/>
    <w:rsid w:val="0061111D"/>
    <w:rsid w:val="00611464"/>
    <w:rsid w:val="00612C3D"/>
    <w:rsid w:val="00613EDF"/>
    <w:rsid w:val="0061445C"/>
    <w:rsid w:val="00614B48"/>
    <w:rsid w:val="00615A35"/>
    <w:rsid w:val="00615A92"/>
    <w:rsid w:val="00617434"/>
    <w:rsid w:val="006178EB"/>
    <w:rsid w:val="00617D8C"/>
    <w:rsid w:val="006225C7"/>
    <w:rsid w:val="006225C9"/>
    <w:rsid w:val="00623AE3"/>
    <w:rsid w:val="00623D28"/>
    <w:rsid w:val="00624727"/>
    <w:rsid w:val="006248F3"/>
    <w:rsid w:val="00626F56"/>
    <w:rsid w:val="00627533"/>
    <w:rsid w:val="0063088C"/>
    <w:rsid w:val="006315AB"/>
    <w:rsid w:val="006331D4"/>
    <w:rsid w:val="0063408C"/>
    <w:rsid w:val="006346CA"/>
    <w:rsid w:val="0063607A"/>
    <w:rsid w:val="00637619"/>
    <w:rsid w:val="00641B2B"/>
    <w:rsid w:val="00641B70"/>
    <w:rsid w:val="006423BF"/>
    <w:rsid w:val="006425B4"/>
    <w:rsid w:val="006453A7"/>
    <w:rsid w:val="00646A88"/>
    <w:rsid w:val="00647BF4"/>
    <w:rsid w:val="00647FD4"/>
    <w:rsid w:val="006500A8"/>
    <w:rsid w:val="00651C33"/>
    <w:rsid w:val="0065209F"/>
    <w:rsid w:val="0065338E"/>
    <w:rsid w:val="006542FC"/>
    <w:rsid w:val="006555C4"/>
    <w:rsid w:val="006561C2"/>
    <w:rsid w:val="00660A25"/>
    <w:rsid w:val="00661AEF"/>
    <w:rsid w:val="00661FA3"/>
    <w:rsid w:val="00661FE2"/>
    <w:rsid w:val="00663904"/>
    <w:rsid w:val="006639B0"/>
    <w:rsid w:val="00663B61"/>
    <w:rsid w:val="006666DF"/>
    <w:rsid w:val="00667BEB"/>
    <w:rsid w:val="00667D65"/>
    <w:rsid w:val="0067057B"/>
    <w:rsid w:val="006714A2"/>
    <w:rsid w:val="00671803"/>
    <w:rsid w:val="00672722"/>
    <w:rsid w:val="006727CF"/>
    <w:rsid w:val="00673224"/>
    <w:rsid w:val="00677E08"/>
    <w:rsid w:val="006803A2"/>
    <w:rsid w:val="00680B0B"/>
    <w:rsid w:val="0068406B"/>
    <w:rsid w:val="00684BE7"/>
    <w:rsid w:val="00685040"/>
    <w:rsid w:val="0068525F"/>
    <w:rsid w:val="00690680"/>
    <w:rsid w:val="006907BE"/>
    <w:rsid w:val="00690C74"/>
    <w:rsid w:val="00690FBB"/>
    <w:rsid w:val="00690FD5"/>
    <w:rsid w:val="00691947"/>
    <w:rsid w:val="00691F22"/>
    <w:rsid w:val="00692A9C"/>
    <w:rsid w:val="00693AD2"/>
    <w:rsid w:val="00694A46"/>
    <w:rsid w:val="00694F84"/>
    <w:rsid w:val="00696B08"/>
    <w:rsid w:val="00697B00"/>
    <w:rsid w:val="00697E12"/>
    <w:rsid w:val="006A2EE0"/>
    <w:rsid w:val="006A3AD3"/>
    <w:rsid w:val="006A4DF0"/>
    <w:rsid w:val="006A5064"/>
    <w:rsid w:val="006A5A61"/>
    <w:rsid w:val="006A709D"/>
    <w:rsid w:val="006B095C"/>
    <w:rsid w:val="006B136E"/>
    <w:rsid w:val="006B154D"/>
    <w:rsid w:val="006B28E3"/>
    <w:rsid w:val="006B3404"/>
    <w:rsid w:val="006B7772"/>
    <w:rsid w:val="006B7ADB"/>
    <w:rsid w:val="006C00B3"/>
    <w:rsid w:val="006C1EC8"/>
    <w:rsid w:val="006C2EEB"/>
    <w:rsid w:val="006C3588"/>
    <w:rsid w:val="006C3982"/>
    <w:rsid w:val="006C4008"/>
    <w:rsid w:val="006C59F1"/>
    <w:rsid w:val="006D1064"/>
    <w:rsid w:val="006D1F8C"/>
    <w:rsid w:val="006D2286"/>
    <w:rsid w:val="006D2D64"/>
    <w:rsid w:val="006D3A34"/>
    <w:rsid w:val="006D422F"/>
    <w:rsid w:val="006D4385"/>
    <w:rsid w:val="006D5C5D"/>
    <w:rsid w:val="006D5C70"/>
    <w:rsid w:val="006D64B5"/>
    <w:rsid w:val="006D6A1C"/>
    <w:rsid w:val="006D6C9F"/>
    <w:rsid w:val="006D7017"/>
    <w:rsid w:val="006D7990"/>
    <w:rsid w:val="006E07B0"/>
    <w:rsid w:val="006E180B"/>
    <w:rsid w:val="006E187E"/>
    <w:rsid w:val="006E24D1"/>
    <w:rsid w:val="006E26CA"/>
    <w:rsid w:val="006E309D"/>
    <w:rsid w:val="006E49F5"/>
    <w:rsid w:val="006F05F7"/>
    <w:rsid w:val="006F0F61"/>
    <w:rsid w:val="006F1768"/>
    <w:rsid w:val="006F2A57"/>
    <w:rsid w:val="006F2BA5"/>
    <w:rsid w:val="006F3C6E"/>
    <w:rsid w:val="007011CA"/>
    <w:rsid w:val="007031D3"/>
    <w:rsid w:val="007034CF"/>
    <w:rsid w:val="00703A7E"/>
    <w:rsid w:val="00705A88"/>
    <w:rsid w:val="00705BEE"/>
    <w:rsid w:val="00705F98"/>
    <w:rsid w:val="007063C4"/>
    <w:rsid w:val="00707069"/>
    <w:rsid w:val="0070716D"/>
    <w:rsid w:val="0071031F"/>
    <w:rsid w:val="007114EC"/>
    <w:rsid w:val="00712580"/>
    <w:rsid w:val="00713667"/>
    <w:rsid w:val="00713867"/>
    <w:rsid w:val="0071493F"/>
    <w:rsid w:val="00715149"/>
    <w:rsid w:val="007156E7"/>
    <w:rsid w:val="00715F05"/>
    <w:rsid w:val="007160E3"/>
    <w:rsid w:val="00717132"/>
    <w:rsid w:val="00717984"/>
    <w:rsid w:val="00717F9D"/>
    <w:rsid w:val="00720ACA"/>
    <w:rsid w:val="00721758"/>
    <w:rsid w:val="0072202C"/>
    <w:rsid w:val="00722285"/>
    <w:rsid w:val="007225A9"/>
    <w:rsid w:val="00722A1A"/>
    <w:rsid w:val="0072339A"/>
    <w:rsid w:val="00723EF6"/>
    <w:rsid w:val="007240DC"/>
    <w:rsid w:val="0072417B"/>
    <w:rsid w:val="00725699"/>
    <w:rsid w:val="00725898"/>
    <w:rsid w:val="00725EB0"/>
    <w:rsid w:val="00727371"/>
    <w:rsid w:val="00730D55"/>
    <w:rsid w:val="00730E3B"/>
    <w:rsid w:val="007310E7"/>
    <w:rsid w:val="00731794"/>
    <w:rsid w:val="00731C4F"/>
    <w:rsid w:val="007332BD"/>
    <w:rsid w:val="00733E22"/>
    <w:rsid w:val="0073451F"/>
    <w:rsid w:val="00734540"/>
    <w:rsid w:val="00734661"/>
    <w:rsid w:val="00734DBF"/>
    <w:rsid w:val="007371E4"/>
    <w:rsid w:val="00737770"/>
    <w:rsid w:val="00737859"/>
    <w:rsid w:val="007405D6"/>
    <w:rsid w:val="00740BE7"/>
    <w:rsid w:val="00740D34"/>
    <w:rsid w:val="00740E10"/>
    <w:rsid w:val="007417B2"/>
    <w:rsid w:val="007418B5"/>
    <w:rsid w:val="00741DC4"/>
    <w:rsid w:val="00743677"/>
    <w:rsid w:val="00743A03"/>
    <w:rsid w:val="00744F4C"/>
    <w:rsid w:val="00745A8D"/>
    <w:rsid w:val="00747B10"/>
    <w:rsid w:val="00750389"/>
    <w:rsid w:val="00750530"/>
    <w:rsid w:val="007509C4"/>
    <w:rsid w:val="00752004"/>
    <w:rsid w:val="00752ACC"/>
    <w:rsid w:val="007541CC"/>
    <w:rsid w:val="00755DEC"/>
    <w:rsid w:val="007562B3"/>
    <w:rsid w:val="00756AAD"/>
    <w:rsid w:val="00756D18"/>
    <w:rsid w:val="00757B23"/>
    <w:rsid w:val="00760246"/>
    <w:rsid w:val="0076045B"/>
    <w:rsid w:val="00761D42"/>
    <w:rsid w:val="0076277B"/>
    <w:rsid w:val="00763117"/>
    <w:rsid w:val="00764E05"/>
    <w:rsid w:val="00765A5E"/>
    <w:rsid w:val="00765AE0"/>
    <w:rsid w:val="0077011A"/>
    <w:rsid w:val="007707E9"/>
    <w:rsid w:val="007718D9"/>
    <w:rsid w:val="00771BFE"/>
    <w:rsid w:val="00772095"/>
    <w:rsid w:val="007741C8"/>
    <w:rsid w:val="007746F2"/>
    <w:rsid w:val="00774A7F"/>
    <w:rsid w:val="00775BFB"/>
    <w:rsid w:val="00776FA8"/>
    <w:rsid w:val="00777174"/>
    <w:rsid w:val="00777CDB"/>
    <w:rsid w:val="007809B6"/>
    <w:rsid w:val="0078121D"/>
    <w:rsid w:val="00782398"/>
    <w:rsid w:val="00782A71"/>
    <w:rsid w:val="00783933"/>
    <w:rsid w:val="00785E9D"/>
    <w:rsid w:val="00786107"/>
    <w:rsid w:val="00786C74"/>
    <w:rsid w:val="0078756C"/>
    <w:rsid w:val="00787C81"/>
    <w:rsid w:val="0079104D"/>
    <w:rsid w:val="00791A91"/>
    <w:rsid w:val="00793348"/>
    <w:rsid w:val="007936C8"/>
    <w:rsid w:val="00793CDA"/>
    <w:rsid w:val="00794844"/>
    <w:rsid w:val="0079536E"/>
    <w:rsid w:val="00796B4D"/>
    <w:rsid w:val="007A0AEA"/>
    <w:rsid w:val="007A1163"/>
    <w:rsid w:val="007A193D"/>
    <w:rsid w:val="007A1B3C"/>
    <w:rsid w:val="007A3027"/>
    <w:rsid w:val="007A33D5"/>
    <w:rsid w:val="007A3C7E"/>
    <w:rsid w:val="007A3F10"/>
    <w:rsid w:val="007A52B5"/>
    <w:rsid w:val="007A6312"/>
    <w:rsid w:val="007A6817"/>
    <w:rsid w:val="007B038D"/>
    <w:rsid w:val="007B0986"/>
    <w:rsid w:val="007B0FF6"/>
    <w:rsid w:val="007B149A"/>
    <w:rsid w:val="007B2317"/>
    <w:rsid w:val="007B28DD"/>
    <w:rsid w:val="007B2E3D"/>
    <w:rsid w:val="007B387B"/>
    <w:rsid w:val="007B51A8"/>
    <w:rsid w:val="007B6271"/>
    <w:rsid w:val="007B6B08"/>
    <w:rsid w:val="007B6BBF"/>
    <w:rsid w:val="007B7A91"/>
    <w:rsid w:val="007C6D6F"/>
    <w:rsid w:val="007C76BF"/>
    <w:rsid w:val="007C7818"/>
    <w:rsid w:val="007D1667"/>
    <w:rsid w:val="007D2784"/>
    <w:rsid w:val="007D28AC"/>
    <w:rsid w:val="007D4803"/>
    <w:rsid w:val="007D5FE5"/>
    <w:rsid w:val="007E046C"/>
    <w:rsid w:val="007E1028"/>
    <w:rsid w:val="007E1A2A"/>
    <w:rsid w:val="007E2CAF"/>
    <w:rsid w:val="007E4303"/>
    <w:rsid w:val="007E497E"/>
    <w:rsid w:val="007E4A6D"/>
    <w:rsid w:val="007E564F"/>
    <w:rsid w:val="007E7326"/>
    <w:rsid w:val="007E7DE1"/>
    <w:rsid w:val="007F3B17"/>
    <w:rsid w:val="007F414F"/>
    <w:rsid w:val="007F45B2"/>
    <w:rsid w:val="007F4BB6"/>
    <w:rsid w:val="007F59F4"/>
    <w:rsid w:val="007F5F45"/>
    <w:rsid w:val="007F6170"/>
    <w:rsid w:val="007F7F7B"/>
    <w:rsid w:val="00803EC5"/>
    <w:rsid w:val="00804602"/>
    <w:rsid w:val="008059EC"/>
    <w:rsid w:val="00806164"/>
    <w:rsid w:val="0080761E"/>
    <w:rsid w:val="008105A9"/>
    <w:rsid w:val="008106F0"/>
    <w:rsid w:val="00810E56"/>
    <w:rsid w:val="008110A4"/>
    <w:rsid w:val="008117ED"/>
    <w:rsid w:val="00811FBC"/>
    <w:rsid w:val="00812C70"/>
    <w:rsid w:val="00813129"/>
    <w:rsid w:val="008137A2"/>
    <w:rsid w:val="0081487D"/>
    <w:rsid w:val="00814987"/>
    <w:rsid w:val="00814C53"/>
    <w:rsid w:val="00814D63"/>
    <w:rsid w:val="00815E66"/>
    <w:rsid w:val="00816E41"/>
    <w:rsid w:val="008178BF"/>
    <w:rsid w:val="00817C5D"/>
    <w:rsid w:val="008221C8"/>
    <w:rsid w:val="0082297B"/>
    <w:rsid w:val="00823C55"/>
    <w:rsid w:val="00824E98"/>
    <w:rsid w:val="008258C3"/>
    <w:rsid w:val="008262F2"/>
    <w:rsid w:val="00826725"/>
    <w:rsid w:val="00826BBE"/>
    <w:rsid w:val="00827554"/>
    <w:rsid w:val="00830FBF"/>
    <w:rsid w:val="00831ABA"/>
    <w:rsid w:val="008322D8"/>
    <w:rsid w:val="0083451F"/>
    <w:rsid w:val="00834C2F"/>
    <w:rsid w:val="00835868"/>
    <w:rsid w:val="00836980"/>
    <w:rsid w:val="00841E4B"/>
    <w:rsid w:val="00841F0B"/>
    <w:rsid w:val="0084276E"/>
    <w:rsid w:val="00846947"/>
    <w:rsid w:val="00847FE6"/>
    <w:rsid w:val="00850C7D"/>
    <w:rsid w:val="00854A40"/>
    <w:rsid w:val="00855622"/>
    <w:rsid w:val="00856CB6"/>
    <w:rsid w:val="00861025"/>
    <w:rsid w:val="008623F8"/>
    <w:rsid w:val="00862672"/>
    <w:rsid w:val="00862CA8"/>
    <w:rsid w:val="00862E1E"/>
    <w:rsid w:val="00863A51"/>
    <w:rsid w:val="00864FCF"/>
    <w:rsid w:val="008657D6"/>
    <w:rsid w:val="00865A26"/>
    <w:rsid w:val="008664A8"/>
    <w:rsid w:val="00866D7A"/>
    <w:rsid w:val="00866DF7"/>
    <w:rsid w:val="00866F29"/>
    <w:rsid w:val="00867206"/>
    <w:rsid w:val="00867826"/>
    <w:rsid w:val="00867EA1"/>
    <w:rsid w:val="008723E1"/>
    <w:rsid w:val="008725B6"/>
    <w:rsid w:val="00873BC3"/>
    <w:rsid w:val="008762BC"/>
    <w:rsid w:val="008765E1"/>
    <w:rsid w:val="00876FC5"/>
    <w:rsid w:val="00877A69"/>
    <w:rsid w:val="008811FD"/>
    <w:rsid w:val="00881333"/>
    <w:rsid w:val="00881C1D"/>
    <w:rsid w:val="008824C7"/>
    <w:rsid w:val="00882A5C"/>
    <w:rsid w:val="00884191"/>
    <w:rsid w:val="00884AEB"/>
    <w:rsid w:val="00885E84"/>
    <w:rsid w:val="008862DD"/>
    <w:rsid w:val="00886FD1"/>
    <w:rsid w:val="008872FC"/>
    <w:rsid w:val="00890EE8"/>
    <w:rsid w:val="00892096"/>
    <w:rsid w:val="008923CE"/>
    <w:rsid w:val="00895BA1"/>
    <w:rsid w:val="0089670A"/>
    <w:rsid w:val="008978DA"/>
    <w:rsid w:val="00897908"/>
    <w:rsid w:val="008A045B"/>
    <w:rsid w:val="008A15D7"/>
    <w:rsid w:val="008A1B38"/>
    <w:rsid w:val="008A37EC"/>
    <w:rsid w:val="008A46F4"/>
    <w:rsid w:val="008A4E39"/>
    <w:rsid w:val="008A5161"/>
    <w:rsid w:val="008A5B2A"/>
    <w:rsid w:val="008A7503"/>
    <w:rsid w:val="008B0D32"/>
    <w:rsid w:val="008B15FA"/>
    <w:rsid w:val="008B1943"/>
    <w:rsid w:val="008B2060"/>
    <w:rsid w:val="008B37D0"/>
    <w:rsid w:val="008B3C23"/>
    <w:rsid w:val="008B3D63"/>
    <w:rsid w:val="008B62D7"/>
    <w:rsid w:val="008B6AB0"/>
    <w:rsid w:val="008B7B80"/>
    <w:rsid w:val="008C0A44"/>
    <w:rsid w:val="008C1A3F"/>
    <w:rsid w:val="008C2E9C"/>
    <w:rsid w:val="008C2F3F"/>
    <w:rsid w:val="008C4DCF"/>
    <w:rsid w:val="008C6B77"/>
    <w:rsid w:val="008C7303"/>
    <w:rsid w:val="008C7EC8"/>
    <w:rsid w:val="008D1350"/>
    <w:rsid w:val="008D15CE"/>
    <w:rsid w:val="008D46AF"/>
    <w:rsid w:val="008D472D"/>
    <w:rsid w:val="008D608A"/>
    <w:rsid w:val="008D6329"/>
    <w:rsid w:val="008D6479"/>
    <w:rsid w:val="008D6E7E"/>
    <w:rsid w:val="008D7C90"/>
    <w:rsid w:val="008E25F1"/>
    <w:rsid w:val="008E30CB"/>
    <w:rsid w:val="008E378A"/>
    <w:rsid w:val="008E4583"/>
    <w:rsid w:val="008E53B3"/>
    <w:rsid w:val="008E5654"/>
    <w:rsid w:val="008E5ACA"/>
    <w:rsid w:val="008E7299"/>
    <w:rsid w:val="008E7EFD"/>
    <w:rsid w:val="008F29F9"/>
    <w:rsid w:val="008F3E4C"/>
    <w:rsid w:val="008F474D"/>
    <w:rsid w:val="008F5052"/>
    <w:rsid w:val="008F50C7"/>
    <w:rsid w:val="008F6068"/>
    <w:rsid w:val="008F668E"/>
    <w:rsid w:val="008F759B"/>
    <w:rsid w:val="009024D4"/>
    <w:rsid w:val="009025E0"/>
    <w:rsid w:val="00905BD1"/>
    <w:rsid w:val="00907D13"/>
    <w:rsid w:val="00910EED"/>
    <w:rsid w:val="009110A8"/>
    <w:rsid w:val="00911CDD"/>
    <w:rsid w:val="00913B10"/>
    <w:rsid w:val="0091411A"/>
    <w:rsid w:val="00914BB7"/>
    <w:rsid w:val="00916622"/>
    <w:rsid w:val="0091688B"/>
    <w:rsid w:val="00920B56"/>
    <w:rsid w:val="00920E65"/>
    <w:rsid w:val="00921A5A"/>
    <w:rsid w:val="00921DE3"/>
    <w:rsid w:val="00921F0E"/>
    <w:rsid w:val="00922604"/>
    <w:rsid w:val="00923244"/>
    <w:rsid w:val="009232E3"/>
    <w:rsid w:val="00923555"/>
    <w:rsid w:val="00927B6D"/>
    <w:rsid w:val="00927C58"/>
    <w:rsid w:val="00927F2E"/>
    <w:rsid w:val="00930151"/>
    <w:rsid w:val="00931162"/>
    <w:rsid w:val="00931AC8"/>
    <w:rsid w:val="00932E62"/>
    <w:rsid w:val="00934FA8"/>
    <w:rsid w:val="00935205"/>
    <w:rsid w:val="0093561B"/>
    <w:rsid w:val="00936BB5"/>
    <w:rsid w:val="00936CED"/>
    <w:rsid w:val="00937660"/>
    <w:rsid w:val="00940F25"/>
    <w:rsid w:val="00943127"/>
    <w:rsid w:val="009436D3"/>
    <w:rsid w:val="009444DD"/>
    <w:rsid w:val="0094532F"/>
    <w:rsid w:val="00945C57"/>
    <w:rsid w:val="00945F50"/>
    <w:rsid w:val="009471EF"/>
    <w:rsid w:val="009474A6"/>
    <w:rsid w:val="00947E56"/>
    <w:rsid w:val="0095114F"/>
    <w:rsid w:val="00951228"/>
    <w:rsid w:val="00951E96"/>
    <w:rsid w:val="00952509"/>
    <w:rsid w:val="009563BD"/>
    <w:rsid w:val="00956A3A"/>
    <w:rsid w:val="00957001"/>
    <w:rsid w:val="009574B1"/>
    <w:rsid w:val="00957E11"/>
    <w:rsid w:val="0096022B"/>
    <w:rsid w:val="00962BC7"/>
    <w:rsid w:val="00963585"/>
    <w:rsid w:val="00963C19"/>
    <w:rsid w:val="009648E4"/>
    <w:rsid w:val="00965DF5"/>
    <w:rsid w:val="009662A9"/>
    <w:rsid w:val="00966AD2"/>
    <w:rsid w:val="00966E01"/>
    <w:rsid w:val="00967114"/>
    <w:rsid w:val="009671CA"/>
    <w:rsid w:val="00970CD1"/>
    <w:rsid w:val="00970FED"/>
    <w:rsid w:val="00971249"/>
    <w:rsid w:val="009729DD"/>
    <w:rsid w:val="00973EC3"/>
    <w:rsid w:val="009740EF"/>
    <w:rsid w:val="00980A6D"/>
    <w:rsid w:val="00980D87"/>
    <w:rsid w:val="00980D90"/>
    <w:rsid w:val="00980E06"/>
    <w:rsid w:val="009827B9"/>
    <w:rsid w:val="00983F22"/>
    <w:rsid w:val="00984B39"/>
    <w:rsid w:val="00985818"/>
    <w:rsid w:val="0099056A"/>
    <w:rsid w:val="00990A2D"/>
    <w:rsid w:val="00992734"/>
    <w:rsid w:val="00992925"/>
    <w:rsid w:val="00993950"/>
    <w:rsid w:val="009945BA"/>
    <w:rsid w:val="00994B00"/>
    <w:rsid w:val="00995A8B"/>
    <w:rsid w:val="00996173"/>
    <w:rsid w:val="009967D9"/>
    <w:rsid w:val="00996ACA"/>
    <w:rsid w:val="009A040C"/>
    <w:rsid w:val="009A0B04"/>
    <w:rsid w:val="009A149C"/>
    <w:rsid w:val="009A16F1"/>
    <w:rsid w:val="009A296C"/>
    <w:rsid w:val="009A31B8"/>
    <w:rsid w:val="009A3447"/>
    <w:rsid w:val="009A3780"/>
    <w:rsid w:val="009A4B0E"/>
    <w:rsid w:val="009A6393"/>
    <w:rsid w:val="009A6DD3"/>
    <w:rsid w:val="009A747E"/>
    <w:rsid w:val="009A753B"/>
    <w:rsid w:val="009B0047"/>
    <w:rsid w:val="009B1A73"/>
    <w:rsid w:val="009B1C69"/>
    <w:rsid w:val="009B2F99"/>
    <w:rsid w:val="009B44BE"/>
    <w:rsid w:val="009B6403"/>
    <w:rsid w:val="009B71FE"/>
    <w:rsid w:val="009B77A4"/>
    <w:rsid w:val="009C0268"/>
    <w:rsid w:val="009C0570"/>
    <w:rsid w:val="009C0A76"/>
    <w:rsid w:val="009C1AA8"/>
    <w:rsid w:val="009C3A54"/>
    <w:rsid w:val="009C3E95"/>
    <w:rsid w:val="009C5387"/>
    <w:rsid w:val="009C539C"/>
    <w:rsid w:val="009C61C4"/>
    <w:rsid w:val="009C623B"/>
    <w:rsid w:val="009C79F3"/>
    <w:rsid w:val="009D17F6"/>
    <w:rsid w:val="009D317D"/>
    <w:rsid w:val="009D4FB4"/>
    <w:rsid w:val="009D5FF3"/>
    <w:rsid w:val="009D67A0"/>
    <w:rsid w:val="009D78EE"/>
    <w:rsid w:val="009D7B09"/>
    <w:rsid w:val="009D7C1F"/>
    <w:rsid w:val="009D7C9C"/>
    <w:rsid w:val="009E007F"/>
    <w:rsid w:val="009E0830"/>
    <w:rsid w:val="009E0FFF"/>
    <w:rsid w:val="009E1432"/>
    <w:rsid w:val="009E30A7"/>
    <w:rsid w:val="009E5A3C"/>
    <w:rsid w:val="009E6474"/>
    <w:rsid w:val="009E6FDF"/>
    <w:rsid w:val="009F09E0"/>
    <w:rsid w:val="009F1C8C"/>
    <w:rsid w:val="009F2890"/>
    <w:rsid w:val="009F331E"/>
    <w:rsid w:val="009F34CB"/>
    <w:rsid w:val="009F34D5"/>
    <w:rsid w:val="009F35B1"/>
    <w:rsid w:val="009F3DAD"/>
    <w:rsid w:val="009F5934"/>
    <w:rsid w:val="009F67FD"/>
    <w:rsid w:val="009F77E8"/>
    <w:rsid w:val="00A002E0"/>
    <w:rsid w:val="00A00642"/>
    <w:rsid w:val="00A00F80"/>
    <w:rsid w:val="00A0210E"/>
    <w:rsid w:val="00A0215A"/>
    <w:rsid w:val="00A02596"/>
    <w:rsid w:val="00A0274D"/>
    <w:rsid w:val="00A03E54"/>
    <w:rsid w:val="00A05593"/>
    <w:rsid w:val="00A06101"/>
    <w:rsid w:val="00A1057F"/>
    <w:rsid w:val="00A1155A"/>
    <w:rsid w:val="00A136C8"/>
    <w:rsid w:val="00A152B7"/>
    <w:rsid w:val="00A16AAE"/>
    <w:rsid w:val="00A170FE"/>
    <w:rsid w:val="00A20009"/>
    <w:rsid w:val="00A201E6"/>
    <w:rsid w:val="00A20980"/>
    <w:rsid w:val="00A2108F"/>
    <w:rsid w:val="00A2131A"/>
    <w:rsid w:val="00A23967"/>
    <w:rsid w:val="00A23FA0"/>
    <w:rsid w:val="00A249D7"/>
    <w:rsid w:val="00A26C24"/>
    <w:rsid w:val="00A26C6F"/>
    <w:rsid w:val="00A27128"/>
    <w:rsid w:val="00A2720F"/>
    <w:rsid w:val="00A27977"/>
    <w:rsid w:val="00A27FA4"/>
    <w:rsid w:val="00A3002D"/>
    <w:rsid w:val="00A30B59"/>
    <w:rsid w:val="00A31276"/>
    <w:rsid w:val="00A31F3A"/>
    <w:rsid w:val="00A32B1C"/>
    <w:rsid w:val="00A33934"/>
    <w:rsid w:val="00A3507A"/>
    <w:rsid w:val="00A3696B"/>
    <w:rsid w:val="00A36CFC"/>
    <w:rsid w:val="00A36DA4"/>
    <w:rsid w:val="00A422EC"/>
    <w:rsid w:val="00A44006"/>
    <w:rsid w:val="00A455E3"/>
    <w:rsid w:val="00A4565A"/>
    <w:rsid w:val="00A50BDE"/>
    <w:rsid w:val="00A51048"/>
    <w:rsid w:val="00A5120E"/>
    <w:rsid w:val="00A51F62"/>
    <w:rsid w:val="00A53588"/>
    <w:rsid w:val="00A54DB9"/>
    <w:rsid w:val="00A558FE"/>
    <w:rsid w:val="00A56EE5"/>
    <w:rsid w:val="00A57592"/>
    <w:rsid w:val="00A57FFD"/>
    <w:rsid w:val="00A61489"/>
    <w:rsid w:val="00A61CA6"/>
    <w:rsid w:val="00A62B74"/>
    <w:rsid w:val="00A63408"/>
    <w:rsid w:val="00A64FEF"/>
    <w:rsid w:val="00A67516"/>
    <w:rsid w:val="00A715B0"/>
    <w:rsid w:val="00A71A48"/>
    <w:rsid w:val="00A72865"/>
    <w:rsid w:val="00A73179"/>
    <w:rsid w:val="00A73305"/>
    <w:rsid w:val="00A73396"/>
    <w:rsid w:val="00A74582"/>
    <w:rsid w:val="00A74CB4"/>
    <w:rsid w:val="00A74F93"/>
    <w:rsid w:val="00A7566A"/>
    <w:rsid w:val="00A75D4B"/>
    <w:rsid w:val="00A76A23"/>
    <w:rsid w:val="00A772D6"/>
    <w:rsid w:val="00A81293"/>
    <w:rsid w:val="00A81557"/>
    <w:rsid w:val="00A818E8"/>
    <w:rsid w:val="00A82BD9"/>
    <w:rsid w:val="00A84ED7"/>
    <w:rsid w:val="00A8622F"/>
    <w:rsid w:val="00A86381"/>
    <w:rsid w:val="00A90722"/>
    <w:rsid w:val="00A90ABE"/>
    <w:rsid w:val="00A90DA4"/>
    <w:rsid w:val="00A9137C"/>
    <w:rsid w:val="00A94FBD"/>
    <w:rsid w:val="00A955E7"/>
    <w:rsid w:val="00A96990"/>
    <w:rsid w:val="00A97E3B"/>
    <w:rsid w:val="00AA17CA"/>
    <w:rsid w:val="00AA48CC"/>
    <w:rsid w:val="00AA4D57"/>
    <w:rsid w:val="00AA5E22"/>
    <w:rsid w:val="00AA6164"/>
    <w:rsid w:val="00AB05A1"/>
    <w:rsid w:val="00AB06CB"/>
    <w:rsid w:val="00AB0CE7"/>
    <w:rsid w:val="00AB0E84"/>
    <w:rsid w:val="00AB1245"/>
    <w:rsid w:val="00AB1732"/>
    <w:rsid w:val="00AB202A"/>
    <w:rsid w:val="00AB2990"/>
    <w:rsid w:val="00AB35C9"/>
    <w:rsid w:val="00AB360E"/>
    <w:rsid w:val="00AB37CB"/>
    <w:rsid w:val="00AB384D"/>
    <w:rsid w:val="00AB42D3"/>
    <w:rsid w:val="00AB63A9"/>
    <w:rsid w:val="00AC0E1F"/>
    <w:rsid w:val="00AC2342"/>
    <w:rsid w:val="00AC45DD"/>
    <w:rsid w:val="00AC53C3"/>
    <w:rsid w:val="00AC5FAA"/>
    <w:rsid w:val="00AC62E8"/>
    <w:rsid w:val="00AC7EEE"/>
    <w:rsid w:val="00AD01D4"/>
    <w:rsid w:val="00AD0A84"/>
    <w:rsid w:val="00AD1583"/>
    <w:rsid w:val="00AD3034"/>
    <w:rsid w:val="00AD361C"/>
    <w:rsid w:val="00AD5067"/>
    <w:rsid w:val="00AD56DC"/>
    <w:rsid w:val="00AD5802"/>
    <w:rsid w:val="00AD5C37"/>
    <w:rsid w:val="00AD6771"/>
    <w:rsid w:val="00AD67EA"/>
    <w:rsid w:val="00AD71B9"/>
    <w:rsid w:val="00AE20B9"/>
    <w:rsid w:val="00AE2645"/>
    <w:rsid w:val="00AE27BC"/>
    <w:rsid w:val="00AE2B04"/>
    <w:rsid w:val="00AE2CE1"/>
    <w:rsid w:val="00AE2E8D"/>
    <w:rsid w:val="00AE451E"/>
    <w:rsid w:val="00AE468D"/>
    <w:rsid w:val="00AE491B"/>
    <w:rsid w:val="00AE4D98"/>
    <w:rsid w:val="00AE7427"/>
    <w:rsid w:val="00AE786C"/>
    <w:rsid w:val="00AE7D35"/>
    <w:rsid w:val="00AF0218"/>
    <w:rsid w:val="00AF0887"/>
    <w:rsid w:val="00AF0B4C"/>
    <w:rsid w:val="00AF19E8"/>
    <w:rsid w:val="00AF2831"/>
    <w:rsid w:val="00AF2DDC"/>
    <w:rsid w:val="00AF334B"/>
    <w:rsid w:val="00AF3487"/>
    <w:rsid w:val="00AF3EAC"/>
    <w:rsid w:val="00AF5550"/>
    <w:rsid w:val="00AF6AA4"/>
    <w:rsid w:val="00AF6DBB"/>
    <w:rsid w:val="00AF701C"/>
    <w:rsid w:val="00B0057C"/>
    <w:rsid w:val="00B0073C"/>
    <w:rsid w:val="00B02021"/>
    <w:rsid w:val="00B029B3"/>
    <w:rsid w:val="00B02B46"/>
    <w:rsid w:val="00B038D3"/>
    <w:rsid w:val="00B03941"/>
    <w:rsid w:val="00B039AB"/>
    <w:rsid w:val="00B04CC3"/>
    <w:rsid w:val="00B059FA"/>
    <w:rsid w:val="00B05F5F"/>
    <w:rsid w:val="00B05FFA"/>
    <w:rsid w:val="00B062E5"/>
    <w:rsid w:val="00B10140"/>
    <w:rsid w:val="00B10310"/>
    <w:rsid w:val="00B10E99"/>
    <w:rsid w:val="00B111AB"/>
    <w:rsid w:val="00B11344"/>
    <w:rsid w:val="00B11D43"/>
    <w:rsid w:val="00B121C3"/>
    <w:rsid w:val="00B12A33"/>
    <w:rsid w:val="00B134AF"/>
    <w:rsid w:val="00B13B70"/>
    <w:rsid w:val="00B15186"/>
    <w:rsid w:val="00B1665A"/>
    <w:rsid w:val="00B16AE1"/>
    <w:rsid w:val="00B17586"/>
    <w:rsid w:val="00B17FA6"/>
    <w:rsid w:val="00B217D3"/>
    <w:rsid w:val="00B245F4"/>
    <w:rsid w:val="00B24AF8"/>
    <w:rsid w:val="00B263C3"/>
    <w:rsid w:val="00B27214"/>
    <w:rsid w:val="00B27FF4"/>
    <w:rsid w:val="00B3082F"/>
    <w:rsid w:val="00B312E9"/>
    <w:rsid w:val="00B31DB3"/>
    <w:rsid w:val="00B33747"/>
    <w:rsid w:val="00B3390E"/>
    <w:rsid w:val="00B3428E"/>
    <w:rsid w:val="00B34A1A"/>
    <w:rsid w:val="00B34DDE"/>
    <w:rsid w:val="00B3572F"/>
    <w:rsid w:val="00B35F6C"/>
    <w:rsid w:val="00B36435"/>
    <w:rsid w:val="00B37E3B"/>
    <w:rsid w:val="00B4191A"/>
    <w:rsid w:val="00B429D6"/>
    <w:rsid w:val="00B4312E"/>
    <w:rsid w:val="00B44C74"/>
    <w:rsid w:val="00B44CAB"/>
    <w:rsid w:val="00B45646"/>
    <w:rsid w:val="00B456CD"/>
    <w:rsid w:val="00B465E9"/>
    <w:rsid w:val="00B46B95"/>
    <w:rsid w:val="00B46E65"/>
    <w:rsid w:val="00B47A1C"/>
    <w:rsid w:val="00B50075"/>
    <w:rsid w:val="00B50FD3"/>
    <w:rsid w:val="00B549F2"/>
    <w:rsid w:val="00B558C2"/>
    <w:rsid w:val="00B563D7"/>
    <w:rsid w:val="00B56EA0"/>
    <w:rsid w:val="00B5714D"/>
    <w:rsid w:val="00B571D5"/>
    <w:rsid w:val="00B573FB"/>
    <w:rsid w:val="00B57432"/>
    <w:rsid w:val="00B57968"/>
    <w:rsid w:val="00B57B74"/>
    <w:rsid w:val="00B6021E"/>
    <w:rsid w:val="00B60D4C"/>
    <w:rsid w:val="00B61C85"/>
    <w:rsid w:val="00B62C0D"/>
    <w:rsid w:val="00B63821"/>
    <w:rsid w:val="00B63AC2"/>
    <w:rsid w:val="00B63C2D"/>
    <w:rsid w:val="00B642D5"/>
    <w:rsid w:val="00B64DF8"/>
    <w:rsid w:val="00B64F84"/>
    <w:rsid w:val="00B6566D"/>
    <w:rsid w:val="00B67CA7"/>
    <w:rsid w:val="00B701A6"/>
    <w:rsid w:val="00B70561"/>
    <w:rsid w:val="00B72C47"/>
    <w:rsid w:val="00B737C8"/>
    <w:rsid w:val="00B74A82"/>
    <w:rsid w:val="00B77207"/>
    <w:rsid w:val="00B7752C"/>
    <w:rsid w:val="00B77928"/>
    <w:rsid w:val="00B811EF"/>
    <w:rsid w:val="00B820C6"/>
    <w:rsid w:val="00B8214A"/>
    <w:rsid w:val="00B8239C"/>
    <w:rsid w:val="00B84992"/>
    <w:rsid w:val="00B854D2"/>
    <w:rsid w:val="00B92FBB"/>
    <w:rsid w:val="00B94D35"/>
    <w:rsid w:val="00B950AB"/>
    <w:rsid w:val="00B95707"/>
    <w:rsid w:val="00B95C18"/>
    <w:rsid w:val="00B96DD2"/>
    <w:rsid w:val="00B975FB"/>
    <w:rsid w:val="00B97AC1"/>
    <w:rsid w:val="00BA01D6"/>
    <w:rsid w:val="00BA10A2"/>
    <w:rsid w:val="00BA132E"/>
    <w:rsid w:val="00BA1637"/>
    <w:rsid w:val="00BA1AEB"/>
    <w:rsid w:val="00BA2DBB"/>
    <w:rsid w:val="00BA41C7"/>
    <w:rsid w:val="00BA757D"/>
    <w:rsid w:val="00BA7B2F"/>
    <w:rsid w:val="00BB12B7"/>
    <w:rsid w:val="00BB149B"/>
    <w:rsid w:val="00BB2341"/>
    <w:rsid w:val="00BB2CE3"/>
    <w:rsid w:val="00BB2F7C"/>
    <w:rsid w:val="00BB4415"/>
    <w:rsid w:val="00BB47F3"/>
    <w:rsid w:val="00BB50CC"/>
    <w:rsid w:val="00BB50FF"/>
    <w:rsid w:val="00BB5482"/>
    <w:rsid w:val="00BB730B"/>
    <w:rsid w:val="00BB7350"/>
    <w:rsid w:val="00BB749D"/>
    <w:rsid w:val="00BB7C75"/>
    <w:rsid w:val="00BC032D"/>
    <w:rsid w:val="00BC252D"/>
    <w:rsid w:val="00BC29B2"/>
    <w:rsid w:val="00BC355B"/>
    <w:rsid w:val="00BC3629"/>
    <w:rsid w:val="00BC3B8B"/>
    <w:rsid w:val="00BC4555"/>
    <w:rsid w:val="00BC6767"/>
    <w:rsid w:val="00BC6DDB"/>
    <w:rsid w:val="00BC7688"/>
    <w:rsid w:val="00BC7AD6"/>
    <w:rsid w:val="00BD0577"/>
    <w:rsid w:val="00BD2168"/>
    <w:rsid w:val="00BD268B"/>
    <w:rsid w:val="00BD2F09"/>
    <w:rsid w:val="00BD30DD"/>
    <w:rsid w:val="00BD4BEC"/>
    <w:rsid w:val="00BD522E"/>
    <w:rsid w:val="00BD5436"/>
    <w:rsid w:val="00BE0EA7"/>
    <w:rsid w:val="00BE1605"/>
    <w:rsid w:val="00BE3BF6"/>
    <w:rsid w:val="00BE412D"/>
    <w:rsid w:val="00BE4729"/>
    <w:rsid w:val="00BE4B5E"/>
    <w:rsid w:val="00BE5B29"/>
    <w:rsid w:val="00BE73BA"/>
    <w:rsid w:val="00BF0B02"/>
    <w:rsid w:val="00BF0E4C"/>
    <w:rsid w:val="00BF1087"/>
    <w:rsid w:val="00BF3ACE"/>
    <w:rsid w:val="00BF4C5A"/>
    <w:rsid w:val="00BF6174"/>
    <w:rsid w:val="00BF68EE"/>
    <w:rsid w:val="00BF7A0D"/>
    <w:rsid w:val="00C002DB"/>
    <w:rsid w:val="00C03A64"/>
    <w:rsid w:val="00C03DD7"/>
    <w:rsid w:val="00C03E4B"/>
    <w:rsid w:val="00C0425C"/>
    <w:rsid w:val="00C04B3C"/>
    <w:rsid w:val="00C04F9C"/>
    <w:rsid w:val="00C050A0"/>
    <w:rsid w:val="00C0512A"/>
    <w:rsid w:val="00C07446"/>
    <w:rsid w:val="00C10A6B"/>
    <w:rsid w:val="00C10B6A"/>
    <w:rsid w:val="00C114D1"/>
    <w:rsid w:val="00C12131"/>
    <w:rsid w:val="00C12525"/>
    <w:rsid w:val="00C133B3"/>
    <w:rsid w:val="00C16429"/>
    <w:rsid w:val="00C164E6"/>
    <w:rsid w:val="00C17D22"/>
    <w:rsid w:val="00C17F75"/>
    <w:rsid w:val="00C21418"/>
    <w:rsid w:val="00C2194B"/>
    <w:rsid w:val="00C21A3D"/>
    <w:rsid w:val="00C21ADA"/>
    <w:rsid w:val="00C21F1D"/>
    <w:rsid w:val="00C2263A"/>
    <w:rsid w:val="00C2471B"/>
    <w:rsid w:val="00C24A21"/>
    <w:rsid w:val="00C2595E"/>
    <w:rsid w:val="00C26153"/>
    <w:rsid w:val="00C26428"/>
    <w:rsid w:val="00C26598"/>
    <w:rsid w:val="00C26979"/>
    <w:rsid w:val="00C276D6"/>
    <w:rsid w:val="00C30F41"/>
    <w:rsid w:val="00C317FC"/>
    <w:rsid w:val="00C31D31"/>
    <w:rsid w:val="00C348AA"/>
    <w:rsid w:val="00C348C7"/>
    <w:rsid w:val="00C36569"/>
    <w:rsid w:val="00C37642"/>
    <w:rsid w:val="00C40F4F"/>
    <w:rsid w:val="00C41E1E"/>
    <w:rsid w:val="00C43A7C"/>
    <w:rsid w:val="00C44011"/>
    <w:rsid w:val="00C461B3"/>
    <w:rsid w:val="00C4743D"/>
    <w:rsid w:val="00C50738"/>
    <w:rsid w:val="00C51AC3"/>
    <w:rsid w:val="00C52F94"/>
    <w:rsid w:val="00C54855"/>
    <w:rsid w:val="00C5513E"/>
    <w:rsid w:val="00C551FE"/>
    <w:rsid w:val="00C60824"/>
    <w:rsid w:val="00C610DB"/>
    <w:rsid w:val="00C61A25"/>
    <w:rsid w:val="00C61E89"/>
    <w:rsid w:val="00C63701"/>
    <w:rsid w:val="00C63A04"/>
    <w:rsid w:val="00C63AA3"/>
    <w:rsid w:val="00C640A7"/>
    <w:rsid w:val="00C64522"/>
    <w:rsid w:val="00C64624"/>
    <w:rsid w:val="00C64FD2"/>
    <w:rsid w:val="00C658AC"/>
    <w:rsid w:val="00C6613C"/>
    <w:rsid w:val="00C66B6A"/>
    <w:rsid w:val="00C67232"/>
    <w:rsid w:val="00C719AA"/>
    <w:rsid w:val="00C73358"/>
    <w:rsid w:val="00C73487"/>
    <w:rsid w:val="00C73D74"/>
    <w:rsid w:val="00C752C7"/>
    <w:rsid w:val="00C75EA0"/>
    <w:rsid w:val="00C75F59"/>
    <w:rsid w:val="00C762B8"/>
    <w:rsid w:val="00C76C6C"/>
    <w:rsid w:val="00C77696"/>
    <w:rsid w:val="00C77BD6"/>
    <w:rsid w:val="00C81014"/>
    <w:rsid w:val="00C8127F"/>
    <w:rsid w:val="00C81DA1"/>
    <w:rsid w:val="00C82759"/>
    <w:rsid w:val="00C83746"/>
    <w:rsid w:val="00C85B64"/>
    <w:rsid w:val="00C85E11"/>
    <w:rsid w:val="00C85EF6"/>
    <w:rsid w:val="00C85F92"/>
    <w:rsid w:val="00C862B8"/>
    <w:rsid w:val="00C86B51"/>
    <w:rsid w:val="00C86E22"/>
    <w:rsid w:val="00C870C3"/>
    <w:rsid w:val="00C87698"/>
    <w:rsid w:val="00C916C5"/>
    <w:rsid w:val="00C917AB"/>
    <w:rsid w:val="00C91F0E"/>
    <w:rsid w:val="00C92710"/>
    <w:rsid w:val="00C93910"/>
    <w:rsid w:val="00C93C33"/>
    <w:rsid w:val="00C95E3A"/>
    <w:rsid w:val="00C9611C"/>
    <w:rsid w:val="00C971CE"/>
    <w:rsid w:val="00C97D28"/>
    <w:rsid w:val="00C97EB9"/>
    <w:rsid w:val="00CA01CC"/>
    <w:rsid w:val="00CA06A0"/>
    <w:rsid w:val="00CA0905"/>
    <w:rsid w:val="00CA0984"/>
    <w:rsid w:val="00CA0BE3"/>
    <w:rsid w:val="00CA15B0"/>
    <w:rsid w:val="00CA24DF"/>
    <w:rsid w:val="00CA2676"/>
    <w:rsid w:val="00CA34AB"/>
    <w:rsid w:val="00CA46B4"/>
    <w:rsid w:val="00CA4AFA"/>
    <w:rsid w:val="00CA52BB"/>
    <w:rsid w:val="00CA5626"/>
    <w:rsid w:val="00CA6113"/>
    <w:rsid w:val="00CA6248"/>
    <w:rsid w:val="00CA7426"/>
    <w:rsid w:val="00CA7446"/>
    <w:rsid w:val="00CA7571"/>
    <w:rsid w:val="00CA7F34"/>
    <w:rsid w:val="00CB07D0"/>
    <w:rsid w:val="00CB0885"/>
    <w:rsid w:val="00CB1002"/>
    <w:rsid w:val="00CB1A87"/>
    <w:rsid w:val="00CB1CE4"/>
    <w:rsid w:val="00CB1D33"/>
    <w:rsid w:val="00CB2764"/>
    <w:rsid w:val="00CB2C0C"/>
    <w:rsid w:val="00CB3622"/>
    <w:rsid w:val="00CB40A2"/>
    <w:rsid w:val="00CB47C6"/>
    <w:rsid w:val="00CB4EB1"/>
    <w:rsid w:val="00CB52F0"/>
    <w:rsid w:val="00CB7D47"/>
    <w:rsid w:val="00CC16D7"/>
    <w:rsid w:val="00CC1B3A"/>
    <w:rsid w:val="00CC215B"/>
    <w:rsid w:val="00CC2375"/>
    <w:rsid w:val="00CC2A6D"/>
    <w:rsid w:val="00CC307E"/>
    <w:rsid w:val="00CC43D6"/>
    <w:rsid w:val="00CC4833"/>
    <w:rsid w:val="00CC4AB8"/>
    <w:rsid w:val="00CC4BDE"/>
    <w:rsid w:val="00CC6595"/>
    <w:rsid w:val="00CC6CE4"/>
    <w:rsid w:val="00CC748C"/>
    <w:rsid w:val="00CD015A"/>
    <w:rsid w:val="00CD0314"/>
    <w:rsid w:val="00CD14A9"/>
    <w:rsid w:val="00CD36DB"/>
    <w:rsid w:val="00CD50ED"/>
    <w:rsid w:val="00CD5ED9"/>
    <w:rsid w:val="00CD619D"/>
    <w:rsid w:val="00CD6C55"/>
    <w:rsid w:val="00CE0C97"/>
    <w:rsid w:val="00CE0E91"/>
    <w:rsid w:val="00CE0FDE"/>
    <w:rsid w:val="00CE1CAA"/>
    <w:rsid w:val="00CE48FD"/>
    <w:rsid w:val="00CE603F"/>
    <w:rsid w:val="00CF0582"/>
    <w:rsid w:val="00CF0A57"/>
    <w:rsid w:val="00CF101B"/>
    <w:rsid w:val="00CF1850"/>
    <w:rsid w:val="00CF2289"/>
    <w:rsid w:val="00CF24F6"/>
    <w:rsid w:val="00CF27C4"/>
    <w:rsid w:val="00CF2FA3"/>
    <w:rsid w:val="00CF4DEF"/>
    <w:rsid w:val="00CF5A53"/>
    <w:rsid w:val="00D0074A"/>
    <w:rsid w:val="00D01A90"/>
    <w:rsid w:val="00D03314"/>
    <w:rsid w:val="00D05DAE"/>
    <w:rsid w:val="00D0605E"/>
    <w:rsid w:val="00D062CD"/>
    <w:rsid w:val="00D06FDF"/>
    <w:rsid w:val="00D07BEE"/>
    <w:rsid w:val="00D07D99"/>
    <w:rsid w:val="00D100BC"/>
    <w:rsid w:val="00D1084C"/>
    <w:rsid w:val="00D10B05"/>
    <w:rsid w:val="00D11399"/>
    <w:rsid w:val="00D11763"/>
    <w:rsid w:val="00D12008"/>
    <w:rsid w:val="00D14FA1"/>
    <w:rsid w:val="00D15AE5"/>
    <w:rsid w:val="00D17740"/>
    <w:rsid w:val="00D17CA8"/>
    <w:rsid w:val="00D20A55"/>
    <w:rsid w:val="00D21108"/>
    <w:rsid w:val="00D214FD"/>
    <w:rsid w:val="00D21AF9"/>
    <w:rsid w:val="00D2386A"/>
    <w:rsid w:val="00D2434E"/>
    <w:rsid w:val="00D251E3"/>
    <w:rsid w:val="00D26706"/>
    <w:rsid w:val="00D27209"/>
    <w:rsid w:val="00D2760F"/>
    <w:rsid w:val="00D278A0"/>
    <w:rsid w:val="00D27E22"/>
    <w:rsid w:val="00D30225"/>
    <w:rsid w:val="00D312EF"/>
    <w:rsid w:val="00D3271C"/>
    <w:rsid w:val="00D33204"/>
    <w:rsid w:val="00D34194"/>
    <w:rsid w:val="00D34BBE"/>
    <w:rsid w:val="00D35BA1"/>
    <w:rsid w:val="00D35E02"/>
    <w:rsid w:val="00D35E3D"/>
    <w:rsid w:val="00D4001E"/>
    <w:rsid w:val="00D417A4"/>
    <w:rsid w:val="00D41EA6"/>
    <w:rsid w:val="00D4291C"/>
    <w:rsid w:val="00D43F92"/>
    <w:rsid w:val="00D442DA"/>
    <w:rsid w:val="00D4687F"/>
    <w:rsid w:val="00D47CF7"/>
    <w:rsid w:val="00D50A9A"/>
    <w:rsid w:val="00D50DDB"/>
    <w:rsid w:val="00D516A4"/>
    <w:rsid w:val="00D52C8B"/>
    <w:rsid w:val="00D54C08"/>
    <w:rsid w:val="00D54F30"/>
    <w:rsid w:val="00D56670"/>
    <w:rsid w:val="00D570B3"/>
    <w:rsid w:val="00D57CF0"/>
    <w:rsid w:val="00D619B9"/>
    <w:rsid w:val="00D627A9"/>
    <w:rsid w:val="00D62A32"/>
    <w:rsid w:val="00D630D3"/>
    <w:rsid w:val="00D63262"/>
    <w:rsid w:val="00D6413A"/>
    <w:rsid w:val="00D643FD"/>
    <w:rsid w:val="00D64AC5"/>
    <w:rsid w:val="00D70181"/>
    <w:rsid w:val="00D70A26"/>
    <w:rsid w:val="00D71ACA"/>
    <w:rsid w:val="00D72091"/>
    <w:rsid w:val="00D73979"/>
    <w:rsid w:val="00D75A85"/>
    <w:rsid w:val="00D75B6E"/>
    <w:rsid w:val="00D76D64"/>
    <w:rsid w:val="00D77A58"/>
    <w:rsid w:val="00D80064"/>
    <w:rsid w:val="00D81E2A"/>
    <w:rsid w:val="00D8206A"/>
    <w:rsid w:val="00D826B8"/>
    <w:rsid w:val="00D83498"/>
    <w:rsid w:val="00D84AD5"/>
    <w:rsid w:val="00D85A07"/>
    <w:rsid w:val="00D863A0"/>
    <w:rsid w:val="00D8659D"/>
    <w:rsid w:val="00D868F7"/>
    <w:rsid w:val="00D90DDA"/>
    <w:rsid w:val="00D90F26"/>
    <w:rsid w:val="00D92831"/>
    <w:rsid w:val="00D92EC0"/>
    <w:rsid w:val="00D96538"/>
    <w:rsid w:val="00D96ED2"/>
    <w:rsid w:val="00D97353"/>
    <w:rsid w:val="00DA09CF"/>
    <w:rsid w:val="00DA1D74"/>
    <w:rsid w:val="00DA1F61"/>
    <w:rsid w:val="00DA3075"/>
    <w:rsid w:val="00DA4343"/>
    <w:rsid w:val="00DA468A"/>
    <w:rsid w:val="00DA5F38"/>
    <w:rsid w:val="00DA652E"/>
    <w:rsid w:val="00DA6D4C"/>
    <w:rsid w:val="00DB00DF"/>
    <w:rsid w:val="00DB0B7F"/>
    <w:rsid w:val="00DB1049"/>
    <w:rsid w:val="00DB10E4"/>
    <w:rsid w:val="00DB13D0"/>
    <w:rsid w:val="00DB207A"/>
    <w:rsid w:val="00DB2147"/>
    <w:rsid w:val="00DB31FD"/>
    <w:rsid w:val="00DB3AD0"/>
    <w:rsid w:val="00DB3D14"/>
    <w:rsid w:val="00DB40A5"/>
    <w:rsid w:val="00DB4564"/>
    <w:rsid w:val="00DB4E02"/>
    <w:rsid w:val="00DB4F1C"/>
    <w:rsid w:val="00DB648C"/>
    <w:rsid w:val="00DB7797"/>
    <w:rsid w:val="00DB7F00"/>
    <w:rsid w:val="00DC3B65"/>
    <w:rsid w:val="00DC518A"/>
    <w:rsid w:val="00DC6527"/>
    <w:rsid w:val="00DC7D5D"/>
    <w:rsid w:val="00DD0E4B"/>
    <w:rsid w:val="00DD134B"/>
    <w:rsid w:val="00DD2B6E"/>
    <w:rsid w:val="00DD2CB3"/>
    <w:rsid w:val="00DD3D28"/>
    <w:rsid w:val="00DD495D"/>
    <w:rsid w:val="00DD4CB4"/>
    <w:rsid w:val="00DD5CFE"/>
    <w:rsid w:val="00DD61A0"/>
    <w:rsid w:val="00DE137B"/>
    <w:rsid w:val="00DE145D"/>
    <w:rsid w:val="00DE17C3"/>
    <w:rsid w:val="00DE1A68"/>
    <w:rsid w:val="00DE2C0E"/>
    <w:rsid w:val="00DE32C0"/>
    <w:rsid w:val="00DE3949"/>
    <w:rsid w:val="00DE4F0C"/>
    <w:rsid w:val="00DE5070"/>
    <w:rsid w:val="00DE549D"/>
    <w:rsid w:val="00DE5C1D"/>
    <w:rsid w:val="00DE60AC"/>
    <w:rsid w:val="00DE65F4"/>
    <w:rsid w:val="00DE6D3B"/>
    <w:rsid w:val="00DE6FF3"/>
    <w:rsid w:val="00DE7135"/>
    <w:rsid w:val="00DE7BAE"/>
    <w:rsid w:val="00DF0A77"/>
    <w:rsid w:val="00DF1E15"/>
    <w:rsid w:val="00DF2109"/>
    <w:rsid w:val="00DF2975"/>
    <w:rsid w:val="00DF2E79"/>
    <w:rsid w:val="00DF3437"/>
    <w:rsid w:val="00DF4EC6"/>
    <w:rsid w:val="00DF526B"/>
    <w:rsid w:val="00DF5A3B"/>
    <w:rsid w:val="00DF701E"/>
    <w:rsid w:val="00DF73BB"/>
    <w:rsid w:val="00DF73ED"/>
    <w:rsid w:val="00E0001A"/>
    <w:rsid w:val="00E00F1A"/>
    <w:rsid w:val="00E00FEE"/>
    <w:rsid w:val="00E018C1"/>
    <w:rsid w:val="00E02054"/>
    <w:rsid w:val="00E02855"/>
    <w:rsid w:val="00E02A25"/>
    <w:rsid w:val="00E0319C"/>
    <w:rsid w:val="00E031DF"/>
    <w:rsid w:val="00E0364C"/>
    <w:rsid w:val="00E03F88"/>
    <w:rsid w:val="00E04302"/>
    <w:rsid w:val="00E05D9A"/>
    <w:rsid w:val="00E0673C"/>
    <w:rsid w:val="00E06F96"/>
    <w:rsid w:val="00E07031"/>
    <w:rsid w:val="00E12260"/>
    <w:rsid w:val="00E125B0"/>
    <w:rsid w:val="00E12F83"/>
    <w:rsid w:val="00E13087"/>
    <w:rsid w:val="00E134DF"/>
    <w:rsid w:val="00E13849"/>
    <w:rsid w:val="00E13B5D"/>
    <w:rsid w:val="00E13BB7"/>
    <w:rsid w:val="00E15BC5"/>
    <w:rsid w:val="00E161C2"/>
    <w:rsid w:val="00E21A32"/>
    <w:rsid w:val="00E23180"/>
    <w:rsid w:val="00E233F0"/>
    <w:rsid w:val="00E24812"/>
    <w:rsid w:val="00E2527E"/>
    <w:rsid w:val="00E262D9"/>
    <w:rsid w:val="00E265CC"/>
    <w:rsid w:val="00E278E6"/>
    <w:rsid w:val="00E27C6D"/>
    <w:rsid w:val="00E30264"/>
    <w:rsid w:val="00E3050B"/>
    <w:rsid w:val="00E31847"/>
    <w:rsid w:val="00E34CF1"/>
    <w:rsid w:val="00E35762"/>
    <w:rsid w:val="00E35942"/>
    <w:rsid w:val="00E36C05"/>
    <w:rsid w:val="00E36DE1"/>
    <w:rsid w:val="00E37EE4"/>
    <w:rsid w:val="00E40822"/>
    <w:rsid w:val="00E40C56"/>
    <w:rsid w:val="00E40F7E"/>
    <w:rsid w:val="00E41CB5"/>
    <w:rsid w:val="00E432A3"/>
    <w:rsid w:val="00E43541"/>
    <w:rsid w:val="00E43D74"/>
    <w:rsid w:val="00E441C1"/>
    <w:rsid w:val="00E44BE6"/>
    <w:rsid w:val="00E44D0D"/>
    <w:rsid w:val="00E44EB2"/>
    <w:rsid w:val="00E450D2"/>
    <w:rsid w:val="00E4590B"/>
    <w:rsid w:val="00E4610B"/>
    <w:rsid w:val="00E46818"/>
    <w:rsid w:val="00E50010"/>
    <w:rsid w:val="00E50516"/>
    <w:rsid w:val="00E5079C"/>
    <w:rsid w:val="00E50FA7"/>
    <w:rsid w:val="00E52362"/>
    <w:rsid w:val="00E53805"/>
    <w:rsid w:val="00E54E97"/>
    <w:rsid w:val="00E55896"/>
    <w:rsid w:val="00E55B59"/>
    <w:rsid w:val="00E564BA"/>
    <w:rsid w:val="00E56602"/>
    <w:rsid w:val="00E57176"/>
    <w:rsid w:val="00E57D0E"/>
    <w:rsid w:val="00E57D3C"/>
    <w:rsid w:val="00E60E05"/>
    <w:rsid w:val="00E63C05"/>
    <w:rsid w:val="00E644D3"/>
    <w:rsid w:val="00E65059"/>
    <w:rsid w:val="00E652E2"/>
    <w:rsid w:val="00E65B5E"/>
    <w:rsid w:val="00E65B66"/>
    <w:rsid w:val="00E67D1C"/>
    <w:rsid w:val="00E70F16"/>
    <w:rsid w:val="00E71513"/>
    <w:rsid w:val="00E726C5"/>
    <w:rsid w:val="00E735C4"/>
    <w:rsid w:val="00E762E4"/>
    <w:rsid w:val="00E77919"/>
    <w:rsid w:val="00E77AD8"/>
    <w:rsid w:val="00E77DD0"/>
    <w:rsid w:val="00E80D88"/>
    <w:rsid w:val="00E82D6F"/>
    <w:rsid w:val="00E83613"/>
    <w:rsid w:val="00E83E65"/>
    <w:rsid w:val="00E8583B"/>
    <w:rsid w:val="00E875E2"/>
    <w:rsid w:val="00E91B78"/>
    <w:rsid w:val="00E934C7"/>
    <w:rsid w:val="00E937C3"/>
    <w:rsid w:val="00E94320"/>
    <w:rsid w:val="00E94A62"/>
    <w:rsid w:val="00E94FCA"/>
    <w:rsid w:val="00E95630"/>
    <w:rsid w:val="00E957F0"/>
    <w:rsid w:val="00E95A3D"/>
    <w:rsid w:val="00E9650A"/>
    <w:rsid w:val="00E973F9"/>
    <w:rsid w:val="00E97B0E"/>
    <w:rsid w:val="00EA14D5"/>
    <w:rsid w:val="00EA178D"/>
    <w:rsid w:val="00EA1A33"/>
    <w:rsid w:val="00EA267D"/>
    <w:rsid w:val="00EA2E6F"/>
    <w:rsid w:val="00EA4245"/>
    <w:rsid w:val="00EA5422"/>
    <w:rsid w:val="00EA7F5C"/>
    <w:rsid w:val="00EB0E61"/>
    <w:rsid w:val="00EB1982"/>
    <w:rsid w:val="00EB1C0F"/>
    <w:rsid w:val="00EB2048"/>
    <w:rsid w:val="00EB2981"/>
    <w:rsid w:val="00EB3667"/>
    <w:rsid w:val="00EB3954"/>
    <w:rsid w:val="00EB4355"/>
    <w:rsid w:val="00EB453B"/>
    <w:rsid w:val="00EB4646"/>
    <w:rsid w:val="00EB611B"/>
    <w:rsid w:val="00EB6737"/>
    <w:rsid w:val="00EC08AA"/>
    <w:rsid w:val="00EC173C"/>
    <w:rsid w:val="00EC43CE"/>
    <w:rsid w:val="00EC4F3A"/>
    <w:rsid w:val="00EC542C"/>
    <w:rsid w:val="00EC5886"/>
    <w:rsid w:val="00EC733D"/>
    <w:rsid w:val="00ED1C71"/>
    <w:rsid w:val="00ED2B9D"/>
    <w:rsid w:val="00ED37A6"/>
    <w:rsid w:val="00ED39A9"/>
    <w:rsid w:val="00ED3C9A"/>
    <w:rsid w:val="00ED45B5"/>
    <w:rsid w:val="00ED5E2C"/>
    <w:rsid w:val="00ED5FAA"/>
    <w:rsid w:val="00ED6B8A"/>
    <w:rsid w:val="00ED7081"/>
    <w:rsid w:val="00ED7450"/>
    <w:rsid w:val="00EE0684"/>
    <w:rsid w:val="00EE1227"/>
    <w:rsid w:val="00EE143B"/>
    <w:rsid w:val="00EE2092"/>
    <w:rsid w:val="00EE2481"/>
    <w:rsid w:val="00EE3D3D"/>
    <w:rsid w:val="00EE4351"/>
    <w:rsid w:val="00EE436D"/>
    <w:rsid w:val="00EE54D6"/>
    <w:rsid w:val="00EE5EE9"/>
    <w:rsid w:val="00EE67BB"/>
    <w:rsid w:val="00EE765C"/>
    <w:rsid w:val="00EE7742"/>
    <w:rsid w:val="00EE7DD9"/>
    <w:rsid w:val="00EF01AD"/>
    <w:rsid w:val="00EF025B"/>
    <w:rsid w:val="00EF07EB"/>
    <w:rsid w:val="00EF2B7D"/>
    <w:rsid w:val="00EF2D6B"/>
    <w:rsid w:val="00EF48DE"/>
    <w:rsid w:val="00EF609A"/>
    <w:rsid w:val="00EF65C1"/>
    <w:rsid w:val="00EF7A6B"/>
    <w:rsid w:val="00F01093"/>
    <w:rsid w:val="00F0309F"/>
    <w:rsid w:val="00F03130"/>
    <w:rsid w:val="00F03A9C"/>
    <w:rsid w:val="00F06281"/>
    <w:rsid w:val="00F067A8"/>
    <w:rsid w:val="00F07B3D"/>
    <w:rsid w:val="00F10313"/>
    <w:rsid w:val="00F10E2D"/>
    <w:rsid w:val="00F11A26"/>
    <w:rsid w:val="00F12298"/>
    <w:rsid w:val="00F1237B"/>
    <w:rsid w:val="00F12517"/>
    <w:rsid w:val="00F12752"/>
    <w:rsid w:val="00F131D9"/>
    <w:rsid w:val="00F13980"/>
    <w:rsid w:val="00F14236"/>
    <w:rsid w:val="00F14E2C"/>
    <w:rsid w:val="00F15A1B"/>
    <w:rsid w:val="00F16F6F"/>
    <w:rsid w:val="00F170DB"/>
    <w:rsid w:val="00F17E45"/>
    <w:rsid w:val="00F200F1"/>
    <w:rsid w:val="00F21242"/>
    <w:rsid w:val="00F216F3"/>
    <w:rsid w:val="00F23487"/>
    <w:rsid w:val="00F234AC"/>
    <w:rsid w:val="00F2515C"/>
    <w:rsid w:val="00F25396"/>
    <w:rsid w:val="00F265CF"/>
    <w:rsid w:val="00F26779"/>
    <w:rsid w:val="00F276B7"/>
    <w:rsid w:val="00F3116D"/>
    <w:rsid w:val="00F32C88"/>
    <w:rsid w:val="00F33977"/>
    <w:rsid w:val="00F34B0D"/>
    <w:rsid w:val="00F3543E"/>
    <w:rsid w:val="00F36340"/>
    <w:rsid w:val="00F367B0"/>
    <w:rsid w:val="00F36CE6"/>
    <w:rsid w:val="00F37952"/>
    <w:rsid w:val="00F37F0C"/>
    <w:rsid w:val="00F37F93"/>
    <w:rsid w:val="00F400BD"/>
    <w:rsid w:val="00F40C67"/>
    <w:rsid w:val="00F4151A"/>
    <w:rsid w:val="00F43F5C"/>
    <w:rsid w:val="00F45678"/>
    <w:rsid w:val="00F46E06"/>
    <w:rsid w:val="00F50CFC"/>
    <w:rsid w:val="00F510F9"/>
    <w:rsid w:val="00F51675"/>
    <w:rsid w:val="00F51D46"/>
    <w:rsid w:val="00F51F1B"/>
    <w:rsid w:val="00F54A20"/>
    <w:rsid w:val="00F56FAA"/>
    <w:rsid w:val="00F573B8"/>
    <w:rsid w:val="00F578DA"/>
    <w:rsid w:val="00F60109"/>
    <w:rsid w:val="00F6104F"/>
    <w:rsid w:val="00F616A3"/>
    <w:rsid w:val="00F62572"/>
    <w:rsid w:val="00F62AA4"/>
    <w:rsid w:val="00F655D4"/>
    <w:rsid w:val="00F70485"/>
    <w:rsid w:val="00F70B89"/>
    <w:rsid w:val="00F71B07"/>
    <w:rsid w:val="00F731E1"/>
    <w:rsid w:val="00F73785"/>
    <w:rsid w:val="00F73934"/>
    <w:rsid w:val="00F74426"/>
    <w:rsid w:val="00F74AA8"/>
    <w:rsid w:val="00F750EA"/>
    <w:rsid w:val="00F75F77"/>
    <w:rsid w:val="00F813F2"/>
    <w:rsid w:val="00F81483"/>
    <w:rsid w:val="00F818A1"/>
    <w:rsid w:val="00F81918"/>
    <w:rsid w:val="00F81F7A"/>
    <w:rsid w:val="00F8268D"/>
    <w:rsid w:val="00F82A86"/>
    <w:rsid w:val="00F82F75"/>
    <w:rsid w:val="00F839D2"/>
    <w:rsid w:val="00F84669"/>
    <w:rsid w:val="00F86DEE"/>
    <w:rsid w:val="00F8728F"/>
    <w:rsid w:val="00F910DC"/>
    <w:rsid w:val="00F9200F"/>
    <w:rsid w:val="00F92809"/>
    <w:rsid w:val="00F932E3"/>
    <w:rsid w:val="00F936CB"/>
    <w:rsid w:val="00F93F1F"/>
    <w:rsid w:val="00F94996"/>
    <w:rsid w:val="00F94D71"/>
    <w:rsid w:val="00F96C8D"/>
    <w:rsid w:val="00F97109"/>
    <w:rsid w:val="00F97296"/>
    <w:rsid w:val="00F97BED"/>
    <w:rsid w:val="00FA0217"/>
    <w:rsid w:val="00FA1E5F"/>
    <w:rsid w:val="00FA1E99"/>
    <w:rsid w:val="00FA28CE"/>
    <w:rsid w:val="00FA6198"/>
    <w:rsid w:val="00FA6384"/>
    <w:rsid w:val="00FA68AD"/>
    <w:rsid w:val="00FA6DBF"/>
    <w:rsid w:val="00FA6EEB"/>
    <w:rsid w:val="00FA7A0F"/>
    <w:rsid w:val="00FB296F"/>
    <w:rsid w:val="00FB3115"/>
    <w:rsid w:val="00FB3BD5"/>
    <w:rsid w:val="00FB5306"/>
    <w:rsid w:val="00FB583F"/>
    <w:rsid w:val="00FB6317"/>
    <w:rsid w:val="00FB6BB5"/>
    <w:rsid w:val="00FB71A4"/>
    <w:rsid w:val="00FB73E5"/>
    <w:rsid w:val="00FB7FB0"/>
    <w:rsid w:val="00FC241B"/>
    <w:rsid w:val="00FC5BD3"/>
    <w:rsid w:val="00FC5C4B"/>
    <w:rsid w:val="00FC5FD9"/>
    <w:rsid w:val="00FC76B0"/>
    <w:rsid w:val="00FC7FF9"/>
    <w:rsid w:val="00FD03C7"/>
    <w:rsid w:val="00FD1B06"/>
    <w:rsid w:val="00FD284E"/>
    <w:rsid w:val="00FD3CFA"/>
    <w:rsid w:val="00FD48A1"/>
    <w:rsid w:val="00FD530D"/>
    <w:rsid w:val="00FD5F82"/>
    <w:rsid w:val="00FD6A25"/>
    <w:rsid w:val="00FE1028"/>
    <w:rsid w:val="00FE2944"/>
    <w:rsid w:val="00FE400B"/>
    <w:rsid w:val="00FE4904"/>
    <w:rsid w:val="00FE5B19"/>
    <w:rsid w:val="00FE637C"/>
    <w:rsid w:val="00FE6546"/>
    <w:rsid w:val="00FE7D8A"/>
    <w:rsid w:val="00FF01DA"/>
    <w:rsid w:val="00FF3799"/>
    <w:rsid w:val="00FF4277"/>
    <w:rsid w:val="00FF5789"/>
    <w:rsid w:val="00FF5DAE"/>
    <w:rsid w:val="00FF6FD3"/>
    <w:rsid w:val="00FF72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D45B9"/>
  <w15:chartTrackingRefBased/>
  <w15:docId w15:val="{823AEBE4-65A0-4979-85AE-F791973C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2BA"/>
  </w:style>
  <w:style w:type="paragraph" w:styleId="Heading1">
    <w:name w:val="heading 1"/>
    <w:basedOn w:val="Normal"/>
    <w:next w:val="Normal"/>
    <w:link w:val="Heading1Char"/>
    <w:uiPriority w:val="9"/>
    <w:qFormat/>
    <w:rsid w:val="005672B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5672B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672B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672B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5672B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672B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672B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672B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672B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E07B0"/>
    <w:rPr>
      <w:sz w:val="16"/>
      <w:szCs w:val="16"/>
    </w:rPr>
  </w:style>
  <w:style w:type="paragraph" w:styleId="CommentText">
    <w:name w:val="annotation text"/>
    <w:basedOn w:val="Normal"/>
    <w:link w:val="CommentTextChar"/>
    <w:uiPriority w:val="99"/>
    <w:unhideWhenUsed/>
    <w:rsid w:val="006E07B0"/>
    <w:pPr>
      <w:spacing w:line="240" w:lineRule="auto"/>
    </w:pPr>
    <w:rPr>
      <w:sz w:val="20"/>
      <w:szCs w:val="20"/>
    </w:rPr>
  </w:style>
  <w:style w:type="character" w:customStyle="1" w:styleId="CommentTextChar">
    <w:name w:val="Comment Text Char"/>
    <w:basedOn w:val="DefaultParagraphFont"/>
    <w:link w:val="CommentText"/>
    <w:uiPriority w:val="99"/>
    <w:rsid w:val="006E07B0"/>
    <w:rPr>
      <w:sz w:val="20"/>
      <w:szCs w:val="20"/>
    </w:rPr>
  </w:style>
  <w:style w:type="paragraph" w:styleId="CommentSubject">
    <w:name w:val="annotation subject"/>
    <w:basedOn w:val="CommentText"/>
    <w:next w:val="CommentText"/>
    <w:link w:val="CommentSubjectChar"/>
    <w:uiPriority w:val="99"/>
    <w:semiHidden/>
    <w:unhideWhenUsed/>
    <w:rsid w:val="006E07B0"/>
    <w:rPr>
      <w:b/>
      <w:bCs/>
    </w:rPr>
  </w:style>
  <w:style w:type="character" w:customStyle="1" w:styleId="CommentSubjectChar">
    <w:name w:val="Comment Subject Char"/>
    <w:basedOn w:val="CommentTextChar"/>
    <w:link w:val="CommentSubject"/>
    <w:uiPriority w:val="99"/>
    <w:semiHidden/>
    <w:rsid w:val="006E07B0"/>
    <w:rPr>
      <w:b/>
      <w:bCs/>
      <w:sz w:val="20"/>
      <w:szCs w:val="20"/>
    </w:rPr>
  </w:style>
  <w:style w:type="paragraph" w:styleId="BalloonText">
    <w:name w:val="Balloon Text"/>
    <w:basedOn w:val="Normal"/>
    <w:link w:val="BalloonTextChar"/>
    <w:uiPriority w:val="99"/>
    <w:semiHidden/>
    <w:unhideWhenUsed/>
    <w:rsid w:val="006E0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7B0"/>
    <w:rPr>
      <w:rFonts w:ascii="Segoe UI" w:hAnsi="Segoe UI" w:cs="Segoe UI"/>
      <w:sz w:val="18"/>
      <w:szCs w:val="18"/>
    </w:rPr>
  </w:style>
  <w:style w:type="paragraph" w:styleId="ListParagraph">
    <w:name w:val="List Paragraph"/>
    <w:basedOn w:val="Normal"/>
    <w:uiPriority w:val="34"/>
    <w:qFormat/>
    <w:rsid w:val="00B8239C"/>
    <w:pPr>
      <w:ind w:left="720"/>
      <w:contextualSpacing/>
    </w:pPr>
  </w:style>
  <w:style w:type="character" w:customStyle="1" w:styleId="Heading1Char">
    <w:name w:val="Heading 1 Char"/>
    <w:basedOn w:val="DefaultParagraphFont"/>
    <w:link w:val="Heading1"/>
    <w:uiPriority w:val="9"/>
    <w:rsid w:val="005672BA"/>
    <w:rPr>
      <w:rFonts w:asciiTheme="majorHAnsi" w:eastAsiaTheme="majorEastAsia" w:hAnsiTheme="majorHAnsi" w:cstheme="majorBidi"/>
      <w:color w:val="1F3864" w:themeColor="accent1" w:themeShade="80"/>
      <w:sz w:val="36"/>
      <w:szCs w:val="36"/>
    </w:rPr>
  </w:style>
  <w:style w:type="paragraph" w:styleId="Bibliography">
    <w:name w:val="Bibliography"/>
    <w:basedOn w:val="Normal"/>
    <w:next w:val="Normal"/>
    <w:uiPriority w:val="37"/>
    <w:unhideWhenUsed/>
    <w:qFormat/>
    <w:rsid w:val="00690C74"/>
    <w:pPr>
      <w:spacing w:after="0" w:line="480" w:lineRule="auto"/>
      <w:ind w:left="720" w:hanging="720"/>
    </w:pPr>
    <w:rPr>
      <w:rFonts w:ascii="Times New Roman" w:eastAsia="SimSun" w:hAnsi="Times New Roman" w:cs="Times New Roman"/>
      <w:kern w:val="24"/>
      <w:sz w:val="24"/>
      <w:szCs w:val="24"/>
      <w:lang w:val="en-GB" w:eastAsia="ja-JP"/>
    </w:rPr>
  </w:style>
  <w:style w:type="character" w:customStyle="1" w:styleId="Heading2Char">
    <w:name w:val="Heading 2 Char"/>
    <w:basedOn w:val="DefaultParagraphFont"/>
    <w:link w:val="Heading2"/>
    <w:uiPriority w:val="9"/>
    <w:rsid w:val="005672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672B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5672B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5672B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672B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672B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672B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672BA"/>
    <w:rPr>
      <w:rFonts w:asciiTheme="majorHAnsi" w:eastAsiaTheme="majorEastAsia" w:hAnsiTheme="majorHAnsi" w:cstheme="majorBidi"/>
      <w:i/>
      <w:iCs/>
      <w:color w:val="1F3864" w:themeColor="accent1" w:themeShade="80"/>
    </w:rPr>
  </w:style>
  <w:style w:type="numbering" w:customStyle="1" w:styleId="NoList1">
    <w:name w:val="No List1"/>
    <w:next w:val="NoList"/>
    <w:uiPriority w:val="99"/>
    <w:semiHidden/>
    <w:unhideWhenUsed/>
    <w:rsid w:val="00CA7446"/>
  </w:style>
  <w:style w:type="paragraph" w:customStyle="1" w:styleId="SectionTitle">
    <w:name w:val="Section Title"/>
    <w:basedOn w:val="Normal"/>
    <w:uiPriority w:val="2"/>
    <w:qFormat/>
    <w:rsid w:val="00CA7446"/>
    <w:pPr>
      <w:pageBreakBefore/>
      <w:spacing w:after="0" w:line="240" w:lineRule="auto"/>
      <w:jc w:val="center"/>
      <w:outlineLvl w:val="0"/>
    </w:pPr>
    <w:rPr>
      <w:rFonts w:ascii="Times New Roman" w:eastAsia="SimHei" w:hAnsi="Times New Roman" w:cs="Times New Roman"/>
      <w:kern w:val="24"/>
      <w:sz w:val="24"/>
      <w:szCs w:val="24"/>
      <w:lang w:val="en-GB" w:eastAsia="ja-JP"/>
    </w:rPr>
  </w:style>
  <w:style w:type="paragraph" w:styleId="Header">
    <w:name w:val="header"/>
    <w:basedOn w:val="Normal"/>
    <w:link w:val="HeaderChar"/>
    <w:uiPriority w:val="99"/>
    <w:unhideWhenUsed/>
    <w:qFormat/>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HeaderChar">
    <w:name w:val="Header Char"/>
    <w:basedOn w:val="DefaultParagraphFont"/>
    <w:link w:val="Header"/>
    <w:uiPriority w:val="99"/>
    <w:rsid w:val="00CA7446"/>
    <w:rPr>
      <w:rFonts w:ascii="Times New Roman" w:eastAsia="SimSun" w:hAnsi="Times New Roman" w:cs="Times New Roman"/>
      <w:kern w:val="24"/>
      <w:sz w:val="24"/>
      <w:szCs w:val="24"/>
      <w:lang w:val="en-GB" w:eastAsia="ja-JP"/>
    </w:rPr>
  </w:style>
  <w:style w:type="character" w:styleId="Strong">
    <w:name w:val="Strong"/>
    <w:basedOn w:val="DefaultParagraphFont"/>
    <w:qFormat/>
    <w:rsid w:val="005672BA"/>
    <w:rPr>
      <w:b/>
      <w:bCs/>
    </w:rPr>
  </w:style>
  <w:style w:type="character" w:styleId="PlaceholderText">
    <w:name w:val="Placeholder Text"/>
    <w:uiPriority w:val="99"/>
    <w:semiHidden/>
    <w:rsid w:val="00CA7446"/>
    <w:rPr>
      <w:color w:val="404040"/>
    </w:rPr>
  </w:style>
  <w:style w:type="paragraph" w:styleId="NoSpacing">
    <w:name w:val="No Spacing"/>
    <w:aliases w:val="No Indent"/>
    <w:link w:val="NoSpacingChar"/>
    <w:uiPriority w:val="1"/>
    <w:qFormat/>
    <w:rsid w:val="005672BA"/>
    <w:pPr>
      <w:spacing w:after="0" w:line="240" w:lineRule="auto"/>
    </w:pPr>
  </w:style>
  <w:style w:type="paragraph" w:styleId="Title">
    <w:name w:val="Title"/>
    <w:basedOn w:val="Normal"/>
    <w:next w:val="Normal"/>
    <w:link w:val="TitleChar"/>
    <w:qFormat/>
    <w:rsid w:val="005672B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5672BA"/>
    <w:rPr>
      <w:rFonts w:asciiTheme="majorHAnsi" w:eastAsiaTheme="majorEastAsia" w:hAnsiTheme="majorHAnsi" w:cstheme="majorBidi"/>
      <w:caps/>
      <w:color w:val="44546A" w:themeColor="text2"/>
      <w:spacing w:val="-15"/>
      <w:sz w:val="72"/>
      <w:szCs w:val="72"/>
    </w:rPr>
  </w:style>
  <w:style w:type="character" w:styleId="Emphasis">
    <w:name w:val="Emphasis"/>
    <w:basedOn w:val="DefaultParagraphFont"/>
    <w:uiPriority w:val="4"/>
    <w:qFormat/>
    <w:rsid w:val="005672BA"/>
    <w:rPr>
      <w:i/>
      <w:iCs/>
    </w:rPr>
  </w:style>
  <w:style w:type="paragraph" w:styleId="BlockText">
    <w:name w:val="Block Text"/>
    <w:basedOn w:val="Normal"/>
    <w:uiPriority w:val="99"/>
    <w:semiHidden/>
    <w:unhideWhenUsed/>
    <w:rsid w:val="00CA7446"/>
    <w:pPr>
      <w:pBdr>
        <w:top w:val="single" w:sz="2" w:space="10" w:color="595959" w:shadow="1"/>
        <w:left w:val="single" w:sz="2" w:space="10" w:color="595959" w:shadow="1"/>
        <w:bottom w:val="single" w:sz="2" w:space="10" w:color="595959" w:shadow="1"/>
        <w:right w:val="single" w:sz="2" w:space="10" w:color="595959" w:shadow="1"/>
      </w:pBdr>
      <w:spacing w:after="0" w:line="240" w:lineRule="auto"/>
      <w:ind w:left="1152" w:right="1152"/>
    </w:pPr>
    <w:rPr>
      <w:rFonts w:ascii="Times New Roman" w:eastAsia="SimSun" w:hAnsi="Times New Roman" w:cs="Times New Roman"/>
      <w:i/>
      <w:iCs/>
      <w:color w:val="595959"/>
      <w:kern w:val="24"/>
      <w:sz w:val="24"/>
      <w:szCs w:val="24"/>
      <w:lang w:val="en-GB" w:eastAsia="ja-JP"/>
    </w:rPr>
  </w:style>
  <w:style w:type="paragraph" w:styleId="BodyText">
    <w:name w:val="Body Text"/>
    <w:basedOn w:val="Normal"/>
    <w:link w:val="BodyTextChar"/>
    <w:uiPriority w:val="99"/>
    <w:semiHidden/>
    <w:unhideWhenUsed/>
    <w:rsid w:val="00CA7446"/>
    <w:pPr>
      <w:spacing w:after="120" w:line="240" w:lineRule="auto"/>
    </w:pPr>
    <w:rPr>
      <w:rFonts w:ascii="Times New Roman" w:eastAsia="SimSun" w:hAnsi="Times New Roman" w:cs="Times New Roman"/>
      <w:kern w:val="24"/>
      <w:sz w:val="24"/>
      <w:szCs w:val="24"/>
      <w:lang w:val="en-GB" w:eastAsia="ja-JP"/>
    </w:rPr>
  </w:style>
  <w:style w:type="character" w:customStyle="1" w:styleId="BodyTextChar">
    <w:name w:val="Body Text Char"/>
    <w:basedOn w:val="DefaultParagraphFont"/>
    <w:link w:val="BodyText"/>
    <w:uiPriority w:val="99"/>
    <w:semiHidden/>
    <w:rsid w:val="00CA7446"/>
    <w:rPr>
      <w:rFonts w:ascii="Times New Roman" w:eastAsia="SimSun" w:hAnsi="Times New Roman" w:cs="Times New Roman"/>
      <w:kern w:val="24"/>
      <w:sz w:val="24"/>
      <w:szCs w:val="24"/>
      <w:lang w:val="en-GB" w:eastAsia="ja-JP"/>
    </w:rPr>
  </w:style>
  <w:style w:type="paragraph" w:styleId="BodyText2">
    <w:name w:val="Body Text 2"/>
    <w:basedOn w:val="Normal"/>
    <w:link w:val="BodyText2Char"/>
    <w:uiPriority w:val="99"/>
    <w:semiHidden/>
    <w:unhideWhenUsed/>
    <w:rsid w:val="00CA7446"/>
    <w:pPr>
      <w:spacing w:after="120" w:line="240" w:lineRule="auto"/>
    </w:pPr>
    <w:rPr>
      <w:rFonts w:ascii="Times New Roman" w:eastAsia="SimSun" w:hAnsi="Times New Roman" w:cs="Times New Roman"/>
      <w:kern w:val="24"/>
      <w:sz w:val="24"/>
      <w:szCs w:val="24"/>
      <w:lang w:val="en-GB" w:eastAsia="ja-JP"/>
    </w:rPr>
  </w:style>
  <w:style w:type="character" w:customStyle="1" w:styleId="BodyText2Char">
    <w:name w:val="Body Text 2 Char"/>
    <w:basedOn w:val="DefaultParagraphFont"/>
    <w:link w:val="BodyText2"/>
    <w:uiPriority w:val="99"/>
    <w:semiHidden/>
    <w:rsid w:val="00CA7446"/>
    <w:rPr>
      <w:rFonts w:ascii="Times New Roman" w:eastAsia="SimSun" w:hAnsi="Times New Roman" w:cs="Times New Roman"/>
      <w:kern w:val="24"/>
      <w:sz w:val="24"/>
      <w:szCs w:val="24"/>
      <w:lang w:val="en-GB" w:eastAsia="ja-JP"/>
    </w:rPr>
  </w:style>
  <w:style w:type="paragraph" w:styleId="BodyText3">
    <w:name w:val="Body Text 3"/>
    <w:basedOn w:val="Normal"/>
    <w:link w:val="BodyText3Char"/>
    <w:uiPriority w:val="99"/>
    <w:semiHidden/>
    <w:unhideWhenUsed/>
    <w:rsid w:val="00CA7446"/>
    <w:pPr>
      <w:spacing w:after="120" w:line="240" w:lineRule="auto"/>
    </w:pPr>
    <w:rPr>
      <w:rFonts w:ascii="Times New Roman" w:eastAsia="SimSun" w:hAnsi="Times New Roman" w:cs="Times New Roman"/>
      <w:kern w:val="24"/>
      <w:szCs w:val="16"/>
      <w:lang w:val="en-GB" w:eastAsia="ja-JP"/>
    </w:rPr>
  </w:style>
  <w:style w:type="character" w:customStyle="1" w:styleId="BodyText3Char">
    <w:name w:val="Body Text 3 Char"/>
    <w:basedOn w:val="DefaultParagraphFont"/>
    <w:link w:val="BodyText3"/>
    <w:uiPriority w:val="99"/>
    <w:semiHidden/>
    <w:rsid w:val="00CA7446"/>
    <w:rPr>
      <w:rFonts w:ascii="Times New Roman" w:eastAsia="SimSun" w:hAnsi="Times New Roman" w:cs="Times New Roman"/>
      <w:kern w:val="24"/>
      <w:szCs w:val="16"/>
      <w:lang w:val="en-GB" w:eastAsia="ja-JP"/>
    </w:rPr>
  </w:style>
  <w:style w:type="paragraph" w:styleId="BodyTextFirstIndent">
    <w:name w:val="Body Text First Indent"/>
    <w:basedOn w:val="BodyText"/>
    <w:link w:val="BodyTextFirstIndentChar"/>
    <w:uiPriority w:val="99"/>
    <w:semiHidden/>
    <w:unhideWhenUsed/>
    <w:rsid w:val="00CA7446"/>
    <w:pPr>
      <w:spacing w:after="0"/>
    </w:pPr>
  </w:style>
  <w:style w:type="character" w:customStyle="1" w:styleId="BodyTextFirstIndentChar">
    <w:name w:val="Body Text First Indent Char"/>
    <w:basedOn w:val="BodyTextChar"/>
    <w:link w:val="BodyTextFirstIndent"/>
    <w:uiPriority w:val="99"/>
    <w:semiHidden/>
    <w:rsid w:val="00CA7446"/>
    <w:rPr>
      <w:rFonts w:ascii="Times New Roman" w:eastAsia="SimSun" w:hAnsi="Times New Roman" w:cs="Times New Roman"/>
      <w:kern w:val="24"/>
      <w:sz w:val="24"/>
      <w:szCs w:val="24"/>
      <w:lang w:val="en-GB" w:eastAsia="ja-JP"/>
    </w:rPr>
  </w:style>
  <w:style w:type="paragraph" w:styleId="BodyTextIndent">
    <w:name w:val="Body Text Indent"/>
    <w:basedOn w:val="Normal"/>
    <w:link w:val="BodyTextIndentChar"/>
    <w:uiPriority w:val="99"/>
    <w:semiHidden/>
    <w:unhideWhenUsed/>
    <w:rsid w:val="00CA7446"/>
    <w:pPr>
      <w:spacing w:after="120" w:line="240" w:lineRule="auto"/>
      <w:ind w:left="360"/>
    </w:pPr>
    <w:rPr>
      <w:rFonts w:ascii="Times New Roman" w:eastAsia="SimSun" w:hAnsi="Times New Roman" w:cs="Times New Roman"/>
      <w:kern w:val="24"/>
      <w:sz w:val="24"/>
      <w:szCs w:val="24"/>
      <w:lang w:val="en-GB" w:eastAsia="ja-JP"/>
    </w:rPr>
  </w:style>
  <w:style w:type="character" w:customStyle="1" w:styleId="BodyTextIndentChar">
    <w:name w:val="Body Text Indent Char"/>
    <w:basedOn w:val="DefaultParagraphFont"/>
    <w:link w:val="BodyTextIndent"/>
    <w:uiPriority w:val="99"/>
    <w:semiHidden/>
    <w:rsid w:val="00CA7446"/>
    <w:rPr>
      <w:rFonts w:ascii="Times New Roman" w:eastAsia="SimSun" w:hAnsi="Times New Roman" w:cs="Times New Roman"/>
      <w:kern w:val="24"/>
      <w:sz w:val="24"/>
      <w:szCs w:val="24"/>
      <w:lang w:val="en-GB" w:eastAsia="ja-JP"/>
    </w:rPr>
  </w:style>
  <w:style w:type="paragraph" w:styleId="BodyTextFirstIndent2">
    <w:name w:val="Body Text First Indent 2"/>
    <w:basedOn w:val="BodyTextIndent"/>
    <w:link w:val="BodyTextFirstIndent2Char"/>
    <w:uiPriority w:val="99"/>
    <w:semiHidden/>
    <w:unhideWhenUsed/>
    <w:rsid w:val="00CA7446"/>
    <w:pPr>
      <w:spacing w:after="0"/>
    </w:pPr>
  </w:style>
  <w:style w:type="character" w:customStyle="1" w:styleId="BodyTextFirstIndent2Char">
    <w:name w:val="Body Text First Indent 2 Char"/>
    <w:basedOn w:val="BodyTextIndentChar"/>
    <w:link w:val="BodyTextFirstIndent2"/>
    <w:uiPriority w:val="99"/>
    <w:semiHidden/>
    <w:rsid w:val="00CA7446"/>
    <w:rPr>
      <w:rFonts w:ascii="Times New Roman" w:eastAsia="SimSun" w:hAnsi="Times New Roman" w:cs="Times New Roman"/>
      <w:kern w:val="24"/>
      <w:sz w:val="24"/>
      <w:szCs w:val="24"/>
      <w:lang w:val="en-GB" w:eastAsia="ja-JP"/>
    </w:rPr>
  </w:style>
  <w:style w:type="paragraph" w:styleId="BodyTextIndent2">
    <w:name w:val="Body Text Indent 2"/>
    <w:basedOn w:val="Normal"/>
    <w:link w:val="BodyTextIndent2Char"/>
    <w:uiPriority w:val="99"/>
    <w:semiHidden/>
    <w:unhideWhenUsed/>
    <w:rsid w:val="00CA7446"/>
    <w:pPr>
      <w:spacing w:after="120" w:line="240" w:lineRule="auto"/>
      <w:ind w:left="360"/>
    </w:pPr>
    <w:rPr>
      <w:rFonts w:ascii="Times New Roman" w:eastAsia="SimSun" w:hAnsi="Times New Roman" w:cs="Times New Roman"/>
      <w:kern w:val="24"/>
      <w:sz w:val="24"/>
      <w:szCs w:val="24"/>
      <w:lang w:val="en-GB" w:eastAsia="ja-JP"/>
    </w:rPr>
  </w:style>
  <w:style w:type="character" w:customStyle="1" w:styleId="BodyTextIndent2Char">
    <w:name w:val="Body Text Indent 2 Char"/>
    <w:basedOn w:val="DefaultParagraphFont"/>
    <w:link w:val="BodyTextIndent2"/>
    <w:uiPriority w:val="99"/>
    <w:semiHidden/>
    <w:rsid w:val="00CA7446"/>
    <w:rPr>
      <w:rFonts w:ascii="Times New Roman" w:eastAsia="SimSun" w:hAnsi="Times New Roman" w:cs="Times New Roman"/>
      <w:kern w:val="24"/>
      <w:sz w:val="24"/>
      <w:szCs w:val="24"/>
      <w:lang w:val="en-GB" w:eastAsia="ja-JP"/>
    </w:rPr>
  </w:style>
  <w:style w:type="paragraph" w:styleId="BodyTextIndent3">
    <w:name w:val="Body Text Indent 3"/>
    <w:basedOn w:val="Normal"/>
    <w:link w:val="BodyTextIndent3Char"/>
    <w:uiPriority w:val="99"/>
    <w:semiHidden/>
    <w:unhideWhenUsed/>
    <w:rsid w:val="00CA7446"/>
    <w:pPr>
      <w:spacing w:after="120" w:line="240" w:lineRule="auto"/>
      <w:ind w:left="360"/>
    </w:pPr>
    <w:rPr>
      <w:rFonts w:ascii="Times New Roman" w:eastAsia="SimSun" w:hAnsi="Times New Roman" w:cs="Times New Roman"/>
      <w:kern w:val="24"/>
      <w:szCs w:val="16"/>
      <w:lang w:val="en-GB" w:eastAsia="ja-JP"/>
    </w:rPr>
  </w:style>
  <w:style w:type="character" w:customStyle="1" w:styleId="BodyTextIndent3Char">
    <w:name w:val="Body Text Indent 3 Char"/>
    <w:basedOn w:val="DefaultParagraphFont"/>
    <w:link w:val="BodyTextIndent3"/>
    <w:uiPriority w:val="99"/>
    <w:semiHidden/>
    <w:rsid w:val="00CA7446"/>
    <w:rPr>
      <w:rFonts w:ascii="Times New Roman" w:eastAsia="SimSun" w:hAnsi="Times New Roman" w:cs="Times New Roman"/>
      <w:kern w:val="24"/>
      <w:szCs w:val="16"/>
      <w:lang w:val="en-GB" w:eastAsia="ja-JP"/>
    </w:rPr>
  </w:style>
  <w:style w:type="paragraph" w:styleId="Caption">
    <w:name w:val="caption"/>
    <w:basedOn w:val="Normal"/>
    <w:next w:val="Normal"/>
    <w:uiPriority w:val="35"/>
    <w:unhideWhenUsed/>
    <w:qFormat/>
    <w:rsid w:val="007C7818"/>
    <w:pPr>
      <w:spacing w:after="0" w:line="240" w:lineRule="auto"/>
    </w:pPr>
    <w:rPr>
      <w:rFonts w:ascii="Times New Roman" w:hAnsi="Times New Roman"/>
      <w:b/>
      <w:bCs/>
      <w:smallCaps/>
      <w:color w:val="000000" w:themeColor="text1"/>
      <w:sz w:val="20"/>
    </w:rPr>
  </w:style>
  <w:style w:type="paragraph" w:styleId="Closing">
    <w:name w:val="Closing"/>
    <w:basedOn w:val="Normal"/>
    <w:link w:val="ClosingChar"/>
    <w:uiPriority w:val="99"/>
    <w:semiHidden/>
    <w:unhideWhenUsed/>
    <w:rsid w:val="00CA7446"/>
    <w:pPr>
      <w:spacing w:after="0" w:line="240" w:lineRule="auto"/>
      <w:ind w:left="4320"/>
    </w:pPr>
    <w:rPr>
      <w:rFonts w:ascii="Times New Roman" w:eastAsia="SimSun" w:hAnsi="Times New Roman" w:cs="Times New Roman"/>
      <w:kern w:val="24"/>
      <w:sz w:val="24"/>
      <w:szCs w:val="24"/>
      <w:lang w:val="en-GB" w:eastAsia="ja-JP"/>
    </w:rPr>
  </w:style>
  <w:style w:type="character" w:customStyle="1" w:styleId="ClosingChar">
    <w:name w:val="Closing Char"/>
    <w:basedOn w:val="DefaultParagraphFont"/>
    <w:link w:val="Closing"/>
    <w:uiPriority w:val="99"/>
    <w:semiHidden/>
    <w:rsid w:val="00CA7446"/>
    <w:rPr>
      <w:rFonts w:ascii="Times New Roman" w:eastAsia="SimSun" w:hAnsi="Times New Roman" w:cs="Times New Roman"/>
      <w:kern w:val="24"/>
      <w:sz w:val="24"/>
      <w:szCs w:val="24"/>
      <w:lang w:val="en-GB" w:eastAsia="ja-JP"/>
    </w:rPr>
  </w:style>
  <w:style w:type="paragraph" w:styleId="Date">
    <w:name w:val="Date"/>
    <w:basedOn w:val="Normal"/>
    <w:next w:val="Normal"/>
    <w:link w:val="DateChar"/>
    <w:uiPriority w:val="99"/>
    <w:semiHidden/>
    <w:unhideWhenUsed/>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DateChar">
    <w:name w:val="Date Char"/>
    <w:basedOn w:val="DefaultParagraphFont"/>
    <w:link w:val="Date"/>
    <w:uiPriority w:val="99"/>
    <w:semiHidden/>
    <w:rsid w:val="00CA7446"/>
    <w:rPr>
      <w:rFonts w:ascii="Times New Roman" w:eastAsia="SimSun" w:hAnsi="Times New Roman" w:cs="Times New Roman"/>
      <w:kern w:val="24"/>
      <w:sz w:val="24"/>
      <w:szCs w:val="24"/>
      <w:lang w:val="en-GB" w:eastAsia="ja-JP"/>
    </w:rPr>
  </w:style>
  <w:style w:type="paragraph" w:styleId="DocumentMap">
    <w:name w:val="Document Map"/>
    <w:basedOn w:val="Normal"/>
    <w:link w:val="DocumentMapChar"/>
    <w:uiPriority w:val="99"/>
    <w:semiHidden/>
    <w:unhideWhenUsed/>
    <w:rsid w:val="00CA7446"/>
    <w:pPr>
      <w:spacing w:after="0" w:line="240" w:lineRule="auto"/>
    </w:pPr>
    <w:rPr>
      <w:rFonts w:ascii="Segoe UI" w:eastAsia="SimSun" w:hAnsi="Segoe UI" w:cs="Segoe UI"/>
      <w:kern w:val="24"/>
      <w:szCs w:val="16"/>
      <w:lang w:val="en-GB" w:eastAsia="ja-JP"/>
    </w:rPr>
  </w:style>
  <w:style w:type="character" w:customStyle="1" w:styleId="DocumentMapChar">
    <w:name w:val="Document Map Char"/>
    <w:basedOn w:val="DefaultParagraphFont"/>
    <w:link w:val="DocumentMap"/>
    <w:uiPriority w:val="99"/>
    <w:semiHidden/>
    <w:rsid w:val="00CA7446"/>
    <w:rPr>
      <w:rFonts w:ascii="Segoe UI" w:eastAsia="SimSun" w:hAnsi="Segoe UI" w:cs="Segoe UI"/>
      <w:kern w:val="24"/>
      <w:szCs w:val="16"/>
      <w:lang w:val="en-GB" w:eastAsia="ja-JP"/>
    </w:rPr>
  </w:style>
  <w:style w:type="paragraph" w:styleId="E-mailSignature">
    <w:name w:val="E-mail Signature"/>
    <w:basedOn w:val="Normal"/>
    <w:link w:val="E-mailSignatureChar"/>
    <w:uiPriority w:val="99"/>
    <w:semiHidden/>
    <w:unhideWhenUsed/>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E-mailSignatureChar">
    <w:name w:val="E-mail Signature Char"/>
    <w:basedOn w:val="DefaultParagraphFont"/>
    <w:link w:val="E-mailSignature"/>
    <w:uiPriority w:val="99"/>
    <w:semiHidden/>
    <w:rsid w:val="00CA7446"/>
    <w:rPr>
      <w:rFonts w:ascii="Times New Roman" w:eastAsia="SimSun" w:hAnsi="Times New Roman" w:cs="Times New Roman"/>
      <w:kern w:val="24"/>
      <w:sz w:val="24"/>
      <w:szCs w:val="24"/>
      <w:lang w:val="en-GB" w:eastAsia="ja-JP"/>
    </w:rPr>
  </w:style>
  <w:style w:type="paragraph" w:styleId="FootnoteText">
    <w:name w:val="footnote text"/>
    <w:basedOn w:val="Normal"/>
    <w:link w:val="FootnoteTextChar"/>
    <w:uiPriority w:val="99"/>
    <w:unhideWhenUsed/>
    <w:rsid w:val="00CA7446"/>
    <w:pPr>
      <w:spacing w:after="0" w:line="240" w:lineRule="auto"/>
      <w:ind w:firstLine="720"/>
    </w:pPr>
    <w:rPr>
      <w:rFonts w:ascii="Times New Roman" w:eastAsia="SimSun" w:hAnsi="Times New Roman" w:cs="Times New Roman"/>
      <w:kern w:val="24"/>
      <w:szCs w:val="20"/>
      <w:lang w:val="en-GB" w:eastAsia="ja-JP"/>
    </w:rPr>
  </w:style>
  <w:style w:type="character" w:customStyle="1" w:styleId="FootnoteTextChar">
    <w:name w:val="Footnote Text Char"/>
    <w:basedOn w:val="DefaultParagraphFont"/>
    <w:link w:val="FootnoteText"/>
    <w:uiPriority w:val="99"/>
    <w:rsid w:val="00CA7446"/>
    <w:rPr>
      <w:rFonts w:ascii="Times New Roman" w:eastAsia="SimSun" w:hAnsi="Times New Roman" w:cs="Times New Roman"/>
      <w:kern w:val="24"/>
      <w:szCs w:val="20"/>
      <w:lang w:val="en-GB" w:eastAsia="ja-JP"/>
    </w:rPr>
  </w:style>
  <w:style w:type="paragraph" w:styleId="EnvelopeAddress">
    <w:name w:val="envelope address"/>
    <w:basedOn w:val="Normal"/>
    <w:uiPriority w:val="99"/>
    <w:semiHidden/>
    <w:unhideWhenUsed/>
    <w:rsid w:val="00CA7446"/>
    <w:pPr>
      <w:framePr w:w="7920" w:h="1980" w:hRule="exact" w:hSpace="180" w:wrap="auto" w:hAnchor="page" w:xAlign="center" w:yAlign="bottom"/>
      <w:spacing w:after="0" w:line="240" w:lineRule="auto"/>
      <w:ind w:left="2880"/>
    </w:pPr>
    <w:rPr>
      <w:rFonts w:ascii="Times New Roman" w:eastAsia="SimHei" w:hAnsi="Times New Roman" w:cs="Times New Roman"/>
      <w:kern w:val="24"/>
      <w:sz w:val="24"/>
      <w:szCs w:val="24"/>
      <w:lang w:val="en-GB" w:eastAsia="ja-JP"/>
    </w:rPr>
  </w:style>
  <w:style w:type="paragraph" w:styleId="EnvelopeReturn">
    <w:name w:val="envelope return"/>
    <w:basedOn w:val="Normal"/>
    <w:uiPriority w:val="99"/>
    <w:semiHidden/>
    <w:unhideWhenUsed/>
    <w:rsid w:val="00CA7446"/>
    <w:pPr>
      <w:spacing w:after="0" w:line="240" w:lineRule="auto"/>
    </w:pPr>
    <w:rPr>
      <w:rFonts w:ascii="Times New Roman" w:eastAsia="SimHei" w:hAnsi="Times New Roman" w:cs="Times New Roman"/>
      <w:kern w:val="24"/>
      <w:szCs w:val="20"/>
      <w:lang w:val="en-GB" w:eastAsia="ja-JP"/>
    </w:rPr>
  </w:style>
  <w:style w:type="paragraph" w:styleId="Footer">
    <w:name w:val="footer"/>
    <w:basedOn w:val="Normal"/>
    <w:link w:val="FooterChar"/>
    <w:uiPriority w:val="99"/>
    <w:unhideWhenUsed/>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FooterChar">
    <w:name w:val="Footer Char"/>
    <w:basedOn w:val="DefaultParagraphFont"/>
    <w:link w:val="Footer"/>
    <w:uiPriority w:val="99"/>
    <w:rsid w:val="00CA7446"/>
    <w:rPr>
      <w:rFonts w:ascii="Times New Roman" w:eastAsia="SimSun" w:hAnsi="Times New Roman" w:cs="Times New Roman"/>
      <w:kern w:val="24"/>
      <w:sz w:val="24"/>
      <w:szCs w:val="24"/>
      <w:lang w:val="en-GB" w:eastAsia="ja-JP"/>
    </w:rPr>
  </w:style>
  <w:style w:type="table" w:styleId="TableGrid">
    <w:name w:val="Table Grid"/>
    <w:basedOn w:val="TableNormal"/>
    <w:uiPriority w:val="39"/>
    <w:rsid w:val="00CA7446"/>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A7446"/>
    <w:pPr>
      <w:spacing w:after="0" w:line="240" w:lineRule="auto"/>
    </w:pPr>
    <w:rPr>
      <w:rFonts w:ascii="Times New Roman" w:eastAsia="SimSun"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Address">
    <w:name w:val="HTML Address"/>
    <w:basedOn w:val="Normal"/>
    <w:link w:val="HTMLAddressChar"/>
    <w:uiPriority w:val="99"/>
    <w:semiHidden/>
    <w:unhideWhenUsed/>
    <w:rsid w:val="00CA7446"/>
    <w:pPr>
      <w:spacing w:after="0" w:line="240" w:lineRule="auto"/>
    </w:pPr>
    <w:rPr>
      <w:rFonts w:ascii="Times New Roman" w:eastAsia="SimSun" w:hAnsi="Times New Roman" w:cs="Times New Roman"/>
      <w:i/>
      <w:iCs/>
      <w:kern w:val="24"/>
      <w:sz w:val="24"/>
      <w:szCs w:val="24"/>
      <w:lang w:val="en-GB" w:eastAsia="ja-JP"/>
    </w:rPr>
  </w:style>
  <w:style w:type="character" w:customStyle="1" w:styleId="HTMLAddressChar">
    <w:name w:val="HTML Address Char"/>
    <w:basedOn w:val="DefaultParagraphFont"/>
    <w:link w:val="HTMLAddress"/>
    <w:uiPriority w:val="99"/>
    <w:semiHidden/>
    <w:rsid w:val="00CA7446"/>
    <w:rPr>
      <w:rFonts w:ascii="Times New Roman" w:eastAsia="SimSun" w:hAnsi="Times New Roman" w:cs="Times New Roman"/>
      <w:i/>
      <w:iCs/>
      <w:kern w:val="24"/>
      <w:sz w:val="24"/>
      <w:szCs w:val="24"/>
      <w:lang w:val="en-GB" w:eastAsia="ja-JP"/>
    </w:rPr>
  </w:style>
  <w:style w:type="paragraph" w:styleId="HTMLPreformatted">
    <w:name w:val="HTML Preformatted"/>
    <w:basedOn w:val="Normal"/>
    <w:link w:val="HTMLPreformattedChar"/>
    <w:uiPriority w:val="99"/>
    <w:semiHidden/>
    <w:unhideWhenUsed/>
    <w:rsid w:val="00CA7446"/>
    <w:pPr>
      <w:spacing w:after="0" w:line="240" w:lineRule="auto"/>
    </w:pPr>
    <w:rPr>
      <w:rFonts w:ascii="Consolas" w:eastAsia="SimSun" w:hAnsi="Consolas" w:cs="Consolas"/>
      <w:kern w:val="24"/>
      <w:szCs w:val="20"/>
      <w:lang w:val="en-GB" w:eastAsia="ja-JP"/>
    </w:rPr>
  </w:style>
  <w:style w:type="character" w:customStyle="1" w:styleId="HTMLPreformattedChar">
    <w:name w:val="HTML Preformatted Char"/>
    <w:basedOn w:val="DefaultParagraphFont"/>
    <w:link w:val="HTMLPreformatted"/>
    <w:uiPriority w:val="99"/>
    <w:semiHidden/>
    <w:rsid w:val="00CA7446"/>
    <w:rPr>
      <w:rFonts w:ascii="Consolas" w:eastAsia="SimSun" w:hAnsi="Consolas" w:cs="Consolas"/>
      <w:kern w:val="24"/>
      <w:szCs w:val="20"/>
      <w:lang w:val="en-GB" w:eastAsia="ja-JP"/>
    </w:rPr>
  </w:style>
  <w:style w:type="paragraph" w:styleId="Index1">
    <w:name w:val="index 1"/>
    <w:basedOn w:val="Normal"/>
    <w:next w:val="Normal"/>
    <w:autoRedefine/>
    <w:uiPriority w:val="99"/>
    <w:semiHidden/>
    <w:unhideWhenUsed/>
    <w:rsid w:val="00CA7446"/>
    <w:pPr>
      <w:spacing w:after="0" w:line="240" w:lineRule="auto"/>
      <w:ind w:left="240"/>
    </w:pPr>
    <w:rPr>
      <w:rFonts w:ascii="Times New Roman" w:eastAsia="SimSun" w:hAnsi="Times New Roman" w:cs="Times New Roman"/>
      <w:kern w:val="24"/>
      <w:sz w:val="24"/>
      <w:szCs w:val="24"/>
      <w:lang w:val="en-GB" w:eastAsia="ja-JP"/>
    </w:rPr>
  </w:style>
  <w:style w:type="paragraph" w:styleId="Index2">
    <w:name w:val="index 2"/>
    <w:basedOn w:val="Normal"/>
    <w:next w:val="Normal"/>
    <w:autoRedefine/>
    <w:uiPriority w:val="99"/>
    <w:semiHidden/>
    <w:unhideWhenUsed/>
    <w:rsid w:val="00CA7446"/>
    <w:pPr>
      <w:spacing w:after="0" w:line="240" w:lineRule="auto"/>
      <w:ind w:left="480"/>
    </w:pPr>
    <w:rPr>
      <w:rFonts w:ascii="Times New Roman" w:eastAsia="SimSun" w:hAnsi="Times New Roman" w:cs="Times New Roman"/>
      <w:kern w:val="24"/>
      <w:sz w:val="24"/>
      <w:szCs w:val="24"/>
      <w:lang w:val="en-GB" w:eastAsia="ja-JP"/>
    </w:rPr>
  </w:style>
  <w:style w:type="paragraph" w:styleId="Index3">
    <w:name w:val="index 3"/>
    <w:basedOn w:val="Normal"/>
    <w:next w:val="Normal"/>
    <w:autoRedefine/>
    <w:uiPriority w:val="99"/>
    <w:semiHidden/>
    <w:unhideWhenUsed/>
    <w:rsid w:val="00CA7446"/>
    <w:pPr>
      <w:spacing w:after="0" w:line="240" w:lineRule="auto"/>
      <w:ind w:left="720"/>
    </w:pPr>
    <w:rPr>
      <w:rFonts w:ascii="Times New Roman" w:eastAsia="SimSun" w:hAnsi="Times New Roman" w:cs="Times New Roman"/>
      <w:kern w:val="24"/>
      <w:sz w:val="24"/>
      <w:szCs w:val="24"/>
      <w:lang w:val="en-GB" w:eastAsia="ja-JP"/>
    </w:rPr>
  </w:style>
  <w:style w:type="paragraph" w:styleId="Index4">
    <w:name w:val="index 4"/>
    <w:basedOn w:val="Normal"/>
    <w:next w:val="Normal"/>
    <w:autoRedefine/>
    <w:uiPriority w:val="99"/>
    <w:semiHidden/>
    <w:unhideWhenUsed/>
    <w:rsid w:val="00CA7446"/>
    <w:pPr>
      <w:spacing w:after="0" w:line="240" w:lineRule="auto"/>
      <w:ind w:left="960"/>
    </w:pPr>
    <w:rPr>
      <w:rFonts w:ascii="Times New Roman" w:eastAsia="SimSun" w:hAnsi="Times New Roman" w:cs="Times New Roman"/>
      <w:kern w:val="24"/>
      <w:sz w:val="24"/>
      <w:szCs w:val="24"/>
      <w:lang w:val="en-GB" w:eastAsia="ja-JP"/>
    </w:rPr>
  </w:style>
  <w:style w:type="paragraph" w:styleId="Index5">
    <w:name w:val="index 5"/>
    <w:basedOn w:val="Normal"/>
    <w:next w:val="Normal"/>
    <w:autoRedefine/>
    <w:uiPriority w:val="99"/>
    <w:semiHidden/>
    <w:unhideWhenUsed/>
    <w:rsid w:val="00CA7446"/>
    <w:pPr>
      <w:spacing w:after="0" w:line="240" w:lineRule="auto"/>
      <w:ind w:left="1200"/>
    </w:pPr>
    <w:rPr>
      <w:rFonts w:ascii="Times New Roman" w:eastAsia="SimSun" w:hAnsi="Times New Roman" w:cs="Times New Roman"/>
      <w:kern w:val="24"/>
      <w:sz w:val="24"/>
      <w:szCs w:val="24"/>
      <w:lang w:val="en-GB" w:eastAsia="ja-JP"/>
    </w:rPr>
  </w:style>
  <w:style w:type="paragraph" w:styleId="Index6">
    <w:name w:val="index 6"/>
    <w:basedOn w:val="Normal"/>
    <w:next w:val="Normal"/>
    <w:autoRedefine/>
    <w:uiPriority w:val="99"/>
    <w:semiHidden/>
    <w:unhideWhenUsed/>
    <w:rsid w:val="00CA7446"/>
    <w:pPr>
      <w:spacing w:after="0" w:line="240" w:lineRule="auto"/>
      <w:ind w:left="1440"/>
    </w:pPr>
    <w:rPr>
      <w:rFonts w:ascii="Times New Roman" w:eastAsia="SimSun" w:hAnsi="Times New Roman" w:cs="Times New Roman"/>
      <w:kern w:val="24"/>
      <w:sz w:val="24"/>
      <w:szCs w:val="24"/>
      <w:lang w:val="en-GB" w:eastAsia="ja-JP"/>
    </w:rPr>
  </w:style>
  <w:style w:type="paragraph" w:styleId="Index7">
    <w:name w:val="index 7"/>
    <w:basedOn w:val="Normal"/>
    <w:next w:val="Normal"/>
    <w:autoRedefine/>
    <w:uiPriority w:val="99"/>
    <w:semiHidden/>
    <w:unhideWhenUsed/>
    <w:rsid w:val="00CA7446"/>
    <w:pPr>
      <w:spacing w:after="0" w:line="240" w:lineRule="auto"/>
      <w:ind w:left="1680"/>
    </w:pPr>
    <w:rPr>
      <w:rFonts w:ascii="Times New Roman" w:eastAsia="SimSun" w:hAnsi="Times New Roman" w:cs="Times New Roman"/>
      <w:kern w:val="24"/>
      <w:sz w:val="24"/>
      <w:szCs w:val="24"/>
      <w:lang w:val="en-GB" w:eastAsia="ja-JP"/>
    </w:rPr>
  </w:style>
  <w:style w:type="paragraph" w:styleId="Index8">
    <w:name w:val="index 8"/>
    <w:basedOn w:val="Normal"/>
    <w:next w:val="Normal"/>
    <w:autoRedefine/>
    <w:uiPriority w:val="99"/>
    <w:semiHidden/>
    <w:unhideWhenUsed/>
    <w:rsid w:val="00CA7446"/>
    <w:pPr>
      <w:spacing w:after="0" w:line="240" w:lineRule="auto"/>
      <w:ind w:left="1920"/>
    </w:pPr>
    <w:rPr>
      <w:rFonts w:ascii="Times New Roman" w:eastAsia="SimSun" w:hAnsi="Times New Roman" w:cs="Times New Roman"/>
      <w:kern w:val="24"/>
      <w:sz w:val="24"/>
      <w:szCs w:val="24"/>
      <w:lang w:val="en-GB" w:eastAsia="ja-JP"/>
    </w:rPr>
  </w:style>
  <w:style w:type="paragraph" w:styleId="Index9">
    <w:name w:val="index 9"/>
    <w:basedOn w:val="Normal"/>
    <w:next w:val="Normal"/>
    <w:autoRedefine/>
    <w:uiPriority w:val="99"/>
    <w:semiHidden/>
    <w:unhideWhenUsed/>
    <w:rsid w:val="00CA7446"/>
    <w:pPr>
      <w:spacing w:after="0" w:line="240" w:lineRule="auto"/>
      <w:ind w:left="2160"/>
    </w:pPr>
    <w:rPr>
      <w:rFonts w:ascii="Times New Roman" w:eastAsia="SimSun" w:hAnsi="Times New Roman" w:cs="Times New Roman"/>
      <w:kern w:val="24"/>
      <w:sz w:val="24"/>
      <w:szCs w:val="24"/>
      <w:lang w:val="en-GB" w:eastAsia="ja-JP"/>
    </w:rPr>
  </w:style>
  <w:style w:type="paragraph" w:styleId="IndexHeading">
    <w:name w:val="index heading"/>
    <w:basedOn w:val="Normal"/>
    <w:next w:val="Index1"/>
    <w:uiPriority w:val="99"/>
    <w:semiHidden/>
    <w:unhideWhenUsed/>
    <w:rsid w:val="00CA7446"/>
    <w:pPr>
      <w:spacing w:after="0" w:line="240" w:lineRule="auto"/>
    </w:pPr>
    <w:rPr>
      <w:rFonts w:ascii="Times New Roman" w:eastAsia="SimHei" w:hAnsi="Times New Roman" w:cs="Times New Roman"/>
      <w:b/>
      <w:bCs/>
      <w:kern w:val="24"/>
      <w:sz w:val="24"/>
      <w:szCs w:val="24"/>
      <w:lang w:val="en-GB" w:eastAsia="ja-JP"/>
    </w:rPr>
  </w:style>
  <w:style w:type="paragraph" w:styleId="IntenseQuote">
    <w:name w:val="Intense Quote"/>
    <w:basedOn w:val="Normal"/>
    <w:next w:val="Normal"/>
    <w:link w:val="IntenseQuoteChar"/>
    <w:uiPriority w:val="30"/>
    <w:qFormat/>
    <w:rsid w:val="005672B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672BA"/>
    <w:rPr>
      <w:rFonts w:asciiTheme="majorHAnsi" w:eastAsiaTheme="majorEastAsia" w:hAnsiTheme="majorHAnsi" w:cstheme="majorBidi"/>
      <w:color w:val="44546A" w:themeColor="text2"/>
      <w:spacing w:val="-6"/>
      <w:sz w:val="32"/>
      <w:szCs w:val="32"/>
    </w:rPr>
  </w:style>
  <w:style w:type="paragraph" w:styleId="List">
    <w:name w:val="List"/>
    <w:basedOn w:val="Normal"/>
    <w:uiPriority w:val="99"/>
    <w:semiHidden/>
    <w:unhideWhenUsed/>
    <w:rsid w:val="00CA7446"/>
    <w:pPr>
      <w:spacing w:after="0" w:line="240" w:lineRule="auto"/>
      <w:ind w:left="360"/>
      <w:contextualSpacing/>
    </w:pPr>
    <w:rPr>
      <w:rFonts w:ascii="Times New Roman" w:eastAsia="SimSun" w:hAnsi="Times New Roman" w:cs="Times New Roman"/>
      <w:kern w:val="24"/>
      <w:sz w:val="24"/>
      <w:szCs w:val="24"/>
      <w:lang w:val="en-GB" w:eastAsia="ja-JP"/>
    </w:rPr>
  </w:style>
  <w:style w:type="paragraph" w:styleId="List2">
    <w:name w:val="List 2"/>
    <w:basedOn w:val="Normal"/>
    <w:uiPriority w:val="99"/>
    <w:semiHidden/>
    <w:unhideWhenUsed/>
    <w:rsid w:val="00CA7446"/>
    <w:pPr>
      <w:spacing w:after="0" w:line="240" w:lineRule="auto"/>
      <w:ind w:left="720"/>
      <w:contextualSpacing/>
    </w:pPr>
    <w:rPr>
      <w:rFonts w:ascii="Times New Roman" w:eastAsia="SimSun" w:hAnsi="Times New Roman" w:cs="Times New Roman"/>
      <w:kern w:val="24"/>
      <w:sz w:val="24"/>
      <w:szCs w:val="24"/>
      <w:lang w:val="en-GB" w:eastAsia="ja-JP"/>
    </w:rPr>
  </w:style>
  <w:style w:type="paragraph" w:styleId="List3">
    <w:name w:val="List 3"/>
    <w:basedOn w:val="Normal"/>
    <w:uiPriority w:val="99"/>
    <w:semiHidden/>
    <w:unhideWhenUsed/>
    <w:rsid w:val="00CA7446"/>
    <w:pPr>
      <w:spacing w:after="0" w:line="240" w:lineRule="auto"/>
      <w:ind w:left="1080"/>
      <w:contextualSpacing/>
    </w:pPr>
    <w:rPr>
      <w:rFonts w:ascii="Times New Roman" w:eastAsia="SimSun" w:hAnsi="Times New Roman" w:cs="Times New Roman"/>
      <w:kern w:val="24"/>
      <w:sz w:val="24"/>
      <w:szCs w:val="24"/>
      <w:lang w:val="en-GB" w:eastAsia="ja-JP"/>
    </w:rPr>
  </w:style>
  <w:style w:type="paragraph" w:styleId="List4">
    <w:name w:val="List 4"/>
    <w:basedOn w:val="Normal"/>
    <w:uiPriority w:val="99"/>
    <w:semiHidden/>
    <w:unhideWhenUsed/>
    <w:rsid w:val="00CA7446"/>
    <w:pPr>
      <w:spacing w:after="0" w:line="240" w:lineRule="auto"/>
      <w:ind w:left="1440"/>
      <w:contextualSpacing/>
    </w:pPr>
    <w:rPr>
      <w:rFonts w:ascii="Times New Roman" w:eastAsia="SimSun" w:hAnsi="Times New Roman" w:cs="Times New Roman"/>
      <w:kern w:val="24"/>
      <w:sz w:val="24"/>
      <w:szCs w:val="24"/>
      <w:lang w:val="en-GB" w:eastAsia="ja-JP"/>
    </w:rPr>
  </w:style>
  <w:style w:type="paragraph" w:styleId="List5">
    <w:name w:val="List 5"/>
    <w:basedOn w:val="Normal"/>
    <w:uiPriority w:val="99"/>
    <w:semiHidden/>
    <w:unhideWhenUsed/>
    <w:rsid w:val="00CA7446"/>
    <w:pPr>
      <w:spacing w:after="0" w:line="240" w:lineRule="auto"/>
      <w:ind w:left="1800"/>
      <w:contextualSpacing/>
    </w:pPr>
    <w:rPr>
      <w:rFonts w:ascii="Times New Roman" w:eastAsia="SimSun" w:hAnsi="Times New Roman" w:cs="Times New Roman"/>
      <w:kern w:val="24"/>
      <w:sz w:val="24"/>
      <w:szCs w:val="24"/>
      <w:lang w:val="en-GB" w:eastAsia="ja-JP"/>
    </w:rPr>
  </w:style>
  <w:style w:type="paragraph" w:styleId="ListBullet">
    <w:name w:val="List Bullet"/>
    <w:basedOn w:val="Normal"/>
    <w:uiPriority w:val="9"/>
    <w:unhideWhenUsed/>
    <w:qFormat/>
    <w:rsid w:val="00CA7446"/>
    <w:pPr>
      <w:numPr>
        <w:numId w:val="1"/>
      </w:numPr>
      <w:spacing w:after="0" w:line="240" w:lineRule="auto"/>
      <w:contextualSpacing/>
    </w:pPr>
    <w:rPr>
      <w:rFonts w:ascii="Times New Roman" w:eastAsia="SimSun" w:hAnsi="Times New Roman" w:cs="Times New Roman"/>
      <w:kern w:val="24"/>
      <w:sz w:val="24"/>
      <w:szCs w:val="24"/>
      <w:lang w:val="en-GB" w:eastAsia="ja-JP"/>
    </w:rPr>
  </w:style>
  <w:style w:type="paragraph" w:styleId="ListBullet2">
    <w:name w:val="List Bullet 2"/>
    <w:basedOn w:val="Normal"/>
    <w:uiPriority w:val="99"/>
    <w:semiHidden/>
    <w:unhideWhenUsed/>
    <w:rsid w:val="00CA7446"/>
    <w:pPr>
      <w:numPr>
        <w:numId w:val="2"/>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Bullet3">
    <w:name w:val="List Bullet 3"/>
    <w:basedOn w:val="Normal"/>
    <w:uiPriority w:val="99"/>
    <w:semiHidden/>
    <w:unhideWhenUsed/>
    <w:rsid w:val="00CA7446"/>
    <w:pPr>
      <w:numPr>
        <w:numId w:val="3"/>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Bullet4">
    <w:name w:val="List Bullet 4"/>
    <w:basedOn w:val="Normal"/>
    <w:uiPriority w:val="99"/>
    <w:semiHidden/>
    <w:unhideWhenUsed/>
    <w:rsid w:val="00CA7446"/>
    <w:pPr>
      <w:numPr>
        <w:numId w:val="4"/>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Bullet5">
    <w:name w:val="List Bullet 5"/>
    <w:basedOn w:val="Normal"/>
    <w:uiPriority w:val="99"/>
    <w:semiHidden/>
    <w:unhideWhenUsed/>
    <w:rsid w:val="00CA7446"/>
    <w:pPr>
      <w:numPr>
        <w:numId w:val="5"/>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Continue">
    <w:name w:val="List Continue"/>
    <w:basedOn w:val="Normal"/>
    <w:uiPriority w:val="99"/>
    <w:semiHidden/>
    <w:unhideWhenUsed/>
    <w:rsid w:val="00CA7446"/>
    <w:pPr>
      <w:spacing w:after="120" w:line="240" w:lineRule="auto"/>
      <w:ind w:left="360"/>
      <w:contextualSpacing/>
    </w:pPr>
    <w:rPr>
      <w:rFonts w:ascii="Times New Roman" w:eastAsia="SimSun" w:hAnsi="Times New Roman" w:cs="Times New Roman"/>
      <w:kern w:val="24"/>
      <w:sz w:val="24"/>
      <w:szCs w:val="24"/>
      <w:lang w:val="en-GB" w:eastAsia="ja-JP"/>
    </w:rPr>
  </w:style>
  <w:style w:type="paragraph" w:styleId="ListContinue2">
    <w:name w:val="List Continue 2"/>
    <w:basedOn w:val="Normal"/>
    <w:uiPriority w:val="99"/>
    <w:semiHidden/>
    <w:unhideWhenUsed/>
    <w:rsid w:val="00CA7446"/>
    <w:pPr>
      <w:spacing w:after="120" w:line="240" w:lineRule="auto"/>
      <w:ind w:left="720"/>
      <w:contextualSpacing/>
    </w:pPr>
    <w:rPr>
      <w:rFonts w:ascii="Times New Roman" w:eastAsia="SimSun" w:hAnsi="Times New Roman" w:cs="Times New Roman"/>
      <w:kern w:val="24"/>
      <w:sz w:val="24"/>
      <w:szCs w:val="24"/>
      <w:lang w:val="en-GB" w:eastAsia="ja-JP"/>
    </w:rPr>
  </w:style>
  <w:style w:type="paragraph" w:styleId="ListContinue3">
    <w:name w:val="List Continue 3"/>
    <w:basedOn w:val="Normal"/>
    <w:uiPriority w:val="99"/>
    <w:semiHidden/>
    <w:unhideWhenUsed/>
    <w:rsid w:val="00CA7446"/>
    <w:pPr>
      <w:spacing w:after="120" w:line="240" w:lineRule="auto"/>
      <w:ind w:left="1080"/>
      <w:contextualSpacing/>
    </w:pPr>
    <w:rPr>
      <w:rFonts w:ascii="Times New Roman" w:eastAsia="SimSun" w:hAnsi="Times New Roman" w:cs="Times New Roman"/>
      <w:kern w:val="24"/>
      <w:sz w:val="24"/>
      <w:szCs w:val="24"/>
      <w:lang w:val="en-GB" w:eastAsia="ja-JP"/>
    </w:rPr>
  </w:style>
  <w:style w:type="paragraph" w:styleId="ListContinue4">
    <w:name w:val="List Continue 4"/>
    <w:basedOn w:val="Normal"/>
    <w:uiPriority w:val="99"/>
    <w:semiHidden/>
    <w:unhideWhenUsed/>
    <w:rsid w:val="00CA7446"/>
    <w:pPr>
      <w:spacing w:after="120" w:line="240" w:lineRule="auto"/>
      <w:ind w:left="1440"/>
      <w:contextualSpacing/>
    </w:pPr>
    <w:rPr>
      <w:rFonts w:ascii="Times New Roman" w:eastAsia="SimSun" w:hAnsi="Times New Roman" w:cs="Times New Roman"/>
      <w:kern w:val="24"/>
      <w:sz w:val="24"/>
      <w:szCs w:val="24"/>
      <w:lang w:val="en-GB" w:eastAsia="ja-JP"/>
    </w:rPr>
  </w:style>
  <w:style w:type="paragraph" w:styleId="ListContinue5">
    <w:name w:val="List Continue 5"/>
    <w:basedOn w:val="Normal"/>
    <w:uiPriority w:val="99"/>
    <w:semiHidden/>
    <w:unhideWhenUsed/>
    <w:rsid w:val="00CA7446"/>
    <w:pPr>
      <w:spacing w:after="120" w:line="240" w:lineRule="auto"/>
      <w:ind w:left="1800"/>
      <w:contextualSpacing/>
    </w:pPr>
    <w:rPr>
      <w:rFonts w:ascii="Times New Roman" w:eastAsia="SimSun" w:hAnsi="Times New Roman" w:cs="Times New Roman"/>
      <w:kern w:val="24"/>
      <w:sz w:val="24"/>
      <w:szCs w:val="24"/>
      <w:lang w:val="en-GB" w:eastAsia="ja-JP"/>
    </w:rPr>
  </w:style>
  <w:style w:type="paragraph" w:styleId="ListNumber">
    <w:name w:val="List Number"/>
    <w:basedOn w:val="Normal"/>
    <w:uiPriority w:val="9"/>
    <w:unhideWhenUsed/>
    <w:qFormat/>
    <w:rsid w:val="00CA7446"/>
    <w:pPr>
      <w:numPr>
        <w:numId w:val="6"/>
      </w:numPr>
      <w:spacing w:after="0" w:line="240" w:lineRule="auto"/>
      <w:contextualSpacing/>
    </w:pPr>
    <w:rPr>
      <w:rFonts w:ascii="Times New Roman" w:eastAsia="SimSun" w:hAnsi="Times New Roman" w:cs="Times New Roman"/>
      <w:kern w:val="24"/>
      <w:sz w:val="24"/>
      <w:szCs w:val="24"/>
      <w:lang w:val="en-GB" w:eastAsia="ja-JP"/>
    </w:rPr>
  </w:style>
  <w:style w:type="paragraph" w:styleId="ListNumber2">
    <w:name w:val="List Number 2"/>
    <w:basedOn w:val="Normal"/>
    <w:uiPriority w:val="99"/>
    <w:semiHidden/>
    <w:unhideWhenUsed/>
    <w:rsid w:val="00CA7446"/>
    <w:pPr>
      <w:numPr>
        <w:numId w:val="7"/>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Number3">
    <w:name w:val="List Number 3"/>
    <w:basedOn w:val="Normal"/>
    <w:uiPriority w:val="99"/>
    <w:semiHidden/>
    <w:unhideWhenUsed/>
    <w:rsid w:val="00CA7446"/>
    <w:pPr>
      <w:numPr>
        <w:numId w:val="8"/>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Number4">
    <w:name w:val="List Number 4"/>
    <w:basedOn w:val="Normal"/>
    <w:uiPriority w:val="99"/>
    <w:semiHidden/>
    <w:unhideWhenUsed/>
    <w:rsid w:val="00CA7446"/>
    <w:pPr>
      <w:numPr>
        <w:numId w:val="9"/>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ListNumber5">
    <w:name w:val="List Number 5"/>
    <w:basedOn w:val="Normal"/>
    <w:uiPriority w:val="99"/>
    <w:semiHidden/>
    <w:unhideWhenUsed/>
    <w:rsid w:val="00CA7446"/>
    <w:pPr>
      <w:numPr>
        <w:numId w:val="10"/>
      </w:numPr>
      <w:spacing w:after="0" w:line="240" w:lineRule="auto"/>
      <w:ind w:firstLine="0"/>
      <w:contextualSpacing/>
    </w:pPr>
    <w:rPr>
      <w:rFonts w:ascii="Times New Roman" w:eastAsia="SimSun" w:hAnsi="Times New Roman" w:cs="Times New Roman"/>
      <w:kern w:val="24"/>
      <w:sz w:val="24"/>
      <w:szCs w:val="24"/>
      <w:lang w:val="en-GB" w:eastAsia="ja-JP"/>
    </w:rPr>
  </w:style>
  <w:style w:type="paragraph" w:styleId="MacroText">
    <w:name w:val="macro"/>
    <w:link w:val="MacroTextChar"/>
    <w:uiPriority w:val="99"/>
    <w:semiHidden/>
    <w:unhideWhenUsed/>
    <w:rsid w:val="00CA7446"/>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SimSun" w:hAnsi="Consolas" w:cs="Consolas"/>
      <w:kern w:val="24"/>
      <w:szCs w:val="20"/>
      <w:lang w:eastAsia="ja-JP"/>
    </w:rPr>
  </w:style>
  <w:style w:type="character" w:customStyle="1" w:styleId="MacroTextChar">
    <w:name w:val="Macro Text Char"/>
    <w:basedOn w:val="DefaultParagraphFont"/>
    <w:link w:val="MacroText"/>
    <w:uiPriority w:val="99"/>
    <w:semiHidden/>
    <w:rsid w:val="00CA7446"/>
    <w:rPr>
      <w:rFonts w:ascii="Consolas" w:eastAsia="SimSun" w:hAnsi="Consolas" w:cs="Consolas"/>
      <w:kern w:val="24"/>
      <w:szCs w:val="20"/>
      <w:lang w:eastAsia="ja-JP"/>
    </w:rPr>
  </w:style>
  <w:style w:type="paragraph" w:styleId="MessageHeader">
    <w:name w:val="Message Header"/>
    <w:basedOn w:val="Normal"/>
    <w:link w:val="MessageHeaderChar"/>
    <w:uiPriority w:val="99"/>
    <w:semiHidden/>
    <w:unhideWhenUsed/>
    <w:rsid w:val="00CA7446"/>
    <w:pPr>
      <w:pBdr>
        <w:top w:val="single" w:sz="6" w:space="1" w:color="auto"/>
        <w:left w:val="single" w:sz="6" w:space="1" w:color="auto"/>
        <w:bottom w:val="single" w:sz="6" w:space="1" w:color="auto"/>
        <w:right w:val="single" w:sz="6" w:space="1" w:color="auto"/>
      </w:pBdr>
      <w:shd w:val="pct20" w:color="auto" w:fill="auto"/>
      <w:spacing w:after="0" w:line="240" w:lineRule="auto"/>
      <w:ind w:left="1080"/>
    </w:pPr>
    <w:rPr>
      <w:rFonts w:ascii="Times New Roman" w:eastAsia="SimHei" w:hAnsi="Times New Roman" w:cs="Times New Roman"/>
      <w:kern w:val="24"/>
      <w:sz w:val="24"/>
      <w:szCs w:val="24"/>
      <w:lang w:val="en-GB" w:eastAsia="ja-JP"/>
    </w:rPr>
  </w:style>
  <w:style w:type="character" w:customStyle="1" w:styleId="MessageHeaderChar">
    <w:name w:val="Message Header Char"/>
    <w:basedOn w:val="DefaultParagraphFont"/>
    <w:link w:val="MessageHeader"/>
    <w:uiPriority w:val="99"/>
    <w:semiHidden/>
    <w:rsid w:val="00CA7446"/>
    <w:rPr>
      <w:rFonts w:ascii="Times New Roman" w:eastAsia="SimHei" w:hAnsi="Times New Roman" w:cs="Times New Roman"/>
      <w:kern w:val="24"/>
      <w:sz w:val="24"/>
      <w:szCs w:val="24"/>
      <w:shd w:val="pct20" w:color="auto" w:fill="auto"/>
      <w:lang w:val="en-GB" w:eastAsia="ja-JP"/>
    </w:rPr>
  </w:style>
  <w:style w:type="paragraph" w:styleId="NormalWeb">
    <w:name w:val="Normal (Web)"/>
    <w:basedOn w:val="Normal"/>
    <w:uiPriority w:val="99"/>
    <w:unhideWhenUsed/>
    <w:rsid w:val="00CA7446"/>
    <w:pPr>
      <w:spacing w:after="0" w:line="240" w:lineRule="auto"/>
    </w:pPr>
    <w:rPr>
      <w:rFonts w:ascii="Times New Roman" w:eastAsia="SimSun" w:hAnsi="Times New Roman" w:cs="Times New Roman"/>
      <w:kern w:val="24"/>
      <w:sz w:val="24"/>
      <w:szCs w:val="24"/>
      <w:lang w:val="en-GB" w:eastAsia="ja-JP"/>
    </w:rPr>
  </w:style>
  <w:style w:type="paragraph" w:styleId="NormalIndent">
    <w:name w:val="Normal Indent"/>
    <w:basedOn w:val="Normal"/>
    <w:uiPriority w:val="99"/>
    <w:semiHidden/>
    <w:unhideWhenUsed/>
    <w:rsid w:val="00CA7446"/>
    <w:pPr>
      <w:spacing w:after="0" w:line="240" w:lineRule="auto"/>
      <w:ind w:left="720"/>
    </w:pPr>
    <w:rPr>
      <w:rFonts w:ascii="Times New Roman" w:eastAsia="SimSun" w:hAnsi="Times New Roman" w:cs="Times New Roman"/>
      <w:kern w:val="24"/>
      <w:sz w:val="24"/>
      <w:szCs w:val="24"/>
      <w:lang w:val="en-GB" w:eastAsia="ja-JP"/>
    </w:rPr>
  </w:style>
  <w:style w:type="paragraph" w:styleId="NoteHeading">
    <w:name w:val="Note Heading"/>
    <w:basedOn w:val="Normal"/>
    <w:next w:val="Normal"/>
    <w:link w:val="NoteHeadingChar"/>
    <w:uiPriority w:val="99"/>
    <w:semiHidden/>
    <w:unhideWhenUsed/>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NoteHeadingChar">
    <w:name w:val="Note Heading Char"/>
    <w:basedOn w:val="DefaultParagraphFont"/>
    <w:link w:val="NoteHeading"/>
    <w:uiPriority w:val="99"/>
    <w:semiHidden/>
    <w:rsid w:val="00CA7446"/>
    <w:rPr>
      <w:rFonts w:ascii="Times New Roman" w:eastAsia="SimSun" w:hAnsi="Times New Roman" w:cs="Times New Roman"/>
      <w:kern w:val="24"/>
      <w:sz w:val="24"/>
      <w:szCs w:val="24"/>
      <w:lang w:val="en-GB" w:eastAsia="ja-JP"/>
    </w:rPr>
  </w:style>
  <w:style w:type="paragraph" w:styleId="PlainText">
    <w:name w:val="Plain Text"/>
    <w:basedOn w:val="Normal"/>
    <w:link w:val="PlainTextChar"/>
    <w:uiPriority w:val="99"/>
    <w:semiHidden/>
    <w:unhideWhenUsed/>
    <w:rsid w:val="00CA7446"/>
    <w:pPr>
      <w:spacing w:after="0" w:line="240" w:lineRule="auto"/>
    </w:pPr>
    <w:rPr>
      <w:rFonts w:ascii="Consolas" w:eastAsia="SimSun" w:hAnsi="Consolas" w:cs="Consolas"/>
      <w:kern w:val="24"/>
      <w:szCs w:val="21"/>
      <w:lang w:val="en-GB" w:eastAsia="ja-JP"/>
    </w:rPr>
  </w:style>
  <w:style w:type="character" w:customStyle="1" w:styleId="PlainTextChar">
    <w:name w:val="Plain Text Char"/>
    <w:basedOn w:val="DefaultParagraphFont"/>
    <w:link w:val="PlainText"/>
    <w:uiPriority w:val="99"/>
    <w:semiHidden/>
    <w:rsid w:val="00CA7446"/>
    <w:rPr>
      <w:rFonts w:ascii="Consolas" w:eastAsia="SimSun" w:hAnsi="Consolas" w:cs="Consolas"/>
      <w:kern w:val="24"/>
      <w:szCs w:val="21"/>
      <w:lang w:val="en-GB" w:eastAsia="ja-JP"/>
    </w:rPr>
  </w:style>
  <w:style w:type="paragraph" w:styleId="Quote">
    <w:name w:val="Quote"/>
    <w:basedOn w:val="Normal"/>
    <w:next w:val="Normal"/>
    <w:link w:val="QuoteChar"/>
    <w:uiPriority w:val="29"/>
    <w:qFormat/>
    <w:rsid w:val="005672B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672BA"/>
    <w:rPr>
      <w:color w:val="44546A" w:themeColor="text2"/>
      <w:sz w:val="24"/>
      <w:szCs w:val="24"/>
    </w:rPr>
  </w:style>
  <w:style w:type="paragraph" w:styleId="Salutation">
    <w:name w:val="Salutation"/>
    <w:basedOn w:val="Normal"/>
    <w:next w:val="Normal"/>
    <w:link w:val="SalutationChar"/>
    <w:uiPriority w:val="99"/>
    <w:semiHidden/>
    <w:unhideWhenUsed/>
    <w:rsid w:val="00CA7446"/>
    <w:pPr>
      <w:spacing w:after="0" w:line="240" w:lineRule="auto"/>
    </w:pPr>
    <w:rPr>
      <w:rFonts w:ascii="Times New Roman" w:eastAsia="SimSun" w:hAnsi="Times New Roman" w:cs="Times New Roman"/>
      <w:kern w:val="24"/>
      <w:sz w:val="24"/>
      <w:szCs w:val="24"/>
      <w:lang w:val="en-GB" w:eastAsia="ja-JP"/>
    </w:rPr>
  </w:style>
  <w:style w:type="character" w:customStyle="1" w:styleId="SalutationChar">
    <w:name w:val="Salutation Char"/>
    <w:basedOn w:val="DefaultParagraphFont"/>
    <w:link w:val="Salutation"/>
    <w:uiPriority w:val="99"/>
    <w:semiHidden/>
    <w:rsid w:val="00CA7446"/>
    <w:rPr>
      <w:rFonts w:ascii="Times New Roman" w:eastAsia="SimSun" w:hAnsi="Times New Roman" w:cs="Times New Roman"/>
      <w:kern w:val="24"/>
      <w:sz w:val="24"/>
      <w:szCs w:val="24"/>
      <w:lang w:val="en-GB" w:eastAsia="ja-JP"/>
    </w:rPr>
  </w:style>
  <w:style w:type="paragraph" w:styleId="Signature">
    <w:name w:val="Signature"/>
    <w:basedOn w:val="Normal"/>
    <w:link w:val="SignatureChar"/>
    <w:uiPriority w:val="99"/>
    <w:semiHidden/>
    <w:unhideWhenUsed/>
    <w:rsid w:val="00CA7446"/>
    <w:pPr>
      <w:spacing w:after="0" w:line="240" w:lineRule="auto"/>
      <w:ind w:left="4320"/>
    </w:pPr>
    <w:rPr>
      <w:rFonts w:ascii="Times New Roman" w:eastAsia="SimSun" w:hAnsi="Times New Roman" w:cs="Times New Roman"/>
      <w:kern w:val="24"/>
      <w:sz w:val="24"/>
      <w:szCs w:val="24"/>
      <w:lang w:val="en-GB" w:eastAsia="ja-JP"/>
    </w:rPr>
  </w:style>
  <w:style w:type="character" w:customStyle="1" w:styleId="SignatureChar">
    <w:name w:val="Signature Char"/>
    <w:basedOn w:val="DefaultParagraphFont"/>
    <w:link w:val="Signature"/>
    <w:uiPriority w:val="99"/>
    <w:semiHidden/>
    <w:rsid w:val="00CA7446"/>
    <w:rPr>
      <w:rFonts w:ascii="Times New Roman" w:eastAsia="SimSun" w:hAnsi="Times New Roman" w:cs="Times New Roman"/>
      <w:kern w:val="24"/>
      <w:sz w:val="24"/>
      <w:szCs w:val="24"/>
      <w:lang w:val="en-GB" w:eastAsia="ja-JP"/>
    </w:rPr>
  </w:style>
  <w:style w:type="paragraph" w:styleId="TableofAuthorities">
    <w:name w:val="table of authorities"/>
    <w:basedOn w:val="Normal"/>
    <w:next w:val="Normal"/>
    <w:uiPriority w:val="99"/>
    <w:semiHidden/>
    <w:unhideWhenUsed/>
    <w:rsid w:val="00CA7446"/>
    <w:pPr>
      <w:spacing w:after="0" w:line="240" w:lineRule="auto"/>
      <w:ind w:left="240"/>
    </w:pPr>
    <w:rPr>
      <w:rFonts w:ascii="Times New Roman" w:eastAsia="SimSun" w:hAnsi="Times New Roman" w:cs="Times New Roman"/>
      <w:kern w:val="24"/>
      <w:sz w:val="24"/>
      <w:szCs w:val="24"/>
      <w:lang w:val="en-GB" w:eastAsia="ja-JP"/>
    </w:rPr>
  </w:style>
  <w:style w:type="paragraph" w:styleId="TableofFigures">
    <w:name w:val="table of figures"/>
    <w:basedOn w:val="Normal"/>
    <w:next w:val="Normal"/>
    <w:uiPriority w:val="99"/>
    <w:unhideWhenUsed/>
    <w:rsid w:val="00667BEB"/>
    <w:pPr>
      <w:spacing w:after="0" w:line="360" w:lineRule="auto"/>
    </w:pPr>
    <w:rPr>
      <w:rFonts w:ascii="Times New Roman" w:eastAsia="SimSun" w:hAnsi="Times New Roman" w:cs="Times New Roman"/>
      <w:kern w:val="24"/>
      <w:sz w:val="20"/>
      <w:szCs w:val="24"/>
      <w:lang w:val="en-GB" w:eastAsia="ja-JP"/>
    </w:rPr>
  </w:style>
  <w:style w:type="paragraph" w:styleId="TOAHeading">
    <w:name w:val="toa heading"/>
    <w:basedOn w:val="Normal"/>
    <w:next w:val="Normal"/>
    <w:uiPriority w:val="99"/>
    <w:semiHidden/>
    <w:unhideWhenUsed/>
    <w:rsid w:val="00CA7446"/>
    <w:pPr>
      <w:spacing w:before="120" w:after="0" w:line="240" w:lineRule="auto"/>
    </w:pPr>
    <w:rPr>
      <w:rFonts w:ascii="Times New Roman" w:eastAsia="SimHei" w:hAnsi="Times New Roman" w:cs="Times New Roman"/>
      <w:b/>
      <w:bCs/>
      <w:kern w:val="24"/>
      <w:sz w:val="24"/>
      <w:szCs w:val="24"/>
      <w:lang w:val="en-GB" w:eastAsia="ja-JP"/>
    </w:rPr>
  </w:style>
  <w:style w:type="paragraph" w:styleId="TOC4">
    <w:name w:val="toc 4"/>
    <w:basedOn w:val="Normal"/>
    <w:next w:val="Normal"/>
    <w:autoRedefine/>
    <w:uiPriority w:val="39"/>
    <w:unhideWhenUsed/>
    <w:rsid w:val="00CA7446"/>
    <w:pPr>
      <w:spacing w:after="100" w:line="240" w:lineRule="auto"/>
      <w:ind w:left="720"/>
    </w:pPr>
    <w:rPr>
      <w:rFonts w:ascii="Times New Roman" w:eastAsia="SimSun" w:hAnsi="Times New Roman" w:cs="Times New Roman"/>
      <w:kern w:val="24"/>
      <w:sz w:val="24"/>
      <w:szCs w:val="24"/>
      <w:lang w:val="en-GB" w:eastAsia="ja-JP"/>
    </w:rPr>
  </w:style>
  <w:style w:type="paragraph" w:styleId="TOC5">
    <w:name w:val="toc 5"/>
    <w:basedOn w:val="Normal"/>
    <w:next w:val="Normal"/>
    <w:autoRedefine/>
    <w:uiPriority w:val="39"/>
    <w:unhideWhenUsed/>
    <w:rsid w:val="00CA7446"/>
    <w:pPr>
      <w:spacing w:after="100" w:line="240" w:lineRule="auto"/>
      <w:ind w:left="960"/>
    </w:pPr>
    <w:rPr>
      <w:rFonts w:ascii="Times New Roman" w:eastAsia="SimSun" w:hAnsi="Times New Roman" w:cs="Times New Roman"/>
      <w:kern w:val="24"/>
      <w:sz w:val="24"/>
      <w:szCs w:val="24"/>
      <w:lang w:val="en-GB" w:eastAsia="ja-JP"/>
    </w:rPr>
  </w:style>
  <w:style w:type="paragraph" w:styleId="TOC6">
    <w:name w:val="toc 6"/>
    <w:basedOn w:val="Normal"/>
    <w:next w:val="Normal"/>
    <w:autoRedefine/>
    <w:uiPriority w:val="39"/>
    <w:unhideWhenUsed/>
    <w:rsid w:val="00CA7446"/>
    <w:pPr>
      <w:spacing w:after="100" w:line="240" w:lineRule="auto"/>
      <w:ind w:left="1200"/>
    </w:pPr>
    <w:rPr>
      <w:rFonts w:ascii="Times New Roman" w:eastAsia="SimSun" w:hAnsi="Times New Roman" w:cs="Times New Roman"/>
      <w:kern w:val="24"/>
      <w:sz w:val="24"/>
      <w:szCs w:val="24"/>
      <w:lang w:val="en-GB" w:eastAsia="ja-JP"/>
    </w:rPr>
  </w:style>
  <w:style w:type="paragraph" w:styleId="TOC7">
    <w:name w:val="toc 7"/>
    <w:basedOn w:val="Normal"/>
    <w:next w:val="Normal"/>
    <w:autoRedefine/>
    <w:uiPriority w:val="39"/>
    <w:unhideWhenUsed/>
    <w:rsid w:val="00CA7446"/>
    <w:pPr>
      <w:spacing w:after="100" w:line="240" w:lineRule="auto"/>
      <w:ind w:left="1440"/>
    </w:pPr>
    <w:rPr>
      <w:rFonts w:ascii="Times New Roman" w:eastAsia="SimSun" w:hAnsi="Times New Roman" w:cs="Times New Roman"/>
      <w:kern w:val="24"/>
      <w:sz w:val="24"/>
      <w:szCs w:val="24"/>
      <w:lang w:val="en-GB" w:eastAsia="ja-JP"/>
    </w:rPr>
  </w:style>
  <w:style w:type="paragraph" w:styleId="TOC8">
    <w:name w:val="toc 8"/>
    <w:basedOn w:val="Normal"/>
    <w:next w:val="Normal"/>
    <w:autoRedefine/>
    <w:uiPriority w:val="39"/>
    <w:unhideWhenUsed/>
    <w:rsid w:val="00CA7446"/>
    <w:pPr>
      <w:spacing w:after="100" w:line="240" w:lineRule="auto"/>
      <w:ind w:left="1680"/>
    </w:pPr>
    <w:rPr>
      <w:rFonts w:ascii="Times New Roman" w:eastAsia="SimSun" w:hAnsi="Times New Roman" w:cs="Times New Roman"/>
      <w:kern w:val="24"/>
      <w:sz w:val="24"/>
      <w:szCs w:val="24"/>
      <w:lang w:val="en-GB" w:eastAsia="ja-JP"/>
    </w:rPr>
  </w:style>
  <w:style w:type="paragraph" w:styleId="TOC9">
    <w:name w:val="toc 9"/>
    <w:basedOn w:val="Normal"/>
    <w:next w:val="Normal"/>
    <w:autoRedefine/>
    <w:uiPriority w:val="39"/>
    <w:unhideWhenUsed/>
    <w:rsid w:val="00CA7446"/>
    <w:pPr>
      <w:spacing w:after="100" w:line="240" w:lineRule="auto"/>
      <w:ind w:left="1920"/>
    </w:pPr>
    <w:rPr>
      <w:rFonts w:ascii="Times New Roman" w:eastAsia="SimSun" w:hAnsi="Times New Roman" w:cs="Times New Roman"/>
      <w:kern w:val="24"/>
      <w:sz w:val="24"/>
      <w:szCs w:val="24"/>
      <w:lang w:val="en-GB" w:eastAsia="ja-JP"/>
    </w:rPr>
  </w:style>
  <w:style w:type="character" w:styleId="EndnoteReference">
    <w:name w:val="endnote reference"/>
    <w:uiPriority w:val="99"/>
    <w:semiHidden/>
    <w:unhideWhenUsed/>
    <w:rsid w:val="00CA7446"/>
    <w:rPr>
      <w:vertAlign w:val="superscript"/>
    </w:rPr>
  </w:style>
  <w:style w:type="character" w:styleId="FootnoteReference">
    <w:name w:val="footnote reference"/>
    <w:uiPriority w:val="99"/>
    <w:unhideWhenUsed/>
    <w:qFormat/>
    <w:rsid w:val="00CA7446"/>
    <w:rPr>
      <w:vertAlign w:val="superscript"/>
    </w:rPr>
  </w:style>
  <w:style w:type="table" w:customStyle="1" w:styleId="APAReport">
    <w:name w:val="APA Report"/>
    <w:basedOn w:val="TableNormal"/>
    <w:uiPriority w:val="99"/>
    <w:rsid w:val="00CA7446"/>
    <w:pPr>
      <w:spacing w:after="0" w:line="240" w:lineRule="auto"/>
    </w:pPr>
    <w:rPr>
      <w:rFonts w:ascii="Times New Roman" w:eastAsia="SimSun" w:hAnsi="Times New Roman" w:cs="Times New Roman"/>
      <w:sz w:val="20"/>
      <w:szCs w:val="20"/>
      <w:lang w:val="en-GB" w:eastAsia="en-GB"/>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CA7446"/>
    <w:pPr>
      <w:spacing w:before="240" w:after="0" w:line="240" w:lineRule="auto"/>
      <w:contextualSpacing/>
    </w:pPr>
    <w:rPr>
      <w:rFonts w:ascii="Times New Roman" w:eastAsia="SimSun" w:hAnsi="Times New Roman" w:cs="Times New Roman"/>
      <w:kern w:val="24"/>
      <w:sz w:val="24"/>
      <w:szCs w:val="24"/>
      <w:lang w:val="en-GB" w:eastAsia="ja-JP"/>
    </w:rPr>
  </w:style>
  <w:style w:type="table" w:customStyle="1" w:styleId="PlainTable11">
    <w:name w:val="Plain Table 11"/>
    <w:basedOn w:val="TableNormal"/>
    <w:uiPriority w:val="41"/>
    <w:rsid w:val="00CA7446"/>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dnoteText">
    <w:name w:val="endnote text"/>
    <w:basedOn w:val="Normal"/>
    <w:link w:val="EndnoteTextChar"/>
    <w:uiPriority w:val="99"/>
    <w:semiHidden/>
    <w:unhideWhenUsed/>
    <w:qFormat/>
    <w:rsid w:val="00CA7446"/>
    <w:pPr>
      <w:spacing w:after="0" w:line="240" w:lineRule="auto"/>
      <w:ind w:firstLine="720"/>
    </w:pPr>
    <w:rPr>
      <w:rFonts w:ascii="Times New Roman" w:eastAsia="SimSun" w:hAnsi="Times New Roman" w:cs="Times New Roman"/>
      <w:kern w:val="24"/>
      <w:szCs w:val="20"/>
      <w:lang w:val="en-GB" w:eastAsia="ja-JP"/>
    </w:rPr>
  </w:style>
  <w:style w:type="character" w:customStyle="1" w:styleId="EndnoteTextChar">
    <w:name w:val="Endnote Text Char"/>
    <w:basedOn w:val="DefaultParagraphFont"/>
    <w:link w:val="EndnoteText"/>
    <w:uiPriority w:val="99"/>
    <w:semiHidden/>
    <w:rsid w:val="00CA7446"/>
    <w:rPr>
      <w:rFonts w:ascii="Times New Roman" w:eastAsia="SimSun" w:hAnsi="Times New Roman" w:cs="Times New Roman"/>
      <w:kern w:val="24"/>
      <w:szCs w:val="20"/>
      <w:lang w:val="en-GB" w:eastAsia="ja-JP"/>
    </w:rPr>
  </w:style>
  <w:style w:type="character" w:styleId="HTMLCode">
    <w:name w:val="HTML Code"/>
    <w:uiPriority w:val="99"/>
    <w:semiHidden/>
    <w:unhideWhenUsed/>
    <w:rsid w:val="00CA7446"/>
    <w:rPr>
      <w:rFonts w:ascii="Consolas" w:hAnsi="Consolas"/>
      <w:sz w:val="22"/>
      <w:szCs w:val="20"/>
    </w:rPr>
  </w:style>
  <w:style w:type="character" w:styleId="HTMLKeyboard">
    <w:name w:val="HTML Keyboard"/>
    <w:uiPriority w:val="99"/>
    <w:semiHidden/>
    <w:unhideWhenUsed/>
    <w:rsid w:val="00CA7446"/>
    <w:rPr>
      <w:rFonts w:ascii="Consolas" w:hAnsi="Consolas"/>
      <w:sz w:val="22"/>
      <w:szCs w:val="20"/>
    </w:rPr>
  </w:style>
  <w:style w:type="character" w:styleId="HTMLTypewriter">
    <w:name w:val="HTML Typewriter"/>
    <w:uiPriority w:val="99"/>
    <w:semiHidden/>
    <w:unhideWhenUsed/>
    <w:rsid w:val="00CA7446"/>
    <w:rPr>
      <w:rFonts w:ascii="Consolas" w:hAnsi="Consolas"/>
      <w:sz w:val="22"/>
      <w:szCs w:val="20"/>
    </w:rPr>
  </w:style>
  <w:style w:type="character" w:styleId="IntenseEmphasis">
    <w:name w:val="Intense Emphasis"/>
    <w:basedOn w:val="DefaultParagraphFont"/>
    <w:uiPriority w:val="21"/>
    <w:qFormat/>
    <w:rsid w:val="005672BA"/>
    <w:rPr>
      <w:b/>
      <w:bCs/>
      <w:i/>
      <w:iCs/>
    </w:rPr>
  </w:style>
  <w:style w:type="character" w:styleId="IntenseReference">
    <w:name w:val="Intense Reference"/>
    <w:basedOn w:val="DefaultParagraphFont"/>
    <w:uiPriority w:val="32"/>
    <w:qFormat/>
    <w:rsid w:val="005672BA"/>
    <w:rPr>
      <w:b/>
      <w:bCs/>
      <w:smallCaps/>
      <w:color w:val="44546A" w:themeColor="text2"/>
      <w:u w:val="single"/>
    </w:rPr>
  </w:style>
  <w:style w:type="paragraph" w:styleId="TOCHeading">
    <w:name w:val="TOC Heading"/>
    <w:basedOn w:val="Heading1"/>
    <w:next w:val="Normal"/>
    <w:uiPriority w:val="39"/>
    <w:unhideWhenUsed/>
    <w:qFormat/>
    <w:rsid w:val="005672BA"/>
    <w:pPr>
      <w:outlineLvl w:val="9"/>
    </w:pPr>
  </w:style>
  <w:style w:type="character" w:styleId="FollowedHyperlink">
    <w:name w:val="FollowedHyperlink"/>
    <w:uiPriority w:val="99"/>
    <w:semiHidden/>
    <w:unhideWhenUsed/>
    <w:rsid w:val="00CA7446"/>
    <w:rPr>
      <w:color w:val="595959"/>
      <w:u w:val="single"/>
    </w:rPr>
  </w:style>
  <w:style w:type="paragraph" w:customStyle="1" w:styleId="Title2">
    <w:name w:val="Title 2"/>
    <w:basedOn w:val="Normal"/>
    <w:uiPriority w:val="1"/>
    <w:qFormat/>
    <w:rsid w:val="00CA7446"/>
    <w:pPr>
      <w:spacing w:after="0" w:line="240" w:lineRule="auto"/>
      <w:jc w:val="center"/>
    </w:pPr>
    <w:rPr>
      <w:rFonts w:ascii="Times New Roman" w:eastAsia="SimSun" w:hAnsi="Times New Roman" w:cs="Times New Roman"/>
      <w:kern w:val="24"/>
      <w:sz w:val="24"/>
      <w:szCs w:val="24"/>
      <w:lang w:val="en-GB" w:eastAsia="ja-JP"/>
    </w:rPr>
  </w:style>
  <w:style w:type="table" w:customStyle="1" w:styleId="PlainTable21">
    <w:name w:val="Plain Table 21"/>
    <w:basedOn w:val="TableNormal"/>
    <w:uiPriority w:val="42"/>
    <w:rsid w:val="00CA7446"/>
    <w:pPr>
      <w:spacing w:after="0" w:line="240" w:lineRule="auto"/>
    </w:pPr>
    <w:rPr>
      <w:rFonts w:ascii="Times New Roman" w:eastAsia="Times New Roman" w:hAnsi="Times New Roman" w:cs="Times New Roman"/>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OC1">
    <w:name w:val="toc 1"/>
    <w:basedOn w:val="Normal"/>
    <w:next w:val="Normal"/>
    <w:autoRedefine/>
    <w:uiPriority w:val="39"/>
    <w:unhideWhenUsed/>
    <w:rsid w:val="00C77BD6"/>
    <w:pPr>
      <w:tabs>
        <w:tab w:val="right" w:leader="dot" w:pos="7576"/>
      </w:tabs>
      <w:spacing w:after="100" w:line="240" w:lineRule="auto"/>
      <w:ind w:left="-450" w:firstLine="1170"/>
      <w:jc w:val="center"/>
    </w:pPr>
    <w:rPr>
      <w:rFonts w:ascii="Times New Roman" w:eastAsiaTheme="majorEastAsia" w:hAnsi="Times New Roman" w:cstheme="majorBidi"/>
      <w:b/>
      <w:bCs/>
      <w:noProof/>
      <w:kern w:val="24"/>
      <w:sz w:val="24"/>
      <w:szCs w:val="24"/>
      <w:lang w:val="en-GB" w:eastAsia="ja-JP"/>
    </w:rPr>
  </w:style>
  <w:style w:type="paragraph" w:customStyle="1" w:styleId="Level1">
    <w:name w:val="Level 1"/>
    <w:basedOn w:val="Normal"/>
    <w:rsid w:val="00CA7446"/>
    <w:pPr>
      <w:widowControl w:val="0"/>
      <w:autoSpaceDE w:val="0"/>
      <w:autoSpaceDN w:val="0"/>
      <w:adjustRightInd w:val="0"/>
      <w:spacing w:after="0" w:line="240" w:lineRule="auto"/>
      <w:ind w:left="360" w:hanging="360"/>
    </w:pPr>
    <w:rPr>
      <w:rFonts w:ascii="Times New Roman" w:eastAsia="Times New Roman" w:hAnsi="Times New Roman" w:cs="Times New Roman"/>
      <w:sz w:val="24"/>
      <w:szCs w:val="24"/>
    </w:rPr>
  </w:style>
  <w:style w:type="paragraph" w:customStyle="1" w:styleId="Tabletitle">
    <w:name w:val="Table title"/>
    <w:basedOn w:val="Normal"/>
    <w:next w:val="Normal"/>
    <w:rsid w:val="00CA7446"/>
    <w:pPr>
      <w:spacing w:before="240" w:after="0" w:line="360" w:lineRule="auto"/>
    </w:pPr>
    <w:rPr>
      <w:rFonts w:ascii="Times New Roman" w:eastAsia="Times New Roman" w:hAnsi="Times New Roman" w:cs="Times New Roman"/>
      <w:sz w:val="24"/>
      <w:szCs w:val="24"/>
      <w:lang w:val="en-GB" w:eastAsia="en-GB"/>
    </w:rPr>
  </w:style>
  <w:style w:type="character" w:styleId="Hyperlink">
    <w:name w:val="Hyperlink"/>
    <w:uiPriority w:val="99"/>
    <w:unhideWhenUsed/>
    <w:rsid w:val="00CA7446"/>
    <w:rPr>
      <w:color w:val="5F5F5F"/>
      <w:u w:val="single"/>
    </w:rPr>
  </w:style>
  <w:style w:type="character" w:customStyle="1" w:styleId="UnresolvedMention1">
    <w:name w:val="Unresolved Mention1"/>
    <w:uiPriority w:val="99"/>
    <w:semiHidden/>
    <w:unhideWhenUsed/>
    <w:rsid w:val="00CA7446"/>
    <w:rPr>
      <w:color w:val="605E5C"/>
      <w:shd w:val="clear" w:color="auto" w:fill="E1DFDD"/>
    </w:rPr>
  </w:style>
  <w:style w:type="character" w:styleId="LineNumber">
    <w:name w:val="line number"/>
    <w:basedOn w:val="DefaultParagraphFont"/>
    <w:uiPriority w:val="99"/>
    <w:semiHidden/>
    <w:unhideWhenUsed/>
    <w:rsid w:val="00CA7446"/>
  </w:style>
  <w:style w:type="paragraph" w:customStyle="1" w:styleId="Figurecaption">
    <w:name w:val="Figure caption"/>
    <w:basedOn w:val="Normal"/>
    <w:next w:val="Normal"/>
    <w:rsid w:val="00CA7446"/>
    <w:pPr>
      <w:spacing w:before="240" w:after="0" w:line="36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1C3DD0"/>
    <w:pPr>
      <w:tabs>
        <w:tab w:val="left" w:pos="1530"/>
        <w:tab w:val="left" w:pos="1680"/>
        <w:tab w:val="right" w:leader="dot" w:pos="7579"/>
      </w:tabs>
      <w:spacing w:after="0" w:line="240" w:lineRule="auto"/>
      <w:ind w:left="240" w:firstLine="720"/>
    </w:pPr>
    <w:rPr>
      <w:rFonts w:ascii="Times New Roman" w:eastAsia="SimSun" w:hAnsi="Times New Roman" w:cs="Times New Roman"/>
      <w:b/>
      <w:bCs/>
      <w:noProof/>
      <w:kern w:val="24"/>
      <w:sz w:val="24"/>
      <w:szCs w:val="24"/>
      <w:lang w:val="en-GB" w:eastAsia="ja-JP"/>
    </w:rPr>
  </w:style>
  <w:style w:type="paragraph" w:styleId="TOC3">
    <w:name w:val="toc 3"/>
    <w:basedOn w:val="Normal"/>
    <w:next w:val="Normal"/>
    <w:autoRedefine/>
    <w:uiPriority w:val="39"/>
    <w:unhideWhenUsed/>
    <w:rsid w:val="003912EE"/>
    <w:pPr>
      <w:tabs>
        <w:tab w:val="right" w:leader="dot" w:pos="7579"/>
      </w:tabs>
      <w:spacing w:after="0" w:line="240" w:lineRule="auto"/>
      <w:ind w:left="480" w:firstLine="720"/>
    </w:pPr>
    <w:rPr>
      <w:rFonts w:asciiTheme="majorBidi" w:eastAsia="Calibri" w:hAnsiTheme="majorBidi" w:cs="Times New Roman"/>
      <w:b/>
      <w:bCs/>
      <w:noProof/>
      <w:kern w:val="24"/>
      <w:sz w:val="24"/>
      <w:szCs w:val="24"/>
      <w:lang w:val="en-GB" w:eastAsia="ja-JP"/>
    </w:rPr>
  </w:style>
  <w:style w:type="paragraph" w:customStyle="1" w:styleId="ecxmsonormal">
    <w:name w:val="ecxmsonormal"/>
    <w:basedOn w:val="Normal"/>
    <w:rsid w:val="00CA7446"/>
    <w:pPr>
      <w:spacing w:after="324" w:line="240" w:lineRule="auto"/>
    </w:pPr>
    <w:rPr>
      <w:rFonts w:ascii="Times New Roman" w:eastAsia="Times New Roman" w:hAnsi="Times New Roman" w:cs="Times New Roman"/>
      <w:sz w:val="24"/>
      <w:szCs w:val="24"/>
    </w:rPr>
  </w:style>
  <w:style w:type="numbering" w:customStyle="1" w:styleId="NoList11">
    <w:name w:val="No List11"/>
    <w:next w:val="NoList"/>
    <w:uiPriority w:val="99"/>
    <w:semiHidden/>
    <w:unhideWhenUsed/>
    <w:rsid w:val="00CA7446"/>
  </w:style>
  <w:style w:type="character" w:customStyle="1" w:styleId="apple-converted-space">
    <w:name w:val="apple-converted-space"/>
    <w:rsid w:val="00CA7446"/>
  </w:style>
  <w:style w:type="paragraph" w:customStyle="1" w:styleId="Default">
    <w:name w:val="Default"/>
    <w:rsid w:val="00CA7446"/>
    <w:pPr>
      <w:autoSpaceDE w:val="0"/>
      <w:autoSpaceDN w:val="0"/>
      <w:adjustRightInd w:val="0"/>
      <w:spacing w:after="0" w:line="240" w:lineRule="auto"/>
    </w:pPr>
    <w:rPr>
      <w:rFonts w:ascii="Sakkal Majalla" w:eastAsia="Calibri" w:hAnsi="Sakkal Majalla" w:cs="Sakkal Majalla"/>
      <w:color w:val="000000"/>
      <w:sz w:val="24"/>
      <w:szCs w:val="24"/>
      <w:lang w:val="en-MY" w:eastAsia="en-MY"/>
    </w:rPr>
  </w:style>
  <w:style w:type="paragraph" w:customStyle="1" w:styleId="alinea">
    <w:name w:val="alinea"/>
    <w:basedOn w:val="Normal"/>
    <w:rsid w:val="00CA74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nvoifakeno">
    <w:name w:val="renvoi_fake_no"/>
    <w:rsid w:val="00CA7446"/>
  </w:style>
  <w:style w:type="table" w:customStyle="1" w:styleId="TableGrid1">
    <w:name w:val="Table Grid1"/>
    <w:basedOn w:val="TableNormal"/>
    <w:next w:val="TableGrid"/>
    <w:uiPriority w:val="39"/>
    <w:rsid w:val="00CA7446"/>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7">
    <w:name w:val="ff7"/>
    <w:rsid w:val="00CA7446"/>
  </w:style>
  <w:style w:type="character" w:customStyle="1" w:styleId="ref-lnk">
    <w:name w:val="ref-lnk"/>
    <w:rsid w:val="00CA7446"/>
  </w:style>
  <w:style w:type="character" w:customStyle="1" w:styleId="ref-overlay">
    <w:name w:val="ref-overlay"/>
    <w:rsid w:val="00CA7446"/>
  </w:style>
  <w:style w:type="character" w:customStyle="1" w:styleId="hlfld-contribauthor">
    <w:name w:val="hlfld-contribauthor"/>
    <w:rsid w:val="00CA7446"/>
  </w:style>
  <w:style w:type="character" w:customStyle="1" w:styleId="nlmgiven-names">
    <w:name w:val="nlm_given-names"/>
    <w:rsid w:val="00CA7446"/>
  </w:style>
  <w:style w:type="character" w:customStyle="1" w:styleId="nlmyear">
    <w:name w:val="nlm_year"/>
    <w:rsid w:val="00CA7446"/>
  </w:style>
  <w:style w:type="character" w:customStyle="1" w:styleId="nlmarticle-title">
    <w:name w:val="nlm_article-title"/>
    <w:rsid w:val="00CA7446"/>
  </w:style>
  <w:style w:type="character" w:customStyle="1" w:styleId="nlmfpage">
    <w:name w:val="nlm_fpage"/>
    <w:rsid w:val="00CA7446"/>
  </w:style>
  <w:style w:type="character" w:customStyle="1" w:styleId="nlmlpage">
    <w:name w:val="nlm_lpage"/>
    <w:rsid w:val="00CA7446"/>
  </w:style>
  <w:style w:type="character" w:customStyle="1" w:styleId="nlmpub-id">
    <w:name w:val="nlm_pub-id"/>
    <w:rsid w:val="00CA7446"/>
  </w:style>
  <w:style w:type="character" w:customStyle="1" w:styleId="ref-links">
    <w:name w:val="ref-links"/>
    <w:rsid w:val="00CA7446"/>
  </w:style>
  <w:style w:type="character" w:customStyle="1" w:styleId="xlinks-container">
    <w:name w:val="xlinks-container"/>
    <w:rsid w:val="00CA7446"/>
  </w:style>
  <w:style w:type="character" w:customStyle="1" w:styleId="googlescholar-container">
    <w:name w:val="googlescholar-container"/>
    <w:rsid w:val="00CA7446"/>
  </w:style>
  <w:style w:type="character" w:customStyle="1" w:styleId="nlmpublisher-loc">
    <w:name w:val="nlm_publisher-loc"/>
    <w:rsid w:val="00CA7446"/>
  </w:style>
  <w:style w:type="character" w:customStyle="1" w:styleId="nlmpublisher-name">
    <w:name w:val="nlm_publisher-name"/>
    <w:rsid w:val="00CA7446"/>
  </w:style>
  <w:style w:type="character" w:customStyle="1" w:styleId="hps">
    <w:name w:val="hps"/>
    <w:rsid w:val="00CA7446"/>
  </w:style>
  <w:style w:type="character" w:customStyle="1" w:styleId="NoSpacingChar">
    <w:name w:val="No Spacing Char"/>
    <w:aliases w:val="No Indent Char"/>
    <w:link w:val="NoSpacing"/>
    <w:uiPriority w:val="1"/>
    <w:rsid w:val="00CA7446"/>
  </w:style>
  <w:style w:type="character" w:customStyle="1" w:styleId="metadate">
    <w:name w:val="meta_date"/>
    <w:rsid w:val="00CA7446"/>
  </w:style>
  <w:style w:type="character" w:customStyle="1" w:styleId="contextualextensionhighlight">
    <w:name w:val="contextualextensionhighlight"/>
    <w:rsid w:val="00CA7446"/>
  </w:style>
  <w:style w:type="character" w:customStyle="1" w:styleId="highlight">
    <w:name w:val="highlight"/>
    <w:rsid w:val="00CA7446"/>
  </w:style>
  <w:style w:type="paragraph" w:customStyle="1" w:styleId="Pa11">
    <w:name w:val="Pa11"/>
    <w:basedOn w:val="Default"/>
    <w:next w:val="Default"/>
    <w:uiPriority w:val="99"/>
    <w:rsid w:val="00CA7446"/>
    <w:pPr>
      <w:spacing w:line="201" w:lineRule="atLeast"/>
    </w:pPr>
    <w:rPr>
      <w:rFonts w:ascii="Times New Roman" w:hAnsi="Times New Roman" w:cs="Times New Roman"/>
      <w:color w:val="auto"/>
      <w:lang w:val="en-US" w:eastAsia="en-US"/>
    </w:rPr>
  </w:style>
  <w:style w:type="paragraph" w:customStyle="1" w:styleId="xmsonormal">
    <w:name w:val="x_msonormal"/>
    <w:basedOn w:val="Normal"/>
    <w:rsid w:val="00CA74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rsid w:val="00CA7446"/>
  </w:style>
  <w:style w:type="character" w:customStyle="1" w:styleId="shorttext">
    <w:name w:val="short_text"/>
    <w:rsid w:val="00CA7446"/>
  </w:style>
  <w:style w:type="character" w:customStyle="1" w:styleId="meta-category">
    <w:name w:val="meta-category"/>
    <w:rsid w:val="00CA7446"/>
  </w:style>
  <w:style w:type="character" w:customStyle="1" w:styleId="nlmstring-name">
    <w:name w:val="nlm_string-name"/>
    <w:rsid w:val="00CA7446"/>
  </w:style>
  <w:style w:type="character" w:customStyle="1" w:styleId="z-TopofFormChar">
    <w:name w:val="z-Top of Form Char"/>
    <w:link w:val="z-TopofForm"/>
    <w:uiPriority w:val="99"/>
    <w:semiHidden/>
    <w:rsid w:val="00CA7446"/>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CA7446"/>
    <w:pPr>
      <w:pBdr>
        <w:bottom w:val="single" w:sz="6" w:space="1" w:color="auto"/>
      </w:pBdr>
      <w:spacing w:after="0" w:line="276"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CA7446"/>
    <w:rPr>
      <w:rFonts w:ascii="Arial" w:hAnsi="Arial" w:cs="Arial"/>
      <w:vanish/>
      <w:sz w:val="16"/>
      <w:szCs w:val="16"/>
    </w:rPr>
  </w:style>
  <w:style w:type="character" w:customStyle="1" w:styleId="gt-ft-text">
    <w:name w:val="gt-ft-text"/>
    <w:rsid w:val="00CA7446"/>
  </w:style>
  <w:style w:type="character" w:customStyle="1" w:styleId="z-BottomofFormChar">
    <w:name w:val="z-Bottom of Form Char"/>
    <w:link w:val="z-BottomofForm"/>
    <w:uiPriority w:val="99"/>
    <w:semiHidden/>
    <w:rsid w:val="00CA744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A7446"/>
    <w:pPr>
      <w:pBdr>
        <w:top w:val="single" w:sz="6" w:space="1" w:color="auto"/>
      </w:pBdr>
      <w:spacing w:after="0" w:line="276" w:lineRule="auto"/>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CA7446"/>
    <w:rPr>
      <w:rFonts w:ascii="Arial" w:hAnsi="Arial" w:cs="Arial"/>
      <w:vanish/>
      <w:sz w:val="16"/>
      <w:szCs w:val="16"/>
    </w:rPr>
  </w:style>
  <w:style w:type="character" w:customStyle="1" w:styleId="st">
    <w:name w:val="st"/>
    <w:rsid w:val="00CA7446"/>
  </w:style>
  <w:style w:type="character" w:customStyle="1" w:styleId="ss-choice-label">
    <w:name w:val="ss-choice-label"/>
    <w:rsid w:val="00CA7446"/>
  </w:style>
  <w:style w:type="character" w:styleId="HTMLCite">
    <w:name w:val="HTML Cite"/>
    <w:uiPriority w:val="99"/>
    <w:semiHidden/>
    <w:unhideWhenUsed/>
    <w:rsid w:val="00CA7446"/>
    <w:rPr>
      <w:i/>
      <w:iCs/>
    </w:rPr>
  </w:style>
  <w:style w:type="paragraph" w:customStyle="1" w:styleId="TimesNewRoman">
    <w:name w:val="Times New Roman"/>
    <w:basedOn w:val="Normal"/>
    <w:link w:val="TimesNewRomanChar"/>
    <w:rsid w:val="00CA7446"/>
    <w:pPr>
      <w:spacing w:after="200" w:line="240" w:lineRule="auto"/>
      <w:jc w:val="lowKashida"/>
    </w:pPr>
    <w:rPr>
      <w:rFonts w:ascii="Times New Roman" w:eastAsia="Calibri" w:hAnsi="Times New Roman" w:cs="Times New Roman"/>
      <w:sz w:val="24"/>
      <w:szCs w:val="24"/>
    </w:rPr>
  </w:style>
  <w:style w:type="character" w:customStyle="1" w:styleId="TimesNewRomanChar">
    <w:name w:val="Times New Roman Char"/>
    <w:link w:val="TimesNewRoman"/>
    <w:rsid w:val="00CA7446"/>
    <w:rPr>
      <w:rFonts w:ascii="Times New Roman" w:eastAsia="Calibri" w:hAnsi="Times New Roman" w:cs="Times New Roman"/>
      <w:sz w:val="24"/>
      <w:szCs w:val="24"/>
    </w:rPr>
  </w:style>
  <w:style w:type="character" w:customStyle="1" w:styleId="BalloonTextChar1">
    <w:name w:val="Balloon Text Char1"/>
    <w:uiPriority w:val="99"/>
    <w:semiHidden/>
    <w:rsid w:val="00CA7446"/>
    <w:rPr>
      <w:rFonts w:ascii="Tahoma" w:hAnsi="Tahoma" w:cs="Tahoma"/>
      <w:sz w:val="16"/>
      <w:szCs w:val="16"/>
    </w:rPr>
  </w:style>
  <w:style w:type="character" w:customStyle="1" w:styleId="CommentSubjectChar1">
    <w:name w:val="Comment Subject Char1"/>
    <w:uiPriority w:val="99"/>
    <w:semiHidden/>
    <w:rsid w:val="00CA7446"/>
    <w:rPr>
      <w:b/>
      <w:bCs/>
      <w:sz w:val="20"/>
      <w:szCs w:val="20"/>
    </w:rPr>
  </w:style>
  <w:style w:type="character" w:customStyle="1" w:styleId="UnresolvedMention10">
    <w:name w:val="Unresolved Mention1"/>
    <w:uiPriority w:val="99"/>
    <w:semiHidden/>
    <w:unhideWhenUsed/>
    <w:rsid w:val="00CA7446"/>
    <w:rPr>
      <w:color w:val="808080"/>
      <w:shd w:val="clear" w:color="auto" w:fill="E6E6E6"/>
    </w:rPr>
  </w:style>
  <w:style w:type="paragraph" w:styleId="Revision">
    <w:name w:val="Revision"/>
    <w:hidden/>
    <w:uiPriority w:val="99"/>
    <w:semiHidden/>
    <w:rsid w:val="00CA7446"/>
    <w:pPr>
      <w:spacing w:after="0" w:line="240" w:lineRule="auto"/>
    </w:pPr>
    <w:rPr>
      <w:rFonts w:ascii="Calibri" w:eastAsia="Calibri" w:hAnsi="Calibri" w:cs="Times New Roman"/>
    </w:rPr>
  </w:style>
  <w:style w:type="paragraph" w:customStyle="1" w:styleId="Normal1">
    <w:name w:val="Normal1"/>
    <w:rsid w:val="00CA7446"/>
    <w:pPr>
      <w:spacing w:after="0" w:line="276" w:lineRule="auto"/>
    </w:pPr>
    <w:rPr>
      <w:rFonts w:ascii="Arial" w:eastAsia="Arial" w:hAnsi="Arial" w:cs="Arial"/>
    </w:rPr>
  </w:style>
  <w:style w:type="paragraph" w:customStyle="1" w:styleId="Newparagraph">
    <w:name w:val="New paragraph"/>
    <w:basedOn w:val="Normal"/>
    <w:rsid w:val="00CA7446"/>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title-text2">
    <w:name w:val="title-text2"/>
    <w:basedOn w:val="DefaultParagraphFont"/>
    <w:rsid w:val="00CA7446"/>
  </w:style>
  <w:style w:type="character" w:customStyle="1" w:styleId="authorsname">
    <w:name w:val="authors__name"/>
    <w:rsid w:val="00CA7446"/>
  </w:style>
  <w:style w:type="character" w:customStyle="1" w:styleId="name">
    <w:name w:val="name"/>
    <w:rsid w:val="00CA7446"/>
  </w:style>
  <w:style w:type="character" w:customStyle="1" w:styleId="abscitationtitle">
    <w:name w:val="abs_citation_title"/>
    <w:rsid w:val="00CA7446"/>
  </w:style>
  <w:style w:type="character" w:customStyle="1" w:styleId="word">
    <w:name w:val="word"/>
    <w:rsid w:val="00CA7446"/>
  </w:style>
  <w:style w:type="numbering" w:customStyle="1" w:styleId="NoList2">
    <w:name w:val="No List2"/>
    <w:next w:val="NoList"/>
    <w:uiPriority w:val="99"/>
    <w:semiHidden/>
    <w:unhideWhenUsed/>
    <w:rsid w:val="00C66B6A"/>
  </w:style>
  <w:style w:type="numbering" w:customStyle="1" w:styleId="NoList12">
    <w:name w:val="No List12"/>
    <w:next w:val="NoList"/>
    <w:uiPriority w:val="99"/>
    <w:semiHidden/>
    <w:unhideWhenUsed/>
    <w:rsid w:val="00C66B6A"/>
  </w:style>
  <w:style w:type="paragraph" w:styleId="Subtitle">
    <w:name w:val="Subtitle"/>
    <w:basedOn w:val="Normal"/>
    <w:next w:val="Normal"/>
    <w:link w:val="SubtitleChar"/>
    <w:uiPriority w:val="11"/>
    <w:qFormat/>
    <w:rsid w:val="005672B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672B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672BA"/>
    <w:rPr>
      <w:i/>
      <w:iCs/>
      <w:color w:val="595959" w:themeColor="text1" w:themeTint="A6"/>
    </w:rPr>
  </w:style>
  <w:style w:type="character" w:styleId="SubtleReference">
    <w:name w:val="Subtle Reference"/>
    <w:basedOn w:val="DefaultParagraphFont"/>
    <w:uiPriority w:val="31"/>
    <w:qFormat/>
    <w:rsid w:val="005672BA"/>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5672BA"/>
    <w:rPr>
      <w:b/>
      <w:bCs/>
      <w:smallCaps/>
      <w:spacing w:val="10"/>
    </w:rPr>
  </w:style>
  <w:style w:type="numbering" w:customStyle="1" w:styleId="NoList3">
    <w:name w:val="No List3"/>
    <w:next w:val="NoList"/>
    <w:uiPriority w:val="99"/>
    <w:semiHidden/>
    <w:unhideWhenUsed/>
    <w:rsid w:val="00C73358"/>
  </w:style>
  <w:style w:type="table" w:customStyle="1" w:styleId="TableGrid2">
    <w:name w:val="Table Grid2"/>
    <w:basedOn w:val="TableNormal"/>
    <w:next w:val="TableGrid"/>
    <w:uiPriority w:val="59"/>
    <w:rsid w:val="00C7335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73358"/>
    <w:pPr>
      <w:spacing w:after="0" w:line="240" w:lineRule="auto"/>
    </w:pPr>
    <w:rPr>
      <w:rFonts w:ascii="Calibri" w:eastAsia="Calibri" w:hAnsi="Calibri" w:cs="Arial"/>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Style1">
    <w:name w:val="Style1"/>
    <w:uiPriority w:val="99"/>
    <w:rsid w:val="00C73358"/>
    <w:pPr>
      <w:numPr>
        <w:numId w:val="11"/>
      </w:numPr>
    </w:pPr>
  </w:style>
  <w:style w:type="character" w:styleId="UnresolvedMention">
    <w:name w:val="Unresolved Mention"/>
    <w:basedOn w:val="DefaultParagraphFont"/>
    <w:uiPriority w:val="99"/>
    <w:semiHidden/>
    <w:unhideWhenUsed/>
    <w:rsid w:val="00027355"/>
    <w:rPr>
      <w:color w:val="605E5C"/>
      <w:shd w:val="clear" w:color="auto" w:fill="E1DFDD"/>
    </w:rPr>
  </w:style>
  <w:style w:type="numbering" w:customStyle="1" w:styleId="NoList4">
    <w:name w:val="No List4"/>
    <w:next w:val="NoList"/>
    <w:uiPriority w:val="99"/>
    <w:semiHidden/>
    <w:unhideWhenUsed/>
    <w:rsid w:val="0003140E"/>
  </w:style>
  <w:style w:type="table" w:customStyle="1" w:styleId="TableGrid3">
    <w:name w:val="Table Grid3"/>
    <w:basedOn w:val="TableNormal"/>
    <w:next w:val="TableGrid"/>
    <w:uiPriority w:val="59"/>
    <w:rsid w:val="0003140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ListParagraph"/>
    <w:next w:val="Normal"/>
    <w:uiPriority w:val="9"/>
    <w:qFormat/>
    <w:rsid w:val="0003140E"/>
    <w:pPr>
      <w:numPr>
        <w:ilvl w:val="1"/>
        <w:numId w:val="13"/>
      </w:numPr>
      <w:spacing w:after="0" w:line="480" w:lineRule="auto"/>
      <w:jc w:val="both"/>
    </w:pPr>
    <w:rPr>
      <w:rFonts w:ascii="Times New Roman" w:eastAsia="Calibri" w:hAnsi="Times New Roman" w:cs="Times New Roman"/>
      <w:b/>
      <w:bCs/>
      <w:sz w:val="24"/>
      <w:szCs w:val="24"/>
    </w:rPr>
  </w:style>
  <w:style w:type="paragraph" w:customStyle="1" w:styleId="Heading21">
    <w:name w:val="Heading 21"/>
    <w:basedOn w:val="Normal"/>
    <w:next w:val="Normal"/>
    <w:uiPriority w:val="9"/>
    <w:semiHidden/>
    <w:unhideWhenUsed/>
    <w:qFormat/>
    <w:rsid w:val="0003140E"/>
    <w:pPr>
      <w:keepNext/>
      <w:keepLines/>
      <w:spacing w:before="40" w:after="0" w:line="256" w:lineRule="auto"/>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semiHidden/>
    <w:unhideWhenUsed/>
    <w:qFormat/>
    <w:rsid w:val="0003140E"/>
    <w:pPr>
      <w:keepNext/>
      <w:keepLines/>
      <w:spacing w:before="40" w:after="0" w:line="256" w:lineRule="auto"/>
      <w:outlineLvl w:val="2"/>
    </w:pPr>
    <w:rPr>
      <w:rFonts w:ascii="Calibri Light" w:eastAsia="Times New Roman" w:hAnsi="Calibri Light" w:cs="Times New Roman"/>
      <w:color w:val="1F4D78"/>
      <w:sz w:val="24"/>
      <w:szCs w:val="24"/>
    </w:rPr>
  </w:style>
  <w:style w:type="paragraph" w:customStyle="1" w:styleId="Heading41">
    <w:name w:val="Heading 41"/>
    <w:basedOn w:val="Normal"/>
    <w:next w:val="Normal"/>
    <w:uiPriority w:val="9"/>
    <w:semiHidden/>
    <w:unhideWhenUsed/>
    <w:qFormat/>
    <w:rsid w:val="0003140E"/>
    <w:pPr>
      <w:keepNext/>
      <w:keepLines/>
      <w:spacing w:before="40" w:after="0" w:line="256" w:lineRule="auto"/>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9"/>
    <w:semiHidden/>
    <w:unhideWhenUsed/>
    <w:qFormat/>
    <w:rsid w:val="0003140E"/>
    <w:pPr>
      <w:keepNext/>
      <w:keepLines/>
      <w:spacing w:before="40" w:after="0" w:line="256" w:lineRule="auto"/>
      <w:outlineLvl w:val="4"/>
    </w:pPr>
    <w:rPr>
      <w:rFonts w:ascii="Calibri Light" w:eastAsia="Times New Roman" w:hAnsi="Calibri Light" w:cs="Times New Roman"/>
      <w:color w:val="2E74B5"/>
    </w:rPr>
  </w:style>
  <w:style w:type="paragraph" w:customStyle="1" w:styleId="Heading61">
    <w:name w:val="Heading 61"/>
    <w:basedOn w:val="Normal"/>
    <w:next w:val="Normal"/>
    <w:uiPriority w:val="9"/>
    <w:semiHidden/>
    <w:unhideWhenUsed/>
    <w:qFormat/>
    <w:rsid w:val="0003140E"/>
    <w:pPr>
      <w:keepNext/>
      <w:keepLines/>
      <w:spacing w:before="40" w:after="0" w:line="256" w:lineRule="auto"/>
      <w:outlineLvl w:val="5"/>
    </w:pPr>
    <w:rPr>
      <w:rFonts w:ascii="Calibri Light" w:eastAsia="Times New Roman" w:hAnsi="Calibri Light" w:cs="Times New Roman"/>
      <w:color w:val="1F4D78"/>
    </w:rPr>
  </w:style>
  <w:style w:type="paragraph" w:customStyle="1" w:styleId="Heading71">
    <w:name w:val="Heading 71"/>
    <w:basedOn w:val="Normal"/>
    <w:next w:val="Normal"/>
    <w:uiPriority w:val="9"/>
    <w:semiHidden/>
    <w:unhideWhenUsed/>
    <w:qFormat/>
    <w:rsid w:val="0003140E"/>
    <w:pPr>
      <w:keepNext/>
      <w:keepLines/>
      <w:spacing w:before="40" w:after="0" w:line="256" w:lineRule="auto"/>
      <w:outlineLvl w:val="6"/>
    </w:pPr>
    <w:rPr>
      <w:rFonts w:ascii="Calibri Light" w:eastAsia="Times New Roman" w:hAnsi="Calibri Light" w:cs="Times New Roman"/>
      <w:i/>
      <w:iCs/>
      <w:color w:val="1F4D78"/>
    </w:rPr>
  </w:style>
  <w:style w:type="paragraph" w:customStyle="1" w:styleId="Heading81">
    <w:name w:val="Heading 81"/>
    <w:basedOn w:val="Normal"/>
    <w:next w:val="Normal"/>
    <w:uiPriority w:val="9"/>
    <w:semiHidden/>
    <w:unhideWhenUsed/>
    <w:qFormat/>
    <w:rsid w:val="0003140E"/>
    <w:pPr>
      <w:keepNext/>
      <w:keepLines/>
      <w:spacing w:before="40" w:after="0" w:line="256" w:lineRule="auto"/>
      <w:outlineLvl w:val="7"/>
    </w:pPr>
    <w:rPr>
      <w:rFonts w:ascii="Calibri Light" w:eastAsia="Times New Roman" w:hAnsi="Calibri Light" w:cs="Times New Roman"/>
      <w:color w:val="272727"/>
      <w:sz w:val="21"/>
      <w:szCs w:val="21"/>
    </w:rPr>
  </w:style>
  <w:style w:type="paragraph" w:customStyle="1" w:styleId="Heading91">
    <w:name w:val="Heading 91"/>
    <w:basedOn w:val="Normal"/>
    <w:next w:val="Normal"/>
    <w:uiPriority w:val="9"/>
    <w:semiHidden/>
    <w:unhideWhenUsed/>
    <w:qFormat/>
    <w:rsid w:val="0003140E"/>
    <w:pPr>
      <w:keepNext/>
      <w:keepLines/>
      <w:spacing w:before="40" w:after="0" w:line="256" w:lineRule="auto"/>
      <w:outlineLvl w:val="8"/>
    </w:pPr>
    <w:rPr>
      <w:rFonts w:ascii="Calibri Light" w:eastAsia="Times New Roman" w:hAnsi="Calibri Light" w:cs="Times New Roman"/>
      <w:i/>
      <w:iCs/>
      <w:color w:val="272727"/>
      <w:sz w:val="21"/>
      <w:szCs w:val="21"/>
    </w:rPr>
  </w:style>
  <w:style w:type="character" w:customStyle="1" w:styleId="Hyperlink1">
    <w:name w:val="Hyperlink1"/>
    <w:basedOn w:val="DefaultParagraphFont"/>
    <w:uiPriority w:val="99"/>
    <w:unhideWhenUsed/>
    <w:rsid w:val="0003140E"/>
    <w:rPr>
      <w:color w:val="0563C1"/>
      <w:u w:val="single"/>
    </w:rPr>
  </w:style>
  <w:style w:type="table" w:customStyle="1" w:styleId="GridTable4-Accent11">
    <w:name w:val="Grid Table 4 - Accent 11"/>
    <w:basedOn w:val="TableNormal"/>
    <w:next w:val="GridTable4-Accent12"/>
    <w:uiPriority w:val="49"/>
    <w:rsid w:val="0003140E"/>
    <w:pPr>
      <w:spacing w:after="0" w:line="240" w:lineRule="auto"/>
    </w:pPr>
    <w:rPr>
      <w:rFonts w:eastAsiaTheme="minorHAn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1Char1">
    <w:name w:val="Heading 1 Char1"/>
    <w:basedOn w:val="DefaultParagraphFont"/>
    <w:uiPriority w:val="9"/>
    <w:rsid w:val="0003140E"/>
    <w:rPr>
      <w:rFonts w:asciiTheme="majorHAnsi" w:eastAsiaTheme="majorEastAsia" w:hAnsiTheme="majorHAnsi" w:cstheme="majorBidi"/>
      <w:color w:val="2F5496" w:themeColor="accent1" w:themeShade="BF"/>
      <w:sz w:val="32"/>
      <w:szCs w:val="32"/>
    </w:rPr>
  </w:style>
  <w:style w:type="table" w:customStyle="1" w:styleId="GridTable4-Accent12">
    <w:name w:val="Grid Table 4 - Accent 12"/>
    <w:basedOn w:val="TableNormal"/>
    <w:uiPriority w:val="49"/>
    <w:rsid w:val="0003140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1">
    <w:name w:val="Heading 2 Char1"/>
    <w:basedOn w:val="DefaultParagraphFont"/>
    <w:uiPriority w:val="9"/>
    <w:semiHidden/>
    <w:rsid w:val="0003140E"/>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03140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03140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03140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03140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03140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03140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3140E"/>
    <w:rPr>
      <w:rFonts w:asciiTheme="majorHAnsi" w:eastAsiaTheme="majorEastAsia" w:hAnsiTheme="majorHAnsi" w:cstheme="majorBidi"/>
      <w:i/>
      <w:iCs/>
      <w:color w:val="272727" w:themeColor="text1" w:themeTint="D8"/>
      <w:sz w:val="21"/>
      <w:szCs w:val="21"/>
    </w:rPr>
  </w:style>
  <w:style w:type="character" w:customStyle="1" w:styleId="UnresolvedMention2">
    <w:name w:val="Unresolved Mention2"/>
    <w:basedOn w:val="DefaultParagraphFont"/>
    <w:uiPriority w:val="99"/>
    <w:semiHidden/>
    <w:unhideWhenUsed/>
    <w:rsid w:val="0003140E"/>
    <w:rPr>
      <w:color w:val="605E5C"/>
      <w:shd w:val="clear" w:color="auto" w:fill="E1DFDD"/>
    </w:rPr>
  </w:style>
  <w:style w:type="numbering" w:customStyle="1" w:styleId="NoList5">
    <w:name w:val="No List5"/>
    <w:next w:val="NoList"/>
    <w:uiPriority w:val="99"/>
    <w:semiHidden/>
    <w:unhideWhenUsed/>
    <w:rsid w:val="006346CA"/>
  </w:style>
  <w:style w:type="numbering" w:customStyle="1" w:styleId="Umdheyablist">
    <w:name w:val="Umdheyab list"/>
    <w:uiPriority w:val="99"/>
    <w:rsid w:val="006346CA"/>
    <w:pPr>
      <w:numPr>
        <w:numId w:val="18"/>
      </w:numPr>
    </w:pPr>
  </w:style>
  <w:style w:type="table" w:customStyle="1" w:styleId="TableGrid4">
    <w:name w:val="Table Grid4"/>
    <w:basedOn w:val="TableNormal"/>
    <w:next w:val="TableGrid"/>
    <w:uiPriority w:val="39"/>
    <w:rsid w:val="006346CA"/>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
    <w:name w:val="Grid Table 4 - Accent 13"/>
    <w:basedOn w:val="TableNormal"/>
    <w:next w:val="GridTable4-Accent1"/>
    <w:uiPriority w:val="49"/>
    <w:rsid w:val="006346CA"/>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6346CA"/>
    <w:pPr>
      <w:spacing w:after="0" w:line="240" w:lineRule="auto"/>
      <w:ind w:firstLine="720"/>
    </w:pPr>
    <w:rPr>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PAReport1">
    <w:name w:val="APA Report1"/>
    <w:basedOn w:val="TableNormal"/>
    <w:uiPriority w:val="99"/>
    <w:rsid w:val="006346CA"/>
    <w:pPr>
      <w:spacing w:after="0" w:line="240" w:lineRule="auto"/>
    </w:pPr>
    <w:rPr>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styleId="PlainTable1">
    <w:name w:val="Plain Table 1"/>
    <w:basedOn w:val="TableNormal"/>
    <w:uiPriority w:val="41"/>
    <w:rsid w:val="006346CA"/>
    <w:pPr>
      <w:spacing w:after="0" w:line="240" w:lineRule="auto"/>
      <w:ind w:firstLine="720"/>
    </w:pPr>
    <w:rPr>
      <w:sz w:val="24"/>
      <w:szCs w:val="24"/>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6">
    <w:name w:val="No List6"/>
    <w:next w:val="NoList"/>
    <w:uiPriority w:val="99"/>
    <w:semiHidden/>
    <w:unhideWhenUsed/>
    <w:rsid w:val="001A7901"/>
  </w:style>
  <w:style w:type="numbering" w:customStyle="1" w:styleId="Umdheyablist1">
    <w:name w:val="Umdheyab list1"/>
    <w:uiPriority w:val="99"/>
    <w:rsid w:val="001A7901"/>
    <w:pPr>
      <w:numPr>
        <w:numId w:val="4"/>
      </w:numPr>
    </w:pPr>
  </w:style>
  <w:style w:type="table" w:customStyle="1" w:styleId="TableGrid5">
    <w:name w:val="Table Grid5"/>
    <w:basedOn w:val="TableNormal"/>
    <w:next w:val="TableGrid"/>
    <w:uiPriority w:val="39"/>
    <w:rsid w:val="001A7901"/>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4">
    <w:name w:val="Grid Table 4 - Accent 14"/>
    <w:basedOn w:val="TableNormal"/>
    <w:next w:val="GridTable4-Accent1"/>
    <w:uiPriority w:val="49"/>
    <w:rsid w:val="001A7901"/>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PAReport2">
    <w:name w:val="APA Report2"/>
    <w:basedOn w:val="TableNormal"/>
    <w:uiPriority w:val="99"/>
    <w:rsid w:val="001A7901"/>
    <w:pPr>
      <w:spacing w:after="0" w:line="240" w:lineRule="auto"/>
    </w:pPr>
    <w:rPr>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TableGrid6">
    <w:name w:val="Table Grid6"/>
    <w:basedOn w:val="TableNormal"/>
    <w:next w:val="TableGrid"/>
    <w:uiPriority w:val="39"/>
    <w:rsid w:val="006D7990"/>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D7990"/>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D7990"/>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B4D7E"/>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200F1"/>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04086"/>
  </w:style>
  <w:style w:type="table" w:customStyle="1" w:styleId="TableGrid11">
    <w:name w:val="Table Grid11"/>
    <w:basedOn w:val="TableNormal"/>
    <w:next w:val="TableGrid"/>
    <w:uiPriority w:val="39"/>
    <w:rsid w:val="00104086"/>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04086"/>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line">
    <w:name w:val="form-line"/>
    <w:basedOn w:val="Normal"/>
    <w:rsid w:val="00104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radio-item">
    <w:name w:val="form-radio-item"/>
    <w:basedOn w:val="DefaultParagraphFont"/>
    <w:rsid w:val="00104086"/>
  </w:style>
  <w:style w:type="character" w:customStyle="1" w:styleId="A6">
    <w:name w:val="A6"/>
    <w:uiPriority w:val="99"/>
    <w:rsid w:val="00104086"/>
    <w:rPr>
      <w:rFonts w:cs="Book Antiqua"/>
      <w:color w:val="000000"/>
      <w:sz w:val="20"/>
      <w:szCs w:val="20"/>
    </w:rPr>
  </w:style>
  <w:style w:type="paragraph" w:customStyle="1" w:styleId="Appendix">
    <w:name w:val="Appendix"/>
    <w:basedOn w:val="Heading1"/>
    <w:link w:val="AppendixChar"/>
    <w:qFormat/>
    <w:rsid w:val="00104086"/>
    <w:pPr>
      <w:keepNext w:val="0"/>
      <w:keepLines w:val="0"/>
      <w:spacing w:before="0" w:after="0" w:line="480" w:lineRule="auto"/>
      <w:jc w:val="center"/>
    </w:pPr>
    <w:rPr>
      <w:rFonts w:ascii="Times New Roman" w:eastAsiaTheme="minorHAnsi" w:hAnsi="Times New Roman" w:cs="Times New Roman"/>
      <w:b/>
      <w:bCs/>
      <w:color w:val="000000" w:themeColor="text1"/>
      <w:sz w:val="24"/>
      <w:szCs w:val="24"/>
    </w:rPr>
  </w:style>
  <w:style w:type="paragraph" w:customStyle="1" w:styleId="AppendixLevel2">
    <w:name w:val="Appendix Level 2"/>
    <w:basedOn w:val="Normal"/>
    <w:link w:val="AppendixLevel2Char"/>
    <w:qFormat/>
    <w:rsid w:val="00104086"/>
    <w:pPr>
      <w:widowControl w:val="0"/>
      <w:spacing w:after="0" w:line="480" w:lineRule="auto"/>
      <w:jc w:val="both"/>
    </w:pPr>
    <w:rPr>
      <w:rFonts w:ascii="Times New Roman" w:eastAsiaTheme="minorHAnsi" w:hAnsi="Times New Roman" w:cs="Times New Roman"/>
      <w:b/>
      <w:bCs/>
      <w:color w:val="000000" w:themeColor="text1"/>
      <w:sz w:val="24"/>
      <w:szCs w:val="24"/>
    </w:rPr>
  </w:style>
  <w:style w:type="character" w:customStyle="1" w:styleId="AppendixChar">
    <w:name w:val="Appendix Char"/>
    <w:basedOn w:val="Heading1Char"/>
    <w:link w:val="Appendix"/>
    <w:rsid w:val="00104086"/>
    <w:rPr>
      <w:rFonts w:ascii="Times New Roman" w:eastAsiaTheme="minorHAnsi" w:hAnsi="Times New Roman" w:cs="Times New Roman"/>
      <w:b/>
      <w:bCs/>
      <w:color w:val="000000" w:themeColor="text1"/>
      <w:sz w:val="24"/>
      <w:szCs w:val="24"/>
    </w:rPr>
  </w:style>
  <w:style w:type="character" w:customStyle="1" w:styleId="AppendixLevel2Char">
    <w:name w:val="Appendix Level 2 Char"/>
    <w:basedOn w:val="DefaultParagraphFont"/>
    <w:link w:val="AppendixLevel2"/>
    <w:rsid w:val="00104086"/>
    <w:rPr>
      <w:rFonts w:ascii="Times New Roman" w:eastAsiaTheme="minorHAnsi" w:hAnsi="Times New Roman" w:cs="Times New Roman"/>
      <w:b/>
      <w:bCs/>
      <w:color w:val="000000" w:themeColor="text1"/>
      <w:sz w:val="24"/>
      <w:szCs w:val="24"/>
    </w:rPr>
  </w:style>
  <w:style w:type="numbering" w:customStyle="1" w:styleId="NoList13">
    <w:name w:val="No List13"/>
    <w:next w:val="NoList"/>
    <w:uiPriority w:val="99"/>
    <w:semiHidden/>
    <w:unhideWhenUsed/>
    <w:rsid w:val="00104086"/>
  </w:style>
  <w:style w:type="numbering" w:customStyle="1" w:styleId="NoList8">
    <w:name w:val="No List8"/>
    <w:next w:val="NoList"/>
    <w:uiPriority w:val="99"/>
    <w:semiHidden/>
    <w:unhideWhenUsed/>
    <w:rsid w:val="00D33204"/>
  </w:style>
  <w:style w:type="table" w:customStyle="1" w:styleId="TableGrid13">
    <w:name w:val="Table Grid13"/>
    <w:basedOn w:val="TableNormal"/>
    <w:next w:val="TableGrid"/>
    <w:uiPriority w:val="39"/>
    <w:rsid w:val="00D3320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3320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33204"/>
  </w:style>
  <w:style w:type="table" w:customStyle="1" w:styleId="TableGrid15">
    <w:name w:val="Table Grid15"/>
    <w:basedOn w:val="TableNormal"/>
    <w:next w:val="TableGrid"/>
    <w:uiPriority w:val="39"/>
    <w:rsid w:val="00397DA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D4FB4"/>
  </w:style>
  <w:style w:type="table" w:customStyle="1" w:styleId="TableGrid16">
    <w:name w:val="Table Grid16"/>
    <w:basedOn w:val="TableNormal"/>
    <w:next w:val="TableGrid"/>
    <w:uiPriority w:val="59"/>
    <w:rsid w:val="009D4FB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9D4FB4"/>
    <w:pPr>
      <w:numPr>
        <w:numId w:val="17"/>
      </w:numPr>
    </w:pPr>
  </w:style>
  <w:style w:type="numbering" w:customStyle="1" w:styleId="NoList10">
    <w:name w:val="No List10"/>
    <w:next w:val="NoList"/>
    <w:uiPriority w:val="99"/>
    <w:semiHidden/>
    <w:unhideWhenUsed/>
    <w:rsid w:val="00E41CB5"/>
  </w:style>
  <w:style w:type="table" w:customStyle="1" w:styleId="TableGrid17">
    <w:name w:val="Table Grid17"/>
    <w:basedOn w:val="TableNormal"/>
    <w:next w:val="TableGrid"/>
    <w:uiPriority w:val="39"/>
    <w:rsid w:val="00E41CB5"/>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41CB5"/>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41CB5"/>
  </w:style>
  <w:style w:type="numbering" w:customStyle="1" w:styleId="NoList16">
    <w:name w:val="No List16"/>
    <w:next w:val="NoList"/>
    <w:uiPriority w:val="99"/>
    <w:semiHidden/>
    <w:unhideWhenUsed/>
    <w:rsid w:val="007562B3"/>
  </w:style>
  <w:style w:type="table" w:customStyle="1" w:styleId="TableGrid19">
    <w:name w:val="Table Grid19"/>
    <w:basedOn w:val="TableNormal"/>
    <w:next w:val="TableGrid"/>
    <w:uiPriority w:val="39"/>
    <w:rsid w:val="007562B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2192">
      <w:bodyDiv w:val="1"/>
      <w:marLeft w:val="0"/>
      <w:marRight w:val="0"/>
      <w:marTop w:val="0"/>
      <w:marBottom w:val="0"/>
      <w:divBdr>
        <w:top w:val="none" w:sz="0" w:space="0" w:color="auto"/>
        <w:left w:val="none" w:sz="0" w:space="0" w:color="auto"/>
        <w:bottom w:val="none" w:sz="0" w:space="0" w:color="auto"/>
        <w:right w:val="none" w:sz="0" w:space="0" w:color="auto"/>
      </w:divBdr>
    </w:div>
    <w:div w:id="214514370">
      <w:bodyDiv w:val="1"/>
      <w:marLeft w:val="0"/>
      <w:marRight w:val="0"/>
      <w:marTop w:val="0"/>
      <w:marBottom w:val="0"/>
      <w:divBdr>
        <w:top w:val="none" w:sz="0" w:space="0" w:color="auto"/>
        <w:left w:val="none" w:sz="0" w:space="0" w:color="auto"/>
        <w:bottom w:val="none" w:sz="0" w:space="0" w:color="auto"/>
        <w:right w:val="none" w:sz="0" w:space="0" w:color="auto"/>
      </w:divBdr>
    </w:div>
    <w:div w:id="356127857">
      <w:bodyDiv w:val="1"/>
      <w:marLeft w:val="0"/>
      <w:marRight w:val="0"/>
      <w:marTop w:val="0"/>
      <w:marBottom w:val="0"/>
      <w:divBdr>
        <w:top w:val="none" w:sz="0" w:space="0" w:color="auto"/>
        <w:left w:val="none" w:sz="0" w:space="0" w:color="auto"/>
        <w:bottom w:val="none" w:sz="0" w:space="0" w:color="auto"/>
        <w:right w:val="none" w:sz="0" w:space="0" w:color="auto"/>
      </w:divBdr>
    </w:div>
    <w:div w:id="467623960">
      <w:bodyDiv w:val="1"/>
      <w:marLeft w:val="0"/>
      <w:marRight w:val="0"/>
      <w:marTop w:val="0"/>
      <w:marBottom w:val="0"/>
      <w:divBdr>
        <w:top w:val="none" w:sz="0" w:space="0" w:color="auto"/>
        <w:left w:val="none" w:sz="0" w:space="0" w:color="auto"/>
        <w:bottom w:val="none" w:sz="0" w:space="0" w:color="auto"/>
        <w:right w:val="none" w:sz="0" w:space="0" w:color="auto"/>
      </w:divBdr>
    </w:div>
    <w:div w:id="561603654">
      <w:bodyDiv w:val="1"/>
      <w:marLeft w:val="0"/>
      <w:marRight w:val="0"/>
      <w:marTop w:val="0"/>
      <w:marBottom w:val="0"/>
      <w:divBdr>
        <w:top w:val="none" w:sz="0" w:space="0" w:color="auto"/>
        <w:left w:val="none" w:sz="0" w:space="0" w:color="auto"/>
        <w:bottom w:val="none" w:sz="0" w:space="0" w:color="auto"/>
        <w:right w:val="none" w:sz="0" w:space="0" w:color="auto"/>
      </w:divBdr>
    </w:div>
    <w:div w:id="791247878">
      <w:bodyDiv w:val="1"/>
      <w:marLeft w:val="0"/>
      <w:marRight w:val="0"/>
      <w:marTop w:val="0"/>
      <w:marBottom w:val="0"/>
      <w:divBdr>
        <w:top w:val="none" w:sz="0" w:space="0" w:color="auto"/>
        <w:left w:val="none" w:sz="0" w:space="0" w:color="auto"/>
        <w:bottom w:val="none" w:sz="0" w:space="0" w:color="auto"/>
        <w:right w:val="none" w:sz="0" w:space="0" w:color="auto"/>
      </w:divBdr>
    </w:div>
    <w:div w:id="809246821">
      <w:bodyDiv w:val="1"/>
      <w:marLeft w:val="0"/>
      <w:marRight w:val="0"/>
      <w:marTop w:val="0"/>
      <w:marBottom w:val="0"/>
      <w:divBdr>
        <w:top w:val="none" w:sz="0" w:space="0" w:color="auto"/>
        <w:left w:val="none" w:sz="0" w:space="0" w:color="auto"/>
        <w:bottom w:val="none" w:sz="0" w:space="0" w:color="auto"/>
        <w:right w:val="none" w:sz="0" w:space="0" w:color="auto"/>
      </w:divBdr>
    </w:div>
    <w:div w:id="1098677337">
      <w:bodyDiv w:val="1"/>
      <w:marLeft w:val="0"/>
      <w:marRight w:val="0"/>
      <w:marTop w:val="0"/>
      <w:marBottom w:val="0"/>
      <w:divBdr>
        <w:top w:val="none" w:sz="0" w:space="0" w:color="auto"/>
        <w:left w:val="none" w:sz="0" w:space="0" w:color="auto"/>
        <w:bottom w:val="none" w:sz="0" w:space="0" w:color="auto"/>
        <w:right w:val="none" w:sz="0" w:space="0" w:color="auto"/>
      </w:divBdr>
    </w:div>
    <w:div w:id="1148398116">
      <w:bodyDiv w:val="1"/>
      <w:marLeft w:val="0"/>
      <w:marRight w:val="0"/>
      <w:marTop w:val="0"/>
      <w:marBottom w:val="0"/>
      <w:divBdr>
        <w:top w:val="none" w:sz="0" w:space="0" w:color="auto"/>
        <w:left w:val="none" w:sz="0" w:space="0" w:color="auto"/>
        <w:bottom w:val="none" w:sz="0" w:space="0" w:color="auto"/>
        <w:right w:val="none" w:sz="0" w:space="0" w:color="auto"/>
      </w:divBdr>
    </w:div>
    <w:div w:id="1180701613">
      <w:bodyDiv w:val="1"/>
      <w:marLeft w:val="0"/>
      <w:marRight w:val="0"/>
      <w:marTop w:val="0"/>
      <w:marBottom w:val="0"/>
      <w:divBdr>
        <w:top w:val="none" w:sz="0" w:space="0" w:color="auto"/>
        <w:left w:val="none" w:sz="0" w:space="0" w:color="auto"/>
        <w:bottom w:val="none" w:sz="0" w:space="0" w:color="auto"/>
        <w:right w:val="none" w:sz="0" w:space="0" w:color="auto"/>
      </w:divBdr>
    </w:div>
    <w:div w:id="1247884027">
      <w:bodyDiv w:val="1"/>
      <w:marLeft w:val="0"/>
      <w:marRight w:val="0"/>
      <w:marTop w:val="0"/>
      <w:marBottom w:val="0"/>
      <w:divBdr>
        <w:top w:val="none" w:sz="0" w:space="0" w:color="auto"/>
        <w:left w:val="none" w:sz="0" w:space="0" w:color="auto"/>
        <w:bottom w:val="none" w:sz="0" w:space="0" w:color="auto"/>
        <w:right w:val="none" w:sz="0" w:space="0" w:color="auto"/>
      </w:divBdr>
    </w:div>
    <w:div w:id="1267425122">
      <w:bodyDiv w:val="1"/>
      <w:marLeft w:val="0"/>
      <w:marRight w:val="0"/>
      <w:marTop w:val="0"/>
      <w:marBottom w:val="0"/>
      <w:divBdr>
        <w:top w:val="none" w:sz="0" w:space="0" w:color="auto"/>
        <w:left w:val="none" w:sz="0" w:space="0" w:color="auto"/>
        <w:bottom w:val="none" w:sz="0" w:space="0" w:color="auto"/>
        <w:right w:val="none" w:sz="0" w:space="0" w:color="auto"/>
      </w:divBdr>
    </w:div>
    <w:div w:id="1303539131">
      <w:bodyDiv w:val="1"/>
      <w:marLeft w:val="0"/>
      <w:marRight w:val="0"/>
      <w:marTop w:val="0"/>
      <w:marBottom w:val="0"/>
      <w:divBdr>
        <w:top w:val="none" w:sz="0" w:space="0" w:color="auto"/>
        <w:left w:val="none" w:sz="0" w:space="0" w:color="auto"/>
        <w:bottom w:val="none" w:sz="0" w:space="0" w:color="auto"/>
        <w:right w:val="none" w:sz="0" w:space="0" w:color="auto"/>
      </w:divBdr>
    </w:div>
    <w:div w:id="1314675672">
      <w:bodyDiv w:val="1"/>
      <w:marLeft w:val="0"/>
      <w:marRight w:val="0"/>
      <w:marTop w:val="0"/>
      <w:marBottom w:val="0"/>
      <w:divBdr>
        <w:top w:val="none" w:sz="0" w:space="0" w:color="auto"/>
        <w:left w:val="none" w:sz="0" w:space="0" w:color="auto"/>
        <w:bottom w:val="none" w:sz="0" w:space="0" w:color="auto"/>
        <w:right w:val="none" w:sz="0" w:space="0" w:color="auto"/>
      </w:divBdr>
    </w:div>
    <w:div w:id="1327902023">
      <w:bodyDiv w:val="1"/>
      <w:marLeft w:val="0"/>
      <w:marRight w:val="0"/>
      <w:marTop w:val="0"/>
      <w:marBottom w:val="0"/>
      <w:divBdr>
        <w:top w:val="none" w:sz="0" w:space="0" w:color="auto"/>
        <w:left w:val="none" w:sz="0" w:space="0" w:color="auto"/>
        <w:bottom w:val="none" w:sz="0" w:space="0" w:color="auto"/>
        <w:right w:val="none" w:sz="0" w:space="0" w:color="auto"/>
      </w:divBdr>
    </w:div>
    <w:div w:id="1328367847">
      <w:bodyDiv w:val="1"/>
      <w:marLeft w:val="0"/>
      <w:marRight w:val="0"/>
      <w:marTop w:val="0"/>
      <w:marBottom w:val="0"/>
      <w:divBdr>
        <w:top w:val="none" w:sz="0" w:space="0" w:color="auto"/>
        <w:left w:val="none" w:sz="0" w:space="0" w:color="auto"/>
        <w:bottom w:val="none" w:sz="0" w:space="0" w:color="auto"/>
        <w:right w:val="none" w:sz="0" w:space="0" w:color="auto"/>
      </w:divBdr>
    </w:div>
    <w:div w:id="1342077888">
      <w:bodyDiv w:val="1"/>
      <w:marLeft w:val="0"/>
      <w:marRight w:val="0"/>
      <w:marTop w:val="0"/>
      <w:marBottom w:val="0"/>
      <w:divBdr>
        <w:top w:val="none" w:sz="0" w:space="0" w:color="auto"/>
        <w:left w:val="none" w:sz="0" w:space="0" w:color="auto"/>
        <w:bottom w:val="none" w:sz="0" w:space="0" w:color="auto"/>
        <w:right w:val="none" w:sz="0" w:space="0" w:color="auto"/>
      </w:divBdr>
    </w:div>
    <w:div w:id="1362703452">
      <w:bodyDiv w:val="1"/>
      <w:marLeft w:val="0"/>
      <w:marRight w:val="0"/>
      <w:marTop w:val="0"/>
      <w:marBottom w:val="0"/>
      <w:divBdr>
        <w:top w:val="none" w:sz="0" w:space="0" w:color="auto"/>
        <w:left w:val="none" w:sz="0" w:space="0" w:color="auto"/>
        <w:bottom w:val="none" w:sz="0" w:space="0" w:color="auto"/>
        <w:right w:val="none" w:sz="0" w:space="0" w:color="auto"/>
      </w:divBdr>
    </w:div>
    <w:div w:id="1392116176">
      <w:bodyDiv w:val="1"/>
      <w:marLeft w:val="0"/>
      <w:marRight w:val="0"/>
      <w:marTop w:val="0"/>
      <w:marBottom w:val="0"/>
      <w:divBdr>
        <w:top w:val="none" w:sz="0" w:space="0" w:color="auto"/>
        <w:left w:val="none" w:sz="0" w:space="0" w:color="auto"/>
        <w:bottom w:val="none" w:sz="0" w:space="0" w:color="auto"/>
        <w:right w:val="none" w:sz="0" w:space="0" w:color="auto"/>
      </w:divBdr>
    </w:div>
    <w:div w:id="1444378384">
      <w:bodyDiv w:val="1"/>
      <w:marLeft w:val="0"/>
      <w:marRight w:val="0"/>
      <w:marTop w:val="0"/>
      <w:marBottom w:val="0"/>
      <w:divBdr>
        <w:top w:val="none" w:sz="0" w:space="0" w:color="auto"/>
        <w:left w:val="none" w:sz="0" w:space="0" w:color="auto"/>
        <w:bottom w:val="none" w:sz="0" w:space="0" w:color="auto"/>
        <w:right w:val="none" w:sz="0" w:space="0" w:color="auto"/>
      </w:divBdr>
    </w:div>
    <w:div w:id="1527406368">
      <w:bodyDiv w:val="1"/>
      <w:marLeft w:val="0"/>
      <w:marRight w:val="0"/>
      <w:marTop w:val="0"/>
      <w:marBottom w:val="0"/>
      <w:divBdr>
        <w:top w:val="none" w:sz="0" w:space="0" w:color="auto"/>
        <w:left w:val="none" w:sz="0" w:space="0" w:color="auto"/>
        <w:bottom w:val="none" w:sz="0" w:space="0" w:color="auto"/>
        <w:right w:val="none" w:sz="0" w:space="0" w:color="auto"/>
      </w:divBdr>
    </w:div>
    <w:div w:id="1578636672">
      <w:bodyDiv w:val="1"/>
      <w:marLeft w:val="0"/>
      <w:marRight w:val="0"/>
      <w:marTop w:val="0"/>
      <w:marBottom w:val="0"/>
      <w:divBdr>
        <w:top w:val="none" w:sz="0" w:space="0" w:color="auto"/>
        <w:left w:val="none" w:sz="0" w:space="0" w:color="auto"/>
        <w:bottom w:val="none" w:sz="0" w:space="0" w:color="auto"/>
        <w:right w:val="none" w:sz="0" w:space="0" w:color="auto"/>
      </w:divBdr>
    </w:div>
    <w:div w:id="1669207394">
      <w:bodyDiv w:val="1"/>
      <w:marLeft w:val="0"/>
      <w:marRight w:val="0"/>
      <w:marTop w:val="0"/>
      <w:marBottom w:val="0"/>
      <w:divBdr>
        <w:top w:val="none" w:sz="0" w:space="0" w:color="auto"/>
        <w:left w:val="none" w:sz="0" w:space="0" w:color="auto"/>
        <w:bottom w:val="none" w:sz="0" w:space="0" w:color="auto"/>
        <w:right w:val="none" w:sz="0" w:space="0" w:color="auto"/>
      </w:divBdr>
    </w:div>
    <w:div w:id="1734503017">
      <w:bodyDiv w:val="1"/>
      <w:marLeft w:val="0"/>
      <w:marRight w:val="0"/>
      <w:marTop w:val="0"/>
      <w:marBottom w:val="0"/>
      <w:divBdr>
        <w:top w:val="none" w:sz="0" w:space="0" w:color="auto"/>
        <w:left w:val="none" w:sz="0" w:space="0" w:color="auto"/>
        <w:bottom w:val="none" w:sz="0" w:space="0" w:color="auto"/>
        <w:right w:val="none" w:sz="0" w:space="0" w:color="auto"/>
      </w:divBdr>
    </w:div>
    <w:div w:id="1769277200">
      <w:bodyDiv w:val="1"/>
      <w:marLeft w:val="0"/>
      <w:marRight w:val="0"/>
      <w:marTop w:val="0"/>
      <w:marBottom w:val="0"/>
      <w:divBdr>
        <w:top w:val="none" w:sz="0" w:space="0" w:color="auto"/>
        <w:left w:val="none" w:sz="0" w:space="0" w:color="auto"/>
        <w:bottom w:val="none" w:sz="0" w:space="0" w:color="auto"/>
        <w:right w:val="none" w:sz="0" w:space="0" w:color="auto"/>
      </w:divBdr>
    </w:div>
    <w:div w:id="1813280467">
      <w:bodyDiv w:val="1"/>
      <w:marLeft w:val="0"/>
      <w:marRight w:val="0"/>
      <w:marTop w:val="0"/>
      <w:marBottom w:val="0"/>
      <w:divBdr>
        <w:top w:val="none" w:sz="0" w:space="0" w:color="auto"/>
        <w:left w:val="none" w:sz="0" w:space="0" w:color="auto"/>
        <w:bottom w:val="none" w:sz="0" w:space="0" w:color="auto"/>
        <w:right w:val="none" w:sz="0" w:space="0" w:color="auto"/>
      </w:divBdr>
    </w:div>
    <w:div w:id="1824925411">
      <w:bodyDiv w:val="1"/>
      <w:marLeft w:val="0"/>
      <w:marRight w:val="0"/>
      <w:marTop w:val="0"/>
      <w:marBottom w:val="0"/>
      <w:divBdr>
        <w:top w:val="none" w:sz="0" w:space="0" w:color="auto"/>
        <w:left w:val="none" w:sz="0" w:space="0" w:color="auto"/>
        <w:bottom w:val="none" w:sz="0" w:space="0" w:color="auto"/>
        <w:right w:val="none" w:sz="0" w:space="0" w:color="auto"/>
      </w:divBdr>
    </w:div>
    <w:div w:id="1914780696">
      <w:bodyDiv w:val="1"/>
      <w:marLeft w:val="0"/>
      <w:marRight w:val="0"/>
      <w:marTop w:val="0"/>
      <w:marBottom w:val="0"/>
      <w:divBdr>
        <w:top w:val="none" w:sz="0" w:space="0" w:color="auto"/>
        <w:left w:val="none" w:sz="0" w:space="0" w:color="auto"/>
        <w:bottom w:val="none" w:sz="0" w:space="0" w:color="auto"/>
        <w:right w:val="none" w:sz="0" w:space="0" w:color="auto"/>
      </w:divBdr>
    </w:div>
    <w:div w:id="1926643562">
      <w:bodyDiv w:val="1"/>
      <w:marLeft w:val="0"/>
      <w:marRight w:val="0"/>
      <w:marTop w:val="0"/>
      <w:marBottom w:val="0"/>
      <w:divBdr>
        <w:top w:val="none" w:sz="0" w:space="0" w:color="auto"/>
        <w:left w:val="none" w:sz="0" w:space="0" w:color="auto"/>
        <w:bottom w:val="none" w:sz="0" w:space="0" w:color="auto"/>
        <w:right w:val="none" w:sz="0" w:space="0" w:color="auto"/>
      </w:divBdr>
    </w:div>
    <w:div w:id="1974822476">
      <w:bodyDiv w:val="1"/>
      <w:marLeft w:val="0"/>
      <w:marRight w:val="0"/>
      <w:marTop w:val="0"/>
      <w:marBottom w:val="0"/>
      <w:divBdr>
        <w:top w:val="none" w:sz="0" w:space="0" w:color="auto"/>
        <w:left w:val="none" w:sz="0" w:space="0" w:color="auto"/>
        <w:bottom w:val="none" w:sz="0" w:space="0" w:color="auto"/>
        <w:right w:val="none" w:sz="0" w:space="0" w:color="auto"/>
      </w:divBdr>
    </w:div>
    <w:div w:id="197960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hyperlink" Target="https://doi.org/10.3390/su13126826" TargetMode="External"/><Relationship Id="rId47" Type="http://schemas.openxmlformats.org/officeDocument/2006/relationships/hyperlink" Target="https://doi.org/10.1111/ijcs.12545" TargetMode="External"/><Relationship Id="rId63" Type="http://schemas.openxmlformats.org/officeDocument/2006/relationships/hyperlink" Target="https://doi.org/10.1111/j.1752-4571.2010.00141.x" TargetMode="External"/><Relationship Id="rId68" Type="http://schemas.openxmlformats.org/officeDocument/2006/relationships/hyperlink" Target="https://doi.org/10.1016/j.jenvp.2017.09.001" TargetMode="External"/><Relationship Id="rId84" Type="http://schemas.openxmlformats.org/officeDocument/2006/relationships/image" Target="media/image16.emf"/><Relationship Id="rId16" Type="http://schemas.openxmlformats.org/officeDocument/2006/relationships/hyperlink" Target="https://adnocmpsa-my.sharepoint.com/personal/maalmazrouei_adnoc_ae/Documents/Desktop/2.%20(Mohamed%20Ali%20Almazrouei_1064240)%20Final%20dissertation.docx" TargetMode="External"/><Relationship Id="rId11" Type="http://schemas.openxmlformats.org/officeDocument/2006/relationships/image" Target="media/image1.png"/><Relationship Id="rId32" Type="http://schemas.openxmlformats.org/officeDocument/2006/relationships/hyperlink" Target="https://doi.org/10.1108/ITP-09-2019-0458" TargetMode="External"/><Relationship Id="rId37" Type="http://schemas.openxmlformats.org/officeDocument/2006/relationships/hyperlink" Target="https://doi.org/10.1137/0320060" TargetMode="External"/><Relationship Id="rId53" Type="http://schemas.openxmlformats.org/officeDocument/2006/relationships/hyperlink" Target="https://doi.org/10.1207/s15327663jcp0703_02" TargetMode="External"/><Relationship Id="rId58" Type="http://schemas.openxmlformats.org/officeDocument/2006/relationships/hyperlink" Target="https://doi.org/%2010.1177/1094428114548590" TargetMode="External"/><Relationship Id="rId74" Type="http://schemas.openxmlformats.org/officeDocument/2006/relationships/hyperlink" Target="https://doi.org/10.1016/j.wasman.2012.06.015" TargetMode="External"/><Relationship Id="rId79" Type="http://schemas.openxmlformats.org/officeDocument/2006/relationships/image" Target="media/image11.emf"/><Relationship Id="rId5" Type="http://schemas.openxmlformats.org/officeDocument/2006/relationships/numbering" Target="numbering.xml"/><Relationship Id="rId19" Type="http://schemas.openxmlformats.org/officeDocument/2006/relationships/chart" Target="charts/chart1.xml"/><Relationship Id="rId14" Type="http://schemas.openxmlformats.org/officeDocument/2006/relationships/hyperlink" Target="mailto:adulibrary@adu.ac.ae"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doi.org/10.1016/j.wasman.2017.10.040" TargetMode="External"/><Relationship Id="rId35" Type="http://schemas.openxmlformats.org/officeDocument/2006/relationships/hyperlink" Target="https://doi.org/10.1016/j.envdev.2013.03.001" TargetMode="External"/><Relationship Id="rId43" Type="http://schemas.openxmlformats.org/officeDocument/2006/relationships/hyperlink" Target="https://doi.org/10.1016/j.foodqual.2019.04.003" TargetMode="External"/><Relationship Id="rId48" Type="http://schemas.openxmlformats.org/officeDocument/2006/relationships/hyperlink" Target="https://doi.org/10.1177/0146167213490805" TargetMode="External"/><Relationship Id="rId56" Type="http://schemas.openxmlformats.org/officeDocument/2006/relationships/hyperlink" Target="https://doi.org/10.1348/014466601164704" TargetMode="External"/><Relationship Id="rId64" Type="http://schemas.openxmlformats.org/officeDocument/2006/relationships/hyperlink" Target="https://doi.org/10.15126/THESIS.00853724" TargetMode="External"/><Relationship Id="rId69" Type="http://schemas.openxmlformats.org/officeDocument/2006/relationships/hyperlink" Target="https://doi.org/10.1016/j.resconrec.2020.105370" TargetMode="External"/><Relationship Id="rId77" Type="http://schemas.openxmlformats.org/officeDocument/2006/relationships/hyperlink" Target="https://doi.org/10.3389/fpsyg.2018.02367" TargetMode="External"/><Relationship Id="rId8" Type="http://schemas.openxmlformats.org/officeDocument/2006/relationships/webSettings" Target="webSettings.xml"/><Relationship Id="rId51" Type="http://schemas.openxmlformats.org/officeDocument/2006/relationships/hyperlink" Target="https://doi.org/10.1080/23311975.2022.2054502" TargetMode="External"/><Relationship Id="rId72" Type="http://schemas.openxmlformats.org/officeDocument/2006/relationships/hyperlink" Target="https://doi.org/10.1016/j.jenvp.2006.09.004" TargetMode="External"/><Relationship Id="rId80" Type="http://schemas.openxmlformats.org/officeDocument/2006/relationships/image" Target="media/image12.emf"/><Relationship Id="rId85" Type="http://schemas.openxmlformats.org/officeDocument/2006/relationships/image" Target="media/image17.jpe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dnocmpsa-my.sharepoint.com/personal/maalmazrouei_adnoc_ae/Documents/Desktop/2.%20(Mohamed%20Ali%20Almazrouei_1064240)%20Final%20dissertation.docx" TargetMode="External"/><Relationship Id="rId25" Type="http://schemas.openxmlformats.org/officeDocument/2006/relationships/image" Target="media/image7.png"/><Relationship Id="rId33" Type="http://schemas.openxmlformats.org/officeDocument/2006/relationships/hyperlink" Target="https://doi.org/10.1108/ITP-09-2019-0458" TargetMode="External"/><Relationship Id="rId38" Type="http://schemas.openxmlformats.org/officeDocument/2006/relationships/hyperlink" Target="https://doi.org/10.1080/02757206.2020.1865342" TargetMode="External"/><Relationship Id="rId46" Type="http://schemas.openxmlformats.org/officeDocument/2006/relationships/hyperlink" Target="https://doi.org/10.1016/j.ijdrr.2017.06.016" TargetMode="External"/><Relationship Id="rId59" Type="http://schemas.openxmlformats.org/officeDocument/2006/relationships/hyperlink" Target="https://doi.org/10.1002/cb.1940" TargetMode="External"/><Relationship Id="rId67" Type="http://schemas.openxmlformats.org/officeDocument/2006/relationships/hyperlink" Target="https://doi.org/10.1016/j.techfore.2015.08.003" TargetMode="External"/><Relationship Id="rId20" Type="http://schemas.openxmlformats.org/officeDocument/2006/relationships/chart" Target="charts/chart2.xml"/><Relationship Id="rId41" Type="http://schemas.openxmlformats.org/officeDocument/2006/relationships/hyperlink" Target="https://doi.org/10.1177/0002764219850871" TargetMode="External"/><Relationship Id="rId54" Type="http://schemas.openxmlformats.org/officeDocument/2006/relationships/hyperlink" Target="https://doi.org/10.3390/recycling1020271" TargetMode="External"/><Relationship Id="rId62" Type="http://schemas.openxmlformats.org/officeDocument/2006/relationships/hyperlink" Target="https://doi.org/10.3390/recycling3010005" TargetMode="External"/><Relationship Id="rId70" Type="http://schemas.openxmlformats.org/officeDocument/2006/relationships/hyperlink" Target="https://doi.org/10.1177/0013916596284006" TargetMode="External"/><Relationship Id="rId75" Type="http://schemas.openxmlformats.org/officeDocument/2006/relationships/hyperlink" Target="https://doi.org/10.3390/su9040625" TargetMode="External"/><Relationship Id="rId83"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02/bse.2987" TargetMode="External"/><Relationship Id="rId23" Type="http://schemas.openxmlformats.org/officeDocument/2006/relationships/image" Target="media/image5.png"/><Relationship Id="rId28" Type="http://schemas.openxmlformats.org/officeDocument/2006/relationships/hyperlink" Target="https://doi.org/10.1080/01490409109513137" TargetMode="External"/><Relationship Id="rId36" Type="http://schemas.openxmlformats.org/officeDocument/2006/relationships/hyperlink" Target="https://doi.org/10.1016/j.renene.2019.06.157" TargetMode="External"/><Relationship Id="rId49" Type="http://schemas.openxmlformats.org/officeDocument/2006/relationships/hyperlink" Target="https://doi.org/%2010.5267/j.msl.2019.12.007" TargetMode="External"/><Relationship Id="rId57" Type="http://schemas.openxmlformats.org/officeDocument/2006/relationships/hyperlink" Target="https://doi.org/10.1002/cb.1940" TargetMode="External"/><Relationship Id="rId10" Type="http://schemas.openxmlformats.org/officeDocument/2006/relationships/endnotes" Target="endnotes.xml"/><Relationship Id="rId31" Type="http://schemas.openxmlformats.org/officeDocument/2006/relationships/hyperlink" Target="https://doi.org/10.1108/YC-10-2020-1241" TargetMode="External"/><Relationship Id="rId44" Type="http://schemas.openxmlformats.org/officeDocument/2006/relationships/hyperlink" Target="https://doi.org/10.1016/j.foodqual.2019.04.003" TargetMode="External"/><Relationship Id="rId52" Type="http://schemas.openxmlformats.org/officeDocument/2006/relationships/hyperlink" Target="https://doi.org/10.1080/0965254X.2017.1318946" TargetMode="External"/><Relationship Id="rId60" Type="http://schemas.openxmlformats.org/officeDocument/2006/relationships/hyperlink" Target="https://doi.org/10.15282/ijim.5.0.2020.5620" TargetMode="External"/><Relationship Id="rId65" Type="http://schemas.openxmlformats.org/officeDocument/2006/relationships/hyperlink" Target="https://doi.org/10.3390/recycling4020020" TargetMode="External"/><Relationship Id="rId73" Type="http://schemas.openxmlformats.org/officeDocument/2006/relationships/hyperlink" Target="https://doi.org/10.1111/j.2044-8309.1986.tb00732.x" TargetMode="External"/><Relationship Id="rId78" Type="http://schemas.openxmlformats.org/officeDocument/2006/relationships/image" Target="media/image10.emf"/><Relationship Id="rId81" Type="http://schemas.openxmlformats.org/officeDocument/2006/relationships/image" Target="media/image13.emf"/><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library.adu.ac.ae" TargetMode="External"/><Relationship Id="rId18" Type="http://schemas.openxmlformats.org/officeDocument/2006/relationships/image" Target="media/image2.png"/><Relationship Id="rId39" Type="http://schemas.openxmlformats.org/officeDocument/2006/relationships/hyperlink" Target="https://doi.org/10.1051/e3sconf/20187307006" TargetMode="External"/><Relationship Id="rId34" Type="http://schemas.openxmlformats.org/officeDocument/2006/relationships/hyperlink" Target="https://doi.org/10.1504/IJLSM.2015.069729" TargetMode="External"/><Relationship Id="rId50" Type="http://schemas.openxmlformats.org/officeDocument/2006/relationships/hyperlink" Target="https://doi.org/%2010.1177/1094428114548590" TargetMode="External"/><Relationship Id="rId55" Type="http://schemas.openxmlformats.org/officeDocument/2006/relationships/hyperlink" Target="https://doi.org/10.1007/s10668-020-00846-3" TargetMode="External"/><Relationship Id="rId76" Type="http://schemas.openxmlformats.org/officeDocument/2006/relationships/hyperlink" Target="https://doi.org/10.1016/j.wasman.2019.09.040" TargetMode="External"/><Relationship Id="rId7" Type="http://schemas.openxmlformats.org/officeDocument/2006/relationships/settings" Target="settings.xml"/><Relationship Id="rId71" Type="http://schemas.openxmlformats.org/officeDocument/2006/relationships/hyperlink" Target="https://doi.org/10.1016/S0167-4870(98)00043-9" TargetMode="External"/><Relationship Id="rId2" Type="http://schemas.openxmlformats.org/officeDocument/2006/relationships/customXml" Target="../customXml/item2.xml"/><Relationship Id="rId29" Type="http://schemas.openxmlformats.org/officeDocument/2006/relationships/hyperlink" Target="https://doi.org/10.4236/tel.2018.89098" TargetMode="External"/><Relationship Id="rId24" Type="http://schemas.openxmlformats.org/officeDocument/2006/relationships/image" Target="media/image6.emf"/><Relationship Id="rId40" Type="http://schemas.openxmlformats.org/officeDocument/2006/relationships/hyperlink" Target="https://doi.org/10.1080/02642069.2018.1551371" TargetMode="External"/><Relationship Id="rId45" Type="http://schemas.openxmlformats.org/officeDocument/2006/relationships/hyperlink" Target="https://doi.org/10.1177/1012690220968106" TargetMode="External"/><Relationship Id="rId66" Type="http://schemas.openxmlformats.org/officeDocument/2006/relationships/hyperlink" Target="https://www.scad.gov.ae/MethodologyDocumentLib/Household%20Surveys%20and%20Censuses%20-%20Metho%20-%20En.pdf" TargetMode="External"/><Relationship Id="rId87" Type="http://schemas.openxmlformats.org/officeDocument/2006/relationships/theme" Target="theme/theme1.xml"/><Relationship Id="rId61" Type="http://schemas.openxmlformats.org/officeDocument/2006/relationships/hyperlink" Target="https://doi.org/10.1177/13684310222225432" TargetMode="External"/><Relationship Id="rId82" Type="http://schemas.openxmlformats.org/officeDocument/2006/relationships/image" Target="media/image14.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b="1"/>
              <a:t>A comparison of individuals using the Internet (% of population) in the UAE and the World for the Period 2005-2019</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UAE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Sheet1!$B$2:$B$16</c:f>
              <c:numCache>
                <c:formatCode>0.0%</c:formatCode>
                <c:ptCount val="15"/>
                <c:pt idx="0">
                  <c:v>0.4</c:v>
                </c:pt>
                <c:pt idx="1">
                  <c:v>0.52</c:v>
                </c:pt>
                <c:pt idx="2">
                  <c:v>0.61</c:v>
                </c:pt>
                <c:pt idx="3">
                  <c:v>0.63</c:v>
                </c:pt>
                <c:pt idx="4">
                  <c:v>0.64</c:v>
                </c:pt>
                <c:pt idx="5">
                  <c:v>0.68</c:v>
                </c:pt>
                <c:pt idx="6">
                  <c:v>0.78</c:v>
                </c:pt>
                <c:pt idx="7">
                  <c:v>0.84999991499999994</c:v>
                </c:pt>
                <c:pt idx="8">
                  <c:v>0.88</c:v>
                </c:pt>
                <c:pt idx="9">
                  <c:v>0.90400000000000003</c:v>
                </c:pt>
                <c:pt idx="10">
                  <c:v>0.90500000000000003</c:v>
                </c:pt>
                <c:pt idx="11">
                  <c:v>0.90600007319999998</c:v>
                </c:pt>
                <c:pt idx="12">
                  <c:v>0.9481992253999999</c:v>
                </c:pt>
                <c:pt idx="13">
                  <c:v>0.98450001779999996</c:v>
                </c:pt>
                <c:pt idx="14">
                  <c:v>0.99149999980000003</c:v>
                </c:pt>
              </c:numCache>
            </c:numRef>
          </c:val>
          <c:smooth val="0"/>
          <c:extLst>
            <c:ext xmlns:c16="http://schemas.microsoft.com/office/drawing/2014/chart" uri="{C3380CC4-5D6E-409C-BE32-E72D297353CC}">
              <c16:uniqueId val="{00000000-34C1-4B20-8B4F-8E6B896F783D}"/>
            </c:ext>
          </c:extLst>
        </c:ser>
        <c:ser>
          <c:idx val="1"/>
          <c:order val="1"/>
          <c:tx>
            <c:strRef>
              <c:f>Sheet1!$C$1</c:f>
              <c:strCache>
                <c:ptCount val="1"/>
                <c:pt idx="0">
                  <c:v>Global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strCache>
            </c:strRef>
          </c:cat>
          <c:val>
            <c:numRef>
              <c:f>Sheet1!$C$2:$C$16</c:f>
              <c:numCache>
                <c:formatCode>0.0%</c:formatCode>
                <c:ptCount val="15"/>
                <c:pt idx="0">
                  <c:v>0.15700099325620734</c:v>
                </c:pt>
                <c:pt idx="1">
                  <c:v>0.17480657344498582</c:v>
                </c:pt>
                <c:pt idx="2">
                  <c:v>0.20408495407709065</c:v>
                </c:pt>
                <c:pt idx="3">
                  <c:v>0.23075286630508951</c:v>
                </c:pt>
                <c:pt idx="4">
                  <c:v>0.25489244301895381</c:v>
                </c:pt>
                <c:pt idx="5">
                  <c:v>0.28876499732868405</c:v>
                </c:pt>
                <c:pt idx="6">
                  <c:v>0.31253668456171768</c:v>
                </c:pt>
                <c:pt idx="7">
                  <c:v>0.34155671794853409</c:v>
                </c:pt>
                <c:pt idx="8">
                  <c:v>0.36324624535635153</c:v>
                </c:pt>
                <c:pt idx="9">
                  <c:v>0.3829630179066067</c:v>
                </c:pt>
                <c:pt idx="10">
                  <c:v>0.40908270531942542</c:v>
                </c:pt>
                <c:pt idx="11">
                  <c:v>0.43804667107562589</c:v>
                </c:pt>
                <c:pt idx="12">
                  <c:v>0.463167640279394</c:v>
                </c:pt>
                <c:pt idx="13">
                  <c:v>0.49907049325766861</c:v>
                </c:pt>
                <c:pt idx="14">
                  <c:v>0.56727389050672927</c:v>
                </c:pt>
              </c:numCache>
            </c:numRef>
          </c:val>
          <c:smooth val="0"/>
          <c:extLst>
            <c:ext xmlns:c16="http://schemas.microsoft.com/office/drawing/2014/chart" uri="{C3380CC4-5D6E-409C-BE32-E72D297353CC}">
              <c16:uniqueId val="{00000001-34C1-4B20-8B4F-8E6B896F783D}"/>
            </c:ext>
          </c:extLst>
        </c:ser>
        <c:dLbls>
          <c:showLegendKey val="0"/>
          <c:showVal val="0"/>
          <c:showCatName val="0"/>
          <c:showSerName val="0"/>
          <c:showPercent val="0"/>
          <c:showBubbleSize val="0"/>
        </c:dLbls>
        <c:marker val="1"/>
        <c:smooth val="0"/>
        <c:axId val="602692240"/>
        <c:axId val="602686336"/>
      </c:lineChart>
      <c:catAx>
        <c:axId val="60269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2686336"/>
        <c:crosses val="autoZero"/>
        <c:auto val="1"/>
        <c:lblAlgn val="ctr"/>
        <c:lblOffset val="100"/>
        <c:noMultiLvlLbl val="0"/>
      </c:catAx>
      <c:valAx>
        <c:axId val="602686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269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t>GDP Per</a:t>
            </a:r>
            <a:r>
              <a:rPr lang="en-GB" sz="1200" baseline="0"/>
              <a:t> Capita (USD '000) and Annual E-waste Generation in Kilograms Per Inhabitant for the Year 2019 in MENA Countries</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c:txPr>
    </c:title>
    <c:autoTitleDeleted val="0"/>
    <c:plotArea>
      <c:layout/>
      <c:barChart>
        <c:barDir val="col"/>
        <c:grouping val="clustered"/>
        <c:varyColors val="0"/>
        <c:ser>
          <c:idx val="0"/>
          <c:order val="0"/>
          <c:tx>
            <c:strRef>
              <c:f>Sheet1!$B$1</c:f>
              <c:strCache>
                <c:ptCount val="1"/>
                <c:pt idx="0">
                  <c:v>E-waste generated (kilograms per inhabitant)</c:v>
                </c:pt>
              </c:strCache>
            </c:strRef>
          </c:tx>
          <c:spPr>
            <a:solidFill>
              <a:schemeClr val="accent5">
                <a:lumMod val="40000"/>
                <a:lumOff val="60000"/>
              </a:schemeClr>
            </a:solidFill>
            <a:ln>
              <a:noFill/>
            </a:ln>
            <a:effectLst/>
          </c:spPr>
          <c:invertIfNegative val="0"/>
          <c:dLbls>
            <c:spPr>
              <a:noFill/>
              <a:ln>
                <a:noFill/>
              </a:ln>
              <a:effectLst/>
            </c:spPr>
            <c:txPr>
              <a:bodyPr rot="-5400000" spcFirstLastPara="1" vertOverflow="ellipsis" horzOverflow="clip" vert="horz" wrap="square" lIns="36576" tIns="18288" rIns="36576" bIns="0" anchor="ctr" anchorCtr="1">
                <a:spAutoFit/>
              </a:bodyPr>
              <a:lstStyle/>
              <a:p>
                <a:pPr>
                  <a:defRPr sz="900" b="0"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Sheet1!$A$2:$A$22</c:f>
              <c:strCache>
                <c:ptCount val="21"/>
                <c:pt idx="0">
                  <c:v>Oman</c:v>
                </c:pt>
                <c:pt idx="1">
                  <c:v>Qatar</c:v>
                </c:pt>
                <c:pt idx="2">
                  <c:v>UAE</c:v>
                </c:pt>
                <c:pt idx="3">
                  <c:v>Saudi Arabia</c:v>
                </c:pt>
                <c:pt idx="4">
                  <c:v>Bahrain</c:v>
                </c:pt>
                <c:pt idx="5">
                  <c:v>Kuwait</c:v>
                </c:pt>
                <c:pt idx="6">
                  <c:v>Iraq</c:v>
                </c:pt>
                <c:pt idx="7">
                  <c:v>Egypt</c:v>
                </c:pt>
                <c:pt idx="8">
                  <c:v>Algeria</c:v>
                </c:pt>
                <c:pt idx="9">
                  <c:v>Lebanon</c:v>
                </c:pt>
                <c:pt idx="10">
                  <c:v>Libya</c:v>
                </c:pt>
                <c:pt idx="11">
                  <c:v>Tunisia</c:v>
                </c:pt>
                <c:pt idx="12">
                  <c:v>Jordan</c:v>
                </c:pt>
                <c:pt idx="13">
                  <c:v>Morocco</c:v>
                </c:pt>
                <c:pt idx="14">
                  <c:v>Syria</c:v>
                </c:pt>
                <c:pt idx="15">
                  <c:v>Mauritania</c:v>
                </c:pt>
                <c:pt idx="16">
                  <c:v>Somalia</c:v>
                </c:pt>
                <c:pt idx="17">
                  <c:v>Sudan</c:v>
                </c:pt>
                <c:pt idx="18">
                  <c:v>Djibouti</c:v>
                </c:pt>
                <c:pt idx="19">
                  <c:v>Yemen (GDP data 2018)</c:v>
                </c:pt>
                <c:pt idx="20">
                  <c:v>Comoros Islands</c:v>
                </c:pt>
              </c:strCache>
            </c:strRef>
          </c:cat>
          <c:val>
            <c:numRef>
              <c:f>Sheet1!$B$2:$B$22</c:f>
              <c:numCache>
                <c:formatCode>0.0</c:formatCode>
                <c:ptCount val="21"/>
                <c:pt idx="0">
                  <c:v>25</c:v>
                </c:pt>
                <c:pt idx="1">
                  <c:v>24.9</c:v>
                </c:pt>
                <c:pt idx="2">
                  <c:v>24</c:v>
                </c:pt>
                <c:pt idx="3">
                  <c:v>22.4</c:v>
                </c:pt>
                <c:pt idx="4">
                  <c:v>22</c:v>
                </c:pt>
                <c:pt idx="5">
                  <c:v>21.4</c:v>
                </c:pt>
                <c:pt idx="6">
                  <c:v>11.7</c:v>
                </c:pt>
                <c:pt idx="7">
                  <c:v>10.8</c:v>
                </c:pt>
                <c:pt idx="8">
                  <c:v>10.5</c:v>
                </c:pt>
                <c:pt idx="9">
                  <c:v>10.3</c:v>
                </c:pt>
                <c:pt idx="10">
                  <c:v>8.3000000000000007</c:v>
                </c:pt>
                <c:pt idx="11">
                  <c:v>7.6</c:v>
                </c:pt>
                <c:pt idx="12">
                  <c:v>7.2</c:v>
                </c:pt>
                <c:pt idx="13">
                  <c:v>5.9</c:v>
                </c:pt>
                <c:pt idx="14">
                  <c:v>4.5999999999999996</c:v>
                </c:pt>
                <c:pt idx="15">
                  <c:v>2.5</c:v>
                </c:pt>
                <c:pt idx="16">
                  <c:v>2.4</c:v>
                </c:pt>
                <c:pt idx="17">
                  <c:v>2</c:v>
                </c:pt>
                <c:pt idx="18">
                  <c:v>1.9</c:v>
                </c:pt>
                <c:pt idx="19">
                  <c:v>1.3</c:v>
                </c:pt>
                <c:pt idx="20">
                  <c:v>0.8</c:v>
                </c:pt>
              </c:numCache>
            </c:numRef>
          </c:val>
          <c:extLst>
            <c:ext xmlns:c16="http://schemas.microsoft.com/office/drawing/2014/chart" uri="{C3380CC4-5D6E-409C-BE32-E72D297353CC}">
              <c16:uniqueId val="{00000000-F28B-414E-A4FF-1255F38C4032}"/>
            </c:ext>
          </c:extLst>
        </c:ser>
        <c:dLbls>
          <c:dLblPos val="outEnd"/>
          <c:showLegendKey val="0"/>
          <c:showVal val="1"/>
          <c:showCatName val="0"/>
          <c:showSerName val="0"/>
          <c:showPercent val="0"/>
          <c:showBubbleSize val="0"/>
        </c:dLbls>
        <c:gapWidth val="150"/>
        <c:axId val="531691696"/>
        <c:axId val="531696288"/>
      </c:barChart>
      <c:lineChart>
        <c:grouping val="standard"/>
        <c:varyColors val="0"/>
        <c:ser>
          <c:idx val="1"/>
          <c:order val="1"/>
          <c:tx>
            <c:strRef>
              <c:f>Sheet1!$C$1</c:f>
              <c:strCache>
                <c:ptCount val="1"/>
                <c:pt idx="0">
                  <c:v>GDP (USD Per Capita in Thousands)</c:v>
                </c:pt>
              </c:strCache>
            </c:strRef>
          </c:tx>
          <c:spPr>
            <a:ln w="28575" cap="rnd">
              <a:solidFill>
                <a:schemeClr val="accent2"/>
              </a:solidFill>
              <a:round/>
            </a:ln>
            <a:effectLst/>
          </c:spPr>
          <c:marker>
            <c:symbol val="none"/>
          </c:marker>
          <c:dLbls>
            <c:dLbl>
              <c:idx val="1"/>
              <c:layout>
                <c:manualLayout>
                  <c:x val="-4.9180327868852458E-2"/>
                  <c:y val="-2.3148148148148147E-2"/>
                </c:manualLayout>
              </c:layout>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8B-414E-A4FF-1255F38C4032}"/>
                </c:ext>
              </c:extLst>
            </c:dLbl>
            <c:dLbl>
              <c:idx val="6"/>
              <c:layout>
                <c:manualLayout>
                  <c:x val="-2.6411657559198585E-2"/>
                  <c:y val="-0.216503267973856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8B-414E-A4FF-1255F38C4032}"/>
                </c:ext>
              </c:extLst>
            </c:dLbl>
            <c:dLbl>
              <c:idx val="7"/>
              <c:layout>
                <c:manualLayout>
                  <c:x val="-2.7231329690346043E-2"/>
                  <c:y val="-0.220194320072736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8B-414E-A4FF-1255F38C4032}"/>
                </c:ext>
              </c:extLst>
            </c:dLbl>
            <c:dLbl>
              <c:idx val="8"/>
              <c:layout>
                <c:manualLayout>
                  <c:x val="-2.9508196721311476E-2"/>
                  <c:y val="-0.19829417768857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8B-414E-A4FF-1255F38C4032}"/>
                </c:ext>
              </c:extLst>
            </c:dLbl>
            <c:dLbl>
              <c:idx val="9"/>
              <c:layout>
                <c:manualLayout>
                  <c:x val="-2.6411657559198543E-2"/>
                  <c:y val="-0.1511437908496731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8B-414E-A4FF-1255F38C4032}"/>
                </c:ext>
              </c:extLst>
            </c:dLbl>
            <c:dLbl>
              <c:idx val="10"/>
              <c:layout>
                <c:manualLayout>
                  <c:x val="-2.6411657559198626E-2"/>
                  <c:y val="-0.1375272331154684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8B-414E-A4FF-1255F38C4032}"/>
                </c:ext>
              </c:extLst>
            </c:dLbl>
            <c:dLbl>
              <c:idx val="11"/>
              <c:layout>
                <c:manualLayout>
                  <c:x val="-2.4954462659380693E-2"/>
                  <c:y val="-0.171401797814488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8B-414E-A4FF-1255F38C4032}"/>
                </c:ext>
              </c:extLst>
            </c:dLbl>
            <c:dLbl>
              <c:idx val="12"/>
              <c:layout>
                <c:manualLayout>
                  <c:x val="-2.6411657559198543E-2"/>
                  <c:y val="-0.14569716775599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8B-414E-A4FF-1255F38C4032}"/>
                </c:ext>
              </c:extLst>
            </c:dLbl>
            <c:dLbl>
              <c:idx val="13"/>
              <c:layout>
                <c:manualLayout>
                  <c:x val="-2.6411657559198626E-2"/>
                  <c:y val="-0.113017429193899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8B-414E-A4FF-1255F38C4032}"/>
                </c:ext>
              </c:extLst>
            </c:dLbl>
            <c:dLbl>
              <c:idx val="14"/>
              <c:layout>
                <c:manualLayout>
                  <c:x val="-1.5846996240157077E-2"/>
                  <c:y val="-0.1092198581560284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8B-414E-A4FF-1255F38C4032}"/>
                </c:ext>
              </c:extLst>
            </c:dLbl>
            <c:dLbl>
              <c:idx val="15"/>
              <c:layout>
                <c:manualLayout>
                  <c:x val="-1.5846996240157077E-2"/>
                  <c:y val="-0.100709219858156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8B-414E-A4FF-1255F38C4032}"/>
                </c:ext>
              </c:extLst>
            </c:dLbl>
            <c:dLbl>
              <c:idx val="16"/>
              <c:layout>
                <c:manualLayout>
                  <c:x val="-1.5846996240157177E-2"/>
                  <c:y val="-0.106382978723404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8B-414E-A4FF-1255F38C4032}"/>
                </c:ext>
              </c:extLst>
            </c:dLbl>
            <c:dLbl>
              <c:idx val="17"/>
              <c:layout>
                <c:manualLayout>
                  <c:x val="-1.5846996240157077E-2"/>
                  <c:y val="-7.8014184397163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8B-414E-A4FF-1255F38C4032}"/>
                </c:ext>
              </c:extLst>
            </c:dLbl>
            <c:dLbl>
              <c:idx val="19"/>
              <c:layout>
                <c:manualLayout>
                  <c:x val="-2.7231329690346084E-2"/>
                  <c:y val="-9.2198677371210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8B-414E-A4FF-1255F38C4032}"/>
                </c:ext>
              </c:extLst>
            </c:dLbl>
            <c:dLbl>
              <c:idx val="20"/>
              <c:layout>
                <c:manualLayout>
                  <c:x val="-2.9508196721311476E-2"/>
                  <c:y val="-8.9361715814934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8B-414E-A4FF-1255F38C4032}"/>
                </c:ext>
              </c:extLst>
            </c:dLbl>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Sheet1!$A$2:$A$22</c:f>
              <c:strCache>
                <c:ptCount val="21"/>
                <c:pt idx="0">
                  <c:v>Oman</c:v>
                </c:pt>
                <c:pt idx="1">
                  <c:v>Qatar</c:v>
                </c:pt>
                <c:pt idx="2">
                  <c:v>UAE</c:v>
                </c:pt>
                <c:pt idx="3">
                  <c:v>Saudi Arabia</c:v>
                </c:pt>
                <c:pt idx="4">
                  <c:v>Bahrain</c:v>
                </c:pt>
                <c:pt idx="5">
                  <c:v>Kuwait</c:v>
                </c:pt>
                <c:pt idx="6">
                  <c:v>Iraq</c:v>
                </c:pt>
                <c:pt idx="7">
                  <c:v>Egypt</c:v>
                </c:pt>
                <c:pt idx="8">
                  <c:v>Algeria</c:v>
                </c:pt>
                <c:pt idx="9">
                  <c:v>Lebanon</c:v>
                </c:pt>
                <c:pt idx="10">
                  <c:v>Libya</c:v>
                </c:pt>
                <c:pt idx="11">
                  <c:v>Tunisia</c:v>
                </c:pt>
                <c:pt idx="12">
                  <c:v>Jordan</c:v>
                </c:pt>
                <c:pt idx="13">
                  <c:v>Morocco</c:v>
                </c:pt>
                <c:pt idx="14">
                  <c:v>Syria</c:v>
                </c:pt>
                <c:pt idx="15">
                  <c:v>Mauritania</c:v>
                </c:pt>
                <c:pt idx="16">
                  <c:v>Somalia</c:v>
                </c:pt>
                <c:pt idx="17">
                  <c:v>Sudan</c:v>
                </c:pt>
                <c:pt idx="18">
                  <c:v>Djibouti</c:v>
                </c:pt>
                <c:pt idx="19">
                  <c:v>Yemen (GDP data 2018)</c:v>
                </c:pt>
                <c:pt idx="20">
                  <c:v>Comoros Islands</c:v>
                </c:pt>
              </c:strCache>
            </c:strRef>
          </c:cat>
          <c:val>
            <c:numRef>
              <c:f>Sheet1!$C$2:$C$22</c:f>
              <c:numCache>
                <c:formatCode>_(* #,##0.00_);_(* \(#,##0.00\);_(* "-"??_);_(@_)</c:formatCode>
                <c:ptCount val="21"/>
                <c:pt idx="0">
                  <c:v>17700.703490071399</c:v>
                </c:pt>
                <c:pt idx="1">
                  <c:v>62276.428694436538</c:v>
                </c:pt>
                <c:pt idx="2">
                  <c:v>42701.443045478234</c:v>
                </c:pt>
                <c:pt idx="3">
                  <c:v>23139.797980823747</c:v>
                </c:pt>
                <c:pt idx="4">
                  <c:v>23551.93008574039</c:v>
                </c:pt>
                <c:pt idx="5">
                  <c:v>32373.2511220507</c:v>
                </c:pt>
                <c:pt idx="6">
                  <c:v>5980.6269179797046</c:v>
                </c:pt>
                <c:pt idx="7">
                  <c:v>3019.0922834664611</c:v>
                </c:pt>
                <c:pt idx="8">
                  <c:v>3989.6682764523566</c:v>
                </c:pt>
                <c:pt idx="9">
                  <c:v>7578.1723680817076</c:v>
                </c:pt>
                <c:pt idx="10">
                  <c:v>7685.9481324831786</c:v>
                </c:pt>
                <c:pt idx="11">
                  <c:v>3574.6540241845405</c:v>
                </c:pt>
                <c:pt idx="12">
                  <c:v>4405.4871092939093</c:v>
                </c:pt>
                <c:pt idx="13">
                  <c:v>3235.0006604823802</c:v>
                </c:pt>
                <c:pt idx="14">
                  <c:v>1334.3705933329343</c:v>
                </c:pt>
                <c:pt idx="15">
                  <c:v>1743.3029009376776</c:v>
                </c:pt>
                <c:pt idx="16">
                  <c:v>419.39480767890984</c:v>
                </c:pt>
                <c:pt idx="17">
                  <c:v>610.927861513165</c:v>
                </c:pt>
                <c:pt idx="18">
                  <c:v>3414.9161775745961</c:v>
                </c:pt>
                <c:pt idx="19">
                  <c:v>758.1</c:v>
                </c:pt>
                <c:pt idx="20">
                  <c:v>1401.5423119681425</c:v>
                </c:pt>
              </c:numCache>
            </c:numRef>
          </c:val>
          <c:smooth val="0"/>
          <c:extLst>
            <c:ext xmlns:c16="http://schemas.microsoft.com/office/drawing/2014/chart" uri="{C3380CC4-5D6E-409C-BE32-E72D297353CC}">
              <c16:uniqueId val="{00000010-F28B-414E-A4FF-1255F38C4032}"/>
            </c:ext>
          </c:extLst>
        </c:ser>
        <c:dLbls>
          <c:showLegendKey val="0"/>
          <c:showVal val="1"/>
          <c:showCatName val="0"/>
          <c:showSerName val="0"/>
          <c:showPercent val="0"/>
          <c:showBubbleSize val="0"/>
        </c:dLbls>
        <c:marker val="1"/>
        <c:smooth val="0"/>
        <c:axId val="531695304"/>
        <c:axId val="531693992"/>
      </c:lineChart>
      <c:catAx>
        <c:axId val="53169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1696288"/>
        <c:crosses val="autoZero"/>
        <c:auto val="1"/>
        <c:lblAlgn val="ctr"/>
        <c:lblOffset val="100"/>
        <c:noMultiLvlLbl val="0"/>
      </c:catAx>
      <c:valAx>
        <c:axId val="531696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1691696"/>
        <c:crosses val="autoZero"/>
        <c:crossBetween val="between"/>
      </c:valAx>
      <c:valAx>
        <c:axId val="531693992"/>
        <c:scaling>
          <c:orientation val="minMax"/>
        </c:scaling>
        <c:delete val="0"/>
        <c:axPos val="r"/>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1695304"/>
        <c:crosses val="max"/>
        <c:crossBetween val="between"/>
      </c:valAx>
      <c:catAx>
        <c:axId val="531695304"/>
        <c:scaling>
          <c:orientation val="minMax"/>
        </c:scaling>
        <c:delete val="1"/>
        <c:axPos val="b"/>
        <c:numFmt formatCode="General" sourceLinked="1"/>
        <c:majorTickMark val="none"/>
        <c:minorTickMark val="none"/>
        <c:tickLblPos val="nextTo"/>
        <c:crossAx val="531693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ED4268EADF5419F5869FAB02BF425" ma:contentTypeVersion="15" ma:contentTypeDescription="Create a new document." ma:contentTypeScope="" ma:versionID="0748b5a2b78c0530e61842fbe9abfd7f">
  <xsd:schema xmlns:xsd="http://www.w3.org/2001/XMLSchema" xmlns:xs="http://www.w3.org/2001/XMLSchema" xmlns:p="http://schemas.microsoft.com/office/2006/metadata/properties" xmlns:ns2="6686b2c3-ce22-4bcc-bcc9-dba8c6a0c28b" xmlns:ns3="0b21d2e5-cd13-4428-8a45-104d83eeb57d" targetNamespace="http://schemas.microsoft.com/office/2006/metadata/properties" ma:root="true" ma:fieldsID="e056baddde8c484c537fd31c331b0e69" ns2:_="" ns3:_="">
    <xsd:import namespace="6686b2c3-ce22-4bcc-bcc9-dba8c6a0c28b"/>
    <xsd:import namespace="0b21d2e5-cd13-4428-8a45-104d83eeb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6b2c3-ce22-4bcc-bcc9-dba8c6a0c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565184-a927-4f07-b6c6-d6714faeffa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1d2e5-cd13-4428-8a45-104d83eeb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255a4b2-ef8f-41b8-8fd9-a34ca691b440}" ma:internalName="TaxCatchAll" ma:showField="CatchAllData" ma:web="0b21d2e5-cd13-4428-8a45-104d83eeb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Par20</b:Tag>
    <b:SourceType>JournalArticle</b:SourceType>
    <b:Guid>{F9254269-23F0-4917-A036-A8AE27CFD957}</b:Guid>
    <b:Title>Behavioral change for the circular economy: A review with focus on electronic waste management in the EU</b:Title>
    <b:Year>2020</b:Year>
    <b:Author>
      <b:Author>
        <b:NameList>
          <b:Person>
            <b:Last>Parajuly</b:Last>
            <b:First>Keshav</b:First>
          </b:Person>
          <b:Person>
            <b:Last>Fitzpatrick</b:Last>
            <b:First>Colin</b:First>
          </b:Person>
          <b:Person>
            <b:Last>Muldoon</b:Last>
            <b:First>Orla</b:First>
          </b:Person>
          <b:Person>
            <b:Last>Kuehr</b:Last>
            <b:First>Ruediger</b:First>
          </b:Person>
        </b:NameList>
      </b:Author>
    </b:Author>
    <b:JournalName>Resources, Conservation &amp; Recycling</b:JournalName>
    <b:Pages>1-9</b:Pages>
    <b:Volume>6</b:Volume>
    <b:YearAccessed>2022</b:YearAccessed>
    <b:MonthAccessed>March</b:MonthAccessed>
    <b:DayAccessed>30</b:DayAccessed>
    <b:DOI>10.1016/j.rcrx.2020.100035</b:DOI>
    <b:RefOrder>1</b:RefOrder>
  </b:Source>
  <b:Source>
    <b:Tag>Ghi16</b:Tag>
    <b:SourceType>JournalArticle</b:SourceType>
    <b:Guid>{176D8CCB-7336-4884-B99C-586D07172AF0}</b:Guid>
    <b:Author>
      <b:Author>
        <b:NameList>
          <b:Person>
            <b:Last>Ghisellini</b:Last>
            <b:First>Patrizia</b:First>
          </b:Person>
          <b:Person>
            <b:Last>Cialani</b:Last>
            <b:First>Catia</b:First>
          </b:Person>
          <b:Person>
            <b:Last>Ulgiati</b:Last>
            <b:First>Sergio</b:First>
          </b:Person>
        </b:NameList>
      </b:Author>
    </b:Author>
    <b:Title>A review on circular economy: the expected transition to a balanced interplay of environmental and economic systems</b:Title>
    <b:JournalName>Journal of Cleaner Production</b:JournalName>
    <b:Year>2016</b:Year>
    <b:Pages>11-32</b:Pages>
    <b:Volume>114</b:Volume>
    <b:YearAccessed>2022</b:YearAccessed>
    <b:MonthAccessed>March</b:MonthAccessed>
    <b:DayAccessed>30</b:DayAccessed>
    <b:DOI>10.1016/j.jclepro.2015.09.007</b:DOI>
    <b:RefOrder>2</b:RefOrder>
  </b:Source>
  <b:Source>
    <b:Tag>The22</b:Tag>
    <b:SourceType>InternetSite</b:SourceType>
    <b:Guid>{38F2B9FE-3B4D-42D2-B0BA-0117854A6124}</b:Guid>
    <b:Title>Individuals using the Internet (% of population) | Data</b:Title>
    <b:Year>2022a</b:Year>
    <b:Author>
      <b:Author>
        <b:Corporate>The World Bank Group</b:Corporate>
      </b:Author>
    </b:Author>
    <b:URL>https://data.worldbank.org/indicator/IT.NET.USER.ZS?end=2020&amp;start=2005&amp;view=chart</b:URL>
    <b:RefOrder>3</b:RefOrder>
  </b:Source>
  <b:Source>
    <b:Tag>The221</b:Tag>
    <b:SourceType>InternetSite</b:SourceType>
    <b:Guid>{D9D50F11-5E03-4D01-8D37-623BF76782EC}</b:Guid>
    <b:Author>
      <b:Author>
        <b:Corporate>The World Bank Group</b:Corporate>
      </b:Author>
    </b:Author>
    <b:Title>GDP per capita (current US$) - United Arab Emirates | Data</b:Title>
    <b:InternetSiteTitle>The World Bank Group</b:InternetSiteTitle>
    <b:Year>2022b</b:Year>
    <b:URL>https://data.worldbank.org/indicator/NY.GDP.PCAP.CD?locations=AE</b:URL>
    <b:RefOrder>4</b:RefOrder>
  </b:Source>
  <b:Source>
    <b:Tag>Pon19</b:Tag>
    <b:SourceType>JournalArticle</b:SourceType>
    <b:Guid>{E7184D85-3848-43BB-AD2C-6D489796C21D}</b:Guid>
    <b:Title>e-Waste: Everything an ICT scientist and developer should know</b:Title>
    <b:Year>2019</b:Year>
    <b:Author>
      <b:Author>
        <b:NameList>
          <b:Person>
            <b:Last>Pont</b:Last>
            <b:First>Ana</b:First>
          </b:Person>
          <b:Person>
            <b:Last>Robles</b:Last>
            <b:First>Antonio</b:First>
          </b:Person>
          <b:Person>
            <b:Last>Gil</b:Last>
            <b:First>José</b:First>
            <b:Middle>A</b:Middle>
          </b:Person>
        </b:NameList>
      </b:Author>
    </b:Author>
    <b:JournalName>IEEE Access</b:JournalName>
    <b:Pages>169614-169635</b:Pages>
    <b:Volume>7</b:Volume>
    <b:RefOrder>5</b:RefOrder>
  </b:Source>
  <b:Source>
    <b:Tag>Giu21</b:Tag>
    <b:SourceType>Book</b:SourceType>
    <b:Guid>{983B3077-703D-40BF-B50D-7929E2BBCF0B}</b:Guid>
    <b:Title>Regional e-waste monitor for the Arab States -2021</b:Title>
    <b:Year>2021</b:Year>
    <b:Author>
      <b:Author>
        <b:NameList>
          <b:Person>
            <b:Last>Iattoni</b:Last>
            <b:First>Giulia</b:First>
          </b:Person>
          <b:Person>
            <b:Last>Vermeersch</b:Last>
            <b:First>Elise</b:First>
          </b:Person>
          <b:Person>
            <b:Last>Nnorom</b:Last>
            <b:First>Innocent</b:First>
          </b:Person>
          <b:Person>
            <b:Last>Baldé</b:Last>
            <b:First>Cornelis</b:First>
            <b:Middle>Peter</b:Middle>
          </b:Person>
          <b:Person>
            <b:Last>Kuehr</b:Last>
            <b:First>Ruediger</b:First>
          </b:Person>
        </b:NameList>
      </b:Author>
    </b:Author>
    <b:Publisher>United Nations University/United Nations Institute for Training and Research and International Telecommunication Union</b:Publisher>
    <b:RefOrder>6</b:RefOrder>
  </b:Source>
  <b:Source>
    <b:Tag>Att21</b:Tag>
    <b:SourceType>JournalArticle</b:SourceType>
    <b:Guid>{2D65A242-01FA-4EDD-A69F-E772C6260F50}</b:Guid>
    <b:Title>Analysis of households’ e-waste awareness, disposal behavior, and estimation of potential waste mobile phones towards an effective e-waste management system in Dubai</b:Title>
    <b:Year>2021</b:Year>
    <b:Author>
      <b:Author>
        <b:NameList>
          <b:Person>
            <b:Last>Attia</b:Last>
            <b:First>Yousra</b:First>
          </b:Person>
          <b:Person>
            <b:Last>Soori</b:Last>
            <b:First>Prashant</b:First>
            <b:Middle>Kumar</b:Middle>
          </b:Person>
          <b:Person>
            <b:Last>Ghaith</b:Last>
            <b:First>Fadi</b:First>
          </b:Person>
        </b:NameList>
      </b:Author>
    </b:Author>
    <b:JournalName>Toxics</b:JournalName>
    <b:Pages>1-24</b:Pages>
    <b:Volume>9</b:Volume>
    <b:Issue>236</b:Issue>
    <b:DOI>https://doi.org/10.3390/toxics9100236</b:DOI>
    <b:RefOrder>7</b:RefOrder>
  </b:Source>
  <b:Source>
    <b:Tag>Tab20</b:Tag>
    <b:SourceType>DocumentFromInternetSite</b:SourceType>
    <b:Guid>{DA51D447-93D7-4551-B907-64483B92A572}</b:Guid>
    <b:Title>How can you recycle electronic waste in the UAE? Find out - A guide to recycling centres in the UAE near you</b:Title>
    <b:Year>2020</b:Year>
    <b:Author>
      <b:Author>
        <b:NameList>
          <b:Person>
            <b:Last>Tabrez</b:Last>
            <b:First>Huda</b:First>
          </b:Person>
        </b:NameList>
      </b:Author>
    </b:Author>
    <b:InternetSiteTitle>Gulf News</b:InternetSiteTitle>
    <b:Month>September</b:Month>
    <b:Day>25</b:Day>
    <b:URL>https://gulfnews.com/living-in-uae/housing/how-can-you-recycle-electronic-waste-in-the-uae-find-out-1.1581238790510?slide=1</b:URL>
    <b:RefOrder>8</b:RefOrder>
  </b:Source>
  <b:Source>
    <b:Tag>Tsy19</b:Tag>
    <b:SourceType>ConferenceProceedings</b:SourceType>
    <b:Guid>{9F53B38C-072E-4765-B243-CD2505BC6087}</b:Guid>
    <b:Author>
      <b:Author>
        <b:NameList>
          <b:Person>
            <b:Last>Tsydenova</b:Last>
            <b:First>Nina</b:First>
          </b:Person>
          <b:Person>
            <b:Last>Heyken</b:Last>
            <b:First>Merle</b:First>
          </b:Person>
        </b:NameList>
      </b:Author>
      <b:Editor>
        <b:NameList>
          <b:Person>
            <b:Last>Pehlken</b:Last>
            <b:First>Alexandra</b:First>
          </b:Person>
          <b:Person>
            <b:Last>Kalverkamp</b:Last>
            <b:First>Matthias</b:First>
          </b:Person>
          <b:Person>
            <b:Last>Wittstock</b:Last>
            <b:First>Rikka</b:First>
          </b:Person>
        </b:NameList>
      </b:Editor>
    </b:Author>
    <b:Title>Formal and informal e-waste collection in Mexico City</b:Title>
    <b:Year>2019</b:Year>
    <b:Pages>30-37</b:Pages>
    <b:City>Oldenburg, Germany</b:City>
    <b:Publisher>Springer Vieweg</b:Publisher>
    <b:ConferenceName>Cascade Use in Technologies 2018: Internationale Konferenz zur Kaskadennutzung und Kreislaufwirtschaft – Oldenburg 2018</b:ConferenceName>
    <b:DOI>10.1007/978-3-662-57886-5</b:DOI>
    <b:RefOrder>9</b:RefOrder>
  </b:Source>
  <b:Source>
    <b:Tag>Mah20</b:Tag>
    <b:SourceType>JournalArticle</b:SourceType>
    <b:Guid>{755CB932-25E0-4E1B-B536-12AF7D84541A}</b:Guid>
    <b:Title>Maheswari, Hesti; Yudoko, Gatot; Adhiutama, Akbar; Agustina, Haruki  (2020). Sustainable reverse logistics scorecards for the performance measurement of informal e-waste businesses</b:Title>
    <b:Pages>1-12</b:Pages>
    <b:Year>2020</b:Year>
    <b:Author>
      <b:Author>
        <b:NameList>
          <b:Person>
            <b:Last>Maheswari</b:Last>
            <b:First>Hesti</b:First>
          </b:Person>
          <b:Person>
            <b:Last>Yudoko</b:Last>
            <b:First>Gatot</b:First>
          </b:Person>
          <b:Person>
            <b:Last>Adhiutama</b:Last>
            <b:First>Akbar</b:First>
          </b:Person>
          <b:Person>
            <b:Last>Agustina</b:Last>
            <b:First>Haruki</b:First>
          </b:Person>
        </b:NameList>
      </b:Author>
    </b:Author>
    <b:JournalName>Heliyon</b:JournalName>
    <b:Volume>6</b:Volume>
    <b:Issue>9</b:Issue>
    <b:DOI>10.1016/j.heliyon.2020.e04834</b:DOI>
    <b:RefOrder>10</b:RefOrder>
  </b:Source>
  <b:Source>
    <b:Tag>Dut21</b:Tag>
    <b:SourceType>JournalArticle</b:SourceType>
    <b:Guid>{74FEF9B9-296D-4C18-A8F9-825904070977}</b:Guid>
    <b:Author>
      <b:Author>
        <b:NameList>
          <b:Person>
            <b:Last>Dutta</b:Last>
            <b:First>Deblina</b:First>
          </b:Person>
          <b:Person>
            <b:Last>Goel</b:Last>
            <b:First>Sudha</b:First>
          </b:Person>
        </b:NameList>
      </b:Author>
    </b:Author>
    <b:Title>Understanding the gap between formal and informal e-waste recycling facilities in India</b:Title>
    <b:JournalName>Waste Management</b:JournalName>
    <b:Year>2021</b:Year>
    <b:Pages>163-171</b:Pages>
    <b:Volume>125</b:Volume>
    <b:DOI>10.1016/j.wasman.2021.02.045</b:DOI>
    <b:RefOrder>11</b:RefOrder>
  </b:Source>
  <b:Source>
    <b:Tag>Ama17</b:Tag>
    <b:SourceType>JournalArticle</b:SourceType>
    <b:Guid>{5D67A317-B5D3-4C5C-97DD-3BCB1DE3B129}</b:Guid>
    <b:Title>‘Away’ is a place: The impact of electronic waste recycling on blood lead levels in Ghana</b:Title>
    <b:JournalName>Science of the Total Environment</b:JournalName>
    <b:Year>2017</b:Year>
    <b:Pages>1566-1574</b:Pages>
    <b:Author>
      <b:Author>
        <b:NameList>
          <b:Person>
            <b:Last>Amankwaa</b:Last>
            <b:First>Ebenezer</b:First>
            <b:Middle>Forkuo</b:Middle>
          </b:Person>
          <b:Person>
            <b:Last>Tsikudo</b:Last>
            <b:First>Kwame</b:First>
            <b:Middle>A. Adovor</b:Middle>
          </b:Person>
          <b:Person>
            <b:Last>Bowman</b:Last>
            <b:First>John</b:First>
          </b:Person>
        </b:NameList>
      </b:Author>
    </b:Author>
    <b:Volume>601-602</b:Volume>
    <b:DOI>10.1016/j.scitotenv.2017.05.283</b:DOI>
    <b:RefOrder>12</b:RefOrder>
  </b:Source>
  <b:Source>
    <b:Tag>For20</b:Tag>
    <b:SourceType>Report</b:SourceType>
    <b:Guid>{B3A09863-B879-4445-A648-97196C7B3B48}</b:Guid>
    <b:Author>
      <b:Author>
        <b:NameList>
          <b:Person>
            <b:Last>Forti</b:Last>
            <b:First>Vanessa</b:First>
          </b:Person>
          <b:Person>
            <b:Last>Baldé</b:Last>
            <b:First>Cornelis</b:First>
            <b:Middle>Peter</b:Middle>
          </b:Person>
          <b:Person>
            <b:Last>Kuehr</b:Last>
            <b:First>Ruediger</b:First>
          </b:Person>
          <b:Person>
            <b:Last>Bel</b:Last>
            <b:First>Garam</b:First>
          </b:Person>
        </b:NameList>
      </b:Author>
    </b:Author>
    <b:Title>The Global E-waste Monitor 2020: Quantities, flows and the circular economy potential</b:Title>
    <b:Year>2020</b:Year>
    <b:Publisher>United Nations University(UNU)/United Nations Institute for Training and Research (UNITAR) - co-hosted SCYLE Programme, International Telecommunication Union (ITU) &amp; International Solid Waste Association (ISWA)</b:Publisher>
    <b:City>Bonn/Geneva/Rotterdam</b:City>
    <b:RefOrder>13</b:RefOrder>
  </b:Source>
  <b:Source>
    <b:Tag>Yus17</b:Tag>
    <b:SourceType>JournalArticle</b:SourceType>
    <b:Guid>{5877FFB5-1D43-4D89-A89A-AC418A1D568F}</b:Guid>
    <b:Author>
      <b:Author>
        <b:NameList>
          <b:Person>
            <b:Last>Yushkova</b:Last>
            <b:First>Evgeniya</b:First>
          </b:Person>
          <b:Person>
            <b:Last>Feng</b:Last>
            <b:First>Yunting</b:First>
          </b:Person>
        </b:NameList>
      </b:Author>
    </b:Author>
    <b:Title>What explains the intention to bring mobile phones for recycling? A study on university students in China and Germany</b:Title>
    <b:JournalName>International Economics and Economic Policy</b:JournalName>
    <b:Year>2017</b:Year>
    <b:Pages>501-516</b:Pages>
    <b:Volume>14</b:Volume>
    <b:Issue>2-3</b:Issue>
    <b:RefOrder>14</b:RefOrder>
  </b:Source>
  <b:Source>
    <b:Tag>Ila18</b:Tag>
    <b:SourceType>JournalArticle</b:SourceType>
    <b:Guid>{F994CDC9-381E-41E5-BF96-983782BCE9A4}</b:Guid>
    <b:Author>
      <b:Author>
        <b:NameList>
          <b:Person>
            <b:Last>Ilankoon</b:Last>
            <b:First>I</b:First>
            <b:Middle>M S K</b:Middle>
          </b:Person>
          <b:Person>
            <b:Last>Ghorbani</b:Last>
            <b:First>Yousef</b:First>
          </b:Person>
          <b:Person>
            <b:Last>Chong</b:Last>
            <b:First>Meng</b:First>
            <b:Middle>Nan</b:Middle>
          </b:Person>
          <b:Person>
            <b:Last>Herath</b:Last>
            <b:First>Gamini</b:First>
          </b:Person>
          <b:Person>
            <b:Last>Moyo</b:Last>
            <b:First>Thandazile</b:First>
          </b:Person>
          <b:Person>
            <b:Last>Petersen</b:Last>
            <b:First>Jochen</b:First>
          </b:Person>
        </b:NameList>
      </b:Author>
    </b:Author>
    <b:Title>E-waste in the international context – A review of trade flows, regulations, hazards, waste management strategies and technologies for value recovery</b:Title>
    <b:JournalName>Waste Management</b:JournalName>
    <b:Year>2018</b:Year>
    <b:Pages>258-275</b:Pages>
    <b:Volume>82</b:Volume>
    <b:RefOrder>15</b:RefOrder>
  </b:Source>
  <b:Source>
    <b:Tag>Pan21</b:Tag>
    <b:SourceType>JournalArticle</b:SourceType>
    <b:Guid>{62D05D59-A1E2-4295-9EC8-234EF954D1BE}</b:Guid>
    <b:Author>
      <b:Author>
        <b:NameList>
          <b:Person>
            <b:Last>Panchal</b:Last>
            <b:First>Rohit</b:First>
          </b:Person>
          <b:Person>
            <b:Last>Singh</b:Last>
            <b:First>Anju</b:First>
          </b:Person>
          <b:Person>
            <b:Last>Diwan</b:Last>
            <b:First>Hema</b:First>
          </b:Person>
        </b:NameList>
      </b:Author>
    </b:Author>
    <b:Title>Economic potential of recycling e-waste in India and its impact on import of materials</b:Title>
    <b:JournalName>Resources Policy</b:JournalName>
    <b:Year>2021</b:Year>
    <b:Pages>1-16</b:Pages>
    <b:Volume>74</b:Volume>
    <b:RefOrder>16</b:RefOrder>
  </b:Source>
  <b:Source>
    <b:Tag>Han18</b:Tag>
    <b:SourceType>JournalArticle</b:SourceType>
    <b:Guid>{4C8FDD75-683E-4F88-8D23-67E793C32DB6}</b:Guid>
    <b:Author>
      <b:Author>
        <b:NameList>
          <b:Person>
            <b:Last>Han</b:Last>
            <b:First>Heesup</b:First>
          </b:Person>
          <b:Person>
            <b:Last>Yu</b:Last>
            <b:First>Jongsik</b:First>
          </b:Person>
          <b:Person>
            <b:Last>Kim</b:Last>
            <b:First>Hyeon-Cheol</b:First>
          </b:Person>
          <b:Person>
            <b:Last>Kim</b:Last>
            <b:First>Wansoo</b:First>
          </b:Person>
        </b:NameList>
      </b:Author>
    </b:Author>
    <b:Title>Impact of social/personal norms and willingness to sacrifice on young vacationers’ pro-environmental intentions for waste reduction and recycling</b:Title>
    <b:JournalName>Journal of Sustainable Tourism</b:JournalName>
    <b:Year>2018</b:Year>
    <b:Pages>2117-2133</b:Pages>
    <b:Volume>26</b:Volume>
    <b:Issue>12</b:Issue>
    <b:RefOrder>17</b:RefOrder>
  </b:Source>
  <b:Source>
    <b:Tag>Cop22</b:Tag>
    <b:SourceType>JournalArticle</b:SourceType>
    <b:Guid>{DD7B69CF-C3CF-4903-BC03-5797414661DA}</b:Guid>
    <b:Author>
      <b:Author>
        <b:NameList>
          <b:Person>
            <b:Last>Copeland</b:Last>
            <b:First>Lauren</b:First>
          </b:Person>
          <b:Person>
            <b:Last>Boulianne</b:Last>
            <b:First>Shelley</b:First>
          </b:Person>
        </b:NameList>
      </b:Author>
    </b:Author>
    <b:Title>Political consumerism: A meta-analysis</b:Title>
    <b:JournalName>International Political Science Review</b:JournalName>
    <b:Year>2022</b:Year>
    <b:Pages>3-18</b:Pages>
    <b:Volume>43</b:Volume>
    <b:Issue>1</b:Issue>
    <b:RefOrder>18</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b21d2e5-cd13-4428-8a45-104d83eeb57d" xsi:nil="true"/>
    <lcf76f155ced4ddcb4097134ff3c332f xmlns="6686b2c3-ce22-4bcc-bcc9-dba8c6a0c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C5EE58-AB40-4910-94EB-AEEF43306A03}">
  <ds:schemaRefs>
    <ds:schemaRef ds:uri="http://schemas.microsoft.com/sharepoint/v3/contenttype/forms"/>
  </ds:schemaRefs>
</ds:datastoreItem>
</file>

<file path=customXml/itemProps2.xml><?xml version="1.0" encoding="utf-8"?>
<ds:datastoreItem xmlns:ds="http://schemas.openxmlformats.org/officeDocument/2006/customXml" ds:itemID="{E58620E8-9457-4B7C-9201-B1EBEE166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6b2c3-ce22-4bcc-bcc9-dba8c6a0c28b"/>
    <ds:schemaRef ds:uri="0b21d2e5-cd13-4428-8a45-104d83eeb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14F4D-10F5-46BF-BC74-19DBB6DAD181}">
  <ds:schemaRefs>
    <ds:schemaRef ds:uri="http://schemas.openxmlformats.org/officeDocument/2006/bibliography"/>
  </ds:schemaRefs>
</ds:datastoreItem>
</file>

<file path=customXml/itemProps4.xml><?xml version="1.0" encoding="utf-8"?>
<ds:datastoreItem xmlns:ds="http://schemas.openxmlformats.org/officeDocument/2006/customXml" ds:itemID="{8027DDEC-15DC-4F12-A098-6382F744FDB3}">
  <ds:schemaRefs>
    <ds:schemaRef ds:uri="http://schemas.microsoft.com/office/2006/metadata/properties"/>
    <ds:schemaRef ds:uri="http://schemas.microsoft.com/office/infopath/2007/PartnerControls"/>
    <ds:schemaRef ds:uri="0b21d2e5-cd13-4428-8a45-104d83eeb57d"/>
    <ds:schemaRef ds:uri="6686b2c3-ce22-4bcc-bcc9-dba8c6a0c28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185905</Words>
  <Characters>1098702</Characters>
  <Application>Microsoft Office Word</Application>
  <DocSecurity>0</DocSecurity>
  <Lines>26797</Lines>
  <Paragraphs>8451</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COPYRIGHT STATEMENT</vt:lpstr>
      <vt:lpstr>/LIBRARY COPYRIGHT PERMISSION AGREEMENT</vt:lpstr>
      <vt:lpstr>ABSTRACT</vt:lpstr>
      <vt:lpstr>LIST OF ABBREVIATIONS</vt:lpstr>
      <vt:lpstr>ACKNOWLEDGMENT</vt:lpstr>
      <vt:lpstr>PUBLICATION (S) ARISING FROM THE DISSERTATION.</vt:lpstr>
      <vt:lpstr>PROPOSED TABLE OF CONTENTS</vt:lpstr>
      <vt:lpstr>LIST OF TABLES</vt:lpstr>
      <vt:lpstr>LIST OF FIGURES</vt:lpstr>
      <vt:lpstr>CHAPTER 1 </vt:lpstr>
      <vt:lpstr>Introduction to the Dissertation</vt:lpstr>
      <vt:lpstr>    1.0. Introduction.</vt:lpstr>
      <vt:lpstr>    1.1 Background and Problem Definition.</vt:lpstr>
    </vt:vector>
  </TitlesOfParts>
  <Company/>
  <LinksUpToDate>false</LinksUpToDate>
  <CharactersWithSpaces>1276156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HELLY ABRAHAM</dc:creator>
  <cp:keywords/>
  <dc:description/>
  <cp:lastModifiedBy>Sana Sayeed</cp:lastModifiedBy>
  <cp:revision>3</cp:revision>
  <cp:lastPrinted>2021-04-24T16:35:00Z</cp:lastPrinted>
  <dcterms:created xsi:type="dcterms:W3CDTF">2025-05-02T07:30:00Z</dcterms:created>
  <dcterms:modified xsi:type="dcterms:W3CDTF">2025-11-04T05:27:00Z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0x0101009BCED4268EADF5419F5869FAB02BF425</vt:lpwstr>
  </property>
  <property fmtid="{D5CDD505-2E9C-101B-9397-08002B2CF9AE}" pid="3" name="ZOTERO_PREF_1">
    <vt:lpwstr>&lt;data data-version="3" zotero-version="6.0.20"&gt;&lt;session id="ujadSgk0"/&gt;&lt;style id="http://www.zotero.org/styles/apa" locale="en-US" hasBibliography="1" bibliographyStyleHasBeenSet="1"/&gt;&lt;prefs&gt;&lt;pref name="fieldType" value="Field"/&gt;&lt;pref name="delayCitationU</vt:lpwstr>
  </property>
  <property fmtid="{D5CDD505-2E9C-101B-9397-08002B2CF9AE}" pid="4" name="ZOTERO_PREF_2">
    <vt:lpwstr>pdates" value="true"/&gt;&lt;pref name="dontAskDelayCitationUpdates" value="true"/&gt;&lt;/prefs&gt;&lt;/data&gt;</vt:lpwstr>
  </property>
</Properties>
</file>