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2E5" w:rsidRPr="00FE71D6" w:rsidRDefault="007442E5" w:rsidP="007442E5">
      <w:pPr>
        <w:spacing w:line="360" w:lineRule="auto"/>
        <w:jc w:val="center"/>
        <w:rPr>
          <w:b/>
          <w:bCs/>
        </w:rPr>
      </w:pPr>
      <w:bookmarkStart w:id="0" w:name="_GoBack"/>
      <w:bookmarkEnd w:id="0"/>
      <w:r w:rsidRPr="00FE71D6">
        <w:rPr>
          <w:noProof/>
          <w:lang w:val="en-US" w:eastAsia="en-US"/>
        </w:rPr>
        <w:drawing>
          <wp:inline distT="0" distB="0" distL="0" distR="0" wp14:anchorId="7AE74FF3" wp14:editId="16F30EA6">
            <wp:extent cx="1171575" cy="1095375"/>
            <wp:effectExtent l="1905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71575" cy="1095375"/>
                    </a:xfrm>
                    <a:prstGeom prst="rect">
                      <a:avLst/>
                    </a:prstGeom>
                    <a:noFill/>
                    <a:ln w="9525">
                      <a:noFill/>
                      <a:miter lim="800000"/>
                      <a:headEnd/>
                      <a:tailEnd/>
                    </a:ln>
                  </pic:spPr>
                </pic:pic>
              </a:graphicData>
            </a:graphic>
          </wp:inline>
        </w:drawing>
      </w:r>
    </w:p>
    <w:p w:rsidR="007442E5" w:rsidRPr="00FE71D6" w:rsidRDefault="007442E5" w:rsidP="007442E5">
      <w:pPr>
        <w:spacing w:line="360" w:lineRule="auto"/>
        <w:jc w:val="center"/>
        <w:rPr>
          <w:b/>
          <w:bCs/>
        </w:rPr>
      </w:pPr>
    </w:p>
    <w:p w:rsidR="007442E5" w:rsidRPr="00FE71D6" w:rsidRDefault="00885ACB" w:rsidP="00EF7934">
      <w:pPr>
        <w:pStyle w:val="Articletitle"/>
        <w:tabs>
          <w:tab w:val="left" w:pos="702"/>
        </w:tabs>
        <w:spacing w:before="240" w:after="60" w:line="240" w:lineRule="auto"/>
        <w:jc w:val="center"/>
        <w:rPr>
          <w:sz w:val="27"/>
          <w:szCs w:val="27"/>
        </w:rPr>
      </w:pPr>
      <w:r w:rsidRPr="00FE71D6">
        <w:rPr>
          <w:sz w:val="27"/>
          <w:szCs w:val="27"/>
        </w:rPr>
        <w:t>THE INFLUENCE OF SUPPLY CHAIN MANAGEMENT AND NET TRADE CYCLE ON FINANCIAL PERFORMANCE</w:t>
      </w:r>
    </w:p>
    <w:p w:rsidR="007442E5" w:rsidRPr="00FE71D6" w:rsidRDefault="007442E5" w:rsidP="004704A1">
      <w:pPr>
        <w:autoSpaceDE w:val="0"/>
        <w:autoSpaceDN w:val="0"/>
        <w:adjustRightInd w:val="0"/>
        <w:spacing w:line="240" w:lineRule="auto"/>
        <w:jc w:val="center"/>
        <w:rPr>
          <w:sz w:val="36"/>
          <w:szCs w:val="36"/>
        </w:rPr>
      </w:pPr>
    </w:p>
    <w:p w:rsidR="00AB0F79" w:rsidRPr="00FE71D6" w:rsidRDefault="00AB0F79" w:rsidP="004704A1">
      <w:pPr>
        <w:autoSpaceDE w:val="0"/>
        <w:autoSpaceDN w:val="0"/>
        <w:adjustRightInd w:val="0"/>
        <w:spacing w:line="240" w:lineRule="auto"/>
        <w:jc w:val="center"/>
      </w:pPr>
    </w:p>
    <w:p w:rsidR="00B20CEB" w:rsidRPr="00FE71D6" w:rsidRDefault="0070573E" w:rsidP="00F11CA8">
      <w:pPr>
        <w:autoSpaceDE w:val="0"/>
        <w:autoSpaceDN w:val="0"/>
        <w:adjustRightInd w:val="0"/>
        <w:spacing w:line="240" w:lineRule="auto"/>
        <w:jc w:val="center"/>
      </w:pPr>
      <w:r w:rsidRPr="00FE71D6">
        <w:rPr>
          <w:sz w:val="36"/>
        </w:rPr>
        <w:t>Dissertation</w:t>
      </w:r>
    </w:p>
    <w:p w:rsidR="007442E5" w:rsidRPr="00FE71D6" w:rsidRDefault="007442E5" w:rsidP="004704A1">
      <w:pPr>
        <w:autoSpaceDE w:val="0"/>
        <w:autoSpaceDN w:val="0"/>
        <w:adjustRightInd w:val="0"/>
        <w:spacing w:line="240" w:lineRule="auto"/>
        <w:jc w:val="center"/>
        <w:rPr>
          <w:sz w:val="36"/>
          <w:szCs w:val="36"/>
        </w:rPr>
      </w:pPr>
    </w:p>
    <w:p w:rsidR="00B20CEB" w:rsidRPr="00FE71D6" w:rsidRDefault="00B20CEB" w:rsidP="004704A1">
      <w:pPr>
        <w:autoSpaceDE w:val="0"/>
        <w:autoSpaceDN w:val="0"/>
        <w:adjustRightInd w:val="0"/>
        <w:spacing w:line="240" w:lineRule="auto"/>
        <w:jc w:val="center"/>
      </w:pPr>
    </w:p>
    <w:p w:rsidR="00B20CEB" w:rsidRPr="00FE71D6" w:rsidRDefault="00B20CEB" w:rsidP="00B20CEB">
      <w:pPr>
        <w:spacing w:line="240" w:lineRule="auto"/>
        <w:jc w:val="center"/>
      </w:pPr>
      <w:r w:rsidRPr="00FE71D6">
        <w:t>Presented To</w:t>
      </w:r>
    </w:p>
    <w:p w:rsidR="00B20CEB" w:rsidRPr="00FE71D6" w:rsidRDefault="00B20CEB" w:rsidP="00B20CEB">
      <w:pPr>
        <w:spacing w:line="240" w:lineRule="auto"/>
        <w:jc w:val="center"/>
      </w:pPr>
      <w:r w:rsidRPr="00FE71D6">
        <w:t>The Academic Faculty</w:t>
      </w:r>
    </w:p>
    <w:p w:rsidR="0097764F" w:rsidRPr="00FE71D6" w:rsidRDefault="0097764F" w:rsidP="004704A1">
      <w:pPr>
        <w:spacing w:line="240" w:lineRule="auto"/>
        <w:jc w:val="center"/>
      </w:pPr>
    </w:p>
    <w:p w:rsidR="0097764F" w:rsidRPr="00FE71D6" w:rsidRDefault="0097764F" w:rsidP="004704A1">
      <w:pPr>
        <w:spacing w:line="240" w:lineRule="auto"/>
        <w:jc w:val="center"/>
      </w:pPr>
    </w:p>
    <w:p w:rsidR="00B20CEB" w:rsidRPr="00FE71D6" w:rsidRDefault="00B20CEB" w:rsidP="00F60444">
      <w:pPr>
        <w:spacing w:line="240" w:lineRule="auto"/>
        <w:jc w:val="center"/>
      </w:pPr>
      <w:r w:rsidRPr="00FE71D6">
        <w:t>By</w:t>
      </w:r>
    </w:p>
    <w:p w:rsidR="007442E5" w:rsidRPr="00FE71D6" w:rsidRDefault="007442E5" w:rsidP="00F60444">
      <w:pPr>
        <w:spacing w:line="240" w:lineRule="auto"/>
        <w:jc w:val="center"/>
      </w:pPr>
    </w:p>
    <w:p w:rsidR="007442E5" w:rsidRPr="00FE71D6" w:rsidRDefault="00B20CEB" w:rsidP="00F60444">
      <w:pPr>
        <w:spacing w:line="240" w:lineRule="auto"/>
        <w:jc w:val="center"/>
      </w:pPr>
      <w:r w:rsidRPr="00FE71D6">
        <w:t>Fadhel Juma Abbas</w:t>
      </w:r>
    </w:p>
    <w:p w:rsidR="007442E5" w:rsidRPr="00FE71D6" w:rsidRDefault="007442E5" w:rsidP="004704A1">
      <w:pPr>
        <w:spacing w:line="240" w:lineRule="auto"/>
        <w:jc w:val="center"/>
      </w:pPr>
    </w:p>
    <w:p w:rsidR="004704A1" w:rsidRPr="00FE71D6" w:rsidRDefault="004704A1" w:rsidP="004704A1">
      <w:pPr>
        <w:spacing w:line="240" w:lineRule="auto"/>
        <w:jc w:val="center"/>
      </w:pPr>
    </w:p>
    <w:p w:rsidR="004704A1" w:rsidRPr="00FE71D6" w:rsidRDefault="004704A1" w:rsidP="004704A1">
      <w:pPr>
        <w:spacing w:line="240" w:lineRule="auto"/>
        <w:jc w:val="center"/>
      </w:pPr>
    </w:p>
    <w:p w:rsidR="00B20CEB" w:rsidRPr="00FE71D6" w:rsidRDefault="00B20CEB" w:rsidP="00B20CEB">
      <w:pPr>
        <w:spacing w:line="240" w:lineRule="auto"/>
        <w:jc w:val="center"/>
      </w:pPr>
      <w:r w:rsidRPr="00FE71D6">
        <w:t xml:space="preserve">In Partial </w:t>
      </w:r>
      <w:r w:rsidR="00F46766" w:rsidRPr="00FE71D6">
        <w:t>Fulfilment</w:t>
      </w:r>
    </w:p>
    <w:p w:rsidR="00B20CEB" w:rsidRPr="00FE71D6" w:rsidRDefault="00B20CEB" w:rsidP="00B20CEB">
      <w:pPr>
        <w:spacing w:line="240" w:lineRule="auto"/>
        <w:jc w:val="center"/>
      </w:pPr>
      <w:r w:rsidRPr="00FE71D6">
        <w:t xml:space="preserve"> of the Requirements for the Degree </w:t>
      </w:r>
    </w:p>
    <w:p w:rsidR="00B20CEB" w:rsidRPr="00FE71D6" w:rsidRDefault="00B20CEB" w:rsidP="00B20CEB">
      <w:pPr>
        <w:spacing w:line="240" w:lineRule="auto"/>
        <w:jc w:val="center"/>
      </w:pPr>
      <w:r w:rsidRPr="00FE71D6">
        <w:t>of Doctor of Business Administration</w:t>
      </w:r>
    </w:p>
    <w:p w:rsidR="00B20CEB" w:rsidRPr="00FE71D6" w:rsidRDefault="00B20CEB" w:rsidP="004704A1">
      <w:pPr>
        <w:spacing w:line="240" w:lineRule="auto"/>
        <w:jc w:val="center"/>
      </w:pPr>
    </w:p>
    <w:p w:rsidR="004704A1" w:rsidRPr="00FE71D6" w:rsidRDefault="004704A1" w:rsidP="004704A1">
      <w:pPr>
        <w:spacing w:line="240" w:lineRule="auto"/>
        <w:jc w:val="center"/>
      </w:pPr>
    </w:p>
    <w:p w:rsidR="004704A1" w:rsidRPr="00FE71D6" w:rsidRDefault="004704A1" w:rsidP="004704A1">
      <w:pPr>
        <w:spacing w:line="240" w:lineRule="auto"/>
        <w:jc w:val="center"/>
      </w:pPr>
    </w:p>
    <w:p w:rsidR="00B20CEB" w:rsidRPr="00FE71D6" w:rsidRDefault="00B20CEB" w:rsidP="00B20CEB">
      <w:pPr>
        <w:spacing w:line="240" w:lineRule="auto"/>
        <w:jc w:val="center"/>
      </w:pPr>
      <w:r w:rsidRPr="00FE71D6">
        <w:t>Abu Dhabi University</w:t>
      </w:r>
    </w:p>
    <w:p w:rsidR="00B20CEB" w:rsidRPr="00FE71D6" w:rsidRDefault="00B20CEB" w:rsidP="00B20CEB">
      <w:pPr>
        <w:spacing w:line="240" w:lineRule="auto"/>
        <w:jc w:val="center"/>
      </w:pPr>
      <w:r w:rsidRPr="00FE71D6">
        <w:t>College of Business</w:t>
      </w:r>
    </w:p>
    <w:p w:rsidR="00F01D1F" w:rsidRPr="00FE71D6" w:rsidRDefault="00F01D1F" w:rsidP="00F01D1F">
      <w:pPr>
        <w:spacing w:line="240" w:lineRule="auto"/>
        <w:jc w:val="center"/>
      </w:pPr>
      <w:r w:rsidRPr="00FE71D6">
        <w:t>Abu Dhabi, UAE</w:t>
      </w:r>
    </w:p>
    <w:p w:rsidR="0097764F" w:rsidRPr="00FE71D6" w:rsidRDefault="0097764F" w:rsidP="0097764F">
      <w:pPr>
        <w:spacing w:line="240" w:lineRule="auto"/>
        <w:jc w:val="center"/>
      </w:pPr>
    </w:p>
    <w:p w:rsidR="00306194" w:rsidRPr="00FE71D6" w:rsidRDefault="00306194" w:rsidP="00600F17">
      <w:pPr>
        <w:spacing w:line="240" w:lineRule="auto"/>
        <w:jc w:val="center"/>
      </w:pPr>
    </w:p>
    <w:p w:rsidR="00306194" w:rsidRPr="00FE71D6" w:rsidRDefault="00306194" w:rsidP="00600F17">
      <w:pPr>
        <w:spacing w:line="240" w:lineRule="auto"/>
        <w:jc w:val="center"/>
      </w:pPr>
    </w:p>
    <w:p w:rsidR="008C6A7A" w:rsidRPr="00FE71D6" w:rsidRDefault="008C6A7A" w:rsidP="00600F17">
      <w:pPr>
        <w:spacing w:line="240" w:lineRule="auto"/>
        <w:jc w:val="center"/>
      </w:pPr>
    </w:p>
    <w:p w:rsidR="00E40AD4" w:rsidRPr="00FE71D6" w:rsidRDefault="00E40AD4" w:rsidP="00600F17">
      <w:pPr>
        <w:spacing w:line="240" w:lineRule="auto"/>
        <w:jc w:val="center"/>
      </w:pPr>
    </w:p>
    <w:p w:rsidR="00E90067" w:rsidRPr="00FE71D6" w:rsidRDefault="00EF462E" w:rsidP="00EF462E">
      <w:pPr>
        <w:spacing w:line="240" w:lineRule="auto"/>
        <w:jc w:val="center"/>
      </w:pPr>
      <w:r>
        <w:t>November</w:t>
      </w:r>
      <w:r w:rsidR="00B20CEB" w:rsidRPr="00FE71D6">
        <w:t xml:space="preserve"> </w:t>
      </w:r>
      <w:r>
        <w:t>28</w:t>
      </w:r>
      <w:r w:rsidR="00B20CEB" w:rsidRPr="00FE71D6">
        <w:t>, 20</w:t>
      </w:r>
      <w:r w:rsidR="000D4882" w:rsidRPr="00FE71D6">
        <w:t>17</w:t>
      </w:r>
    </w:p>
    <w:p w:rsidR="00E40AD4" w:rsidRPr="00FE71D6" w:rsidRDefault="00954E10" w:rsidP="00F316DB">
      <w:pPr>
        <w:spacing w:after="320"/>
        <w:jc w:val="center"/>
        <w:rPr>
          <w:b/>
          <w:bCs/>
        </w:rPr>
      </w:pPr>
      <w:r w:rsidRPr="00FE71D6">
        <w:rPr>
          <w:b/>
          <w:bCs/>
        </w:rPr>
        <w:lastRenderedPageBreak/>
        <w:t>COPYRIGHT INFORMATION</w:t>
      </w:r>
    </w:p>
    <w:p w:rsidR="00953518" w:rsidRPr="00FE71D6" w:rsidRDefault="00C54532" w:rsidP="00953518">
      <w:pPr>
        <w:pStyle w:val="Affiliation"/>
        <w:spacing w:before="0" w:after="120"/>
        <w:jc w:val="both"/>
        <w:rPr>
          <w:i w:val="0"/>
          <w:iCs/>
        </w:rPr>
      </w:pPr>
      <w:r w:rsidRPr="00FE71D6">
        <w:rPr>
          <w:i w:val="0"/>
          <w:iCs/>
        </w:rPr>
        <w:t>With the exception of references, quotes, and citations used in the text of the dissertation, this dissertation does not contain information from any material published elsewhere or extracted in whole or in part from a dissertation submitted for the award of any other degree</w:t>
      </w:r>
      <w:r w:rsidR="00953518" w:rsidRPr="00FE71D6">
        <w:rPr>
          <w:i w:val="0"/>
          <w:iCs/>
        </w:rPr>
        <w:t>.</w:t>
      </w:r>
    </w:p>
    <w:p w:rsidR="00953518" w:rsidRPr="00FE71D6" w:rsidRDefault="00C54532" w:rsidP="000D6362">
      <w:pPr>
        <w:pStyle w:val="Affiliation"/>
        <w:spacing w:before="0" w:after="600"/>
        <w:ind w:firstLine="720"/>
        <w:jc w:val="both"/>
        <w:rPr>
          <w:i w:val="0"/>
          <w:iCs/>
        </w:rPr>
      </w:pPr>
      <w:r w:rsidRPr="00FE71D6">
        <w:rPr>
          <w:i w:val="0"/>
          <w:iCs/>
        </w:rPr>
        <w:t>No other person’s work has been used without due acknowledgement in the main text of the dissertation. With the best knowledge, the writer has cited all articles used herein and has taken all the essential precautions to observe the copyrights of others</w:t>
      </w:r>
      <w:r w:rsidR="00570BDA" w:rsidRPr="00FE71D6">
        <w:rPr>
          <w:i w:val="0"/>
          <w:iCs/>
        </w:rPr>
        <w:t>.</w:t>
      </w:r>
    </w:p>
    <w:p w:rsidR="00570BDA" w:rsidRPr="00FE71D6" w:rsidRDefault="00570BDA" w:rsidP="00570BDA">
      <w:pPr>
        <w:pStyle w:val="Affiliation"/>
        <w:spacing w:before="0" w:after="120" w:line="240" w:lineRule="auto"/>
        <w:jc w:val="center"/>
        <w:rPr>
          <w:i w:val="0"/>
          <w:iCs/>
        </w:rPr>
      </w:pPr>
      <w:r w:rsidRPr="00FE71D6">
        <w:rPr>
          <w:i w:val="0"/>
          <w:iCs/>
        </w:rPr>
        <w:t>Copyright 2017 by</w:t>
      </w:r>
    </w:p>
    <w:p w:rsidR="00570BDA" w:rsidRPr="00FE71D6" w:rsidRDefault="00570BDA" w:rsidP="00570BDA">
      <w:pPr>
        <w:pStyle w:val="Affiliation"/>
        <w:spacing w:before="0" w:after="120" w:line="240" w:lineRule="auto"/>
        <w:jc w:val="center"/>
        <w:rPr>
          <w:i w:val="0"/>
          <w:iCs/>
        </w:rPr>
      </w:pPr>
      <w:r w:rsidRPr="00FE71D6">
        <w:rPr>
          <w:i w:val="0"/>
          <w:iCs/>
        </w:rPr>
        <w:t>Fadhel Juma Abbas</w:t>
      </w:r>
    </w:p>
    <w:p w:rsidR="00570BDA" w:rsidRPr="00FE71D6" w:rsidRDefault="00570BDA" w:rsidP="000D6362">
      <w:pPr>
        <w:pStyle w:val="Affiliation"/>
        <w:spacing w:before="0" w:after="600" w:line="240" w:lineRule="auto"/>
        <w:jc w:val="center"/>
        <w:rPr>
          <w:i w:val="0"/>
          <w:iCs/>
        </w:rPr>
      </w:pPr>
      <w:r w:rsidRPr="00FE71D6">
        <w:rPr>
          <w:i w:val="0"/>
          <w:iCs/>
        </w:rPr>
        <w:t>All rights reserved</w:t>
      </w:r>
    </w:p>
    <w:p w:rsidR="000E4136" w:rsidRPr="00FE71D6" w:rsidRDefault="00570BDA" w:rsidP="00592610">
      <w:pPr>
        <w:pStyle w:val="Affiliation"/>
        <w:spacing w:before="0" w:after="120" w:line="240" w:lineRule="auto"/>
        <w:jc w:val="both"/>
        <w:rPr>
          <w:i w:val="0"/>
          <w:iCs/>
        </w:rPr>
      </w:pPr>
      <w:r w:rsidRPr="00FE71D6">
        <w:rPr>
          <w:i w:val="0"/>
          <w:iCs/>
        </w:rPr>
        <w:t>The Influence of Supply Chain Management and Net Trade Cycle on Financial Performance</w:t>
      </w:r>
    </w:p>
    <w:p w:rsidR="0067295F" w:rsidRPr="00FE71D6" w:rsidRDefault="0067295F" w:rsidP="00570BDA">
      <w:pPr>
        <w:pStyle w:val="Affiliation"/>
        <w:spacing w:before="0" w:after="120" w:line="240" w:lineRule="auto"/>
        <w:jc w:val="center"/>
        <w:rPr>
          <w:i w:val="0"/>
          <w:iCs/>
        </w:rPr>
      </w:pPr>
    </w:p>
    <w:p w:rsidR="0067295F" w:rsidRPr="00FE71D6" w:rsidRDefault="0067295F" w:rsidP="00570BDA">
      <w:pPr>
        <w:pStyle w:val="Affiliation"/>
        <w:spacing w:before="0" w:after="120" w:line="240" w:lineRule="auto"/>
        <w:jc w:val="center"/>
        <w:rPr>
          <w:i w:val="0"/>
          <w:iCs/>
        </w:rPr>
      </w:pPr>
    </w:p>
    <w:p w:rsidR="0067295F" w:rsidRPr="00FE71D6" w:rsidRDefault="0067295F" w:rsidP="00570BDA">
      <w:pPr>
        <w:pStyle w:val="Affiliation"/>
        <w:spacing w:before="0" w:after="120" w:line="240" w:lineRule="auto"/>
        <w:jc w:val="center"/>
        <w:rPr>
          <w:i w:val="0"/>
          <w:iCs/>
        </w:rPr>
      </w:pPr>
    </w:p>
    <w:p w:rsidR="0067295F" w:rsidRPr="00FE71D6" w:rsidRDefault="0067295F" w:rsidP="00570BDA">
      <w:pPr>
        <w:pStyle w:val="Affiliation"/>
        <w:spacing w:before="0" w:after="120" w:line="240" w:lineRule="auto"/>
        <w:jc w:val="center"/>
        <w:rPr>
          <w:i w:val="0"/>
          <w:iCs/>
        </w:rPr>
      </w:pPr>
    </w:p>
    <w:p w:rsidR="0067295F" w:rsidRPr="00FE71D6" w:rsidRDefault="0067295F" w:rsidP="00570BDA">
      <w:pPr>
        <w:pStyle w:val="Affiliation"/>
        <w:spacing w:before="0" w:after="120" w:line="240" w:lineRule="auto"/>
        <w:jc w:val="center"/>
        <w:rPr>
          <w:i w:val="0"/>
          <w:iCs/>
        </w:rPr>
      </w:pPr>
    </w:p>
    <w:p w:rsidR="0067295F" w:rsidRPr="00FE71D6" w:rsidRDefault="0067295F" w:rsidP="00570BDA">
      <w:pPr>
        <w:pStyle w:val="Affiliation"/>
        <w:spacing w:before="0" w:after="120" w:line="240" w:lineRule="auto"/>
        <w:jc w:val="center"/>
        <w:rPr>
          <w:i w:val="0"/>
          <w:iCs/>
        </w:rPr>
      </w:pPr>
    </w:p>
    <w:p w:rsidR="0067295F" w:rsidRPr="00FE71D6" w:rsidRDefault="0067295F" w:rsidP="00570BDA">
      <w:pPr>
        <w:pStyle w:val="Affiliation"/>
        <w:spacing w:before="0" w:after="120" w:line="240" w:lineRule="auto"/>
        <w:jc w:val="center"/>
        <w:rPr>
          <w:i w:val="0"/>
          <w:iCs/>
        </w:rPr>
      </w:pPr>
    </w:p>
    <w:p w:rsidR="0067295F" w:rsidRPr="00FE71D6" w:rsidRDefault="0067295F" w:rsidP="00570BDA">
      <w:pPr>
        <w:pStyle w:val="Affiliation"/>
        <w:spacing w:before="0" w:after="120" w:line="240" w:lineRule="auto"/>
        <w:jc w:val="center"/>
        <w:rPr>
          <w:i w:val="0"/>
          <w:iCs/>
        </w:rPr>
      </w:pPr>
    </w:p>
    <w:p w:rsidR="0067295F" w:rsidRPr="00FE71D6" w:rsidRDefault="0067295F" w:rsidP="00570BDA">
      <w:pPr>
        <w:pStyle w:val="Affiliation"/>
        <w:spacing w:before="0" w:after="120" w:line="240" w:lineRule="auto"/>
        <w:jc w:val="center"/>
        <w:rPr>
          <w:i w:val="0"/>
          <w:iCs/>
        </w:rPr>
      </w:pPr>
    </w:p>
    <w:p w:rsidR="0067295F" w:rsidRPr="00FE71D6" w:rsidRDefault="0067295F" w:rsidP="00E30021">
      <w:pPr>
        <w:pStyle w:val="Affiliation"/>
        <w:spacing w:before="0" w:after="120" w:line="240" w:lineRule="auto"/>
        <w:rPr>
          <w:i w:val="0"/>
          <w:iCs/>
        </w:rPr>
      </w:pPr>
    </w:p>
    <w:p w:rsidR="0067295F" w:rsidRPr="00FE71D6" w:rsidRDefault="00AF3958" w:rsidP="00AF3958">
      <w:pPr>
        <w:pStyle w:val="Affiliation"/>
        <w:spacing w:before="0" w:after="120" w:line="240" w:lineRule="auto"/>
        <w:rPr>
          <w:i w:val="0"/>
          <w:iCs/>
        </w:rPr>
      </w:pPr>
      <w:r w:rsidRPr="00FE71D6">
        <w:rPr>
          <w:i w:val="0"/>
          <w:iCs/>
        </w:rPr>
        <w:t xml:space="preserve">        </w:t>
      </w:r>
      <w:r w:rsidRPr="00FE71D6">
        <w:rPr>
          <w:i w:val="0"/>
          <w:iCs/>
          <w:noProof/>
          <w:lang w:val="en-US" w:eastAsia="en-US"/>
        </w:rPr>
        <w:drawing>
          <wp:inline distT="0" distB="0" distL="0" distR="0" wp14:anchorId="0585A30A" wp14:editId="72CC7AF7">
            <wp:extent cx="627017" cy="318853"/>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319683"/>
                    </a:xfrm>
                    <a:prstGeom prst="rect">
                      <a:avLst/>
                    </a:prstGeom>
                    <a:noFill/>
                  </pic:spPr>
                </pic:pic>
              </a:graphicData>
            </a:graphic>
          </wp:inline>
        </w:drawing>
      </w:r>
      <w:r w:rsidRPr="00FE71D6">
        <w:rPr>
          <w:i w:val="0"/>
          <w:iCs/>
        </w:rPr>
        <w:t xml:space="preserve">         </w:t>
      </w:r>
    </w:p>
    <w:p w:rsidR="0067295F" w:rsidRPr="00FE71D6" w:rsidRDefault="00CB0F33" w:rsidP="0067295F">
      <w:pPr>
        <w:pStyle w:val="Affiliation"/>
        <w:spacing w:before="0" w:after="120" w:line="240" w:lineRule="auto"/>
        <w:rPr>
          <w:i w:val="0"/>
          <w:iCs/>
        </w:rPr>
      </w:pPr>
      <w:r w:rsidRPr="00FE71D6">
        <w:rPr>
          <w:i w:val="0"/>
          <w:iCs/>
          <w:noProof/>
          <w:lang w:val="en-US" w:eastAsia="en-US"/>
        </w:rPr>
        <mc:AlternateContent>
          <mc:Choice Requires="wps">
            <w:drawing>
              <wp:anchor distT="0" distB="0" distL="114300" distR="114300" simplePos="0" relativeHeight="251701248" behindDoc="0" locked="0" layoutInCell="1" allowOverlap="1" wp14:anchorId="299648BF" wp14:editId="05719A56">
                <wp:simplePos x="0" y="0"/>
                <wp:positionH relativeFrom="column">
                  <wp:posOffset>0</wp:posOffset>
                </wp:positionH>
                <wp:positionV relativeFrom="paragraph">
                  <wp:posOffset>7529</wp:posOffset>
                </wp:positionV>
                <wp:extent cx="1214846"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121484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226F71" id="Straight Connector 1"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0,.6pt" to="95.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" strokecolor="black [3213]"/>
            </w:pict>
          </mc:Fallback>
        </mc:AlternateContent>
      </w:r>
      <w:r w:rsidR="0067295F" w:rsidRPr="00FE71D6">
        <w:rPr>
          <w:i w:val="0"/>
          <w:iCs/>
        </w:rPr>
        <w:t>Fadhel Juma Abbas</w:t>
      </w:r>
    </w:p>
    <w:p w:rsidR="0067295F" w:rsidRPr="00FE71D6" w:rsidRDefault="00E30021" w:rsidP="00E30021">
      <w:pPr>
        <w:spacing w:after="320"/>
        <w:jc w:val="center"/>
        <w:rPr>
          <w:b/>
          <w:bCs/>
        </w:rPr>
      </w:pPr>
      <w:r w:rsidRPr="00FE71D6">
        <w:rPr>
          <w:b/>
          <w:bCs/>
        </w:rPr>
        <w:lastRenderedPageBreak/>
        <w:t>PUBLICATION FROM THIS DISSERTATION</w:t>
      </w:r>
    </w:p>
    <w:p w:rsidR="000E4136" w:rsidRPr="00FE71D6" w:rsidRDefault="00E30021" w:rsidP="00592610">
      <w:pPr>
        <w:pStyle w:val="Affiliation"/>
        <w:spacing w:before="0" w:after="120"/>
        <w:jc w:val="both"/>
        <w:rPr>
          <w:i w:val="0"/>
          <w:iCs/>
        </w:rPr>
      </w:pPr>
      <w:r w:rsidRPr="00FE71D6">
        <w:rPr>
          <w:i w:val="0"/>
          <w:iCs/>
        </w:rPr>
        <w:t xml:space="preserve">Abbas, F. J., Nobanee, H., Khan, M., and Varas, J. (2017). The Influence of Supply Chain Management and Net Trade Cycle on Financial Performance. </w:t>
      </w:r>
      <w:r w:rsidRPr="00FE71D6">
        <w:t>International Journal of Supply Chain Management, 6</w:t>
      </w:r>
      <w:r w:rsidR="00B42060" w:rsidRPr="00FE71D6">
        <w:rPr>
          <w:i w:val="0"/>
          <w:iCs/>
        </w:rPr>
        <w:t>(4), (Exc</w:t>
      </w:r>
      <w:r w:rsidR="00C54532" w:rsidRPr="00FE71D6">
        <w:rPr>
          <w:i w:val="0"/>
          <w:iCs/>
        </w:rPr>
        <w:t>eling Tech Publishers – SCOPUS i</w:t>
      </w:r>
      <w:r w:rsidR="00B42060" w:rsidRPr="00FE71D6">
        <w:rPr>
          <w:i w:val="0"/>
          <w:iCs/>
        </w:rPr>
        <w:t>ndexed).</w:t>
      </w: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CA2DC9" w:rsidRPr="00FE71D6" w:rsidRDefault="00CA2DC9" w:rsidP="00CA2DC9">
      <w:pPr>
        <w:pStyle w:val="Affiliation"/>
        <w:spacing w:before="0" w:after="120" w:line="240" w:lineRule="auto"/>
        <w:jc w:val="both"/>
        <w:rPr>
          <w:i w:val="0"/>
          <w:iCs/>
        </w:rPr>
      </w:pPr>
      <w:r w:rsidRPr="00FE71D6">
        <w:rPr>
          <w:i w:val="0"/>
          <w:iCs/>
        </w:rPr>
        <w:lastRenderedPageBreak/>
        <w:t>The Influence of Supply Chain Management and Net Trade Cycle on Financial Performance</w:t>
      </w:r>
    </w:p>
    <w:p w:rsidR="00CA2DC9" w:rsidRPr="00FE71D6" w:rsidRDefault="00CA2DC9" w:rsidP="00CA2DC9">
      <w:pPr>
        <w:spacing w:after="320"/>
        <w:rPr>
          <w:i/>
          <w:iCs/>
        </w:rPr>
      </w:pPr>
      <w:r w:rsidRPr="00FE71D6">
        <w:rPr>
          <w:i/>
          <w:iCs/>
          <w:noProof/>
          <w:lang w:val="en-US" w:eastAsia="en-US"/>
        </w:rPr>
        <w:drawing>
          <wp:anchor distT="0" distB="0" distL="114300" distR="114300" simplePos="0" relativeHeight="251704320" behindDoc="1" locked="0" layoutInCell="1" allowOverlap="1" wp14:anchorId="723A8BA3" wp14:editId="4B0BE779">
            <wp:simplePos x="0" y="0"/>
            <wp:positionH relativeFrom="column">
              <wp:posOffset>300355</wp:posOffset>
            </wp:positionH>
            <wp:positionV relativeFrom="paragraph">
              <wp:posOffset>196215</wp:posOffset>
            </wp:positionV>
            <wp:extent cx="626745" cy="318770"/>
            <wp:effectExtent l="0" t="0" r="0" b="508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6745" cy="318770"/>
                    </a:xfrm>
                    <a:prstGeom prst="rect">
                      <a:avLst/>
                    </a:prstGeom>
                    <a:noFill/>
                  </pic:spPr>
                </pic:pic>
              </a:graphicData>
            </a:graphic>
            <wp14:sizeRelH relativeFrom="page">
              <wp14:pctWidth>0</wp14:pctWidth>
            </wp14:sizeRelH>
            <wp14:sizeRelV relativeFrom="page">
              <wp14:pctHeight>0</wp14:pctHeight>
            </wp14:sizeRelV>
          </wp:anchor>
        </w:drawing>
      </w:r>
    </w:p>
    <w:p w:rsidR="00CA2DC9" w:rsidRPr="00FE71D6" w:rsidRDefault="00CA2DC9" w:rsidP="00CA2DC9">
      <w:pPr>
        <w:pStyle w:val="Affiliation"/>
        <w:spacing w:before="0" w:after="120" w:line="240" w:lineRule="auto"/>
        <w:rPr>
          <w:i w:val="0"/>
          <w:iCs/>
        </w:rPr>
      </w:pPr>
      <w:r w:rsidRPr="00FE71D6">
        <w:rPr>
          <w:i w:val="0"/>
          <w:iCs/>
          <w:noProof/>
          <w:lang w:val="en-US" w:eastAsia="en-US"/>
        </w:rPr>
        <mc:AlternateContent>
          <mc:Choice Requires="wps">
            <w:drawing>
              <wp:anchor distT="0" distB="0" distL="114300" distR="114300" simplePos="0" relativeHeight="251703296" behindDoc="0" locked="0" layoutInCell="1" allowOverlap="1" wp14:anchorId="22BBDF28" wp14:editId="1C6CBEFA">
                <wp:simplePos x="0" y="0"/>
                <wp:positionH relativeFrom="column">
                  <wp:posOffset>0</wp:posOffset>
                </wp:positionH>
                <wp:positionV relativeFrom="paragraph">
                  <wp:posOffset>7529</wp:posOffset>
                </wp:positionV>
                <wp:extent cx="1214846" cy="0"/>
                <wp:effectExtent l="0" t="0" r="23495" b="19050"/>
                <wp:wrapNone/>
                <wp:docPr id="15" name="Straight Connector 15"/>
                <wp:cNvGraphicFramePr/>
                <a:graphic xmlns:a="http://schemas.openxmlformats.org/drawingml/2006/main">
                  <a:graphicData uri="http://schemas.microsoft.com/office/word/2010/wordprocessingShape">
                    <wps:wsp>
                      <wps:cNvCnPr/>
                      <wps:spPr>
                        <a:xfrm>
                          <a:off x="0" y="0"/>
                          <a:ext cx="121484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E58702" id="Straight Connector 15"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0,.6pt" to="95.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" strokecolor="black [3213]"/>
            </w:pict>
          </mc:Fallback>
        </mc:AlternateContent>
      </w:r>
      <w:r w:rsidRPr="00FE71D6">
        <w:rPr>
          <w:i w:val="0"/>
          <w:iCs/>
        </w:rPr>
        <w:t>Fadhel Juma Abbas</w:t>
      </w:r>
    </w:p>
    <w:p w:rsidR="00CA2DC9" w:rsidRPr="00FE71D6" w:rsidRDefault="00CA2DC9" w:rsidP="00CA2DC9">
      <w:pPr>
        <w:pStyle w:val="Affiliation"/>
        <w:spacing w:before="0" w:after="120" w:line="240" w:lineRule="auto"/>
        <w:rPr>
          <w:i w:val="0"/>
          <w:iCs/>
        </w:rPr>
      </w:pPr>
    </w:p>
    <w:p w:rsidR="00681567" w:rsidRPr="00FE71D6" w:rsidRDefault="00681567" w:rsidP="00CA2DC9">
      <w:pPr>
        <w:pStyle w:val="Affiliation"/>
        <w:spacing w:before="0" w:after="120" w:line="240" w:lineRule="auto"/>
        <w:rPr>
          <w:i w:val="0"/>
          <w:iCs/>
        </w:rPr>
      </w:pPr>
    </w:p>
    <w:p w:rsidR="00CA2DC9" w:rsidRPr="00FE71D6" w:rsidRDefault="00CA2DC9" w:rsidP="003708D6">
      <w:pPr>
        <w:spacing w:after="120"/>
        <w:rPr>
          <w:b/>
          <w:bCs/>
        </w:rPr>
      </w:pPr>
      <w:r w:rsidRPr="00FE71D6">
        <w:rPr>
          <w:b/>
          <w:bCs/>
        </w:rPr>
        <w:t>APPROVED</w:t>
      </w:r>
    </w:p>
    <w:p w:rsidR="003708D6" w:rsidRPr="00FE71D6" w:rsidRDefault="00502634" w:rsidP="003708D6">
      <w:pPr>
        <w:spacing w:after="320" w:line="240" w:lineRule="auto"/>
      </w:pPr>
      <w:r>
        <w:rPr>
          <w:rFonts w:ascii="Arial" w:hAnsi="Arial" w:cs="Arial"/>
          <w:noProof/>
          <w:lang w:val="en-US" w:eastAsia="en-US"/>
        </w:rPr>
        <w:drawing>
          <wp:inline distT="0" distB="0" distL="0" distR="0" wp14:anchorId="503C420D" wp14:editId="32BEC31E">
            <wp:extent cx="591185" cy="1460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185" cy="146050"/>
                    </a:xfrm>
                    <a:prstGeom prst="rect">
                      <a:avLst/>
                    </a:prstGeom>
                    <a:noFill/>
                  </pic:spPr>
                </pic:pic>
              </a:graphicData>
            </a:graphic>
          </wp:inline>
        </w:drawing>
      </w:r>
    </w:p>
    <w:p w:rsidR="00CA2DC9" w:rsidRPr="00FE71D6" w:rsidRDefault="00681567" w:rsidP="00681567">
      <w:pPr>
        <w:pStyle w:val="Affiliation"/>
        <w:spacing w:before="0" w:line="240" w:lineRule="auto"/>
        <w:rPr>
          <w:i w:val="0"/>
          <w:iCs/>
        </w:rPr>
      </w:pPr>
      <w:r w:rsidRPr="00FE71D6">
        <w:rPr>
          <w:i w:val="0"/>
          <w:iCs/>
          <w:noProof/>
          <w:lang w:val="en-US" w:eastAsia="en-US"/>
        </w:rPr>
        <mc:AlternateContent>
          <mc:Choice Requires="wps">
            <w:drawing>
              <wp:anchor distT="0" distB="0" distL="114300" distR="114300" simplePos="0" relativeHeight="251712512" behindDoc="0" locked="0" layoutInCell="1" allowOverlap="1" wp14:anchorId="12E72E33" wp14:editId="49E428E7">
                <wp:simplePos x="0" y="0"/>
                <wp:positionH relativeFrom="column">
                  <wp:posOffset>3658</wp:posOffset>
                </wp:positionH>
                <wp:positionV relativeFrom="paragraph">
                  <wp:posOffset>5690</wp:posOffset>
                </wp:positionV>
                <wp:extent cx="2223770" cy="0"/>
                <wp:effectExtent l="0" t="0" r="24130" b="19050"/>
                <wp:wrapNone/>
                <wp:docPr id="20" name="Straight Connector 20"/>
                <wp:cNvGraphicFramePr/>
                <a:graphic xmlns:a="http://schemas.openxmlformats.org/drawingml/2006/main">
                  <a:graphicData uri="http://schemas.microsoft.com/office/word/2010/wordprocessingShape">
                    <wps:wsp>
                      <wps:cNvCnPr/>
                      <wps:spPr>
                        <a:xfrm>
                          <a:off x="0" y="0"/>
                          <a:ext cx="22237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CAF8AC" id="Straight Connector 20" o:spid="_x0000_s1026" style="position:absolute;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45pt" to="175.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" strokecolor="black [3213]"/>
            </w:pict>
          </mc:Fallback>
        </mc:AlternateContent>
      </w:r>
      <w:r w:rsidR="00CA2DC9" w:rsidRPr="00FE71D6">
        <w:rPr>
          <w:i w:val="0"/>
          <w:iCs/>
        </w:rPr>
        <w:t>Dr. Haitham Nobanee</w:t>
      </w:r>
    </w:p>
    <w:p w:rsidR="00681567" w:rsidRPr="00FE71D6" w:rsidRDefault="00681567" w:rsidP="00681567">
      <w:pPr>
        <w:pStyle w:val="Affiliation"/>
        <w:spacing w:before="0" w:line="240" w:lineRule="auto"/>
        <w:rPr>
          <w:i w:val="0"/>
          <w:iCs/>
        </w:rPr>
      </w:pPr>
      <w:r w:rsidRPr="00FE71D6">
        <w:rPr>
          <w:i w:val="0"/>
          <w:iCs/>
        </w:rPr>
        <w:t>College of Business Administration</w:t>
      </w:r>
    </w:p>
    <w:p w:rsidR="00681567" w:rsidRPr="00FE71D6" w:rsidRDefault="00681567" w:rsidP="00681567">
      <w:pPr>
        <w:pStyle w:val="Affiliation"/>
        <w:spacing w:before="0" w:line="240" w:lineRule="auto"/>
        <w:rPr>
          <w:i w:val="0"/>
          <w:iCs/>
        </w:rPr>
      </w:pPr>
      <w:r w:rsidRPr="00FE71D6">
        <w:rPr>
          <w:i w:val="0"/>
          <w:iCs/>
        </w:rPr>
        <w:t>Abu Dhabi University, UAE</w:t>
      </w:r>
    </w:p>
    <w:p w:rsidR="00CA2DC9" w:rsidRPr="00FE71D6" w:rsidRDefault="00681567" w:rsidP="00681567">
      <w:pPr>
        <w:pStyle w:val="Affiliation"/>
        <w:spacing w:before="0" w:line="240" w:lineRule="auto"/>
        <w:rPr>
          <w:i w:val="0"/>
          <w:iCs/>
        </w:rPr>
      </w:pPr>
      <w:r w:rsidRPr="00FE71D6">
        <w:rPr>
          <w:i w:val="0"/>
          <w:iCs/>
        </w:rPr>
        <w:t>Committee Chair</w:t>
      </w:r>
    </w:p>
    <w:p w:rsidR="00681567" w:rsidRPr="00FE71D6" w:rsidRDefault="00681567" w:rsidP="00681567">
      <w:pPr>
        <w:pStyle w:val="Affiliation"/>
        <w:spacing w:before="0" w:line="240" w:lineRule="auto"/>
        <w:rPr>
          <w:i w:val="0"/>
          <w:iCs/>
        </w:rPr>
      </w:pPr>
    </w:p>
    <w:p w:rsidR="00681567" w:rsidRPr="00FE71D6" w:rsidRDefault="00502634" w:rsidP="00681567">
      <w:pPr>
        <w:pStyle w:val="Affiliation"/>
        <w:spacing w:before="0" w:line="240" w:lineRule="auto"/>
        <w:rPr>
          <w:i w:val="0"/>
          <w:iCs/>
        </w:rPr>
      </w:pPr>
      <w:r w:rsidRPr="00F4780E">
        <w:rPr>
          <w:rFonts w:ascii="Arial" w:hAnsi="Arial" w:cs="Arial"/>
          <w:noProof/>
          <w:lang w:val="en-US" w:eastAsia="en-US"/>
        </w:rPr>
        <w:drawing>
          <wp:inline distT="0" distB="0" distL="0" distR="0" wp14:anchorId="6D24EDBE" wp14:editId="3CC19200">
            <wp:extent cx="692251" cy="247015"/>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7030" cy="262993"/>
                    </a:xfrm>
                    <a:prstGeom prst="rect">
                      <a:avLst/>
                    </a:prstGeom>
                    <a:noFill/>
                    <a:ln>
                      <a:noFill/>
                    </a:ln>
                  </pic:spPr>
                </pic:pic>
              </a:graphicData>
            </a:graphic>
          </wp:inline>
        </w:drawing>
      </w:r>
    </w:p>
    <w:p w:rsidR="00681567" w:rsidRPr="00FE71D6" w:rsidRDefault="00681567" w:rsidP="00681567">
      <w:pPr>
        <w:pStyle w:val="Affiliation"/>
        <w:spacing w:before="0" w:line="240" w:lineRule="auto"/>
        <w:rPr>
          <w:i w:val="0"/>
          <w:iCs/>
        </w:rPr>
      </w:pPr>
    </w:p>
    <w:p w:rsidR="00681567" w:rsidRPr="00FE71D6" w:rsidRDefault="00681567" w:rsidP="00681567">
      <w:pPr>
        <w:pStyle w:val="Affiliation"/>
        <w:spacing w:before="0" w:line="240" w:lineRule="auto"/>
        <w:rPr>
          <w:i w:val="0"/>
          <w:iCs/>
        </w:rPr>
      </w:pPr>
      <w:r w:rsidRPr="00FE71D6">
        <w:rPr>
          <w:i w:val="0"/>
          <w:iCs/>
          <w:noProof/>
          <w:lang w:val="en-US" w:eastAsia="en-US"/>
        </w:rPr>
        <mc:AlternateContent>
          <mc:Choice Requires="wps">
            <w:drawing>
              <wp:anchor distT="0" distB="0" distL="114300" distR="114300" simplePos="0" relativeHeight="251714560" behindDoc="0" locked="0" layoutInCell="1" allowOverlap="1" wp14:anchorId="5101FF9B" wp14:editId="54B7C768">
                <wp:simplePos x="0" y="0"/>
                <wp:positionH relativeFrom="column">
                  <wp:posOffset>3658</wp:posOffset>
                </wp:positionH>
                <wp:positionV relativeFrom="paragraph">
                  <wp:posOffset>7823</wp:posOffset>
                </wp:positionV>
                <wp:extent cx="2223770" cy="0"/>
                <wp:effectExtent l="0" t="0" r="24130" b="19050"/>
                <wp:wrapNone/>
                <wp:docPr id="19" name="Straight Connector 19"/>
                <wp:cNvGraphicFramePr/>
                <a:graphic xmlns:a="http://schemas.openxmlformats.org/drawingml/2006/main">
                  <a:graphicData uri="http://schemas.microsoft.com/office/word/2010/wordprocessingShape">
                    <wps:wsp>
                      <wps:cNvCnPr/>
                      <wps:spPr>
                        <a:xfrm>
                          <a:off x="0" y="0"/>
                          <a:ext cx="22237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F43D30" id="Straight Connector 19" o:spid="_x0000_s1026" style="position:absolute;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pt" to="175.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" strokecolor="black [3213]"/>
            </w:pict>
          </mc:Fallback>
        </mc:AlternateContent>
      </w:r>
      <w:r w:rsidRPr="00FE71D6">
        <w:rPr>
          <w:i w:val="0"/>
          <w:iCs/>
        </w:rPr>
        <w:t>Dr. Mehmood Khan</w:t>
      </w:r>
    </w:p>
    <w:p w:rsidR="00681567" w:rsidRPr="00FE71D6" w:rsidRDefault="00681567" w:rsidP="00681567">
      <w:pPr>
        <w:pStyle w:val="Affiliation"/>
        <w:spacing w:before="0" w:line="240" w:lineRule="auto"/>
        <w:rPr>
          <w:i w:val="0"/>
          <w:iCs/>
        </w:rPr>
      </w:pPr>
      <w:r w:rsidRPr="00FE71D6">
        <w:rPr>
          <w:i w:val="0"/>
          <w:iCs/>
        </w:rPr>
        <w:t>College of Business Administration</w:t>
      </w:r>
    </w:p>
    <w:p w:rsidR="00681567" w:rsidRPr="00FE71D6" w:rsidRDefault="00681567" w:rsidP="00681567">
      <w:pPr>
        <w:pStyle w:val="Affiliation"/>
        <w:spacing w:before="0" w:line="240" w:lineRule="auto"/>
        <w:rPr>
          <w:i w:val="0"/>
          <w:iCs/>
        </w:rPr>
      </w:pPr>
      <w:r w:rsidRPr="00FE71D6">
        <w:rPr>
          <w:i w:val="0"/>
          <w:iCs/>
        </w:rPr>
        <w:t>Abu Dhabi University, UAE</w:t>
      </w:r>
    </w:p>
    <w:p w:rsidR="00681567" w:rsidRPr="00FE71D6" w:rsidRDefault="00681567" w:rsidP="00681567">
      <w:pPr>
        <w:pStyle w:val="Affiliation"/>
        <w:spacing w:before="0" w:line="240" w:lineRule="auto"/>
        <w:rPr>
          <w:i w:val="0"/>
          <w:iCs/>
        </w:rPr>
      </w:pPr>
      <w:r w:rsidRPr="00FE71D6">
        <w:rPr>
          <w:i w:val="0"/>
          <w:iCs/>
        </w:rPr>
        <w:t>Internal Committee Member</w:t>
      </w:r>
    </w:p>
    <w:p w:rsidR="00681567" w:rsidRPr="00FE71D6" w:rsidRDefault="00681567" w:rsidP="00681567">
      <w:pPr>
        <w:pStyle w:val="Affiliation"/>
        <w:spacing w:before="0" w:line="240" w:lineRule="auto"/>
        <w:rPr>
          <w:i w:val="0"/>
          <w:iCs/>
        </w:rPr>
      </w:pPr>
    </w:p>
    <w:p w:rsidR="00681567" w:rsidRPr="00FE71D6" w:rsidRDefault="00681567" w:rsidP="00681567">
      <w:pPr>
        <w:pStyle w:val="Affiliation"/>
        <w:spacing w:before="0" w:line="240" w:lineRule="auto"/>
        <w:rPr>
          <w:i w:val="0"/>
          <w:iCs/>
        </w:rPr>
      </w:pPr>
    </w:p>
    <w:p w:rsidR="00681567" w:rsidRPr="00FE71D6" w:rsidRDefault="00502634" w:rsidP="00681567">
      <w:pPr>
        <w:pStyle w:val="Affiliation"/>
        <w:spacing w:before="0" w:line="240" w:lineRule="auto"/>
        <w:rPr>
          <w:i w:val="0"/>
          <w:iCs/>
        </w:rPr>
      </w:pPr>
      <w:r>
        <w:rPr>
          <w:rFonts w:ascii="Arial" w:hAnsi="Arial" w:cs="Arial"/>
          <w:noProof/>
          <w:lang w:val="en-US" w:eastAsia="en-US"/>
        </w:rPr>
        <w:drawing>
          <wp:inline distT="0" distB="0" distL="0" distR="0" wp14:anchorId="2D6EDA59" wp14:editId="10BB4C5F">
            <wp:extent cx="895350" cy="297837"/>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5350" cy="297837"/>
                    </a:xfrm>
                    <a:prstGeom prst="rect">
                      <a:avLst/>
                    </a:prstGeom>
                    <a:noFill/>
                    <a:ln>
                      <a:noFill/>
                    </a:ln>
                  </pic:spPr>
                </pic:pic>
              </a:graphicData>
            </a:graphic>
          </wp:inline>
        </w:drawing>
      </w:r>
    </w:p>
    <w:p w:rsidR="00681567" w:rsidRPr="00FE71D6" w:rsidRDefault="00681567" w:rsidP="00681567">
      <w:pPr>
        <w:pStyle w:val="Affiliation"/>
        <w:spacing w:before="0" w:line="240" w:lineRule="auto"/>
        <w:rPr>
          <w:i w:val="0"/>
          <w:iCs/>
        </w:rPr>
      </w:pPr>
      <w:r w:rsidRPr="00FE71D6">
        <w:rPr>
          <w:i w:val="0"/>
          <w:iCs/>
          <w:noProof/>
          <w:lang w:val="en-US" w:eastAsia="en-US"/>
        </w:rPr>
        <mc:AlternateContent>
          <mc:Choice Requires="wps">
            <w:drawing>
              <wp:anchor distT="0" distB="0" distL="114300" distR="114300" simplePos="0" relativeHeight="251708416" behindDoc="0" locked="0" layoutInCell="1" allowOverlap="1" wp14:anchorId="2969C26A" wp14:editId="595429FC">
                <wp:simplePos x="0" y="0"/>
                <wp:positionH relativeFrom="column">
                  <wp:posOffset>3658</wp:posOffset>
                </wp:positionH>
                <wp:positionV relativeFrom="paragraph">
                  <wp:posOffset>10592</wp:posOffset>
                </wp:positionV>
                <wp:extent cx="1814169" cy="0"/>
                <wp:effectExtent l="0" t="0" r="15240" b="19050"/>
                <wp:wrapNone/>
                <wp:docPr id="18" name="Straight Connector 18"/>
                <wp:cNvGraphicFramePr/>
                <a:graphic xmlns:a="http://schemas.openxmlformats.org/drawingml/2006/main">
                  <a:graphicData uri="http://schemas.microsoft.com/office/word/2010/wordprocessingShape">
                    <wps:wsp>
                      <wps:cNvCnPr/>
                      <wps:spPr>
                        <a:xfrm>
                          <a:off x="0" y="0"/>
                          <a:ext cx="181416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A16E34" id="Straight Connector 18"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85pt" to="143.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" strokecolor="black [3213]"/>
            </w:pict>
          </mc:Fallback>
        </mc:AlternateContent>
      </w:r>
      <w:r w:rsidRPr="00FE71D6">
        <w:rPr>
          <w:i w:val="0"/>
          <w:iCs/>
        </w:rPr>
        <w:t>Dr. Jose Varas</w:t>
      </w:r>
    </w:p>
    <w:p w:rsidR="00681567" w:rsidRPr="00FE71D6" w:rsidRDefault="00681567" w:rsidP="00681567">
      <w:pPr>
        <w:pStyle w:val="Affiliation"/>
        <w:spacing w:before="0" w:line="240" w:lineRule="auto"/>
        <w:rPr>
          <w:i w:val="0"/>
          <w:iCs/>
        </w:rPr>
      </w:pPr>
      <w:r w:rsidRPr="00FE71D6">
        <w:rPr>
          <w:i w:val="0"/>
          <w:iCs/>
        </w:rPr>
        <w:t>Standard and Poor’s, UK</w:t>
      </w:r>
    </w:p>
    <w:p w:rsidR="00681567" w:rsidRPr="00FE71D6" w:rsidRDefault="006C772E" w:rsidP="00681567">
      <w:pPr>
        <w:pStyle w:val="Affiliation"/>
        <w:spacing w:before="0" w:line="240" w:lineRule="auto"/>
        <w:rPr>
          <w:i w:val="0"/>
          <w:iCs/>
        </w:rPr>
      </w:pPr>
      <w:r>
        <w:rPr>
          <w:i w:val="0"/>
          <w:iCs/>
        </w:rPr>
        <w:t>External Committee Member</w:t>
      </w:r>
    </w:p>
    <w:p w:rsidR="00681567" w:rsidRPr="00FE71D6" w:rsidRDefault="00681567" w:rsidP="00681567">
      <w:pPr>
        <w:pStyle w:val="Affiliation"/>
        <w:spacing w:before="0" w:line="240" w:lineRule="auto"/>
        <w:rPr>
          <w:i w:val="0"/>
          <w:iCs/>
        </w:rPr>
      </w:pPr>
    </w:p>
    <w:p w:rsidR="00681567" w:rsidRPr="00FE71D6" w:rsidRDefault="00681567" w:rsidP="00681567">
      <w:pPr>
        <w:pStyle w:val="Affiliation"/>
        <w:spacing w:before="0" w:line="240" w:lineRule="auto"/>
        <w:rPr>
          <w:i w:val="0"/>
          <w:iCs/>
        </w:rPr>
      </w:pPr>
    </w:p>
    <w:p w:rsidR="00681567" w:rsidRPr="00FE71D6" w:rsidRDefault="00681567" w:rsidP="00681567">
      <w:pPr>
        <w:pStyle w:val="Affiliation"/>
        <w:spacing w:before="0" w:line="240" w:lineRule="auto"/>
        <w:rPr>
          <w:i w:val="0"/>
          <w:iCs/>
        </w:rPr>
      </w:pPr>
    </w:p>
    <w:p w:rsidR="00681567" w:rsidRPr="00FE71D6" w:rsidRDefault="00681567" w:rsidP="00681567">
      <w:pPr>
        <w:pStyle w:val="Affiliation"/>
        <w:spacing w:before="0" w:line="240" w:lineRule="auto"/>
        <w:rPr>
          <w:i w:val="0"/>
          <w:iCs/>
        </w:rPr>
      </w:pPr>
    </w:p>
    <w:p w:rsidR="00681567" w:rsidRPr="00FE71D6" w:rsidRDefault="00C4503F" w:rsidP="00681567">
      <w:pPr>
        <w:pStyle w:val="Affiliation"/>
        <w:spacing w:before="0" w:line="240" w:lineRule="auto"/>
        <w:rPr>
          <w:i w:val="0"/>
          <w:iCs/>
        </w:rPr>
      </w:pPr>
      <w:r w:rsidRPr="00FE71D6">
        <w:rPr>
          <w:i w:val="0"/>
          <w:iCs/>
          <w:noProof/>
          <w:lang w:val="en-US" w:eastAsia="en-US"/>
        </w:rPr>
        <mc:AlternateContent>
          <mc:Choice Requires="wps">
            <w:drawing>
              <wp:anchor distT="0" distB="0" distL="114300" distR="114300" simplePos="0" relativeHeight="251706368" behindDoc="0" locked="0" layoutInCell="1" allowOverlap="1" wp14:anchorId="0CDB7B59" wp14:editId="5B17ADCB">
                <wp:simplePos x="0" y="0"/>
                <wp:positionH relativeFrom="column">
                  <wp:posOffset>3658</wp:posOffset>
                </wp:positionH>
                <wp:positionV relativeFrom="paragraph">
                  <wp:posOffset>5410</wp:posOffset>
                </wp:positionV>
                <wp:extent cx="3087014" cy="0"/>
                <wp:effectExtent l="0" t="0" r="18415" b="19050"/>
                <wp:wrapNone/>
                <wp:docPr id="17" name="Straight Connector 17"/>
                <wp:cNvGraphicFramePr/>
                <a:graphic xmlns:a="http://schemas.openxmlformats.org/drawingml/2006/main">
                  <a:graphicData uri="http://schemas.microsoft.com/office/word/2010/wordprocessingShape">
                    <wps:wsp>
                      <wps:cNvCnPr/>
                      <wps:spPr>
                        <a:xfrm>
                          <a:off x="0" y="0"/>
                          <a:ext cx="30870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0ACDBC" id="Straight Connector 17" o:spid="_x0000_s1026"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45pt" to="243.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" strokecolor="black [3213]"/>
            </w:pict>
          </mc:Fallback>
        </mc:AlternateContent>
      </w:r>
      <w:r w:rsidR="006C772E">
        <w:rPr>
          <w:i w:val="0"/>
          <w:iCs/>
        </w:rPr>
        <w:t>Dr. Hussein Saber</w:t>
      </w:r>
    </w:p>
    <w:p w:rsidR="00681567" w:rsidRPr="00FE71D6" w:rsidRDefault="006C772E" w:rsidP="00681567">
      <w:pPr>
        <w:pStyle w:val="Affiliation"/>
        <w:spacing w:before="0" w:line="240" w:lineRule="auto"/>
        <w:rPr>
          <w:i w:val="0"/>
          <w:iCs/>
        </w:rPr>
      </w:pPr>
      <w:r>
        <w:rPr>
          <w:i w:val="0"/>
          <w:iCs/>
        </w:rPr>
        <w:t xml:space="preserve">Interim </w:t>
      </w:r>
      <w:r w:rsidR="00681567" w:rsidRPr="00FE71D6">
        <w:rPr>
          <w:i w:val="0"/>
          <w:iCs/>
        </w:rPr>
        <w:t>Dean, College of Business Administration</w:t>
      </w:r>
    </w:p>
    <w:p w:rsidR="00681567" w:rsidRPr="00FE71D6" w:rsidRDefault="00681567" w:rsidP="00681567">
      <w:pPr>
        <w:pStyle w:val="Affiliation"/>
        <w:spacing w:before="0" w:line="240" w:lineRule="auto"/>
        <w:rPr>
          <w:i w:val="0"/>
          <w:iCs/>
        </w:rPr>
      </w:pPr>
      <w:r w:rsidRPr="00FE71D6">
        <w:rPr>
          <w:i w:val="0"/>
          <w:iCs/>
        </w:rPr>
        <w:t>Abu Dhabi University, UAE</w:t>
      </w:r>
    </w:p>
    <w:p w:rsidR="00681567" w:rsidRPr="00FE71D6" w:rsidRDefault="00681567" w:rsidP="00681567">
      <w:pPr>
        <w:pStyle w:val="Affiliation"/>
        <w:spacing w:before="0" w:line="240" w:lineRule="auto"/>
        <w:rPr>
          <w:i w:val="0"/>
          <w:iCs/>
        </w:rPr>
      </w:pPr>
    </w:p>
    <w:p w:rsidR="00681567" w:rsidRPr="00FE71D6" w:rsidRDefault="00681567" w:rsidP="00681567">
      <w:pPr>
        <w:pStyle w:val="Affiliation"/>
        <w:spacing w:before="0" w:line="240" w:lineRule="auto"/>
        <w:rPr>
          <w:i w:val="0"/>
          <w:iCs/>
        </w:rPr>
      </w:pPr>
    </w:p>
    <w:p w:rsidR="00681567" w:rsidRPr="00FE71D6" w:rsidRDefault="00681567" w:rsidP="00681567">
      <w:pPr>
        <w:pStyle w:val="Affiliation"/>
        <w:spacing w:before="0" w:line="240" w:lineRule="auto"/>
        <w:rPr>
          <w:i w:val="0"/>
          <w:iCs/>
        </w:rPr>
      </w:pPr>
    </w:p>
    <w:p w:rsidR="00681567" w:rsidRPr="00FE71D6" w:rsidRDefault="00681567" w:rsidP="00681567">
      <w:pPr>
        <w:pStyle w:val="Affiliation"/>
        <w:spacing w:before="0" w:line="240" w:lineRule="auto"/>
        <w:rPr>
          <w:i w:val="0"/>
          <w:iCs/>
        </w:rPr>
      </w:pPr>
    </w:p>
    <w:p w:rsidR="00681567" w:rsidRPr="00FE71D6" w:rsidRDefault="00681567" w:rsidP="00681567">
      <w:pPr>
        <w:pStyle w:val="Affiliation"/>
        <w:spacing w:before="0" w:line="240" w:lineRule="auto"/>
        <w:rPr>
          <w:i w:val="0"/>
          <w:iCs/>
        </w:rPr>
      </w:pPr>
    </w:p>
    <w:p w:rsidR="00500D48" w:rsidRPr="00FE71D6" w:rsidRDefault="00500D48" w:rsidP="00500D48">
      <w:pPr>
        <w:spacing w:after="320"/>
        <w:jc w:val="center"/>
        <w:rPr>
          <w:b/>
          <w:bCs/>
        </w:rPr>
      </w:pPr>
      <w:r w:rsidRPr="00FE71D6">
        <w:rPr>
          <w:b/>
          <w:bCs/>
        </w:rPr>
        <w:t>ACKNOWLEDGEMENT</w:t>
      </w:r>
    </w:p>
    <w:p w:rsidR="00500D48" w:rsidRPr="00FE71D6" w:rsidRDefault="00C54532" w:rsidP="00500D48">
      <w:pPr>
        <w:pStyle w:val="Affiliation"/>
        <w:spacing w:before="0" w:after="120"/>
        <w:jc w:val="both"/>
        <w:rPr>
          <w:i w:val="0"/>
          <w:iCs/>
        </w:rPr>
      </w:pPr>
      <w:r w:rsidRPr="00FE71D6">
        <w:rPr>
          <w:i w:val="0"/>
          <w:iCs/>
        </w:rPr>
        <w:t>The completion of this dissertation would not be possible without substantial assistance and overwhelming guidance from several people</w:t>
      </w:r>
      <w:r w:rsidR="00500D48" w:rsidRPr="00FE71D6">
        <w:rPr>
          <w:i w:val="0"/>
          <w:iCs/>
        </w:rPr>
        <w:t>.</w:t>
      </w:r>
    </w:p>
    <w:p w:rsidR="00C54532" w:rsidRPr="00FE71D6" w:rsidRDefault="00C54532" w:rsidP="00C54532">
      <w:pPr>
        <w:pStyle w:val="Affiliation"/>
        <w:spacing w:before="0"/>
        <w:ind w:firstLine="720"/>
        <w:jc w:val="both"/>
        <w:rPr>
          <w:i w:val="0"/>
          <w:iCs/>
        </w:rPr>
      </w:pPr>
      <w:r w:rsidRPr="00FE71D6">
        <w:rPr>
          <w:i w:val="0"/>
          <w:iCs/>
        </w:rPr>
        <w:t>First, deep and candid gratitude and appreciation goes to Dr. Haitham Nobanee, Dr. Mehmood Khan, and Dr. Jose Varas, dissertation committee members, for their direction, expertise, time, and endurance for assisting this dissertation through each phase of its progress. They have assisted in forming research model, enhancing both writing skills and capability in performing empirical research. All of them have shown concern for my academic success and individual happiness. Working with them has resulted in a pleasing and productive experience.</w:t>
      </w:r>
    </w:p>
    <w:p w:rsidR="00500D48" w:rsidRPr="00FE71D6" w:rsidRDefault="00C54532" w:rsidP="006A099B">
      <w:pPr>
        <w:pStyle w:val="Affiliation"/>
        <w:spacing w:before="0"/>
        <w:ind w:firstLine="720"/>
        <w:jc w:val="both"/>
        <w:rPr>
          <w:i w:val="0"/>
          <w:iCs/>
        </w:rPr>
      </w:pPr>
      <w:r w:rsidRPr="00FE71D6">
        <w:rPr>
          <w:i w:val="0"/>
          <w:iCs/>
        </w:rPr>
        <w:t>Furthermore, worthy of thanks are the 112 individuals who responded the survey utilized at the three manufacturing companies in the Kingdom of Bahrain</w:t>
      </w:r>
      <w:r w:rsidR="00500D48" w:rsidRPr="00FE71D6">
        <w:rPr>
          <w:i w:val="0"/>
          <w:iCs/>
        </w:rPr>
        <w:t>.</w:t>
      </w:r>
    </w:p>
    <w:p w:rsidR="00500D48" w:rsidRPr="00FE71D6" w:rsidRDefault="00C54532" w:rsidP="00500D48">
      <w:pPr>
        <w:pStyle w:val="Affiliation"/>
        <w:spacing w:before="0" w:after="120"/>
        <w:ind w:firstLine="720"/>
        <w:jc w:val="both"/>
        <w:rPr>
          <w:i w:val="0"/>
          <w:iCs/>
        </w:rPr>
      </w:pPr>
      <w:r w:rsidRPr="00FE71D6">
        <w:rPr>
          <w:i w:val="0"/>
          <w:iCs/>
        </w:rPr>
        <w:t>Lastly, utmost appreciation is deeply conveyed to my family members in Bahrain for their love, support encouragement and assurance in my capabilities to be successful. Greatly deserving of thanks are my parents, who provide me unconditional support, and nurturing my understanding of the meaning of life. To them, this scholastic achievement is wholeheartedly dedicated</w:t>
      </w:r>
      <w:r w:rsidR="00500D48" w:rsidRPr="00FE71D6">
        <w:rPr>
          <w:i w:val="0"/>
          <w:iCs/>
        </w:rPr>
        <w:t>.</w:t>
      </w:r>
    </w:p>
    <w:p w:rsidR="00500D48" w:rsidRPr="00FE71D6" w:rsidRDefault="00500D48" w:rsidP="00500D48">
      <w:pPr>
        <w:pStyle w:val="Affiliation"/>
        <w:spacing w:before="0" w:after="120" w:line="480" w:lineRule="auto"/>
        <w:jc w:val="center"/>
        <w:rPr>
          <w:b/>
          <w:bCs/>
          <w:i w:val="0"/>
          <w:iCs/>
        </w:rPr>
      </w:pPr>
    </w:p>
    <w:p w:rsidR="00500D48" w:rsidRPr="00FE71D6" w:rsidRDefault="00500D48" w:rsidP="00F316DB">
      <w:pPr>
        <w:spacing w:after="320"/>
        <w:jc w:val="center"/>
        <w:rPr>
          <w:b/>
          <w:bCs/>
        </w:rPr>
      </w:pPr>
    </w:p>
    <w:p w:rsidR="00500D48" w:rsidRPr="00FE71D6" w:rsidRDefault="00500D48" w:rsidP="00F316DB">
      <w:pPr>
        <w:spacing w:after="320"/>
        <w:jc w:val="center"/>
        <w:rPr>
          <w:b/>
          <w:bCs/>
        </w:rPr>
      </w:pPr>
    </w:p>
    <w:p w:rsidR="00C54532" w:rsidRPr="00FE71D6" w:rsidRDefault="00C54532" w:rsidP="00F316DB">
      <w:pPr>
        <w:spacing w:after="320"/>
        <w:jc w:val="center"/>
        <w:rPr>
          <w:b/>
          <w:bCs/>
        </w:rPr>
      </w:pPr>
    </w:p>
    <w:p w:rsidR="00954E10" w:rsidRPr="00FE71D6" w:rsidRDefault="00954E10" w:rsidP="00F316DB">
      <w:pPr>
        <w:spacing w:after="320"/>
        <w:jc w:val="center"/>
        <w:rPr>
          <w:b/>
          <w:bCs/>
        </w:rPr>
      </w:pPr>
      <w:r w:rsidRPr="00FE71D6">
        <w:rPr>
          <w:b/>
          <w:bCs/>
        </w:rPr>
        <w:lastRenderedPageBreak/>
        <w:t>ABSTRACT</w:t>
      </w:r>
    </w:p>
    <w:p w:rsidR="00D26073" w:rsidRPr="00FE71D6" w:rsidRDefault="000A388D" w:rsidP="00C6644D">
      <w:pPr>
        <w:spacing w:line="240" w:lineRule="auto"/>
        <w:jc w:val="both"/>
      </w:pPr>
      <w:r w:rsidRPr="00FE71D6">
        <w:t>This research empirically investigates the relationships among the four most common supply chain management practices (supplier partnership, customer relationship, information sharing, and lean system), net trade cycle, and financial performance. It consists of nine hypotheses concerning the relationships of the aforementioned factors that have been verified throughout reviewed literature and examined via employing the structural equation modelling technique. This research used data taken from floated questionnaires at three manufacturing companies in the Kingdom of Bahrain. An inclusive review of the literature to retrieve the four most common supply chain management practices has been undertaken and has identified limitations in the research techniques applied. This research has discovered the significant influences of the supplier partnership, the information sharing, and the lean system of the three most common supply chain management practices and the net trade cycle on the financial performance. Although this is the first research that combines the critical relationships among those four most common supply chain management practices, the net trade cycle, and the financial performance in one model, it is important to note that this study was unsuccessful in demonstrating whether there is a significant influence between customer relationship of the most common supply chain management practices and the net trade cycle on the financial performance</w:t>
      </w:r>
      <w:r w:rsidR="00105A74" w:rsidRPr="00FE71D6">
        <w:t>.</w:t>
      </w:r>
      <w:r w:rsidR="00D26073" w:rsidRPr="00FE71D6">
        <w:t xml:space="preserve"> </w:t>
      </w:r>
    </w:p>
    <w:p w:rsidR="00954E10" w:rsidRPr="00FE71D6" w:rsidRDefault="000A388D" w:rsidP="00C6644D">
      <w:pPr>
        <w:spacing w:after="240" w:line="240" w:lineRule="auto"/>
        <w:ind w:firstLine="720"/>
        <w:jc w:val="both"/>
      </w:pPr>
      <w:r w:rsidRPr="00FE71D6">
        <w:t>Researchers can employ the outcomes of this research to discover several related hypotheses in more details and increase the accuracy of forthcoming empirical relationships among those factors. This research offers particular suggestions for such further research. The outcomes of this research can be utilized by managers to highlight the execution of those four most common supply chain management practices and the net trade cycle in their respective ventures. Moreover, almost all of those relationships are found to have significant influences on the financial performance. Furthermore, the outcomes can be recommended to production managers who may well assign resources to enhance these practices to achieve the greatest outcomes</w:t>
      </w:r>
      <w:r w:rsidR="00954E10" w:rsidRPr="00FE71D6">
        <w:t>.</w:t>
      </w:r>
    </w:p>
    <w:p w:rsidR="00954E10" w:rsidRPr="00FE71D6" w:rsidRDefault="00954E10" w:rsidP="00954E10">
      <w:pPr>
        <w:spacing w:after="240" w:line="240" w:lineRule="auto"/>
        <w:jc w:val="both"/>
        <w:rPr>
          <w:i/>
          <w:iCs/>
        </w:rPr>
      </w:pPr>
      <w:r w:rsidRPr="00FE71D6">
        <w:rPr>
          <w:b/>
          <w:bCs/>
        </w:rPr>
        <w:t>Keywords:</w:t>
      </w:r>
      <w:r w:rsidRPr="00FE71D6">
        <w:rPr>
          <w:i/>
          <w:iCs/>
        </w:rPr>
        <w:t xml:space="preserve"> Supply chain management practices, Net trad</w:t>
      </w:r>
      <w:r w:rsidR="00157CB7" w:rsidRPr="00FE71D6">
        <w:rPr>
          <w:i/>
          <w:iCs/>
        </w:rPr>
        <w:t>e cycle, Financial performance,</w:t>
      </w:r>
      <w:r w:rsidRPr="00FE71D6">
        <w:rPr>
          <w:i/>
          <w:iCs/>
        </w:rPr>
        <w:t xml:space="preserve"> Structural equation modelling</w:t>
      </w:r>
    </w:p>
    <w:p w:rsidR="000A388D" w:rsidRPr="00FE71D6" w:rsidRDefault="000A388D" w:rsidP="00F316DB">
      <w:pPr>
        <w:spacing w:after="320"/>
        <w:jc w:val="center"/>
        <w:rPr>
          <w:b/>
          <w:bCs/>
        </w:rPr>
      </w:pPr>
    </w:p>
    <w:p w:rsidR="000A388D" w:rsidRPr="00FE71D6" w:rsidRDefault="000A388D" w:rsidP="00F316DB">
      <w:pPr>
        <w:spacing w:after="320"/>
        <w:jc w:val="center"/>
        <w:rPr>
          <w:b/>
          <w:bCs/>
        </w:rPr>
      </w:pPr>
    </w:p>
    <w:p w:rsidR="00260836" w:rsidRPr="00FE71D6" w:rsidRDefault="00260836" w:rsidP="00F316DB">
      <w:pPr>
        <w:spacing w:after="320"/>
        <w:jc w:val="center"/>
        <w:rPr>
          <w:b/>
          <w:bCs/>
        </w:rPr>
      </w:pPr>
      <w:r w:rsidRPr="00FE71D6">
        <w:rPr>
          <w:b/>
          <w:bCs/>
        </w:rPr>
        <w:lastRenderedPageBreak/>
        <w:t>LIST OF ABBREVIATIONS</w:t>
      </w:r>
    </w:p>
    <w:tbl>
      <w:tblPr>
        <w:tblStyle w:val="TableGrid"/>
        <w:tblW w:w="7560" w:type="dxa"/>
        <w:tblInd w:w="108" w:type="dxa"/>
        <w:tblLook w:val="04A0" w:firstRow="1" w:lastRow="0" w:firstColumn="1" w:lastColumn="0" w:noHBand="0" w:noVBand="1"/>
      </w:tblPr>
      <w:tblGrid>
        <w:gridCol w:w="1585"/>
        <w:gridCol w:w="5975"/>
      </w:tblGrid>
      <w:tr w:rsidR="00FE71D6" w:rsidRPr="00FE71D6" w:rsidTr="00AE1E30">
        <w:trPr>
          <w:trHeight w:val="642"/>
        </w:trPr>
        <w:tc>
          <w:tcPr>
            <w:tcW w:w="1585" w:type="dxa"/>
            <w:shd w:val="clear" w:color="auto" w:fill="D9D9D9" w:themeFill="background1" w:themeFillShade="D9"/>
            <w:vAlign w:val="center"/>
          </w:tcPr>
          <w:p w:rsidR="00391BFC" w:rsidRPr="00FE71D6" w:rsidRDefault="00391BFC" w:rsidP="00260836">
            <w:pPr>
              <w:spacing w:line="240" w:lineRule="auto"/>
              <w:rPr>
                <w:rFonts w:ascii="Times New Roman" w:hAnsi="Times New Roman" w:cs="Times New Roman"/>
                <w:b/>
                <w:bCs/>
              </w:rPr>
            </w:pPr>
            <w:r w:rsidRPr="00FE71D6">
              <w:rPr>
                <w:rFonts w:ascii="Times New Roman" w:hAnsi="Times New Roman" w:cs="Times New Roman"/>
                <w:b/>
                <w:bCs/>
              </w:rPr>
              <w:t>Shortcut</w:t>
            </w:r>
          </w:p>
        </w:tc>
        <w:tc>
          <w:tcPr>
            <w:tcW w:w="5975" w:type="dxa"/>
            <w:shd w:val="clear" w:color="auto" w:fill="D9D9D9" w:themeFill="background1" w:themeFillShade="D9"/>
            <w:vAlign w:val="center"/>
          </w:tcPr>
          <w:p w:rsidR="00391BFC" w:rsidRPr="00FE71D6" w:rsidRDefault="00391BFC" w:rsidP="00260836">
            <w:pPr>
              <w:spacing w:line="240" w:lineRule="auto"/>
              <w:rPr>
                <w:rFonts w:ascii="Times New Roman" w:hAnsi="Times New Roman" w:cs="Times New Roman"/>
                <w:b/>
                <w:bCs/>
              </w:rPr>
            </w:pPr>
            <w:r w:rsidRPr="00FE71D6">
              <w:rPr>
                <w:rFonts w:ascii="Times New Roman" w:hAnsi="Times New Roman" w:cs="Times New Roman"/>
                <w:b/>
                <w:bCs/>
              </w:rPr>
              <w:t>Full-Name</w:t>
            </w:r>
          </w:p>
        </w:tc>
      </w:tr>
      <w:tr w:rsidR="00FE71D6" w:rsidRPr="00FE71D6" w:rsidTr="00AE1E30">
        <w:trPr>
          <w:trHeight w:val="534"/>
        </w:trPr>
        <w:tc>
          <w:tcPr>
            <w:tcW w:w="1585" w:type="dxa"/>
            <w:vAlign w:val="bottom"/>
          </w:tcPr>
          <w:p w:rsidR="00391BFC" w:rsidRPr="00FE71D6" w:rsidRDefault="00391BFC" w:rsidP="00260836">
            <w:pPr>
              <w:spacing w:line="240" w:lineRule="auto"/>
              <w:rPr>
                <w:rFonts w:ascii="Times New Roman" w:hAnsi="Times New Roman" w:cs="Times New Roman"/>
              </w:rPr>
            </w:pPr>
            <w:r w:rsidRPr="00FE71D6">
              <w:rPr>
                <w:rFonts w:ascii="Times New Roman" w:hAnsi="Times New Roman" w:cs="Times New Roman"/>
              </w:rPr>
              <w:t>AMOS</w:t>
            </w:r>
          </w:p>
        </w:tc>
        <w:tc>
          <w:tcPr>
            <w:tcW w:w="5975" w:type="dxa"/>
            <w:vAlign w:val="bottom"/>
          </w:tcPr>
          <w:p w:rsidR="00391BFC" w:rsidRPr="00FE71D6" w:rsidRDefault="00391BFC" w:rsidP="00260836">
            <w:pPr>
              <w:spacing w:line="240" w:lineRule="auto"/>
              <w:rPr>
                <w:rFonts w:ascii="Times New Roman" w:hAnsi="Times New Roman" w:cs="Times New Roman"/>
              </w:rPr>
            </w:pPr>
            <w:r w:rsidRPr="00FE71D6">
              <w:rPr>
                <w:rFonts w:ascii="Times New Roman" w:hAnsi="Times New Roman" w:cs="Times New Roman"/>
              </w:rPr>
              <w:t>Analysis of Moment Structures</w:t>
            </w:r>
          </w:p>
        </w:tc>
      </w:tr>
      <w:tr w:rsidR="00FE71D6" w:rsidRPr="00FE71D6" w:rsidTr="00AE1E30">
        <w:trPr>
          <w:trHeight w:val="534"/>
        </w:trPr>
        <w:tc>
          <w:tcPr>
            <w:tcW w:w="1585" w:type="dxa"/>
            <w:vAlign w:val="bottom"/>
          </w:tcPr>
          <w:p w:rsidR="00391BFC" w:rsidRPr="00FE71D6" w:rsidRDefault="00391BFC" w:rsidP="00260836">
            <w:pPr>
              <w:spacing w:line="240" w:lineRule="auto"/>
              <w:rPr>
                <w:rFonts w:ascii="Times New Roman" w:hAnsi="Times New Roman" w:cs="Times New Roman"/>
              </w:rPr>
            </w:pPr>
            <w:r w:rsidRPr="00FE71D6">
              <w:rPr>
                <w:rFonts w:ascii="Times New Roman" w:hAnsi="Times New Roman" w:cs="Times New Roman"/>
              </w:rPr>
              <w:t>ANOVA</w:t>
            </w:r>
          </w:p>
        </w:tc>
        <w:tc>
          <w:tcPr>
            <w:tcW w:w="5975" w:type="dxa"/>
            <w:vAlign w:val="bottom"/>
          </w:tcPr>
          <w:p w:rsidR="00391BFC" w:rsidRPr="00FE71D6" w:rsidRDefault="00391BFC" w:rsidP="00260836">
            <w:pPr>
              <w:spacing w:line="240" w:lineRule="auto"/>
              <w:rPr>
                <w:rFonts w:ascii="Times New Roman" w:hAnsi="Times New Roman" w:cs="Times New Roman"/>
              </w:rPr>
            </w:pPr>
            <w:r w:rsidRPr="00FE71D6">
              <w:rPr>
                <w:rStyle w:val="tgc"/>
                <w:rFonts w:ascii="Times New Roman" w:hAnsi="Times New Roman" w:cs="Times New Roman"/>
              </w:rPr>
              <w:t>Analysis of Variance</w:t>
            </w:r>
          </w:p>
        </w:tc>
      </w:tr>
      <w:tr w:rsidR="00FE71D6" w:rsidRPr="00FE71D6" w:rsidTr="00AE1E30">
        <w:trPr>
          <w:trHeight w:val="525"/>
        </w:trPr>
        <w:tc>
          <w:tcPr>
            <w:tcW w:w="1585" w:type="dxa"/>
            <w:vAlign w:val="bottom"/>
          </w:tcPr>
          <w:p w:rsidR="00391BFC" w:rsidRPr="00FE71D6" w:rsidRDefault="00391BFC" w:rsidP="00260836">
            <w:pPr>
              <w:spacing w:line="240" w:lineRule="auto"/>
              <w:rPr>
                <w:rFonts w:ascii="Times New Roman" w:hAnsi="Times New Roman" w:cs="Times New Roman"/>
              </w:rPr>
            </w:pPr>
            <w:r w:rsidRPr="00FE71D6">
              <w:rPr>
                <w:rFonts w:ascii="Times New Roman" w:hAnsi="Times New Roman" w:cs="Times New Roman"/>
              </w:rPr>
              <w:t>C1</w:t>
            </w:r>
          </w:p>
        </w:tc>
        <w:tc>
          <w:tcPr>
            <w:tcW w:w="5975" w:type="dxa"/>
            <w:vAlign w:val="bottom"/>
          </w:tcPr>
          <w:p w:rsidR="00391BFC" w:rsidRPr="00FE71D6" w:rsidRDefault="00C823F5" w:rsidP="00260836">
            <w:pPr>
              <w:spacing w:line="240" w:lineRule="auto"/>
              <w:rPr>
                <w:rFonts w:ascii="Times New Roman" w:hAnsi="Times New Roman" w:cs="Times New Roman"/>
              </w:rPr>
            </w:pPr>
            <w:r w:rsidRPr="00FE71D6">
              <w:rPr>
                <w:rFonts w:ascii="Times New Roman" w:hAnsi="Times New Roman" w:cs="Times New Roman"/>
              </w:rPr>
              <w:t xml:space="preserve">Company </w:t>
            </w:r>
            <w:r w:rsidR="00391BFC" w:rsidRPr="00FE71D6">
              <w:rPr>
                <w:rFonts w:ascii="Times New Roman" w:hAnsi="Times New Roman" w:cs="Times New Roman"/>
              </w:rPr>
              <w:t>1</w:t>
            </w:r>
          </w:p>
        </w:tc>
      </w:tr>
      <w:tr w:rsidR="00FE71D6" w:rsidRPr="00FE71D6" w:rsidTr="00AE1E30">
        <w:trPr>
          <w:trHeight w:val="534"/>
        </w:trPr>
        <w:tc>
          <w:tcPr>
            <w:tcW w:w="1585" w:type="dxa"/>
            <w:vAlign w:val="bottom"/>
          </w:tcPr>
          <w:p w:rsidR="00391BFC" w:rsidRPr="00FE71D6" w:rsidRDefault="00391BFC" w:rsidP="00260836">
            <w:pPr>
              <w:spacing w:line="240" w:lineRule="auto"/>
              <w:rPr>
                <w:rFonts w:ascii="Times New Roman" w:hAnsi="Times New Roman" w:cs="Times New Roman"/>
              </w:rPr>
            </w:pPr>
            <w:r w:rsidRPr="00FE71D6">
              <w:rPr>
                <w:rFonts w:ascii="Times New Roman" w:hAnsi="Times New Roman" w:cs="Times New Roman"/>
              </w:rPr>
              <w:t>C2</w:t>
            </w:r>
          </w:p>
        </w:tc>
        <w:tc>
          <w:tcPr>
            <w:tcW w:w="5975" w:type="dxa"/>
            <w:vAlign w:val="bottom"/>
          </w:tcPr>
          <w:p w:rsidR="00391BFC" w:rsidRPr="00FE71D6" w:rsidRDefault="00C823F5" w:rsidP="00260836">
            <w:pPr>
              <w:spacing w:line="240" w:lineRule="auto"/>
              <w:rPr>
                <w:rFonts w:ascii="Times New Roman" w:hAnsi="Times New Roman" w:cs="Times New Roman"/>
              </w:rPr>
            </w:pPr>
            <w:r w:rsidRPr="00FE71D6">
              <w:rPr>
                <w:rFonts w:ascii="Times New Roman" w:hAnsi="Times New Roman" w:cs="Times New Roman"/>
              </w:rPr>
              <w:t xml:space="preserve">Company </w:t>
            </w:r>
            <w:r w:rsidR="00391BFC" w:rsidRPr="00FE71D6">
              <w:rPr>
                <w:rFonts w:ascii="Times New Roman" w:hAnsi="Times New Roman" w:cs="Times New Roman"/>
              </w:rPr>
              <w:t>2</w:t>
            </w:r>
          </w:p>
        </w:tc>
      </w:tr>
      <w:tr w:rsidR="00FE71D6" w:rsidRPr="00FE71D6" w:rsidTr="00AE1E30">
        <w:trPr>
          <w:trHeight w:val="525"/>
        </w:trPr>
        <w:tc>
          <w:tcPr>
            <w:tcW w:w="1585" w:type="dxa"/>
            <w:vAlign w:val="bottom"/>
          </w:tcPr>
          <w:p w:rsidR="00391BFC" w:rsidRPr="00FE71D6" w:rsidRDefault="00391BFC" w:rsidP="00260836">
            <w:pPr>
              <w:spacing w:line="240" w:lineRule="auto"/>
              <w:rPr>
                <w:rFonts w:ascii="Times New Roman" w:hAnsi="Times New Roman" w:cs="Times New Roman"/>
              </w:rPr>
            </w:pPr>
            <w:r w:rsidRPr="00FE71D6">
              <w:rPr>
                <w:rFonts w:ascii="Times New Roman" w:hAnsi="Times New Roman" w:cs="Times New Roman"/>
              </w:rPr>
              <w:t>C3</w:t>
            </w:r>
          </w:p>
        </w:tc>
        <w:tc>
          <w:tcPr>
            <w:tcW w:w="5975" w:type="dxa"/>
            <w:vAlign w:val="bottom"/>
          </w:tcPr>
          <w:p w:rsidR="00391BFC" w:rsidRPr="00FE71D6" w:rsidRDefault="00C823F5" w:rsidP="00260836">
            <w:pPr>
              <w:spacing w:line="240" w:lineRule="auto"/>
              <w:rPr>
                <w:rFonts w:ascii="Times New Roman" w:hAnsi="Times New Roman" w:cs="Times New Roman"/>
              </w:rPr>
            </w:pPr>
            <w:r w:rsidRPr="00FE71D6">
              <w:rPr>
                <w:rFonts w:ascii="Times New Roman" w:hAnsi="Times New Roman" w:cs="Times New Roman"/>
              </w:rPr>
              <w:t xml:space="preserve">Company </w:t>
            </w:r>
            <w:r w:rsidR="00391BFC" w:rsidRPr="00FE71D6">
              <w:rPr>
                <w:rFonts w:ascii="Times New Roman" w:hAnsi="Times New Roman" w:cs="Times New Roman"/>
              </w:rPr>
              <w:t>3</w:t>
            </w:r>
          </w:p>
        </w:tc>
      </w:tr>
      <w:tr w:rsidR="00FE71D6" w:rsidRPr="00FE71D6" w:rsidTr="00AE1E30">
        <w:trPr>
          <w:trHeight w:val="534"/>
        </w:trPr>
        <w:tc>
          <w:tcPr>
            <w:tcW w:w="1585" w:type="dxa"/>
            <w:vAlign w:val="bottom"/>
          </w:tcPr>
          <w:p w:rsidR="00391BFC" w:rsidRPr="00FE71D6" w:rsidRDefault="00391BFC" w:rsidP="00260836">
            <w:pPr>
              <w:spacing w:line="240" w:lineRule="auto"/>
              <w:rPr>
                <w:rFonts w:ascii="Times New Roman" w:hAnsi="Times New Roman" w:cs="Times New Roman"/>
              </w:rPr>
            </w:pPr>
            <w:r w:rsidRPr="00FE71D6">
              <w:rPr>
                <w:rFonts w:ascii="Times New Roman" w:hAnsi="Times New Roman" w:cs="Times New Roman"/>
              </w:rPr>
              <w:t>CFA</w:t>
            </w:r>
          </w:p>
        </w:tc>
        <w:tc>
          <w:tcPr>
            <w:tcW w:w="5975" w:type="dxa"/>
            <w:vAlign w:val="bottom"/>
          </w:tcPr>
          <w:p w:rsidR="00391BFC" w:rsidRPr="00FE71D6" w:rsidRDefault="00391BFC" w:rsidP="00260836">
            <w:pPr>
              <w:spacing w:line="240" w:lineRule="auto"/>
              <w:rPr>
                <w:rFonts w:ascii="Times New Roman" w:hAnsi="Times New Roman" w:cs="Times New Roman"/>
              </w:rPr>
            </w:pPr>
            <w:r w:rsidRPr="00FE71D6">
              <w:rPr>
                <w:rFonts w:ascii="Times New Roman" w:hAnsi="Times New Roman" w:cs="Times New Roman"/>
              </w:rPr>
              <w:t>Confirmatory Factor Analysis</w:t>
            </w:r>
          </w:p>
        </w:tc>
      </w:tr>
      <w:tr w:rsidR="00FE71D6" w:rsidRPr="00FE71D6" w:rsidTr="00AE1E30">
        <w:trPr>
          <w:trHeight w:val="525"/>
        </w:trPr>
        <w:tc>
          <w:tcPr>
            <w:tcW w:w="1585" w:type="dxa"/>
            <w:vAlign w:val="bottom"/>
          </w:tcPr>
          <w:p w:rsidR="00424CB9" w:rsidRPr="00FE71D6" w:rsidRDefault="00424CB9" w:rsidP="00F25DCA">
            <w:pPr>
              <w:spacing w:line="240" w:lineRule="auto"/>
              <w:rPr>
                <w:rFonts w:ascii="Times New Roman" w:hAnsi="Times New Roman" w:cs="Times New Roman"/>
              </w:rPr>
            </w:pPr>
            <w:r w:rsidRPr="00FE71D6">
              <w:rPr>
                <w:rFonts w:ascii="Times New Roman" w:hAnsi="Times New Roman" w:cs="Times New Roman"/>
              </w:rPr>
              <w:t>CFI</w:t>
            </w:r>
          </w:p>
        </w:tc>
        <w:tc>
          <w:tcPr>
            <w:tcW w:w="5975" w:type="dxa"/>
            <w:vAlign w:val="bottom"/>
          </w:tcPr>
          <w:p w:rsidR="00424CB9" w:rsidRPr="00FE71D6" w:rsidRDefault="00424CB9" w:rsidP="00F25DCA">
            <w:pPr>
              <w:spacing w:line="240" w:lineRule="auto"/>
              <w:rPr>
                <w:rFonts w:ascii="Times New Roman" w:hAnsi="Times New Roman" w:cs="Times New Roman"/>
              </w:rPr>
            </w:pPr>
            <w:r w:rsidRPr="00FE71D6">
              <w:rPr>
                <w:rFonts w:ascii="Times New Roman" w:hAnsi="Times New Roman" w:cs="Times New Roman"/>
              </w:rPr>
              <w:t>Comparative Fit Index</w:t>
            </w:r>
          </w:p>
        </w:tc>
      </w:tr>
      <w:tr w:rsidR="00FE71D6" w:rsidRPr="00FE71D6" w:rsidTr="00AE1E30">
        <w:trPr>
          <w:trHeight w:val="525"/>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CP</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Competitive Position</w:t>
            </w:r>
          </w:p>
        </w:tc>
      </w:tr>
      <w:tr w:rsidR="00FE71D6" w:rsidRPr="00FE71D6" w:rsidTr="00AE1E30">
        <w:trPr>
          <w:trHeight w:val="534"/>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CR</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Customer Relationship</w:t>
            </w:r>
          </w:p>
        </w:tc>
      </w:tr>
      <w:tr w:rsidR="00FE71D6" w:rsidRPr="00FE71D6" w:rsidTr="00AE1E30">
        <w:trPr>
          <w:trHeight w:val="525"/>
        </w:trPr>
        <w:tc>
          <w:tcPr>
            <w:tcW w:w="1585" w:type="dxa"/>
            <w:vAlign w:val="bottom"/>
          </w:tcPr>
          <w:p w:rsidR="00424CB9" w:rsidRPr="00FE71D6" w:rsidRDefault="00424CB9" w:rsidP="00260836">
            <w:pPr>
              <w:spacing w:line="240" w:lineRule="auto"/>
              <w:rPr>
                <w:rFonts w:ascii="Times New Roman" w:hAnsi="Times New Roman" w:cs="Times New Roman"/>
                <w:i/>
                <w:iCs/>
              </w:rPr>
            </w:pPr>
            <w:r w:rsidRPr="00FE71D6">
              <w:rPr>
                <w:rFonts w:ascii="Times New Roman" w:hAnsi="Times New Roman" w:cs="Times New Roman"/>
                <w:i/>
                <w:iCs/>
              </w:rPr>
              <w:t>df</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Style w:val="tgc"/>
                <w:rFonts w:ascii="Times New Roman" w:hAnsi="Times New Roman" w:cs="Times New Roman"/>
              </w:rPr>
              <w:t>Degrees of Freedom</w:t>
            </w:r>
          </w:p>
        </w:tc>
      </w:tr>
      <w:tr w:rsidR="00FE71D6" w:rsidRPr="00FE71D6" w:rsidTr="00AE1E30">
        <w:trPr>
          <w:trHeight w:val="525"/>
        </w:trPr>
        <w:tc>
          <w:tcPr>
            <w:tcW w:w="1585" w:type="dxa"/>
            <w:vAlign w:val="bottom"/>
          </w:tcPr>
          <w:p w:rsidR="00782684" w:rsidRPr="00FE71D6" w:rsidRDefault="00782684" w:rsidP="00260836">
            <w:pPr>
              <w:spacing w:line="240" w:lineRule="auto"/>
              <w:rPr>
                <w:rFonts w:ascii="Times New Roman" w:hAnsi="Times New Roman" w:cs="Times New Roman"/>
              </w:rPr>
            </w:pPr>
            <w:r w:rsidRPr="00FE71D6">
              <w:rPr>
                <w:rFonts w:ascii="Times New Roman" w:hAnsi="Times New Roman" w:cs="Times New Roman"/>
              </w:rPr>
              <w:t>EFA</w:t>
            </w:r>
          </w:p>
        </w:tc>
        <w:tc>
          <w:tcPr>
            <w:tcW w:w="5975" w:type="dxa"/>
            <w:vAlign w:val="bottom"/>
          </w:tcPr>
          <w:p w:rsidR="00782684" w:rsidRPr="00FE71D6" w:rsidRDefault="00782684" w:rsidP="00260836">
            <w:pPr>
              <w:spacing w:line="240" w:lineRule="auto"/>
              <w:rPr>
                <w:rFonts w:ascii="Times New Roman" w:hAnsi="Times New Roman" w:cs="Times New Roman"/>
              </w:rPr>
            </w:pPr>
            <w:r w:rsidRPr="00FE71D6">
              <w:rPr>
                <w:rFonts w:ascii="Times New Roman" w:hAnsi="Times New Roman" w:cs="Times New Roman"/>
              </w:rPr>
              <w:t>Exploratory Factor Analysis</w:t>
            </w:r>
          </w:p>
        </w:tc>
      </w:tr>
      <w:tr w:rsidR="00FE71D6" w:rsidRPr="00FE71D6" w:rsidTr="00AE1E30">
        <w:trPr>
          <w:trHeight w:val="534"/>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FP</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Financial Performance</w:t>
            </w:r>
          </w:p>
        </w:tc>
      </w:tr>
      <w:tr w:rsidR="00FE71D6" w:rsidRPr="00FE71D6" w:rsidTr="00AE1E30">
        <w:trPr>
          <w:trHeight w:val="534"/>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H</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Hypothesis</w:t>
            </w:r>
          </w:p>
        </w:tc>
      </w:tr>
      <w:tr w:rsidR="00FE71D6" w:rsidRPr="00FE71D6" w:rsidTr="00AE1E30">
        <w:trPr>
          <w:trHeight w:val="534"/>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ICP</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Inventory Conversion Period</w:t>
            </w:r>
          </w:p>
        </w:tc>
      </w:tr>
      <w:tr w:rsidR="00FE71D6" w:rsidRPr="00FE71D6" w:rsidTr="00AE1E30">
        <w:trPr>
          <w:trHeight w:val="525"/>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IS</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Information Sharing</w:t>
            </w:r>
          </w:p>
        </w:tc>
      </w:tr>
      <w:tr w:rsidR="00FE71D6" w:rsidRPr="00FE71D6" w:rsidTr="00AE1E30">
        <w:trPr>
          <w:trHeight w:val="534"/>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LS</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Lean System</w:t>
            </w:r>
          </w:p>
        </w:tc>
      </w:tr>
      <w:tr w:rsidR="00FE71D6" w:rsidRPr="00FE71D6" w:rsidTr="00AE1E30">
        <w:trPr>
          <w:trHeight w:val="525"/>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NFI</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Normed Fit Index</w:t>
            </w:r>
          </w:p>
        </w:tc>
      </w:tr>
      <w:tr w:rsidR="00FE71D6" w:rsidRPr="00FE71D6" w:rsidTr="00AE1E30">
        <w:trPr>
          <w:trHeight w:val="534"/>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NTC</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Net Trade Cycle</w:t>
            </w:r>
          </w:p>
        </w:tc>
      </w:tr>
      <w:tr w:rsidR="00FE71D6" w:rsidRPr="00FE71D6" w:rsidTr="00AE1E30">
        <w:trPr>
          <w:trHeight w:val="525"/>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OPM</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Operational Profit Margin</w:t>
            </w:r>
          </w:p>
        </w:tc>
      </w:tr>
      <w:tr w:rsidR="00FE71D6" w:rsidRPr="00FE71D6" w:rsidTr="00AE1E30">
        <w:trPr>
          <w:trHeight w:val="534"/>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i/>
                <w:iCs/>
              </w:rPr>
              <w:lastRenderedPageBreak/>
              <w:t>p</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Probability Level</w:t>
            </w:r>
          </w:p>
        </w:tc>
      </w:tr>
      <w:tr w:rsidR="00FE71D6" w:rsidRPr="00FE71D6" w:rsidTr="00AE1E30">
        <w:trPr>
          <w:trHeight w:val="525"/>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PDP</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Payable Deferral Period</w:t>
            </w:r>
          </w:p>
        </w:tc>
      </w:tr>
      <w:tr w:rsidR="00FE71D6" w:rsidRPr="00FE71D6" w:rsidTr="00AE1E30">
        <w:trPr>
          <w:trHeight w:val="534"/>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i/>
                <w:iCs/>
              </w:rPr>
              <w:t>r</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Style w:val="tgc"/>
                <w:rFonts w:ascii="Times New Roman" w:hAnsi="Times New Roman" w:cs="Times New Roman"/>
              </w:rPr>
              <w:t>Correlation Coefficient</w:t>
            </w:r>
          </w:p>
        </w:tc>
      </w:tr>
      <w:tr w:rsidR="00FE71D6" w:rsidRPr="00FE71D6" w:rsidTr="00AE1E30">
        <w:trPr>
          <w:trHeight w:val="525"/>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i/>
                <w:iCs/>
              </w:rPr>
              <w:t>R</w:t>
            </w:r>
            <w:r w:rsidRPr="00FE71D6">
              <w:rPr>
                <w:rFonts w:ascii="Times New Roman" w:hAnsi="Times New Roman" w:cs="Times New Roman"/>
                <w:i/>
                <w:iCs/>
                <w:vertAlign w:val="superscript"/>
              </w:rPr>
              <w:t>2</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Coefficient of Determination</w:t>
            </w:r>
          </w:p>
        </w:tc>
      </w:tr>
      <w:tr w:rsidR="00FE71D6" w:rsidRPr="00FE71D6" w:rsidTr="00AE1E30">
        <w:trPr>
          <w:trHeight w:val="525"/>
        </w:trPr>
        <w:tc>
          <w:tcPr>
            <w:tcW w:w="1585" w:type="dxa"/>
            <w:vAlign w:val="bottom"/>
          </w:tcPr>
          <w:p w:rsidR="00241991" w:rsidRPr="00FE71D6" w:rsidRDefault="00241991" w:rsidP="00260836">
            <w:pPr>
              <w:spacing w:line="240" w:lineRule="auto"/>
              <w:rPr>
                <w:rFonts w:ascii="Times New Roman" w:hAnsi="Times New Roman" w:cs="Times New Roman"/>
              </w:rPr>
            </w:pPr>
            <w:r w:rsidRPr="00FE71D6">
              <w:rPr>
                <w:rFonts w:ascii="Times New Roman" w:hAnsi="Times New Roman" w:cs="Times New Roman"/>
              </w:rPr>
              <w:t>RBT</w:t>
            </w:r>
          </w:p>
        </w:tc>
        <w:tc>
          <w:tcPr>
            <w:tcW w:w="5975" w:type="dxa"/>
            <w:vAlign w:val="bottom"/>
          </w:tcPr>
          <w:p w:rsidR="00241991" w:rsidRPr="00FE71D6" w:rsidRDefault="00241991" w:rsidP="00260836">
            <w:pPr>
              <w:spacing w:line="240" w:lineRule="auto"/>
              <w:rPr>
                <w:rFonts w:ascii="Times New Roman" w:hAnsi="Times New Roman" w:cs="Times New Roman"/>
              </w:rPr>
            </w:pPr>
            <w:r w:rsidRPr="00FE71D6">
              <w:rPr>
                <w:rFonts w:ascii="Times New Roman" w:hAnsi="Times New Roman" w:cs="Times New Roman"/>
              </w:rPr>
              <w:t>Resource Based Theory</w:t>
            </w:r>
          </w:p>
        </w:tc>
      </w:tr>
      <w:tr w:rsidR="00FE71D6" w:rsidRPr="00FE71D6" w:rsidTr="00AE1E30">
        <w:trPr>
          <w:trHeight w:val="534"/>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RCP</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Receivable Collection Period</w:t>
            </w:r>
          </w:p>
        </w:tc>
      </w:tr>
      <w:tr w:rsidR="00FE71D6" w:rsidRPr="00FE71D6" w:rsidTr="00AE1E30">
        <w:trPr>
          <w:trHeight w:val="525"/>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RMSEA</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Root Mean Square Error of Approximation</w:t>
            </w:r>
          </w:p>
        </w:tc>
      </w:tr>
      <w:tr w:rsidR="00FE71D6" w:rsidRPr="00FE71D6" w:rsidTr="00AE1E30">
        <w:trPr>
          <w:trHeight w:val="525"/>
        </w:trPr>
        <w:tc>
          <w:tcPr>
            <w:tcW w:w="1585" w:type="dxa"/>
            <w:vAlign w:val="bottom"/>
          </w:tcPr>
          <w:p w:rsidR="00241991" w:rsidRPr="00FE71D6" w:rsidRDefault="00241991" w:rsidP="00260836">
            <w:pPr>
              <w:spacing w:line="240" w:lineRule="auto"/>
              <w:rPr>
                <w:rFonts w:ascii="Times New Roman" w:hAnsi="Times New Roman" w:cs="Times New Roman"/>
              </w:rPr>
            </w:pPr>
            <w:r w:rsidRPr="00FE71D6">
              <w:rPr>
                <w:rFonts w:ascii="Times New Roman" w:hAnsi="Times New Roman" w:cs="Times New Roman"/>
              </w:rPr>
              <w:t>RMT</w:t>
            </w:r>
          </w:p>
        </w:tc>
        <w:tc>
          <w:tcPr>
            <w:tcW w:w="5975" w:type="dxa"/>
            <w:vAlign w:val="bottom"/>
          </w:tcPr>
          <w:p w:rsidR="00241991" w:rsidRPr="00FE71D6" w:rsidRDefault="00241991" w:rsidP="00260836">
            <w:pPr>
              <w:spacing w:line="240" w:lineRule="auto"/>
              <w:rPr>
                <w:rFonts w:ascii="Times New Roman" w:hAnsi="Times New Roman" w:cs="Times New Roman"/>
              </w:rPr>
            </w:pPr>
            <w:r w:rsidRPr="00FE71D6">
              <w:rPr>
                <w:rFonts w:ascii="Times New Roman" w:hAnsi="Times New Roman" w:cs="Times New Roman"/>
              </w:rPr>
              <w:t>Relationship Marketing Theory</w:t>
            </w:r>
          </w:p>
        </w:tc>
      </w:tr>
      <w:tr w:rsidR="00FE71D6" w:rsidRPr="00FE71D6" w:rsidTr="00AE1E30">
        <w:trPr>
          <w:trHeight w:val="534"/>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ROA</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Return on Assets</w:t>
            </w:r>
          </w:p>
        </w:tc>
      </w:tr>
      <w:tr w:rsidR="00FE71D6" w:rsidRPr="00FE71D6" w:rsidTr="00AE1E30">
        <w:trPr>
          <w:trHeight w:val="525"/>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ROE</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Return on Equity</w:t>
            </w:r>
          </w:p>
        </w:tc>
      </w:tr>
      <w:tr w:rsidR="00FE71D6" w:rsidRPr="00FE71D6" w:rsidTr="00AE1E30">
        <w:trPr>
          <w:trHeight w:val="534"/>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RQ</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Research Question</w:t>
            </w:r>
          </w:p>
        </w:tc>
      </w:tr>
      <w:tr w:rsidR="00FE71D6" w:rsidRPr="00FE71D6" w:rsidTr="00AE1E30">
        <w:trPr>
          <w:trHeight w:val="525"/>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SCM</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Supply Chain Management</w:t>
            </w:r>
          </w:p>
        </w:tc>
      </w:tr>
      <w:tr w:rsidR="00FE71D6" w:rsidRPr="00FE71D6" w:rsidTr="00AE1E30">
        <w:trPr>
          <w:trHeight w:val="534"/>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SEM</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Structural Equation</w:t>
            </w:r>
            <w:r w:rsidRPr="00FE71D6">
              <w:rPr>
                <w:rFonts w:ascii="Times New Roman" w:hAnsi="Times New Roman" w:cs="Times New Roman"/>
                <w:lang w:val="en-GB"/>
              </w:rPr>
              <w:t xml:space="preserve"> Modelling</w:t>
            </w:r>
          </w:p>
        </w:tc>
      </w:tr>
      <w:tr w:rsidR="00FE71D6" w:rsidRPr="00FE71D6" w:rsidTr="00AE1E30">
        <w:trPr>
          <w:trHeight w:val="525"/>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SP</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Supplier Partnership</w:t>
            </w:r>
          </w:p>
        </w:tc>
      </w:tr>
      <w:tr w:rsidR="00FE71D6" w:rsidRPr="00FE71D6" w:rsidTr="00AE1E30">
        <w:trPr>
          <w:trHeight w:val="534"/>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SPSS</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Statistical Package for the Social Sciences</w:t>
            </w:r>
          </w:p>
        </w:tc>
      </w:tr>
      <w:tr w:rsidR="00FE71D6" w:rsidRPr="00FE71D6" w:rsidTr="00AE1E30">
        <w:trPr>
          <w:trHeight w:val="543"/>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To</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Total</w:t>
            </w:r>
          </w:p>
        </w:tc>
      </w:tr>
      <w:tr w:rsidR="00FE71D6" w:rsidRPr="00FE71D6" w:rsidTr="00AE1E30">
        <w:trPr>
          <w:trHeight w:val="525"/>
        </w:trPr>
        <w:tc>
          <w:tcPr>
            <w:tcW w:w="158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i/>
                <w:iCs/>
              </w:rPr>
              <w:t>α</w:t>
            </w:r>
          </w:p>
        </w:tc>
        <w:tc>
          <w:tcPr>
            <w:tcW w:w="5975" w:type="dxa"/>
            <w:vAlign w:val="bottom"/>
          </w:tcPr>
          <w:p w:rsidR="00424CB9" w:rsidRPr="00FE71D6" w:rsidRDefault="00424CB9" w:rsidP="00260836">
            <w:pPr>
              <w:spacing w:line="240" w:lineRule="auto"/>
              <w:rPr>
                <w:rFonts w:ascii="Times New Roman" w:hAnsi="Times New Roman" w:cs="Times New Roman"/>
              </w:rPr>
            </w:pPr>
            <w:r w:rsidRPr="00FE71D6">
              <w:rPr>
                <w:rFonts w:ascii="Times New Roman" w:hAnsi="Times New Roman" w:cs="Times New Roman"/>
              </w:rPr>
              <w:t>Cronbach’s α</w:t>
            </w:r>
          </w:p>
        </w:tc>
      </w:tr>
    </w:tbl>
    <w:p w:rsidR="00260836" w:rsidRPr="00FE71D6" w:rsidRDefault="00260836" w:rsidP="00260836">
      <w:pPr>
        <w:spacing w:line="240" w:lineRule="auto"/>
        <w:jc w:val="center"/>
        <w:rPr>
          <w:lang w:val="en-US"/>
        </w:rPr>
      </w:pPr>
    </w:p>
    <w:p w:rsidR="000E4136" w:rsidRPr="00FE71D6" w:rsidRDefault="000E4136" w:rsidP="00260836">
      <w:pPr>
        <w:pStyle w:val="Affiliation"/>
        <w:spacing w:before="0" w:after="120" w:line="24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bookmarkStart w:id="1" w:name="_Toc495887974" w:displacedByCustomXml="next"/>
    <w:bookmarkStart w:id="2" w:name="_Toc495883442" w:displacedByCustomXml="next"/>
    <w:sdt>
      <w:sdtPr>
        <w:id w:val="918226211"/>
        <w:docPartObj>
          <w:docPartGallery w:val="Table of Contents"/>
          <w:docPartUnique/>
        </w:docPartObj>
      </w:sdtPr>
      <w:sdtEndPr>
        <w:rPr>
          <w:b/>
          <w:bCs/>
          <w:noProof/>
        </w:rPr>
      </w:sdtEndPr>
      <w:sdtContent>
        <w:p w:rsidR="00E14476" w:rsidRPr="00FE71D6" w:rsidRDefault="00E14476" w:rsidP="001F3734">
          <w:pPr>
            <w:spacing w:after="320"/>
            <w:jc w:val="center"/>
            <w:rPr>
              <w:b/>
              <w:bCs/>
            </w:rPr>
          </w:pPr>
          <w:r w:rsidRPr="00FE71D6">
            <w:rPr>
              <w:b/>
              <w:bCs/>
            </w:rPr>
            <w:t>TABLE OF CONTENTS</w:t>
          </w:r>
          <w:bookmarkEnd w:id="2"/>
          <w:bookmarkEnd w:id="1"/>
        </w:p>
        <w:p w:rsidR="009309BB" w:rsidRDefault="00E14476">
          <w:pPr>
            <w:pStyle w:val="TOC1"/>
            <w:tabs>
              <w:tab w:val="right" w:leader="dot" w:pos="7571"/>
            </w:tabs>
            <w:rPr>
              <w:rFonts w:asciiTheme="minorHAnsi" w:eastAsiaTheme="minorEastAsia" w:hAnsiTheme="minorHAnsi" w:cstheme="minorBidi"/>
              <w:noProof/>
              <w:sz w:val="22"/>
              <w:szCs w:val="22"/>
            </w:rPr>
          </w:pPr>
          <w:r w:rsidRPr="00FE71D6">
            <w:fldChar w:fldCharType="begin"/>
          </w:r>
          <w:r w:rsidRPr="00FE71D6">
            <w:instrText xml:space="preserve"> TOC \o "1-3" \h \z \u </w:instrText>
          </w:r>
          <w:r w:rsidRPr="00FE71D6">
            <w:fldChar w:fldCharType="separate"/>
          </w:r>
          <w:hyperlink w:anchor="_Toc500087459" w:history="1">
            <w:r w:rsidR="009309BB" w:rsidRPr="008B3AB0">
              <w:rPr>
                <w:rStyle w:val="Hyperlink"/>
                <w:noProof/>
              </w:rPr>
              <w:t>CHAPTER ONE: INTRODUCTION</w:t>
            </w:r>
            <w:r w:rsidR="009309BB">
              <w:rPr>
                <w:noProof/>
                <w:webHidden/>
              </w:rPr>
              <w:tab/>
            </w:r>
            <w:r w:rsidR="009309BB">
              <w:rPr>
                <w:noProof/>
                <w:webHidden/>
              </w:rPr>
              <w:fldChar w:fldCharType="begin"/>
            </w:r>
            <w:r w:rsidR="009309BB">
              <w:rPr>
                <w:noProof/>
                <w:webHidden/>
              </w:rPr>
              <w:instrText xml:space="preserve"> PAGEREF _Toc500087459 \h </w:instrText>
            </w:r>
            <w:r w:rsidR="009309BB">
              <w:rPr>
                <w:noProof/>
                <w:webHidden/>
              </w:rPr>
            </w:r>
            <w:r w:rsidR="009309BB">
              <w:rPr>
                <w:noProof/>
                <w:webHidden/>
              </w:rPr>
              <w:fldChar w:fldCharType="separate"/>
            </w:r>
            <w:r w:rsidR="009309BB">
              <w:rPr>
                <w:noProof/>
                <w:webHidden/>
              </w:rPr>
              <w:t>1</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60" w:history="1">
            <w:r w:rsidR="009309BB" w:rsidRPr="008B3AB0">
              <w:rPr>
                <w:rStyle w:val="Hyperlink"/>
                <w:noProof/>
                <w:lang w:val="en-US"/>
              </w:rPr>
              <w:t>1.1 Background of the Study</w:t>
            </w:r>
            <w:r w:rsidR="009309BB">
              <w:rPr>
                <w:noProof/>
                <w:webHidden/>
              </w:rPr>
              <w:tab/>
            </w:r>
            <w:r w:rsidR="009309BB">
              <w:rPr>
                <w:noProof/>
                <w:webHidden/>
              </w:rPr>
              <w:fldChar w:fldCharType="begin"/>
            </w:r>
            <w:r w:rsidR="009309BB">
              <w:rPr>
                <w:noProof/>
                <w:webHidden/>
              </w:rPr>
              <w:instrText xml:space="preserve"> PAGEREF _Toc500087460 \h </w:instrText>
            </w:r>
            <w:r w:rsidR="009309BB">
              <w:rPr>
                <w:noProof/>
                <w:webHidden/>
              </w:rPr>
            </w:r>
            <w:r w:rsidR="009309BB">
              <w:rPr>
                <w:noProof/>
                <w:webHidden/>
              </w:rPr>
              <w:fldChar w:fldCharType="separate"/>
            </w:r>
            <w:r w:rsidR="009309BB">
              <w:rPr>
                <w:noProof/>
                <w:webHidden/>
              </w:rPr>
              <w:t>1</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61" w:history="1">
            <w:r w:rsidR="009309BB" w:rsidRPr="008B3AB0">
              <w:rPr>
                <w:rStyle w:val="Hyperlink"/>
                <w:noProof/>
                <w:lang w:val="en-US"/>
              </w:rPr>
              <w:t>1.2 Significance of the Study</w:t>
            </w:r>
            <w:r w:rsidR="009309BB">
              <w:rPr>
                <w:noProof/>
                <w:webHidden/>
              </w:rPr>
              <w:tab/>
            </w:r>
            <w:r w:rsidR="009309BB">
              <w:rPr>
                <w:noProof/>
                <w:webHidden/>
              </w:rPr>
              <w:fldChar w:fldCharType="begin"/>
            </w:r>
            <w:r w:rsidR="009309BB">
              <w:rPr>
                <w:noProof/>
                <w:webHidden/>
              </w:rPr>
              <w:instrText xml:space="preserve"> PAGEREF _Toc500087461 \h </w:instrText>
            </w:r>
            <w:r w:rsidR="009309BB">
              <w:rPr>
                <w:noProof/>
                <w:webHidden/>
              </w:rPr>
            </w:r>
            <w:r w:rsidR="009309BB">
              <w:rPr>
                <w:noProof/>
                <w:webHidden/>
              </w:rPr>
              <w:fldChar w:fldCharType="separate"/>
            </w:r>
            <w:r w:rsidR="009309BB">
              <w:rPr>
                <w:noProof/>
                <w:webHidden/>
              </w:rPr>
              <w:t>11</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62" w:history="1">
            <w:r w:rsidR="009309BB" w:rsidRPr="008B3AB0">
              <w:rPr>
                <w:rStyle w:val="Hyperlink"/>
                <w:noProof/>
                <w:lang w:val="en-US"/>
              </w:rPr>
              <w:t>1.3 Research Questions</w:t>
            </w:r>
            <w:r w:rsidR="009309BB">
              <w:rPr>
                <w:noProof/>
                <w:webHidden/>
              </w:rPr>
              <w:tab/>
            </w:r>
            <w:r w:rsidR="009309BB">
              <w:rPr>
                <w:noProof/>
                <w:webHidden/>
              </w:rPr>
              <w:fldChar w:fldCharType="begin"/>
            </w:r>
            <w:r w:rsidR="009309BB">
              <w:rPr>
                <w:noProof/>
                <w:webHidden/>
              </w:rPr>
              <w:instrText xml:space="preserve"> PAGEREF _Toc500087462 \h </w:instrText>
            </w:r>
            <w:r w:rsidR="009309BB">
              <w:rPr>
                <w:noProof/>
                <w:webHidden/>
              </w:rPr>
            </w:r>
            <w:r w:rsidR="009309BB">
              <w:rPr>
                <w:noProof/>
                <w:webHidden/>
              </w:rPr>
              <w:fldChar w:fldCharType="separate"/>
            </w:r>
            <w:r w:rsidR="009309BB">
              <w:rPr>
                <w:noProof/>
                <w:webHidden/>
              </w:rPr>
              <w:t>12</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63" w:history="1">
            <w:r w:rsidR="009309BB" w:rsidRPr="008B3AB0">
              <w:rPr>
                <w:rStyle w:val="Hyperlink"/>
                <w:noProof/>
                <w:lang w:val="en-US"/>
              </w:rPr>
              <w:t>1.4 Scope of the Study</w:t>
            </w:r>
            <w:r w:rsidR="009309BB">
              <w:rPr>
                <w:noProof/>
                <w:webHidden/>
              </w:rPr>
              <w:tab/>
            </w:r>
            <w:r w:rsidR="009309BB">
              <w:rPr>
                <w:noProof/>
                <w:webHidden/>
              </w:rPr>
              <w:fldChar w:fldCharType="begin"/>
            </w:r>
            <w:r w:rsidR="009309BB">
              <w:rPr>
                <w:noProof/>
                <w:webHidden/>
              </w:rPr>
              <w:instrText xml:space="preserve"> PAGEREF _Toc500087463 \h </w:instrText>
            </w:r>
            <w:r w:rsidR="009309BB">
              <w:rPr>
                <w:noProof/>
                <w:webHidden/>
              </w:rPr>
            </w:r>
            <w:r w:rsidR="009309BB">
              <w:rPr>
                <w:noProof/>
                <w:webHidden/>
              </w:rPr>
              <w:fldChar w:fldCharType="separate"/>
            </w:r>
            <w:r w:rsidR="009309BB">
              <w:rPr>
                <w:noProof/>
                <w:webHidden/>
              </w:rPr>
              <w:t>13</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64" w:history="1">
            <w:r w:rsidR="009309BB" w:rsidRPr="008B3AB0">
              <w:rPr>
                <w:rStyle w:val="Hyperlink"/>
                <w:noProof/>
                <w:lang w:val="en-US"/>
              </w:rPr>
              <w:t>1.5 Dissertation Chapters Outline</w:t>
            </w:r>
            <w:r w:rsidR="009309BB">
              <w:rPr>
                <w:noProof/>
                <w:webHidden/>
              </w:rPr>
              <w:tab/>
            </w:r>
            <w:r w:rsidR="009309BB">
              <w:rPr>
                <w:noProof/>
                <w:webHidden/>
              </w:rPr>
              <w:fldChar w:fldCharType="begin"/>
            </w:r>
            <w:r w:rsidR="009309BB">
              <w:rPr>
                <w:noProof/>
                <w:webHidden/>
              </w:rPr>
              <w:instrText xml:space="preserve"> PAGEREF _Toc500087464 \h </w:instrText>
            </w:r>
            <w:r w:rsidR="009309BB">
              <w:rPr>
                <w:noProof/>
                <w:webHidden/>
              </w:rPr>
            </w:r>
            <w:r w:rsidR="009309BB">
              <w:rPr>
                <w:noProof/>
                <w:webHidden/>
              </w:rPr>
              <w:fldChar w:fldCharType="separate"/>
            </w:r>
            <w:r w:rsidR="009309BB">
              <w:rPr>
                <w:noProof/>
                <w:webHidden/>
              </w:rPr>
              <w:t>14</w:t>
            </w:r>
            <w:r w:rsidR="009309BB">
              <w:rPr>
                <w:noProof/>
                <w:webHidden/>
              </w:rPr>
              <w:fldChar w:fldCharType="end"/>
            </w:r>
          </w:hyperlink>
        </w:p>
        <w:p w:rsidR="009309BB" w:rsidRDefault="00017F63">
          <w:pPr>
            <w:pStyle w:val="TOC1"/>
            <w:tabs>
              <w:tab w:val="right" w:leader="dot" w:pos="7571"/>
            </w:tabs>
            <w:rPr>
              <w:rFonts w:asciiTheme="minorHAnsi" w:eastAsiaTheme="minorEastAsia" w:hAnsiTheme="minorHAnsi" w:cstheme="minorBidi"/>
              <w:noProof/>
              <w:sz w:val="22"/>
              <w:szCs w:val="22"/>
            </w:rPr>
          </w:pPr>
          <w:hyperlink w:anchor="_Toc500087465" w:history="1">
            <w:r w:rsidR="009309BB" w:rsidRPr="008B3AB0">
              <w:rPr>
                <w:rStyle w:val="Hyperlink"/>
                <w:noProof/>
              </w:rPr>
              <w:t>CHAPTER TWO: LITERATURE REVIEW</w:t>
            </w:r>
            <w:r w:rsidR="009309BB">
              <w:rPr>
                <w:noProof/>
                <w:webHidden/>
              </w:rPr>
              <w:tab/>
            </w:r>
            <w:r w:rsidR="009309BB">
              <w:rPr>
                <w:noProof/>
                <w:webHidden/>
              </w:rPr>
              <w:fldChar w:fldCharType="begin"/>
            </w:r>
            <w:r w:rsidR="009309BB">
              <w:rPr>
                <w:noProof/>
                <w:webHidden/>
              </w:rPr>
              <w:instrText xml:space="preserve"> PAGEREF _Toc500087465 \h </w:instrText>
            </w:r>
            <w:r w:rsidR="009309BB">
              <w:rPr>
                <w:noProof/>
                <w:webHidden/>
              </w:rPr>
            </w:r>
            <w:r w:rsidR="009309BB">
              <w:rPr>
                <w:noProof/>
                <w:webHidden/>
              </w:rPr>
              <w:fldChar w:fldCharType="separate"/>
            </w:r>
            <w:r w:rsidR="009309BB">
              <w:rPr>
                <w:noProof/>
                <w:webHidden/>
              </w:rPr>
              <w:t>15</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66" w:history="1">
            <w:r w:rsidR="009309BB" w:rsidRPr="008B3AB0">
              <w:rPr>
                <w:rStyle w:val="Hyperlink"/>
                <w:noProof/>
                <w:lang w:val="en-US"/>
              </w:rPr>
              <w:t>2.1 Supply Chain Management (SCM)</w:t>
            </w:r>
            <w:r w:rsidR="009309BB">
              <w:rPr>
                <w:noProof/>
                <w:webHidden/>
              </w:rPr>
              <w:tab/>
            </w:r>
            <w:r w:rsidR="009309BB">
              <w:rPr>
                <w:noProof/>
                <w:webHidden/>
              </w:rPr>
              <w:fldChar w:fldCharType="begin"/>
            </w:r>
            <w:r w:rsidR="009309BB">
              <w:rPr>
                <w:noProof/>
                <w:webHidden/>
              </w:rPr>
              <w:instrText xml:space="preserve"> PAGEREF _Toc500087466 \h </w:instrText>
            </w:r>
            <w:r w:rsidR="009309BB">
              <w:rPr>
                <w:noProof/>
                <w:webHidden/>
              </w:rPr>
            </w:r>
            <w:r w:rsidR="009309BB">
              <w:rPr>
                <w:noProof/>
                <w:webHidden/>
              </w:rPr>
              <w:fldChar w:fldCharType="separate"/>
            </w:r>
            <w:r w:rsidR="009309BB">
              <w:rPr>
                <w:noProof/>
                <w:webHidden/>
              </w:rPr>
              <w:t>16</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67" w:history="1">
            <w:r w:rsidR="009309BB" w:rsidRPr="008B3AB0">
              <w:rPr>
                <w:rStyle w:val="Hyperlink"/>
                <w:noProof/>
                <w:lang w:val="en-US"/>
              </w:rPr>
              <w:t>2.1.1 Supplier Partnership (SP)</w:t>
            </w:r>
            <w:r w:rsidR="009309BB">
              <w:rPr>
                <w:noProof/>
                <w:webHidden/>
              </w:rPr>
              <w:tab/>
            </w:r>
            <w:r w:rsidR="009309BB">
              <w:rPr>
                <w:noProof/>
                <w:webHidden/>
              </w:rPr>
              <w:fldChar w:fldCharType="begin"/>
            </w:r>
            <w:r w:rsidR="009309BB">
              <w:rPr>
                <w:noProof/>
                <w:webHidden/>
              </w:rPr>
              <w:instrText xml:space="preserve"> PAGEREF _Toc500087467 \h </w:instrText>
            </w:r>
            <w:r w:rsidR="009309BB">
              <w:rPr>
                <w:noProof/>
                <w:webHidden/>
              </w:rPr>
            </w:r>
            <w:r w:rsidR="009309BB">
              <w:rPr>
                <w:noProof/>
                <w:webHidden/>
              </w:rPr>
              <w:fldChar w:fldCharType="separate"/>
            </w:r>
            <w:r w:rsidR="009309BB">
              <w:rPr>
                <w:noProof/>
                <w:webHidden/>
              </w:rPr>
              <w:t>21</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68" w:history="1">
            <w:r w:rsidR="009309BB" w:rsidRPr="008B3AB0">
              <w:rPr>
                <w:rStyle w:val="Hyperlink"/>
                <w:noProof/>
                <w:lang w:val="en-US"/>
              </w:rPr>
              <w:t>2.1.2 Customer Relationship (CR)</w:t>
            </w:r>
            <w:r w:rsidR="009309BB">
              <w:rPr>
                <w:noProof/>
                <w:webHidden/>
              </w:rPr>
              <w:tab/>
            </w:r>
            <w:r w:rsidR="009309BB">
              <w:rPr>
                <w:noProof/>
                <w:webHidden/>
              </w:rPr>
              <w:fldChar w:fldCharType="begin"/>
            </w:r>
            <w:r w:rsidR="009309BB">
              <w:rPr>
                <w:noProof/>
                <w:webHidden/>
              </w:rPr>
              <w:instrText xml:space="preserve"> PAGEREF _Toc500087468 \h </w:instrText>
            </w:r>
            <w:r w:rsidR="009309BB">
              <w:rPr>
                <w:noProof/>
                <w:webHidden/>
              </w:rPr>
            </w:r>
            <w:r w:rsidR="009309BB">
              <w:rPr>
                <w:noProof/>
                <w:webHidden/>
              </w:rPr>
              <w:fldChar w:fldCharType="separate"/>
            </w:r>
            <w:r w:rsidR="009309BB">
              <w:rPr>
                <w:noProof/>
                <w:webHidden/>
              </w:rPr>
              <w:t>22</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69" w:history="1">
            <w:r w:rsidR="009309BB" w:rsidRPr="008B3AB0">
              <w:rPr>
                <w:rStyle w:val="Hyperlink"/>
                <w:noProof/>
                <w:lang w:val="en-US"/>
              </w:rPr>
              <w:t>2.1.3 Information Sharing (IS)</w:t>
            </w:r>
            <w:r w:rsidR="009309BB">
              <w:rPr>
                <w:noProof/>
                <w:webHidden/>
              </w:rPr>
              <w:tab/>
            </w:r>
            <w:r w:rsidR="009309BB">
              <w:rPr>
                <w:noProof/>
                <w:webHidden/>
              </w:rPr>
              <w:fldChar w:fldCharType="begin"/>
            </w:r>
            <w:r w:rsidR="009309BB">
              <w:rPr>
                <w:noProof/>
                <w:webHidden/>
              </w:rPr>
              <w:instrText xml:space="preserve"> PAGEREF _Toc500087469 \h </w:instrText>
            </w:r>
            <w:r w:rsidR="009309BB">
              <w:rPr>
                <w:noProof/>
                <w:webHidden/>
              </w:rPr>
            </w:r>
            <w:r w:rsidR="009309BB">
              <w:rPr>
                <w:noProof/>
                <w:webHidden/>
              </w:rPr>
              <w:fldChar w:fldCharType="separate"/>
            </w:r>
            <w:r w:rsidR="009309BB">
              <w:rPr>
                <w:noProof/>
                <w:webHidden/>
              </w:rPr>
              <w:t>24</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70" w:history="1">
            <w:r w:rsidR="009309BB" w:rsidRPr="008B3AB0">
              <w:rPr>
                <w:rStyle w:val="Hyperlink"/>
                <w:noProof/>
                <w:lang w:val="en-US"/>
              </w:rPr>
              <w:t>2.1.4 Lean System (LS)</w:t>
            </w:r>
            <w:r w:rsidR="009309BB">
              <w:rPr>
                <w:noProof/>
                <w:webHidden/>
              </w:rPr>
              <w:tab/>
            </w:r>
            <w:r w:rsidR="009309BB">
              <w:rPr>
                <w:noProof/>
                <w:webHidden/>
              </w:rPr>
              <w:fldChar w:fldCharType="begin"/>
            </w:r>
            <w:r w:rsidR="009309BB">
              <w:rPr>
                <w:noProof/>
                <w:webHidden/>
              </w:rPr>
              <w:instrText xml:space="preserve"> PAGEREF _Toc500087470 \h </w:instrText>
            </w:r>
            <w:r w:rsidR="009309BB">
              <w:rPr>
                <w:noProof/>
                <w:webHidden/>
              </w:rPr>
            </w:r>
            <w:r w:rsidR="009309BB">
              <w:rPr>
                <w:noProof/>
                <w:webHidden/>
              </w:rPr>
              <w:fldChar w:fldCharType="separate"/>
            </w:r>
            <w:r w:rsidR="009309BB">
              <w:rPr>
                <w:noProof/>
                <w:webHidden/>
              </w:rPr>
              <w:t>26</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71" w:history="1">
            <w:r w:rsidR="009309BB" w:rsidRPr="008B3AB0">
              <w:rPr>
                <w:rStyle w:val="Hyperlink"/>
                <w:noProof/>
                <w:lang w:val="en-US"/>
              </w:rPr>
              <w:t>2.2 Net Trade Cycle (NTC)</w:t>
            </w:r>
            <w:r w:rsidR="009309BB">
              <w:rPr>
                <w:noProof/>
                <w:webHidden/>
              </w:rPr>
              <w:tab/>
            </w:r>
            <w:r w:rsidR="009309BB">
              <w:rPr>
                <w:noProof/>
                <w:webHidden/>
              </w:rPr>
              <w:fldChar w:fldCharType="begin"/>
            </w:r>
            <w:r w:rsidR="009309BB">
              <w:rPr>
                <w:noProof/>
                <w:webHidden/>
              </w:rPr>
              <w:instrText xml:space="preserve"> PAGEREF _Toc500087471 \h </w:instrText>
            </w:r>
            <w:r w:rsidR="009309BB">
              <w:rPr>
                <w:noProof/>
                <w:webHidden/>
              </w:rPr>
            </w:r>
            <w:r w:rsidR="009309BB">
              <w:rPr>
                <w:noProof/>
                <w:webHidden/>
              </w:rPr>
              <w:fldChar w:fldCharType="separate"/>
            </w:r>
            <w:r w:rsidR="009309BB">
              <w:rPr>
                <w:noProof/>
                <w:webHidden/>
              </w:rPr>
              <w:t>28</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72" w:history="1">
            <w:r w:rsidR="009309BB" w:rsidRPr="008B3AB0">
              <w:rPr>
                <w:rStyle w:val="Hyperlink"/>
                <w:noProof/>
                <w:lang w:val="en-US"/>
              </w:rPr>
              <w:t>2.3 Financial Performance (FP)</w:t>
            </w:r>
            <w:r w:rsidR="009309BB">
              <w:rPr>
                <w:noProof/>
                <w:webHidden/>
              </w:rPr>
              <w:tab/>
            </w:r>
            <w:r w:rsidR="009309BB">
              <w:rPr>
                <w:noProof/>
                <w:webHidden/>
              </w:rPr>
              <w:fldChar w:fldCharType="begin"/>
            </w:r>
            <w:r w:rsidR="009309BB">
              <w:rPr>
                <w:noProof/>
                <w:webHidden/>
              </w:rPr>
              <w:instrText xml:space="preserve"> PAGEREF _Toc500087472 \h </w:instrText>
            </w:r>
            <w:r w:rsidR="009309BB">
              <w:rPr>
                <w:noProof/>
                <w:webHidden/>
              </w:rPr>
            </w:r>
            <w:r w:rsidR="009309BB">
              <w:rPr>
                <w:noProof/>
                <w:webHidden/>
              </w:rPr>
              <w:fldChar w:fldCharType="separate"/>
            </w:r>
            <w:r w:rsidR="009309BB">
              <w:rPr>
                <w:noProof/>
                <w:webHidden/>
              </w:rPr>
              <w:t>40</w:t>
            </w:r>
            <w:r w:rsidR="009309BB">
              <w:rPr>
                <w:noProof/>
                <w:webHidden/>
              </w:rPr>
              <w:fldChar w:fldCharType="end"/>
            </w:r>
          </w:hyperlink>
        </w:p>
        <w:p w:rsidR="009309BB" w:rsidRDefault="00017F63">
          <w:pPr>
            <w:pStyle w:val="TOC1"/>
            <w:tabs>
              <w:tab w:val="right" w:leader="dot" w:pos="7571"/>
            </w:tabs>
            <w:rPr>
              <w:rFonts w:asciiTheme="minorHAnsi" w:eastAsiaTheme="minorEastAsia" w:hAnsiTheme="minorHAnsi" w:cstheme="minorBidi"/>
              <w:noProof/>
              <w:sz w:val="22"/>
              <w:szCs w:val="22"/>
            </w:rPr>
          </w:pPr>
          <w:hyperlink w:anchor="_Toc500087473" w:history="1">
            <w:r w:rsidR="009309BB" w:rsidRPr="008B3AB0">
              <w:rPr>
                <w:rStyle w:val="Hyperlink"/>
                <w:noProof/>
              </w:rPr>
              <w:t>CHAPTER THREE: THEORY</w:t>
            </w:r>
            <w:r w:rsidR="009309BB">
              <w:rPr>
                <w:noProof/>
                <w:webHidden/>
              </w:rPr>
              <w:tab/>
            </w:r>
            <w:r w:rsidR="009309BB">
              <w:rPr>
                <w:noProof/>
                <w:webHidden/>
              </w:rPr>
              <w:fldChar w:fldCharType="begin"/>
            </w:r>
            <w:r w:rsidR="009309BB">
              <w:rPr>
                <w:noProof/>
                <w:webHidden/>
              </w:rPr>
              <w:instrText xml:space="preserve"> PAGEREF _Toc500087473 \h </w:instrText>
            </w:r>
            <w:r w:rsidR="009309BB">
              <w:rPr>
                <w:noProof/>
                <w:webHidden/>
              </w:rPr>
            </w:r>
            <w:r w:rsidR="009309BB">
              <w:rPr>
                <w:noProof/>
                <w:webHidden/>
              </w:rPr>
              <w:fldChar w:fldCharType="separate"/>
            </w:r>
            <w:r w:rsidR="009309BB">
              <w:rPr>
                <w:noProof/>
                <w:webHidden/>
              </w:rPr>
              <w:t>47</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74" w:history="1">
            <w:r w:rsidR="009309BB" w:rsidRPr="008B3AB0">
              <w:rPr>
                <w:rStyle w:val="Hyperlink"/>
                <w:noProof/>
                <w:lang w:val="en-US"/>
              </w:rPr>
              <w:t>3.1 Theoretical Background and Conceptual Model</w:t>
            </w:r>
            <w:r w:rsidR="009309BB">
              <w:rPr>
                <w:noProof/>
                <w:webHidden/>
              </w:rPr>
              <w:tab/>
            </w:r>
            <w:r w:rsidR="009309BB">
              <w:rPr>
                <w:noProof/>
                <w:webHidden/>
              </w:rPr>
              <w:fldChar w:fldCharType="begin"/>
            </w:r>
            <w:r w:rsidR="009309BB">
              <w:rPr>
                <w:noProof/>
                <w:webHidden/>
              </w:rPr>
              <w:instrText xml:space="preserve"> PAGEREF _Toc500087474 \h </w:instrText>
            </w:r>
            <w:r w:rsidR="009309BB">
              <w:rPr>
                <w:noProof/>
                <w:webHidden/>
              </w:rPr>
            </w:r>
            <w:r w:rsidR="009309BB">
              <w:rPr>
                <w:noProof/>
                <w:webHidden/>
              </w:rPr>
              <w:fldChar w:fldCharType="separate"/>
            </w:r>
            <w:r w:rsidR="009309BB">
              <w:rPr>
                <w:noProof/>
                <w:webHidden/>
              </w:rPr>
              <w:t>47</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75" w:history="1">
            <w:r w:rsidR="009309BB" w:rsidRPr="008B3AB0">
              <w:rPr>
                <w:rStyle w:val="Hyperlink"/>
                <w:noProof/>
                <w:lang w:val="en-US"/>
              </w:rPr>
              <w:t>3.2 Theoretical Framework</w:t>
            </w:r>
            <w:r w:rsidR="009309BB">
              <w:rPr>
                <w:noProof/>
                <w:webHidden/>
              </w:rPr>
              <w:tab/>
            </w:r>
            <w:r w:rsidR="009309BB">
              <w:rPr>
                <w:noProof/>
                <w:webHidden/>
              </w:rPr>
              <w:fldChar w:fldCharType="begin"/>
            </w:r>
            <w:r w:rsidR="009309BB">
              <w:rPr>
                <w:noProof/>
                <w:webHidden/>
              </w:rPr>
              <w:instrText xml:space="preserve"> PAGEREF _Toc500087475 \h </w:instrText>
            </w:r>
            <w:r w:rsidR="009309BB">
              <w:rPr>
                <w:noProof/>
                <w:webHidden/>
              </w:rPr>
            </w:r>
            <w:r w:rsidR="009309BB">
              <w:rPr>
                <w:noProof/>
                <w:webHidden/>
              </w:rPr>
              <w:fldChar w:fldCharType="separate"/>
            </w:r>
            <w:r w:rsidR="009309BB">
              <w:rPr>
                <w:noProof/>
                <w:webHidden/>
              </w:rPr>
              <w:t>51</w:t>
            </w:r>
            <w:r w:rsidR="009309BB">
              <w:rPr>
                <w:noProof/>
                <w:webHidden/>
              </w:rPr>
              <w:fldChar w:fldCharType="end"/>
            </w:r>
          </w:hyperlink>
        </w:p>
        <w:p w:rsidR="009309BB" w:rsidRDefault="00017F63">
          <w:pPr>
            <w:pStyle w:val="TOC1"/>
            <w:tabs>
              <w:tab w:val="right" w:leader="dot" w:pos="7571"/>
            </w:tabs>
            <w:rPr>
              <w:rFonts w:asciiTheme="minorHAnsi" w:eastAsiaTheme="minorEastAsia" w:hAnsiTheme="minorHAnsi" w:cstheme="minorBidi"/>
              <w:noProof/>
              <w:sz w:val="22"/>
              <w:szCs w:val="22"/>
            </w:rPr>
          </w:pPr>
          <w:hyperlink w:anchor="_Toc500087476" w:history="1">
            <w:r w:rsidR="009309BB" w:rsidRPr="008B3AB0">
              <w:rPr>
                <w:rStyle w:val="Hyperlink"/>
                <w:noProof/>
              </w:rPr>
              <w:t>CHAPTER FOUR: METHODOLOGY</w:t>
            </w:r>
            <w:r w:rsidR="009309BB">
              <w:rPr>
                <w:noProof/>
                <w:webHidden/>
              </w:rPr>
              <w:tab/>
            </w:r>
            <w:r w:rsidR="009309BB">
              <w:rPr>
                <w:noProof/>
                <w:webHidden/>
              </w:rPr>
              <w:fldChar w:fldCharType="begin"/>
            </w:r>
            <w:r w:rsidR="009309BB">
              <w:rPr>
                <w:noProof/>
                <w:webHidden/>
              </w:rPr>
              <w:instrText xml:space="preserve"> PAGEREF _Toc500087476 \h </w:instrText>
            </w:r>
            <w:r w:rsidR="009309BB">
              <w:rPr>
                <w:noProof/>
                <w:webHidden/>
              </w:rPr>
            </w:r>
            <w:r w:rsidR="009309BB">
              <w:rPr>
                <w:noProof/>
                <w:webHidden/>
              </w:rPr>
              <w:fldChar w:fldCharType="separate"/>
            </w:r>
            <w:r w:rsidR="009309BB">
              <w:rPr>
                <w:noProof/>
                <w:webHidden/>
              </w:rPr>
              <w:t>54</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77" w:history="1">
            <w:r w:rsidR="009309BB" w:rsidRPr="008B3AB0">
              <w:rPr>
                <w:rStyle w:val="Hyperlink"/>
                <w:noProof/>
                <w:lang w:val="en-US"/>
              </w:rPr>
              <w:t>4.1 Data Collection</w:t>
            </w:r>
            <w:r w:rsidR="009309BB">
              <w:rPr>
                <w:noProof/>
                <w:webHidden/>
              </w:rPr>
              <w:tab/>
            </w:r>
            <w:r w:rsidR="009309BB">
              <w:rPr>
                <w:noProof/>
                <w:webHidden/>
              </w:rPr>
              <w:fldChar w:fldCharType="begin"/>
            </w:r>
            <w:r w:rsidR="009309BB">
              <w:rPr>
                <w:noProof/>
                <w:webHidden/>
              </w:rPr>
              <w:instrText xml:space="preserve"> PAGEREF _Toc500087477 \h </w:instrText>
            </w:r>
            <w:r w:rsidR="009309BB">
              <w:rPr>
                <w:noProof/>
                <w:webHidden/>
              </w:rPr>
            </w:r>
            <w:r w:rsidR="009309BB">
              <w:rPr>
                <w:noProof/>
                <w:webHidden/>
              </w:rPr>
              <w:fldChar w:fldCharType="separate"/>
            </w:r>
            <w:r w:rsidR="009309BB">
              <w:rPr>
                <w:noProof/>
                <w:webHidden/>
              </w:rPr>
              <w:t>54</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78" w:history="1">
            <w:r w:rsidR="009309BB" w:rsidRPr="008B3AB0">
              <w:rPr>
                <w:rStyle w:val="Hyperlink"/>
                <w:noProof/>
                <w:lang w:val="en-US"/>
              </w:rPr>
              <w:t>4.1.1 Survey Instrument</w:t>
            </w:r>
            <w:r w:rsidR="009309BB">
              <w:rPr>
                <w:noProof/>
                <w:webHidden/>
              </w:rPr>
              <w:tab/>
            </w:r>
            <w:r w:rsidR="009309BB">
              <w:rPr>
                <w:noProof/>
                <w:webHidden/>
              </w:rPr>
              <w:fldChar w:fldCharType="begin"/>
            </w:r>
            <w:r w:rsidR="009309BB">
              <w:rPr>
                <w:noProof/>
                <w:webHidden/>
              </w:rPr>
              <w:instrText xml:space="preserve"> PAGEREF _Toc500087478 \h </w:instrText>
            </w:r>
            <w:r w:rsidR="009309BB">
              <w:rPr>
                <w:noProof/>
                <w:webHidden/>
              </w:rPr>
            </w:r>
            <w:r w:rsidR="009309BB">
              <w:rPr>
                <w:noProof/>
                <w:webHidden/>
              </w:rPr>
              <w:fldChar w:fldCharType="separate"/>
            </w:r>
            <w:r w:rsidR="009309BB">
              <w:rPr>
                <w:noProof/>
                <w:webHidden/>
              </w:rPr>
              <w:t>54</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79" w:history="1">
            <w:r w:rsidR="009309BB" w:rsidRPr="008B3AB0">
              <w:rPr>
                <w:rStyle w:val="Hyperlink"/>
                <w:noProof/>
                <w:lang w:val="en-US"/>
              </w:rPr>
              <w:t>4.1.2 Sample</w:t>
            </w:r>
            <w:r w:rsidR="009309BB">
              <w:rPr>
                <w:noProof/>
                <w:webHidden/>
              </w:rPr>
              <w:tab/>
            </w:r>
            <w:r w:rsidR="009309BB">
              <w:rPr>
                <w:noProof/>
                <w:webHidden/>
              </w:rPr>
              <w:fldChar w:fldCharType="begin"/>
            </w:r>
            <w:r w:rsidR="009309BB">
              <w:rPr>
                <w:noProof/>
                <w:webHidden/>
              </w:rPr>
              <w:instrText xml:space="preserve"> PAGEREF _Toc500087479 \h </w:instrText>
            </w:r>
            <w:r w:rsidR="009309BB">
              <w:rPr>
                <w:noProof/>
                <w:webHidden/>
              </w:rPr>
            </w:r>
            <w:r w:rsidR="009309BB">
              <w:rPr>
                <w:noProof/>
                <w:webHidden/>
              </w:rPr>
              <w:fldChar w:fldCharType="separate"/>
            </w:r>
            <w:r w:rsidR="009309BB">
              <w:rPr>
                <w:noProof/>
                <w:webHidden/>
              </w:rPr>
              <w:t>57</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80" w:history="1">
            <w:r w:rsidR="009309BB" w:rsidRPr="008B3AB0">
              <w:rPr>
                <w:rStyle w:val="Hyperlink"/>
                <w:noProof/>
                <w:lang w:val="en-US"/>
              </w:rPr>
              <w:t>4.2 Data Preparation</w:t>
            </w:r>
            <w:r w:rsidR="009309BB">
              <w:rPr>
                <w:noProof/>
                <w:webHidden/>
              </w:rPr>
              <w:tab/>
            </w:r>
            <w:r w:rsidR="009309BB">
              <w:rPr>
                <w:noProof/>
                <w:webHidden/>
              </w:rPr>
              <w:fldChar w:fldCharType="begin"/>
            </w:r>
            <w:r w:rsidR="009309BB">
              <w:rPr>
                <w:noProof/>
                <w:webHidden/>
              </w:rPr>
              <w:instrText xml:space="preserve"> PAGEREF _Toc500087480 \h </w:instrText>
            </w:r>
            <w:r w:rsidR="009309BB">
              <w:rPr>
                <w:noProof/>
                <w:webHidden/>
              </w:rPr>
            </w:r>
            <w:r w:rsidR="009309BB">
              <w:rPr>
                <w:noProof/>
                <w:webHidden/>
              </w:rPr>
              <w:fldChar w:fldCharType="separate"/>
            </w:r>
            <w:r w:rsidR="009309BB">
              <w:rPr>
                <w:noProof/>
                <w:webHidden/>
              </w:rPr>
              <w:t>62</w:t>
            </w:r>
            <w:r w:rsidR="009309BB">
              <w:rPr>
                <w:noProof/>
                <w:webHidden/>
              </w:rPr>
              <w:fldChar w:fldCharType="end"/>
            </w:r>
          </w:hyperlink>
        </w:p>
        <w:p w:rsidR="009309BB" w:rsidRDefault="00017F63">
          <w:pPr>
            <w:pStyle w:val="TOC1"/>
            <w:tabs>
              <w:tab w:val="right" w:leader="dot" w:pos="7571"/>
            </w:tabs>
            <w:rPr>
              <w:rFonts w:asciiTheme="minorHAnsi" w:eastAsiaTheme="minorEastAsia" w:hAnsiTheme="minorHAnsi" w:cstheme="minorBidi"/>
              <w:noProof/>
              <w:sz w:val="22"/>
              <w:szCs w:val="22"/>
            </w:rPr>
          </w:pPr>
          <w:hyperlink w:anchor="_Toc500087481" w:history="1">
            <w:r w:rsidR="009309BB" w:rsidRPr="008B3AB0">
              <w:rPr>
                <w:rStyle w:val="Hyperlink"/>
                <w:noProof/>
              </w:rPr>
              <w:t>CHAPTER FIVE: DATA ANALYSIS</w:t>
            </w:r>
            <w:r w:rsidR="009309BB">
              <w:rPr>
                <w:noProof/>
                <w:webHidden/>
              </w:rPr>
              <w:tab/>
            </w:r>
            <w:r w:rsidR="009309BB">
              <w:rPr>
                <w:noProof/>
                <w:webHidden/>
              </w:rPr>
              <w:fldChar w:fldCharType="begin"/>
            </w:r>
            <w:r w:rsidR="009309BB">
              <w:rPr>
                <w:noProof/>
                <w:webHidden/>
              </w:rPr>
              <w:instrText xml:space="preserve"> PAGEREF _Toc500087481 \h </w:instrText>
            </w:r>
            <w:r w:rsidR="009309BB">
              <w:rPr>
                <w:noProof/>
                <w:webHidden/>
              </w:rPr>
            </w:r>
            <w:r w:rsidR="009309BB">
              <w:rPr>
                <w:noProof/>
                <w:webHidden/>
              </w:rPr>
              <w:fldChar w:fldCharType="separate"/>
            </w:r>
            <w:r w:rsidR="009309BB">
              <w:rPr>
                <w:noProof/>
                <w:webHidden/>
              </w:rPr>
              <w:t>66</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82" w:history="1">
            <w:r w:rsidR="009309BB" w:rsidRPr="008B3AB0">
              <w:rPr>
                <w:rStyle w:val="Hyperlink"/>
                <w:noProof/>
                <w:lang w:val="en-US"/>
              </w:rPr>
              <w:t>5.1 Validity and Reliability</w:t>
            </w:r>
            <w:r w:rsidR="009309BB">
              <w:rPr>
                <w:noProof/>
                <w:webHidden/>
              </w:rPr>
              <w:tab/>
            </w:r>
            <w:r w:rsidR="009309BB">
              <w:rPr>
                <w:noProof/>
                <w:webHidden/>
              </w:rPr>
              <w:fldChar w:fldCharType="begin"/>
            </w:r>
            <w:r w:rsidR="009309BB">
              <w:rPr>
                <w:noProof/>
                <w:webHidden/>
              </w:rPr>
              <w:instrText xml:space="preserve"> PAGEREF _Toc500087482 \h </w:instrText>
            </w:r>
            <w:r w:rsidR="009309BB">
              <w:rPr>
                <w:noProof/>
                <w:webHidden/>
              </w:rPr>
            </w:r>
            <w:r w:rsidR="009309BB">
              <w:rPr>
                <w:noProof/>
                <w:webHidden/>
              </w:rPr>
              <w:fldChar w:fldCharType="separate"/>
            </w:r>
            <w:r w:rsidR="009309BB">
              <w:rPr>
                <w:noProof/>
                <w:webHidden/>
              </w:rPr>
              <w:t>66</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83" w:history="1">
            <w:r w:rsidR="009309BB" w:rsidRPr="008B3AB0">
              <w:rPr>
                <w:rStyle w:val="Hyperlink"/>
                <w:noProof/>
                <w:lang w:val="en-US"/>
              </w:rPr>
              <w:t>5.1.1 Unidimensionality</w:t>
            </w:r>
            <w:r w:rsidR="009309BB">
              <w:rPr>
                <w:noProof/>
                <w:webHidden/>
              </w:rPr>
              <w:tab/>
            </w:r>
            <w:r w:rsidR="009309BB">
              <w:rPr>
                <w:noProof/>
                <w:webHidden/>
              </w:rPr>
              <w:fldChar w:fldCharType="begin"/>
            </w:r>
            <w:r w:rsidR="009309BB">
              <w:rPr>
                <w:noProof/>
                <w:webHidden/>
              </w:rPr>
              <w:instrText xml:space="preserve"> PAGEREF _Toc500087483 \h </w:instrText>
            </w:r>
            <w:r w:rsidR="009309BB">
              <w:rPr>
                <w:noProof/>
                <w:webHidden/>
              </w:rPr>
            </w:r>
            <w:r w:rsidR="009309BB">
              <w:rPr>
                <w:noProof/>
                <w:webHidden/>
              </w:rPr>
              <w:fldChar w:fldCharType="separate"/>
            </w:r>
            <w:r w:rsidR="009309BB">
              <w:rPr>
                <w:noProof/>
                <w:webHidden/>
              </w:rPr>
              <w:t>66</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84" w:history="1">
            <w:r w:rsidR="009309BB" w:rsidRPr="008B3AB0">
              <w:rPr>
                <w:rStyle w:val="Hyperlink"/>
                <w:noProof/>
                <w:lang w:val="en-US"/>
              </w:rPr>
              <w:t>5.1.2 Parameter Estimates</w:t>
            </w:r>
            <w:r w:rsidR="009309BB">
              <w:rPr>
                <w:noProof/>
                <w:webHidden/>
              </w:rPr>
              <w:tab/>
            </w:r>
            <w:r w:rsidR="009309BB">
              <w:rPr>
                <w:noProof/>
                <w:webHidden/>
              </w:rPr>
              <w:fldChar w:fldCharType="begin"/>
            </w:r>
            <w:r w:rsidR="009309BB">
              <w:rPr>
                <w:noProof/>
                <w:webHidden/>
              </w:rPr>
              <w:instrText xml:space="preserve"> PAGEREF _Toc500087484 \h </w:instrText>
            </w:r>
            <w:r w:rsidR="009309BB">
              <w:rPr>
                <w:noProof/>
                <w:webHidden/>
              </w:rPr>
            </w:r>
            <w:r w:rsidR="009309BB">
              <w:rPr>
                <w:noProof/>
                <w:webHidden/>
              </w:rPr>
              <w:fldChar w:fldCharType="separate"/>
            </w:r>
            <w:r w:rsidR="009309BB">
              <w:rPr>
                <w:noProof/>
                <w:webHidden/>
              </w:rPr>
              <w:t>69</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85" w:history="1">
            <w:r w:rsidR="009309BB" w:rsidRPr="008B3AB0">
              <w:rPr>
                <w:rStyle w:val="Hyperlink"/>
                <w:noProof/>
                <w:lang w:val="en-US"/>
              </w:rPr>
              <w:t>5.1.3 Explained Variance</w:t>
            </w:r>
            <w:r w:rsidR="009309BB">
              <w:rPr>
                <w:noProof/>
                <w:webHidden/>
              </w:rPr>
              <w:tab/>
            </w:r>
            <w:r w:rsidR="009309BB">
              <w:rPr>
                <w:noProof/>
                <w:webHidden/>
              </w:rPr>
              <w:fldChar w:fldCharType="begin"/>
            </w:r>
            <w:r w:rsidR="009309BB">
              <w:rPr>
                <w:noProof/>
                <w:webHidden/>
              </w:rPr>
              <w:instrText xml:space="preserve"> PAGEREF _Toc500087485 \h </w:instrText>
            </w:r>
            <w:r w:rsidR="009309BB">
              <w:rPr>
                <w:noProof/>
                <w:webHidden/>
              </w:rPr>
            </w:r>
            <w:r w:rsidR="009309BB">
              <w:rPr>
                <w:noProof/>
                <w:webHidden/>
              </w:rPr>
              <w:fldChar w:fldCharType="separate"/>
            </w:r>
            <w:r w:rsidR="009309BB">
              <w:rPr>
                <w:noProof/>
                <w:webHidden/>
              </w:rPr>
              <w:t>72</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86" w:history="1">
            <w:r w:rsidR="009309BB" w:rsidRPr="008B3AB0">
              <w:rPr>
                <w:rStyle w:val="Hyperlink"/>
                <w:noProof/>
                <w:lang w:val="en-US"/>
              </w:rPr>
              <w:t>5.1.4 Reliability</w:t>
            </w:r>
            <w:r w:rsidR="009309BB">
              <w:rPr>
                <w:noProof/>
                <w:webHidden/>
              </w:rPr>
              <w:tab/>
            </w:r>
            <w:r w:rsidR="009309BB">
              <w:rPr>
                <w:noProof/>
                <w:webHidden/>
              </w:rPr>
              <w:fldChar w:fldCharType="begin"/>
            </w:r>
            <w:r w:rsidR="009309BB">
              <w:rPr>
                <w:noProof/>
                <w:webHidden/>
              </w:rPr>
              <w:instrText xml:space="preserve"> PAGEREF _Toc500087486 \h </w:instrText>
            </w:r>
            <w:r w:rsidR="009309BB">
              <w:rPr>
                <w:noProof/>
                <w:webHidden/>
              </w:rPr>
            </w:r>
            <w:r w:rsidR="009309BB">
              <w:rPr>
                <w:noProof/>
                <w:webHidden/>
              </w:rPr>
              <w:fldChar w:fldCharType="separate"/>
            </w:r>
            <w:r w:rsidR="009309BB">
              <w:rPr>
                <w:noProof/>
                <w:webHidden/>
              </w:rPr>
              <w:t>76</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87" w:history="1">
            <w:r w:rsidR="009309BB" w:rsidRPr="008B3AB0">
              <w:rPr>
                <w:rStyle w:val="Hyperlink"/>
                <w:noProof/>
                <w:lang w:val="en-US"/>
              </w:rPr>
              <w:t>5.1.5 Descriptive</w:t>
            </w:r>
            <w:r w:rsidR="009309BB">
              <w:rPr>
                <w:noProof/>
                <w:webHidden/>
              </w:rPr>
              <w:tab/>
            </w:r>
            <w:r w:rsidR="009309BB">
              <w:rPr>
                <w:noProof/>
                <w:webHidden/>
              </w:rPr>
              <w:fldChar w:fldCharType="begin"/>
            </w:r>
            <w:r w:rsidR="009309BB">
              <w:rPr>
                <w:noProof/>
                <w:webHidden/>
              </w:rPr>
              <w:instrText xml:space="preserve"> PAGEREF _Toc500087487 \h </w:instrText>
            </w:r>
            <w:r w:rsidR="009309BB">
              <w:rPr>
                <w:noProof/>
                <w:webHidden/>
              </w:rPr>
            </w:r>
            <w:r w:rsidR="009309BB">
              <w:rPr>
                <w:noProof/>
                <w:webHidden/>
              </w:rPr>
              <w:fldChar w:fldCharType="separate"/>
            </w:r>
            <w:r w:rsidR="009309BB">
              <w:rPr>
                <w:noProof/>
                <w:webHidden/>
              </w:rPr>
              <w:t>78</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88" w:history="1">
            <w:r w:rsidR="009309BB" w:rsidRPr="008B3AB0">
              <w:rPr>
                <w:rStyle w:val="Hyperlink"/>
                <w:noProof/>
                <w:lang w:val="en-US"/>
              </w:rPr>
              <w:t>5.2 Construct Validity</w:t>
            </w:r>
            <w:r w:rsidR="009309BB">
              <w:rPr>
                <w:noProof/>
                <w:webHidden/>
              </w:rPr>
              <w:tab/>
            </w:r>
            <w:r w:rsidR="009309BB">
              <w:rPr>
                <w:noProof/>
                <w:webHidden/>
              </w:rPr>
              <w:fldChar w:fldCharType="begin"/>
            </w:r>
            <w:r w:rsidR="009309BB">
              <w:rPr>
                <w:noProof/>
                <w:webHidden/>
              </w:rPr>
              <w:instrText xml:space="preserve"> PAGEREF _Toc500087488 \h </w:instrText>
            </w:r>
            <w:r w:rsidR="009309BB">
              <w:rPr>
                <w:noProof/>
                <w:webHidden/>
              </w:rPr>
            </w:r>
            <w:r w:rsidR="009309BB">
              <w:rPr>
                <w:noProof/>
                <w:webHidden/>
              </w:rPr>
              <w:fldChar w:fldCharType="separate"/>
            </w:r>
            <w:r w:rsidR="009309BB">
              <w:rPr>
                <w:noProof/>
                <w:webHidden/>
              </w:rPr>
              <w:t>80</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89" w:history="1">
            <w:r w:rsidR="009309BB" w:rsidRPr="008B3AB0">
              <w:rPr>
                <w:rStyle w:val="Hyperlink"/>
                <w:noProof/>
                <w:lang w:val="en-US"/>
              </w:rPr>
              <w:t>5.2.1 Content Validity</w:t>
            </w:r>
            <w:r w:rsidR="009309BB">
              <w:rPr>
                <w:noProof/>
                <w:webHidden/>
              </w:rPr>
              <w:tab/>
            </w:r>
            <w:r w:rsidR="009309BB">
              <w:rPr>
                <w:noProof/>
                <w:webHidden/>
              </w:rPr>
              <w:fldChar w:fldCharType="begin"/>
            </w:r>
            <w:r w:rsidR="009309BB">
              <w:rPr>
                <w:noProof/>
                <w:webHidden/>
              </w:rPr>
              <w:instrText xml:space="preserve"> PAGEREF _Toc500087489 \h </w:instrText>
            </w:r>
            <w:r w:rsidR="009309BB">
              <w:rPr>
                <w:noProof/>
                <w:webHidden/>
              </w:rPr>
            </w:r>
            <w:r w:rsidR="009309BB">
              <w:rPr>
                <w:noProof/>
                <w:webHidden/>
              </w:rPr>
              <w:fldChar w:fldCharType="separate"/>
            </w:r>
            <w:r w:rsidR="009309BB">
              <w:rPr>
                <w:noProof/>
                <w:webHidden/>
              </w:rPr>
              <w:t>80</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90" w:history="1">
            <w:r w:rsidR="009309BB" w:rsidRPr="008B3AB0">
              <w:rPr>
                <w:rStyle w:val="Hyperlink"/>
                <w:noProof/>
                <w:lang w:val="en-US"/>
              </w:rPr>
              <w:t>5.2.2 Convergent Validity</w:t>
            </w:r>
            <w:r w:rsidR="009309BB">
              <w:rPr>
                <w:noProof/>
                <w:webHidden/>
              </w:rPr>
              <w:tab/>
            </w:r>
            <w:r w:rsidR="009309BB">
              <w:rPr>
                <w:noProof/>
                <w:webHidden/>
              </w:rPr>
              <w:fldChar w:fldCharType="begin"/>
            </w:r>
            <w:r w:rsidR="009309BB">
              <w:rPr>
                <w:noProof/>
                <w:webHidden/>
              </w:rPr>
              <w:instrText xml:space="preserve"> PAGEREF _Toc500087490 \h </w:instrText>
            </w:r>
            <w:r w:rsidR="009309BB">
              <w:rPr>
                <w:noProof/>
                <w:webHidden/>
              </w:rPr>
            </w:r>
            <w:r w:rsidR="009309BB">
              <w:rPr>
                <w:noProof/>
                <w:webHidden/>
              </w:rPr>
              <w:fldChar w:fldCharType="separate"/>
            </w:r>
            <w:r w:rsidR="009309BB">
              <w:rPr>
                <w:noProof/>
                <w:webHidden/>
              </w:rPr>
              <w:t>81</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91" w:history="1">
            <w:r w:rsidR="009309BB" w:rsidRPr="008B3AB0">
              <w:rPr>
                <w:rStyle w:val="Hyperlink"/>
                <w:noProof/>
                <w:lang w:val="en-US"/>
              </w:rPr>
              <w:t>5.2.3 Discriminant Validity</w:t>
            </w:r>
            <w:r w:rsidR="009309BB">
              <w:rPr>
                <w:noProof/>
                <w:webHidden/>
              </w:rPr>
              <w:tab/>
            </w:r>
            <w:r w:rsidR="009309BB">
              <w:rPr>
                <w:noProof/>
                <w:webHidden/>
              </w:rPr>
              <w:fldChar w:fldCharType="begin"/>
            </w:r>
            <w:r w:rsidR="009309BB">
              <w:rPr>
                <w:noProof/>
                <w:webHidden/>
              </w:rPr>
              <w:instrText xml:space="preserve"> PAGEREF _Toc500087491 \h </w:instrText>
            </w:r>
            <w:r w:rsidR="009309BB">
              <w:rPr>
                <w:noProof/>
                <w:webHidden/>
              </w:rPr>
            </w:r>
            <w:r w:rsidR="009309BB">
              <w:rPr>
                <w:noProof/>
                <w:webHidden/>
              </w:rPr>
              <w:fldChar w:fldCharType="separate"/>
            </w:r>
            <w:r w:rsidR="009309BB">
              <w:rPr>
                <w:noProof/>
                <w:webHidden/>
              </w:rPr>
              <w:t>81</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92" w:history="1">
            <w:r w:rsidR="009309BB" w:rsidRPr="008B3AB0">
              <w:rPr>
                <w:rStyle w:val="Hyperlink"/>
                <w:noProof/>
                <w:lang w:val="en-US"/>
              </w:rPr>
              <w:t>5.2.4 Predictive Validity</w:t>
            </w:r>
            <w:r w:rsidR="009309BB">
              <w:rPr>
                <w:noProof/>
                <w:webHidden/>
              </w:rPr>
              <w:tab/>
            </w:r>
            <w:r w:rsidR="009309BB">
              <w:rPr>
                <w:noProof/>
                <w:webHidden/>
              </w:rPr>
              <w:fldChar w:fldCharType="begin"/>
            </w:r>
            <w:r w:rsidR="009309BB">
              <w:rPr>
                <w:noProof/>
                <w:webHidden/>
              </w:rPr>
              <w:instrText xml:space="preserve"> PAGEREF _Toc500087492 \h </w:instrText>
            </w:r>
            <w:r w:rsidR="009309BB">
              <w:rPr>
                <w:noProof/>
                <w:webHidden/>
              </w:rPr>
            </w:r>
            <w:r w:rsidR="009309BB">
              <w:rPr>
                <w:noProof/>
                <w:webHidden/>
              </w:rPr>
              <w:fldChar w:fldCharType="separate"/>
            </w:r>
            <w:r w:rsidR="009309BB">
              <w:rPr>
                <w:noProof/>
                <w:webHidden/>
              </w:rPr>
              <w:t>82</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93" w:history="1">
            <w:r w:rsidR="009309BB" w:rsidRPr="008B3AB0">
              <w:rPr>
                <w:rStyle w:val="Hyperlink"/>
                <w:noProof/>
                <w:lang w:val="en-US"/>
              </w:rPr>
              <w:t>5.3 Latent Variable Model Analysis</w:t>
            </w:r>
            <w:r w:rsidR="009309BB">
              <w:rPr>
                <w:noProof/>
                <w:webHidden/>
              </w:rPr>
              <w:tab/>
            </w:r>
            <w:r w:rsidR="009309BB">
              <w:rPr>
                <w:noProof/>
                <w:webHidden/>
              </w:rPr>
              <w:fldChar w:fldCharType="begin"/>
            </w:r>
            <w:r w:rsidR="009309BB">
              <w:rPr>
                <w:noProof/>
                <w:webHidden/>
              </w:rPr>
              <w:instrText xml:space="preserve"> PAGEREF _Toc500087493 \h </w:instrText>
            </w:r>
            <w:r w:rsidR="009309BB">
              <w:rPr>
                <w:noProof/>
                <w:webHidden/>
              </w:rPr>
            </w:r>
            <w:r w:rsidR="009309BB">
              <w:rPr>
                <w:noProof/>
                <w:webHidden/>
              </w:rPr>
              <w:fldChar w:fldCharType="separate"/>
            </w:r>
            <w:r w:rsidR="009309BB">
              <w:rPr>
                <w:noProof/>
                <w:webHidden/>
              </w:rPr>
              <w:t>83</w:t>
            </w:r>
            <w:r w:rsidR="009309BB">
              <w:rPr>
                <w:noProof/>
                <w:webHidden/>
              </w:rPr>
              <w:fldChar w:fldCharType="end"/>
            </w:r>
          </w:hyperlink>
        </w:p>
        <w:p w:rsidR="009309BB" w:rsidRDefault="00017F63">
          <w:pPr>
            <w:pStyle w:val="TOC1"/>
            <w:tabs>
              <w:tab w:val="right" w:leader="dot" w:pos="7571"/>
            </w:tabs>
            <w:rPr>
              <w:rFonts w:asciiTheme="minorHAnsi" w:eastAsiaTheme="minorEastAsia" w:hAnsiTheme="minorHAnsi" w:cstheme="minorBidi"/>
              <w:noProof/>
              <w:sz w:val="22"/>
              <w:szCs w:val="22"/>
            </w:rPr>
          </w:pPr>
          <w:hyperlink w:anchor="_Toc500087494" w:history="1">
            <w:r w:rsidR="009309BB" w:rsidRPr="008B3AB0">
              <w:rPr>
                <w:rStyle w:val="Hyperlink"/>
                <w:noProof/>
              </w:rPr>
              <w:t>CHAPTER SIX: RESULTS DISCUSSION</w:t>
            </w:r>
            <w:r w:rsidR="009309BB">
              <w:rPr>
                <w:noProof/>
                <w:webHidden/>
              </w:rPr>
              <w:tab/>
            </w:r>
            <w:r w:rsidR="009309BB">
              <w:rPr>
                <w:noProof/>
                <w:webHidden/>
              </w:rPr>
              <w:fldChar w:fldCharType="begin"/>
            </w:r>
            <w:r w:rsidR="009309BB">
              <w:rPr>
                <w:noProof/>
                <w:webHidden/>
              </w:rPr>
              <w:instrText xml:space="preserve"> PAGEREF _Toc500087494 \h </w:instrText>
            </w:r>
            <w:r w:rsidR="009309BB">
              <w:rPr>
                <w:noProof/>
                <w:webHidden/>
              </w:rPr>
            </w:r>
            <w:r w:rsidR="009309BB">
              <w:rPr>
                <w:noProof/>
                <w:webHidden/>
              </w:rPr>
              <w:fldChar w:fldCharType="separate"/>
            </w:r>
            <w:r w:rsidR="009309BB">
              <w:rPr>
                <w:noProof/>
                <w:webHidden/>
              </w:rPr>
              <w:t>95</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95" w:history="1">
            <w:r w:rsidR="009309BB" w:rsidRPr="008B3AB0">
              <w:rPr>
                <w:rStyle w:val="Hyperlink"/>
                <w:noProof/>
                <w:lang w:val="en-US"/>
              </w:rPr>
              <w:t>6.1 Constructed Validity Interpretation</w:t>
            </w:r>
            <w:r w:rsidR="009309BB">
              <w:rPr>
                <w:noProof/>
                <w:webHidden/>
              </w:rPr>
              <w:tab/>
            </w:r>
            <w:r w:rsidR="009309BB">
              <w:rPr>
                <w:noProof/>
                <w:webHidden/>
              </w:rPr>
              <w:fldChar w:fldCharType="begin"/>
            </w:r>
            <w:r w:rsidR="009309BB">
              <w:rPr>
                <w:noProof/>
                <w:webHidden/>
              </w:rPr>
              <w:instrText xml:space="preserve"> PAGEREF _Toc500087495 \h </w:instrText>
            </w:r>
            <w:r w:rsidR="009309BB">
              <w:rPr>
                <w:noProof/>
                <w:webHidden/>
              </w:rPr>
            </w:r>
            <w:r w:rsidR="009309BB">
              <w:rPr>
                <w:noProof/>
                <w:webHidden/>
              </w:rPr>
              <w:fldChar w:fldCharType="separate"/>
            </w:r>
            <w:r w:rsidR="009309BB">
              <w:rPr>
                <w:noProof/>
                <w:webHidden/>
              </w:rPr>
              <w:t>95</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96" w:history="1">
            <w:r w:rsidR="009309BB" w:rsidRPr="008B3AB0">
              <w:rPr>
                <w:rStyle w:val="Hyperlink"/>
                <w:noProof/>
                <w:lang w:val="en-US"/>
              </w:rPr>
              <w:t>6.1.1 Convergent Validity</w:t>
            </w:r>
            <w:r w:rsidR="009309BB">
              <w:rPr>
                <w:noProof/>
                <w:webHidden/>
              </w:rPr>
              <w:tab/>
            </w:r>
            <w:r w:rsidR="009309BB">
              <w:rPr>
                <w:noProof/>
                <w:webHidden/>
              </w:rPr>
              <w:fldChar w:fldCharType="begin"/>
            </w:r>
            <w:r w:rsidR="009309BB">
              <w:rPr>
                <w:noProof/>
                <w:webHidden/>
              </w:rPr>
              <w:instrText xml:space="preserve"> PAGEREF _Toc500087496 \h </w:instrText>
            </w:r>
            <w:r w:rsidR="009309BB">
              <w:rPr>
                <w:noProof/>
                <w:webHidden/>
              </w:rPr>
            </w:r>
            <w:r w:rsidR="009309BB">
              <w:rPr>
                <w:noProof/>
                <w:webHidden/>
              </w:rPr>
              <w:fldChar w:fldCharType="separate"/>
            </w:r>
            <w:r w:rsidR="009309BB">
              <w:rPr>
                <w:noProof/>
                <w:webHidden/>
              </w:rPr>
              <w:t>95</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97" w:history="1">
            <w:r w:rsidR="009309BB" w:rsidRPr="008B3AB0">
              <w:rPr>
                <w:rStyle w:val="Hyperlink"/>
                <w:noProof/>
                <w:lang w:val="en-US"/>
              </w:rPr>
              <w:t>6.1.2 Discriminant Validity</w:t>
            </w:r>
            <w:r w:rsidR="009309BB">
              <w:rPr>
                <w:noProof/>
                <w:webHidden/>
              </w:rPr>
              <w:tab/>
            </w:r>
            <w:r w:rsidR="009309BB">
              <w:rPr>
                <w:noProof/>
                <w:webHidden/>
              </w:rPr>
              <w:fldChar w:fldCharType="begin"/>
            </w:r>
            <w:r w:rsidR="009309BB">
              <w:rPr>
                <w:noProof/>
                <w:webHidden/>
              </w:rPr>
              <w:instrText xml:space="preserve"> PAGEREF _Toc500087497 \h </w:instrText>
            </w:r>
            <w:r w:rsidR="009309BB">
              <w:rPr>
                <w:noProof/>
                <w:webHidden/>
              </w:rPr>
            </w:r>
            <w:r w:rsidR="009309BB">
              <w:rPr>
                <w:noProof/>
                <w:webHidden/>
              </w:rPr>
              <w:fldChar w:fldCharType="separate"/>
            </w:r>
            <w:r w:rsidR="009309BB">
              <w:rPr>
                <w:noProof/>
                <w:webHidden/>
              </w:rPr>
              <w:t>96</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498" w:history="1">
            <w:r w:rsidR="009309BB" w:rsidRPr="008B3AB0">
              <w:rPr>
                <w:rStyle w:val="Hyperlink"/>
                <w:noProof/>
                <w:lang w:val="en-US"/>
              </w:rPr>
              <w:t>6.1.3 Predictive Validity</w:t>
            </w:r>
            <w:r w:rsidR="009309BB">
              <w:rPr>
                <w:noProof/>
                <w:webHidden/>
              </w:rPr>
              <w:tab/>
            </w:r>
            <w:r w:rsidR="009309BB">
              <w:rPr>
                <w:noProof/>
                <w:webHidden/>
              </w:rPr>
              <w:fldChar w:fldCharType="begin"/>
            </w:r>
            <w:r w:rsidR="009309BB">
              <w:rPr>
                <w:noProof/>
                <w:webHidden/>
              </w:rPr>
              <w:instrText xml:space="preserve"> PAGEREF _Toc500087498 \h </w:instrText>
            </w:r>
            <w:r w:rsidR="009309BB">
              <w:rPr>
                <w:noProof/>
                <w:webHidden/>
              </w:rPr>
            </w:r>
            <w:r w:rsidR="009309BB">
              <w:rPr>
                <w:noProof/>
                <w:webHidden/>
              </w:rPr>
              <w:fldChar w:fldCharType="separate"/>
            </w:r>
            <w:r w:rsidR="009309BB">
              <w:rPr>
                <w:noProof/>
                <w:webHidden/>
              </w:rPr>
              <w:t>97</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499" w:history="1">
            <w:r w:rsidR="009309BB" w:rsidRPr="008B3AB0">
              <w:rPr>
                <w:rStyle w:val="Hyperlink"/>
                <w:noProof/>
                <w:lang w:val="en-US"/>
              </w:rPr>
              <w:t>6.2 Tested Hypotheses Interpretation</w:t>
            </w:r>
            <w:r w:rsidR="009309BB">
              <w:rPr>
                <w:noProof/>
                <w:webHidden/>
              </w:rPr>
              <w:tab/>
            </w:r>
            <w:r w:rsidR="009309BB">
              <w:rPr>
                <w:noProof/>
                <w:webHidden/>
              </w:rPr>
              <w:fldChar w:fldCharType="begin"/>
            </w:r>
            <w:r w:rsidR="009309BB">
              <w:rPr>
                <w:noProof/>
                <w:webHidden/>
              </w:rPr>
              <w:instrText xml:space="preserve"> PAGEREF _Toc500087499 \h </w:instrText>
            </w:r>
            <w:r w:rsidR="009309BB">
              <w:rPr>
                <w:noProof/>
                <w:webHidden/>
              </w:rPr>
            </w:r>
            <w:r w:rsidR="009309BB">
              <w:rPr>
                <w:noProof/>
                <w:webHidden/>
              </w:rPr>
              <w:fldChar w:fldCharType="separate"/>
            </w:r>
            <w:r w:rsidR="009309BB">
              <w:rPr>
                <w:noProof/>
                <w:webHidden/>
              </w:rPr>
              <w:t>98</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500" w:history="1">
            <w:r w:rsidR="009309BB" w:rsidRPr="008B3AB0">
              <w:rPr>
                <w:rStyle w:val="Hyperlink"/>
                <w:noProof/>
                <w:lang w:val="en-US"/>
              </w:rPr>
              <w:t>6.2.1 Significant Relationships</w:t>
            </w:r>
            <w:r w:rsidR="009309BB">
              <w:rPr>
                <w:noProof/>
                <w:webHidden/>
              </w:rPr>
              <w:tab/>
            </w:r>
            <w:r w:rsidR="009309BB">
              <w:rPr>
                <w:noProof/>
                <w:webHidden/>
              </w:rPr>
              <w:fldChar w:fldCharType="begin"/>
            </w:r>
            <w:r w:rsidR="009309BB">
              <w:rPr>
                <w:noProof/>
                <w:webHidden/>
              </w:rPr>
              <w:instrText xml:space="preserve"> PAGEREF _Toc500087500 \h </w:instrText>
            </w:r>
            <w:r w:rsidR="009309BB">
              <w:rPr>
                <w:noProof/>
                <w:webHidden/>
              </w:rPr>
            </w:r>
            <w:r w:rsidR="009309BB">
              <w:rPr>
                <w:noProof/>
                <w:webHidden/>
              </w:rPr>
              <w:fldChar w:fldCharType="separate"/>
            </w:r>
            <w:r w:rsidR="009309BB">
              <w:rPr>
                <w:noProof/>
                <w:webHidden/>
              </w:rPr>
              <w:t>98</w:t>
            </w:r>
            <w:r w:rsidR="009309BB">
              <w:rPr>
                <w:noProof/>
                <w:webHidden/>
              </w:rPr>
              <w:fldChar w:fldCharType="end"/>
            </w:r>
          </w:hyperlink>
        </w:p>
        <w:p w:rsidR="009309BB" w:rsidRDefault="00017F63">
          <w:pPr>
            <w:pStyle w:val="TOC3"/>
            <w:tabs>
              <w:tab w:val="right" w:leader="dot" w:pos="7571"/>
            </w:tabs>
            <w:rPr>
              <w:rFonts w:asciiTheme="minorHAnsi" w:eastAsiaTheme="minorEastAsia" w:hAnsiTheme="minorHAnsi" w:cstheme="minorBidi"/>
              <w:noProof/>
              <w:sz w:val="22"/>
              <w:szCs w:val="22"/>
            </w:rPr>
          </w:pPr>
          <w:hyperlink w:anchor="_Toc500087501" w:history="1">
            <w:r w:rsidR="009309BB" w:rsidRPr="008B3AB0">
              <w:rPr>
                <w:rStyle w:val="Hyperlink"/>
                <w:noProof/>
                <w:lang w:val="en-US"/>
              </w:rPr>
              <w:t>6.2.2 Insignificant Relationships</w:t>
            </w:r>
            <w:r w:rsidR="009309BB">
              <w:rPr>
                <w:noProof/>
                <w:webHidden/>
              </w:rPr>
              <w:tab/>
            </w:r>
            <w:r w:rsidR="009309BB">
              <w:rPr>
                <w:noProof/>
                <w:webHidden/>
              </w:rPr>
              <w:fldChar w:fldCharType="begin"/>
            </w:r>
            <w:r w:rsidR="009309BB">
              <w:rPr>
                <w:noProof/>
                <w:webHidden/>
              </w:rPr>
              <w:instrText xml:space="preserve"> PAGEREF _Toc500087501 \h </w:instrText>
            </w:r>
            <w:r w:rsidR="009309BB">
              <w:rPr>
                <w:noProof/>
                <w:webHidden/>
              </w:rPr>
            </w:r>
            <w:r w:rsidR="009309BB">
              <w:rPr>
                <w:noProof/>
                <w:webHidden/>
              </w:rPr>
              <w:fldChar w:fldCharType="separate"/>
            </w:r>
            <w:r w:rsidR="009309BB">
              <w:rPr>
                <w:noProof/>
                <w:webHidden/>
              </w:rPr>
              <w:t>100</w:t>
            </w:r>
            <w:r w:rsidR="009309BB">
              <w:rPr>
                <w:noProof/>
                <w:webHidden/>
              </w:rPr>
              <w:fldChar w:fldCharType="end"/>
            </w:r>
          </w:hyperlink>
        </w:p>
        <w:p w:rsidR="009309BB" w:rsidRDefault="00017F63">
          <w:pPr>
            <w:pStyle w:val="TOC1"/>
            <w:tabs>
              <w:tab w:val="right" w:leader="dot" w:pos="7571"/>
            </w:tabs>
            <w:rPr>
              <w:rFonts w:asciiTheme="minorHAnsi" w:eastAsiaTheme="minorEastAsia" w:hAnsiTheme="minorHAnsi" w:cstheme="minorBidi"/>
              <w:noProof/>
              <w:sz w:val="22"/>
              <w:szCs w:val="22"/>
            </w:rPr>
          </w:pPr>
          <w:hyperlink w:anchor="_Toc500087502" w:history="1">
            <w:r w:rsidR="009309BB" w:rsidRPr="008B3AB0">
              <w:rPr>
                <w:rStyle w:val="Hyperlink"/>
                <w:noProof/>
              </w:rPr>
              <w:t>CHAPTER SEVEN: CONCLUSION</w:t>
            </w:r>
            <w:r w:rsidR="009309BB">
              <w:rPr>
                <w:noProof/>
                <w:webHidden/>
              </w:rPr>
              <w:tab/>
            </w:r>
            <w:r w:rsidR="009309BB">
              <w:rPr>
                <w:noProof/>
                <w:webHidden/>
              </w:rPr>
              <w:fldChar w:fldCharType="begin"/>
            </w:r>
            <w:r w:rsidR="009309BB">
              <w:rPr>
                <w:noProof/>
                <w:webHidden/>
              </w:rPr>
              <w:instrText xml:space="preserve"> PAGEREF _Toc500087502 \h </w:instrText>
            </w:r>
            <w:r w:rsidR="009309BB">
              <w:rPr>
                <w:noProof/>
                <w:webHidden/>
              </w:rPr>
            </w:r>
            <w:r w:rsidR="009309BB">
              <w:rPr>
                <w:noProof/>
                <w:webHidden/>
              </w:rPr>
              <w:fldChar w:fldCharType="separate"/>
            </w:r>
            <w:r w:rsidR="009309BB">
              <w:rPr>
                <w:noProof/>
                <w:webHidden/>
              </w:rPr>
              <w:t>102</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503" w:history="1">
            <w:r w:rsidR="009309BB" w:rsidRPr="008B3AB0">
              <w:rPr>
                <w:rStyle w:val="Hyperlink"/>
                <w:noProof/>
                <w:lang w:val="en-US"/>
              </w:rPr>
              <w:t>7.1 Major Findings</w:t>
            </w:r>
            <w:r w:rsidR="009309BB">
              <w:rPr>
                <w:noProof/>
                <w:webHidden/>
              </w:rPr>
              <w:tab/>
            </w:r>
            <w:r w:rsidR="009309BB">
              <w:rPr>
                <w:noProof/>
                <w:webHidden/>
              </w:rPr>
              <w:fldChar w:fldCharType="begin"/>
            </w:r>
            <w:r w:rsidR="009309BB">
              <w:rPr>
                <w:noProof/>
                <w:webHidden/>
              </w:rPr>
              <w:instrText xml:space="preserve"> PAGEREF _Toc500087503 \h </w:instrText>
            </w:r>
            <w:r w:rsidR="009309BB">
              <w:rPr>
                <w:noProof/>
                <w:webHidden/>
              </w:rPr>
            </w:r>
            <w:r w:rsidR="009309BB">
              <w:rPr>
                <w:noProof/>
                <w:webHidden/>
              </w:rPr>
              <w:fldChar w:fldCharType="separate"/>
            </w:r>
            <w:r w:rsidR="009309BB">
              <w:rPr>
                <w:noProof/>
                <w:webHidden/>
              </w:rPr>
              <w:t>102</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504" w:history="1">
            <w:r w:rsidR="009309BB" w:rsidRPr="008B3AB0">
              <w:rPr>
                <w:rStyle w:val="Hyperlink"/>
                <w:noProof/>
                <w:lang w:val="en-US"/>
              </w:rPr>
              <w:t>7.2 Research Contribution</w:t>
            </w:r>
            <w:r w:rsidR="009309BB">
              <w:rPr>
                <w:noProof/>
                <w:webHidden/>
              </w:rPr>
              <w:tab/>
            </w:r>
            <w:r w:rsidR="009309BB">
              <w:rPr>
                <w:noProof/>
                <w:webHidden/>
              </w:rPr>
              <w:fldChar w:fldCharType="begin"/>
            </w:r>
            <w:r w:rsidR="009309BB">
              <w:rPr>
                <w:noProof/>
                <w:webHidden/>
              </w:rPr>
              <w:instrText xml:space="preserve"> PAGEREF _Toc500087504 \h </w:instrText>
            </w:r>
            <w:r w:rsidR="009309BB">
              <w:rPr>
                <w:noProof/>
                <w:webHidden/>
              </w:rPr>
            </w:r>
            <w:r w:rsidR="009309BB">
              <w:rPr>
                <w:noProof/>
                <w:webHidden/>
              </w:rPr>
              <w:fldChar w:fldCharType="separate"/>
            </w:r>
            <w:r w:rsidR="009309BB">
              <w:rPr>
                <w:noProof/>
                <w:webHidden/>
              </w:rPr>
              <w:t>104</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505" w:history="1">
            <w:r w:rsidR="009309BB" w:rsidRPr="008B3AB0">
              <w:rPr>
                <w:rStyle w:val="Hyperlink"/>
                <w:noProof/>
                <w:lang w:val="en-US"/>
              </w:rPr>
              <w:t>7.3 Practical Implications</w:t>
            </w:r>
            <w:r w:rsidR="009309BB">
              <w:rPr>
                <w:noProof/>
                <w:webHidden/>
              </w:rPr>
              <w:tab/>
            </w:r>
            <w:r w:rsidR="009309BB">
              <w:rPr>
                <w:noProof/>
                <w:webHidden/>
              </w:rPr>
              <w:fldChar w:fldCharType="begin"/>
            </w:r>
            <w:r w:rsidR="009309BB">
              <w:rPr>
                <w:noProof/>
                <w:webHidden/>
              </w:rPr>
              <w:instrText xml:space="preserve"> PAGEREF _Toc500087505 \h </w:instrText>
            </w:r>
            <w:r w:rsidR="009309BB">
              <w:rPr>
                <w:noProof/>
                <w:webHidden/>
              </w:rPr>
            </w:r>
            <w:r w:rsidR="009309BB">
              <w:rPr>
                <w:noProof/>
                <w:webHidden/>
              </w:rPr>
              <w:fldChar w:fldCharType="separate"/>
            </w:r>
            <w:r w:rsidR="009309BB">
              <w:rPr>
                <w:noProof/>
                <w:webHidden/>
              </w:rPr>
              <w:t>105</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506" w:history="1">
            <w:r w:rsidR="009309BB" w:rsidRPr="008B3AB0">
              <w:rPr>
                <w:rStyle w:val="Hyperlink"/>
                <w:noProof/>
                <w:lang w:val="en-US"/>
              </w:rPr>
              <w:t>7.4 Limitations and Future Research</w:t>
            </w:r>
            <w:r w:rsidR="009309BB">
              <w:rPr>
                <w:noProof/>
                <w:webHidden/>
              </w:rPr>
              <w:tab/>
            </w:r>
            <w:r w:rsidR="009309BB">
              <w:rPr>
                <w:noProof/>
                <w:webHidden/>
              </w:rPr>
              <w:fldChar w:fldCharType="begin"/>
            </w:r>
            <w:r w:rsidR="009309BB">
              <w:rPr>
                <w:noProof/>
                <w:webHidden/>
              </w:rPr>
              <w:instrText xml:space="preserve"> PAGEREF _Toc500087506 \h </w:instrText>
            </w:r>
            <w:r w:rsidR="009309BB">
              <w:rPr>
                <w:noProof/>
                <w:webHidden/>
              </w:rPr>
            </w:r>
            <w:r w:rsidR="009309BB">
              <w:rPr>
                <w:noProof/>
                <w:webHidden/>
              </w:rPr>
              <w:fldChar w:fldCharType="separate"/>
            </w:r>
            <w:r w:rsidR="009309BB">
              <w:rPr>
                <w:noProof/>
                <w:webHidden/>
              </w:rPr>
              <w:t>106</w:t>
            </w:r>
            <w:r w:rsidR="009309BB">
              <w:rPr>
                <w:noProof/>
                <w:webHidden/>
              </w:rPr>
              <w:fldChar w:fldCharType="end"/>
            </w:r>
          </w:hyperlink>
        </w:p>
        <w:p w:rsidR="009309BB" w:rsidRDefault="00017F63">
          <w:pPr>
            <w:pStyle w:val="TOC2"/>
            <w:tabs>
              <w:tab w:val="right" w:leader="dot" w:pos="7571"/>
            </w:tabs>
            <w:rPr>
              <w:rFonts w:asciiTheme="minorHAnsi" w:eastAsiaTheme="minorEastAsia" w:hAnsiTheme="minorHAnsi" w:cstheme="minorBidi"/>
              <w:noProof/>
              <w:sz w:val="22"/>
              <w:szCs w:val="22"/>
            </w:rPr>
          </w:pPr>
          <w:hyperlink w:anchor="_Toc500087507" w:history="1">
            <w:r w:rsidR="009309BB" w:rsidRPr="008B3AB0">
              <w:rPr>
                <w:rStyle w:val="Hyperlink"/>
                <w:noProof/>
                <w:lang w:val="en-US"/>
              </w:rPr>
              <w:t>7.5 Recommendations</w:t>
            </w:r>
            <w:r w:rsidR="009309BB">
              <w:rPr>
                <w:noProof/>
                <w:webHidden/>
              </w:rPr>
              <w:tab/>
            </w:r>
            <w:r w:rsidR="009309BB">
              <w:rPr>
                <w:noProof/>
                <w:webHidden/>
              </w:rPr>
              <w:fldChar w:fldCharType="begin"/>
            </w:r>
            <w:r w:rsidR="009309BB">
              <w:rPr>
                <w:noProof/>
                <w:webHidden/>
              </w:rPr>
              <w:instrText xml:space="preserve"> PAGEREF _Toc500087507 \h </w:instrText>
            </w:r>
            <w:r w:rsidR="009309BB">
              <w:rPr>
                <w:noProof/>
                <w:webHidden/>
              </w:rPr>
            </w:r>
            <w:r w:rsidR="009309BB">
              <w:rPr>
                <w:noProof/>
                <w:webHidden/>
              </w:rPr>
              <w:fldChar w:fldCharType="separate"/>
            </w:r>
            <w:r w:rsidR="009309BB">
              <w:rPr>
                <w:noProof/>
                <w:webHidden/>
              </w:rPr>
              <w:t>107</w:t>
            </w:r>
            <w:r w:rsidR="009309BB">
              <w:rPr>
                <w:noProof/>
                <w:webHidden/>
              </w:rPr>
              <w:fldChar w:fldCharType="end"/>
            </w:r>
          </w:hyperlink>
        </w:p>
        <w:p w:rsidR="009309BB" w:rsidRDefault="00017F63">
          <w:pPr>
            <w:pStyle w:val="TOC1"/>
            <w:tabs>
              <w:tab w:val="right" w:leader="dot" w:pos="7571"/>
            </w:tabs>
            <w:rPr>
              <w:rFonts w:asciiTheme="minorHAnsi" w:eastAsiaTheme="minorEastAsia" w:hAnsiTheme="minorHAnsi" w:cstheme="minorBidi"/>
              <w:noProof/>
              <w:sz w:val="22"/>
              <w:szCs w:val="22"/>
            </w:rPr>
          </w:pPr>
          <w:hyperlink w:anchor="_Toc500087508" w:history="1">
            <w:r w:rsidR="009309BB" w:rsidRPr="008B3AB0">
              <w:rPr>
                <w:rStyle w:val="Hyperlink"/>
                <w:noProof/>
              </w:rPr>
              <w:t>BIBLIOGRAPHY</w:t>
            </w:r>
            <w:r w:rsidR="009309BB">
              <w:rPr>
                <w:noProof/>
                <w:webHidden/>
              </w:rPr>
              <w:tab/>
            </w:r>
            <w:r w:rsidR="009309BB">
              <w:rPr>
                <w:noProof/>
                <w:webHidden/>
              </w:rPr>
              <w:fldChar w:fldCharType="begin"/>
            </w:r>
            <w:r w:rsidR="009309BB">
              <w:rPr>
                <w:noProof/>
                <w:webHidden/>
              </w:rPr>
              <w:instrText xml:space="preserve"> PAGEREF _Toc500087508 \h </w:instrText>
            </w:r>
            <w:r w:rsidR="009309BB">
              <w:rPr>
                <w:noProof/>
                <w:webHidden/>
              </w:rPr>
            </w:r>
            <w:r w:rsidR="009309BB">
              <w:rPr>
                <w:noProof/>
                <w:webHidden/>
              </w:rPr>
              <w:fldChar w:fldCharType="separate"/>
            </w:r>
            <w:r w:rsidR="009309BB">
              <w:rPr>
                <w:noProof/>
                <w:webHidden/>
              </w:rPr>
              <w:t>109</w:t>
            </w:r>
            <w:r w:rsidR="009309BB">
              <w:rPr>
                <w:noProof/>
                <w:webHidden/>
              </w:rPr>
              <w:fldChar w:fldCharType="end"/>
            </w:r>
          </w:hyperlink>
        </w:p>
        <w:p w:rsidR="009309BB" w:rsidRDefault="00017F63">
          <w:pPr>
            <w:pStyle w:val="TOC1"/>
            <w:tabs>
              <w:tab w:val="right" w:leader="dot" w:pos="7571"/>
            </w:tabs>
            <w:rPr>
              <w:rFonts w:asciiTheme="minorHAnsi" w:eastAsiaTheme="minorEastAsia" w:hAnsiTheme="minorHAnsi" w:cstheme="minorBidi"/>
              <w:noProof/>
              <w:sz w:val="22"/>
              <w:szCs w:val="22"/>
            </w:rPr>
          </w:pPr>
          <w:hyperlink w:anchor="_Toc500087509" w:history="1">
            <w:r w:rsidR="009309BB" w:rsidRPr="008B3AB0">
              <w:rPr>
                <w:rStyle w:val="Hyperlink"/>
                <w:noProof/>
              </w:rPr>
              <w:t>APPENDIX: QUESTIONNAIRE TEMPLATE</w:t>
            </w:r>
            <w:r w:rsidR="009309BB">
              <w:rPr>
                <w:noProof/>
                <w:webHidden/>
              </w:rPr>
              <w:tab/>
            </w:r>
            <w:r w:rsidR="009309BB">
              <w:rPr>
                <w:noProof/>
                <w:webHidden/>
              </w:rPr>
              <w:fldChar w:fldCharType="begin"/>
            </w:r>
            <w:r w:rsidR="009309BB">
              <w:rPr>
                <w:noProof/>
                <w:webHidden/>
              </w:rPr>
              <w:instrText xml:space="preserve"> PAGEREF _Toc500087509 \h </w:instrText>
            </w:r>
            <w:r w:rsidR="009309BB">
              <w:rPr>
                <w:noProof/>
                <w:webHidden/>
              </w:rPr>
            </w:r>
            <w:r w:rsidR="009309BB">
              <w:rPr>
                <w:noProof/>
                <w:webHidden/>
              </w:rPr>
              <w:fldChar w:fldCharType="separate"/>
            </w:r>
            <w:r w:rsidR="009309BB">
              <w:rPr>
                <w:noProof/>
                <w:webHidden/>
              </w:rPr>
              <w:t>125</w:t>
            </w:r>
            <w:r w:rsidR="009309BB">
              <w:rPr>
                <w:noProof/>
                <w:webHidden/>
              </w:rPr>
              <w:fldChar w:fldCharType="end"/>
            </w:r>
          </w:hyperlink>
        </w:p>
        <w:p w:rsidR="00E14476" w:rsidRPr="00FE71D6" w:rsidRDefault="00E14476">
          <w:r w:rsidRPr="00FE71D6">
            <w:rPr>
              <w:b/>
              <w:bCs/>
              <w:noProof/>
            </w:rPr>
            <w:fldChar w:fldCharType="end"/>
          </w:r>
        </w:p>
      </w:sdtContent>
    </w:sdt>
    <w:p w:rsidR="00E14476" w:rsidRPr="00FE71D6" w:rsidRDefault="00E14476"/>
    <w:p w:rsidR="000E4136" w:rsidRPr="00FE71D6" w:rsidRDefault="000E4136" w:rsidP="00CE2949">
      <w:pPr>
        <w:pStyle w:val="Affiliation"/>
        <w:spacing w:before="0" w:after="120" w:line="480" w:lineRule="auto"/>
        <w:rPr>
          <w:b/>
          <w:bCs/>
          <w:i w:val="0"/>
          <w:iCs/>
        </w:rPr>
      </w:pPr>
    </w:p>
    <w:p w:rsidR="000E4136" w:rsidRPr="00FE71D6" w:rsidRDefault="000E4136" w:rsidP="0088339B">
      <w:pPr>
        <w:pStyle w:val="Affiliation"/>
        <w:spacing w:before="0" w:after="120" w:line="480" w:lineRule="auto"/>
        <w:jc w:val="center"/>
        <w:rPr>
          <w:b/>
          <w:bCs/>
          <w:i w:val="0"/>
          <w:iCs/>
        </w:rPr>
      </w:pPr>
    </w:p>
    <w:p w:rsidR="00C531D8" w:rsidRPr="00FE71D6" w:rsidRDefault="00C531D8" w:rsidP="00DF07D5">
      <w:pPr>
        <w:spacing w:after="320"/>
        <w:jc w:val="center"/>
        <w:rPr>
          <w:b/>
          <w:bCs/>
        </w:rPr>
      </w:pPr>
      <w:r w:rsidRPr="00FE71D6">
        <w:rPr>
          <w:b/>
          <w:bCs/>
        </w:rPr>
        <w:lastRenderedPageBreak/>
        <w:t>LIST OF TABLES</w:t>
      </w:r>
    </w:p>
    <w:p w:rsidR="009309BB" w:rsidRDefault="00B85134">
      <w:pPr>
        <w:pStyle w:val="TableofFigures"/>
        <w:tabs>
          <w:tab w:val="right" w:leader="dot" w:pos="7571"/>
        </w:tabs>
        <w:rPr>
          <w:rFonts w:asciiTheme="minorHAnsi" w:eastAsiaTheme="minorEastAsia" w:hAnsiTheme="minorHAnsi" w:cstheme="minorBidi"/>
          <w:noProof/>
          <w:sz w:val="22"/>
          <w:szCs w:val="22"/>
        </w:rPr>
      </w:pPr>
      <w:r w:rsidRPr="00FE71D6">
        <w:fldChar w:fldCharType="begin"/>
      </w:r>
      <w:r w:rsidRPr="00FE71D6">
        <w:instrText xml:space="preserve"> TOC \h \z \c "Table" </w:instrText>
      </w:r>
      <w:r w:rsidRPr="00FE71D6">
        <w:fldChar w:fldCharType="separate"/>
      </w:r>
      <w:hyperlink w:anchor="_Toc500087394" w:history="1">
        <w:r w:rsidR="009309BB" w:rsidRPr="00A42182">
          <w:rPr>
            <w:rStyle w:val="Hyperlink"/>
            <w:noProof/>
          </w:rPr>
          <w:t>Table 1. Summary of Key Literature Review</w:t>
        </w:r>
        <w:r w:rsidR="009309BB">
          <w:rPr>
            <w:noProof/>
            <w:webHidden/>
          </w:rPr>
          <w:tab/>
        </w:r>
        <w:r w:rsidR="009309BB">
          <w:rPr>
            <w:noProof/>
            <w:webHidden/>
          </w:rPr>
          <w:fldChar w:fldCharType="begin"/>
        </w:r>
        <w:r w:rsidR="009309BB">
          <w:rPr>
            <w:noProof/>
            <w:webHidden/>
          </w:rPr>
          <w:instrText xml:space="preserve"> PAGEREF _Toc500087394 \h </w:instrText>
        </w:r>
        <w:r w:rsidR="009309BB">
          <w:rPr>
            <w:noProof/>
            <w:webHidden/>
          </w:rPr>
        </w:r>
        <w:r w:rsidR="009309BB">
          <w:rPr>
            <w:noProof/>
            <w:webHidden/>
          </w:rPr>
          <w:fldChar w:fldCharType="separate"/>
        </w:r>
        <w:r w:rsidR="009309BB">
          <w:rPr>
            <w:noProof/>
            <w:webHidden/>
          </w:rPr>
          <w:t>45</w:t>
        </w:r>
        <w:r w:rsidR="009309BB">
          <w:rPr>
            <w:noProof/>
            <w:webHidden/>
          </w:rPr>
          <w:fldChar w:fldCharType="end"/>
        </w:r>
      </w:hyperlink>
    </w:p>
    <w:p w:rsidR="009309BB" w:rsidRDefault="00017F63">
      <w:pPr>
        <w:pStyle w:val="TableofFigures"/>
        <w:tabs>
          <w:tab w:val="right" w:leader="dot" w:pos="7571"/>
        </w:tabs>
        <w:rPr>
          <w:rFonts w:asciiTheme="minorHAnsi" w:eastAsiaTheme="minorEastAsia" w:hAnsiTheme="minorHAnsi" w:cstheme="minorBidi"/>
          <w:noProof/>
          <w:sz w:val="22"/>
          <w:szCs w:val="22"/>
        </w:rPr>
      </w:pPr>
      <w:hyperlink w:anchor="_Toc500087395" w:history="1">
        <w:r w:rsidR="009309BB" w:rsidRPr="00A42182">
          <w:rPr>
            <w:rStyle w:val="Hyperlink"/>
            <w:noProof/>
          </w:rPr>
          <w:t>Table 2. Profile of the Respondents</w:t>
        </w:r>
        <w:r w:rsidR="009309BB">
          <w:rPr>
            <w:noProof/>
            <w:webHidden/>
          </w:rPr>
          <w:tab/>
        </w:r>
        <w:r w:rsidR="009309BB">
          <w:rPr>
            <w:noProof/>
            <w:webHidden/>
          </w:rPr>
          <w:fldChar w:fldCharType="begin"/>
        </w:r>
        <w:r w:rsidR="009309BB">
          <w:rPr>
            <w:noProof/>
            <w:webHidden/>
          </w:rPr>
          <w:instrText xml:space="preserve"> PAGEREF _Toc500087395 \h </w:instrText>
        </w:r>
        <w:r w:rsidR="009309BB">
          <w:rPr>
            <w:noProof/>
            <w:webHidden/>
          </w:rPr>
        </w:r>
        <w:r w:rsidR="009309BB">
          <w:rPr>
            <w:noProof/>
            <w:webHidden/>
          </w:rPr>
          <w:fldChar w:fldCharType="separate"/>
        </w:r>
        <w:r w:rsidR="009309BB">
          <w:rPr>
            <w:noProof/>
            <w:webHidden/>
          </w:rPr>
          <w:t>62</w:t>
        </w:r>
        <w:r w:rsidR="009309BB">
          <w:rPr>
            <w:noProof/>
            <w:webHidden/>
          </w:rPr>
          <w:fldChar w:fldCharType="end"/>
        </w:r>
      </w:hyperlink>
    </w:p>
    <w:p w:rsidR="009309BB" w:rsidRDefault="00017F63">
      <w:pPr>
        <w:pStyle w:val="TableofFigures"/>
        <w:tabs>
          <w:tab w:val="right" w:leader="dot" w:pos="7571"/>
        </w:tabs>
        <w:rPr>
          <w:rFonts w:asciiTheme="minorHAnsi" w:eastAsiaTheme="minorEastAsia" w:hAnsiTheme="minorHAnsi" w:cstheme="minorBidi"/>
          <w:noProof/>
          <w:sz w:val="22"/>
          <w:szCs w:val="22"/>
        </w:rPr>
      </w:pPr>
      <w:hyperlink w:anchor="_Toc500087396" w:history="1">
        <w:r w:rsidR="009309BB" w:rsidRPr="00A42182">
          <w:rPr>
            <w:rStyle w:val="Hyperlink"/>
            <w:noProof/>
          </w:rPr>
          <w:t>Table 3. Goodness-of-Fit Indices for CFA</w:t>
        </w:r>
        <w:r w:rsidR="009309BB">
          <w:rPr>
            <w:noProof/>
            <w:webHidden/>
          </w:rPr>
          <w:tab/>
        </w:r>
        <w:r w:rsidR="009309BB">
          <w:rPr>
            <w:noProof/>
            <w:webHidden/>
          </w:rPr>
          <w:fldChar w:fldCharType="begin"/>
        </w:r>
        <w:r w:rsidR="009309BB">
          <w:rPr>
            <w:noProof/>
            <w:webHidden/>
          </w:rPr>
          <w:instrText xml:space="preserve"> PAGEREF _Toc500087396 \h </w:instrText>
        </w:r>
        <w:r w:rsidR="009309BB">
          <w:rPr>
            <w:noProof/>
            <w:webHidden/>
          </w:rPr>
        </w:r>
        <w:r w:rsidR="009309BB">
          <w:rPr>
            <w:noProof/>
            <w:webHidden/>
          </w:rPr>
          <w:fldChar w:fldCharType="separate"/>
        </w:r>
        <w:r w:rsidR="009309BB">
          <w:rPr>
            <w:noProof/>
            <w:webHidden/>
          </w:rPr>
          <w:t>68</w:t>
        </w:r>
        <w:r w:rsidR="009309BB">
          <w:rPr>
            <w:noProof/>
            <w:webHidden/>
          </w:rPr>
          <w:fldChar w:fldCharType="end"/>
        </w:r>
      </w:hyperlink>
    </w:p>
    <w:p w:rsidR="009309BB" w:rsidRDefault="00017F63">
      <w:pPr>
        <w:pStyle w:val="TableofFigures"/>
        <w:tabs>
          <w:tab w:val="right" w:leader="dot" w:pos="7571"/>
        </w:tabs>
        <w:rPr>
          <w:rFonts w:asciiTheme="minorHAnsi" w:eastAsiaTheme="minorEastAsia" w:hAnsiTheme="minorHAnsi" w:cstheme="minorBidi"/>
          <w:noProof/>
          <w:sz w:val="22"/>
          <w:szCs w:val="22"/>
        </w:rPr>
      </w:pPr>
      <w:hyperlink w:anchor="_Toc500087397" w:history="1">
        <w:r w:rsidR="009309BB" w:rsidRPr="00A42182">
          <w:rPr>
            <w:rStyle w:val="Hyperlink"/>
            <w:noProof/>
          </w:rPr>
          <w:t>Table 4. Descriptive Statistics</w:t>
        </w:r>
        <w:r w:rsidR="009309BB">
          <w:rPr>
            <w:noProof/>
            <w:webHidden/>
          </w:rPr>
          <w:tab/>
        </w:r>
        <w:r w:rsidR="009309BB">
          <w:rPr>
            <w:noProof/>
            <w:webHidden/>
          </w:rPr>
          <w:fldChar w:fldCharType="begin"/>
        </w:r>
        <w:r w:rsidR="009309BB">
          <w:rPr>
            <w:noProof/>
            <w:webHidden/>
          </w:rPr>
          <w:instrText xml:space="preserve"> PAGEREF _Toc500087397 \h </w:instrText>
        </w:r>
        <w:r w:rsidR="009309BB">
          <w:rPr>
            <w:noProof/>
            <w:webHidden/>
          </w:rPr>
        </w:r>
        <w:r w:rsidR="009309BB">
          <w:rPr>
            <w:noProof/>
            <w:webHidden/>
          </w:rPr>
          <w:fldChar w:fldCharType="separate"/>
        </w:r>
        <w:r w:rsidR="009309BB">
          <w:rPr>
            <w:noProof/>
            <w:webHidden/>
          </w:rPr>
          <w:t>80</w:t>
        </w:r>
        <w:r w:rsidR="009309BB">
          <w:rPr>
            <w:noProof/>
            <w:webHidden/>
          </w:rPr>
          <w:fldChar w:fldCharType="end"/>
        </w:r>
      </w:hyperlink>
    </w:p>
    <w:p w:rsidR="009309BB" w:rsidRDefault="00017F63">
      <w:pPr>
        <w:pStyle w:val="TableofFigures"/>
        <w:tabs>
          <w:tab w:val="right" w:leader="dot" w:pos="7571"/>
        </w:tabs>
        <w:rPr>
          <w:rFonts w:asciiTheme="minorHAnsi" w:eastAsiaTheme="minorEastAsia" w:hAnsiTheme="minorHAnsi" w:cstheme="minorBidi"/>
          <w:noProof/>
          <w:sz w:val="22"/>
          <w:szCs w:val="22"/>
        </w:rPr>
      </w:pPr>
      <w:hyperlink w:anchor="_Toc500087398" w:history="1">
        <w:r w:rsidR="009309BB" w:rsidRPr="00A42182">
          <w:rPr>
            <w:rStyle w:val="Hyperlink"/>
            <w:noProof/>
          </w:rPr>
          <w:t>Table 5. Scale Validity Analyses</w:t>
        </w:r>
        <w:r w:rsidR="009309BB">
          <w:rPr>
            <w:noProof/>
            <w:webHidden/>
          </w:rPr>
          <w:tab/>
        </w:r>
        <w:r w:rsidR="009309BB">
          <w:rPr>
            <w:noProof/>
            <w:webHidden/>
          </w:rPr>
          <w:fldChar w:fldCharType="begin"/>
        </w:r>
        <w:r w:rsidR="009309BB">
          <w:rPr>
            <w:noProof/>
            <w:webHidden/>
          </w:rPr>
          <w:instrText xml:space="preserve"> PAGEREF _Toc500087398 \h </w:instrText>
        </w:r>
        <w:r w:rsidR="009309BB">
          <w:rPr>
            <w:noProof/>
            <w:webHidden/>
          </w:rPr>
        </w:r>
        <w:r w:rsidR="009309BB">
          <w:rPr>
            <w:noProof/>
            <w:webHidden/>
          </w:rPr>
          <w:fldChar w:fldCharType="separate"/>
        </w:r>
        <w:r w:rsidR="009309BB">
          <w:rPr>
            <w:noProof/>
            <w:webHidden/>
          </w:rPr>
          <w:t>83</w:t>
        </w:r>
        <w:r w:rsidR="009309BB">
          <w:rPr>
            <w:noProof/>
            <w:webHidden/>
          </w:rPr>
          <w:fldChar w:fldCharType="end"/>
        </w:r>
      </w:hyperlink>
    </w:p>
    <w:p w:rsidR="009309BB" w:rsidRDefault="00017F63">
      <w:pPr>
        <w:pStyle w:val="TableofFigures"/>
        <w:tabs>
          <w:tab w:val="right" w:leader="dot" w:pos="7571"/>
        </w:tabs>
        <w:rPr>
          <w:rFonts w:asciiTheme="minorHAnsi" w:eastAsiaTheme="minorEastAsia" w:hAnsiTheme="minorHAnsi" w:cstheme="minorBidi"/>
          <w:noProof/>
          <w:sz w:val="22"/>
          <w:szCs w:val="22"/>
        </w:rPr>
      </w:pPr>
      <w:hyperlink w:anchor="_Toc500087399" w:history="1">
        <w:r w:rsidR="009309BB" w:rsidRPr="00A42182">
          <w:rPr>
            <w:rStyle w:val="Hyperlink"/>
            <w:noProof/>
          </w:rPr>
          <w:t>Table 6. Goodness-of-Fit Indices for the Latent Variable Model</w:t>
        </w:r>
        <w:r w:rsidR="009309BB">
          <w:rPr>
            <w:noProof/>
            <w:webHidden/>
          </w:rPr>
          <w:tab/>
        </w:r>
        <w:r w:rsidR="009309BB">
          <w:rPr>
            <w:noProof/>
            <w:webHidden/>
          </w:rPr>
          <w:fldChar w:fldCharType="begin"/>
        </w:r>
        <w:r w:rsidR="009309BB">
          <w:rPr>
            <w:noProof/>
            <w:webHidden/>
          </w:rPr>
          <w:instrText xml:space="preserve"> PAGEREF _Toc500087399 \h </w:instrText>
        </w:r>
        <w:r w:rsidR="009309BB">
          <w:rPr>
            <w:noProof/>
            <w:webHidden/>
          </w:rPr>
        </w:r>
        <w:r w:rsidR="009309BB">
          <w:rPr>
            <w:noProof/>
            <w:webHidden/>
          </w:rPr>
          <w:fldChar w:fldCharType="separate"/>
        </w:r>
        <w:r w:rsidR="009309BB">
          <w:rPr>
            <w:noProof/>
            <w:webHidden/>
          </w:rPr>
          <w:t>86</w:t>
        </w:r>
        <w:r w:rsidR="009309BB">
          <w:rPr>
            <w:noProof/>
            <w:webHidden/>
          </w:rPr>
          <w:fldChar w:fldCharType="end"/>
        </w:r>
      </w:hyperlink>
    </w:p>
    <w:p w:rsidR="009309BB" w:rsidRDefault="00017F63">
      <w:pPr>
        <w:pStyle w:val="TableofFigures"/>
        <w:tabs>
          <w:tab w:val="right" w:leader="dot" w:pos="7571"/>
        </w:tabs>
        <w:rPr>
          <w:rFonts w:asciiTheme="minorHAnsi" w:eastAsiaTheme="minorEastAsia" w:hAnsiTheme="minorHAnsi" w:cstheme="minorBidi"/>
          <w:noProof/>
          <w:sz w:val="22"/>
          <w:szCs w:val="22"/>
        </w:rPr>
      </w:pPr>
      <w:hyperlink w:anchor="_Toc500087400" w:history="1">
        <w:r w:rsidR="009309BB" w:rsidRPr="00A42182">
          <w:rPr>
            <w:rStyle w:val="Hyperlink"/>
            <w:noProof/>
          </w:rPr>
          <w:t>Table 7. Statistical Relationship of P-Values for the Model</w:t>
        </w:r>
        <w:r w:rsidR="009309BB">
          <w:rPr>
            <w:noProof/>
            <w:webHidden/>
          </w:rPr>
          <w:tab/>
        </w:r>
        <w:r w:rsidR="009309BB">
          <w:rPr>
            <w:noProof/>
            <w:webHidden/>
          </w:rPr>
          <w:fldChar w:fldCharType="begin"/>
        </w:r>
        <w:r w:rsidR="009309BB">
          <w:rPr>
            <w:noProof/>
            <w:webHidden/>
          </w:rPr>
          <w:instrText xml:space="preserve"> PAGEREF _Toc500087400 \h </w:instrText>
        </w:r>
        <w:r w:rsidR="009309BB">
          <w:rPr>
            <w:noProof/>
            <w:webHidden/>
          </w:rPr>
        </w:r>
        <w:r w:rsidR="009309BB">
          <w:rPr>
            <w:noProof/>
            <w:webHidden/>
          </w:rPr>
          <w:fldChar w:fldCharType="separate"/>
        </w:r>
        <w:r w:rsidR="009309BB">
          <w:rPr>
            <w:noProof/>
            <w:webHidden/>
          </w:rPr>
          <w:t>89</w:t>
        </w:r>
        <w:r w:rsidR="009309BB">
          <w:rPr>
            <w:noProof/>
            <w:webHidden/>
          </w:rPr>
          <w:fldChar w:fldCharType="end"/>
        </w:r>
      </w:hyperlink>
    </w:p>
    <w:p w:rsidR="009309BB" w:rsidRDefault="00017F63">
      <w:pPr>
        <w:pStyle w:val="TableofFigures"/>
        <w:tabs>
          <w:tab w:val="right" w:leader="dot" w:pos="7571"/>
        </w:tabs>
        <w:rPr>
          <w:rFonts w:asciiTheme="minorHAnsi" w:eastAsiaTheme="minorEastAsia" w:hAnsiTheme="minorHAnsi" w:cstheme="minorBidi"/>
          <w:noProof/>
          <w:sz w:val="22"/>
          <w:szCs w:val="22"/>
        </w:rPr>
      </w:pPr>
      <w:hyperlink w:anchor="_Toc500087401" w:history="1">
        <w:r w:rsidR="009309BB" w:rsidRPr="00A42182">
          <w:rPr>
            <w:rStyle w:val="Hyperlink"/>
            <w:noProof/>
          </w:rPr>
          <w:t>Table 8. Statistical Relationship of Path Coefficients for the Model</w:t>
        </w:r>
        <w:r w:rsidR="009309BB">
          <w:rPr>
            <w:noProof/>
            <w:webHidden/>
          </w:rPr>
          <w:tab/>
        </w:r>
        <w:r w:rsidR="009309BB">
          <w:rPr>
            <w:noProof/>
            <w:webHidden/>
          </w:rPr>
          <w:fldChar w:fldCharType="begin"/>
        </w:r>
        <w:r w:rsidR="009309BB">
          <w:rPr>
            <w:noProof/>
            <w:webHidden/>
          </w:rPr>
          <w:instrText xml:space="preserve"> PAGEREF _Toc500087401 \h </w:instrText>
        </w:r>
        <w:r w:rsidR="009309BB">
          <w:rPr>
            <w:noProof/>
            <w:webHidden/>
          </w:rPr>
        </w:r>
        <w:r w:rsidR="009309BB">
          <w:rPr>
            <w:noProof/>
            <w:webHidden/>
          </w:rPr>
          <w:fldChar w:fldCharType="separate"/>
        </w:r>
        <w:r w:rsidR="009309BB">
          <w:rPr>
            <w:noProof/>
            <w:webHidden/>
          </w:rPr>
          <w:t>90</w:t>
        </w:r>
        <w:r w:rsidR="009309BB">
          <w:rPr>
            <w:noProof/>
            <w:webHidden/>
          </w:rPr>
          <w:fldChar w:fldCharType="end"/>
        </w:r>
      </w:hyperlink>
    </w:p>
    <w:p w:rsidR="009309BB" w:rsidRDefault="00017F63">
      <w:pPr>
        <w:pStyle w:val="TableofFigures"/>
        <w:tabs>
          <w:tab w:val="right" w:leader="dot" w:pos="7571"/>
        </w:tabs>
        <w:rPr>
          <w:rFonts w:asciiTheme="minorHAnsi" w:eastAsiaTheme="minorEastAsia" w:hAnsiTheme="minorHAnsi" w:cstheme="minorBidi"/>
          <w:noProof/>
          <w:sz w:val="22"/>
          <w:szCs w:val="22"/>
        </w:rPr>
      </w:pPr>
      <w:hyperlink w:anchor="_Toc500087402" w:history="1">
        <w:r w:rsidR="009309BB" w:rsidRPr="00A42182">
          <w:rPr>
            <w:rStyle w:val="Hyperlink"/>
            <w:noProof/>
          </w:rPr>
          <w:t>Table 9. Decomposition of Effects among Factors</w:t>
        </w:r>
        <w:r w:rsidR="009309BB">
          <w:rPr>
            <w:noProof/>
            <w:webHidden/>
          </w:rPr>
          <w:tab/>
        </w:r>
        <w:r w:rsidR="009309BB">
          <w:rPr>
            <w:noProof/>
            <w:webHidden/>
          </w:rPr>
          <w:fldChar w:fldCharType="begin"/>
        </w:r>
        <w:r w:rsidR="009309BB">
          <w:rPr>
            <w:noProof/>
            <w:webHidden/>
          </w:rPr>
          <w:instrText xml:space="preserve"> PAGEREF _Toc500087402 \h </w:instrText>
        </w:r>
        <w:r w:rsidR="009309BB">
          <w:rPr>
            <w:noProof/>
            <w:webHidden/>
          </w:rPr>
        </w:r>
        <w:r w:rsidR="009309BB">
          <w:rPr>
            <w:noProof/>
            <w:webHidden/>
          </w:rPr>
          <w:fldChar w:fldCharType="separate"/>
        </w:r>
        <w:r w:rsidR="009309BB">
          <w:rPr>
            <w:noProof/>
            <w:webHidden/>
          </w:rPr>
          <w:t>93</w:t>
        </w:r>
        <w:r w:rsidR="009309BB">
          <w:rPr>
            <w:noProof/>
            <w:webHidden/>
          </w:rPr>
          <w:fldChar w:fldCharType="end"/>
        </w:r>
      </w:hyperlink>
    </w:p>
    <w:p w:rsidR="009309BB" w:rsidRDefault="00017F63">
      <w:pPr>
        <w:pStyle w:val="TableofFigures"/>
        <w:tabs>
          <w:tab w:val="right" w:leader="dot" w:pos="7571"/>
        </w:tabs>
        <w:rPr>
          <w:rFonts w:asciiTheme="minorHAnsi" w:eastAsiaTheme="minorEastAsia" w:hAnsiTheme="minorHAnsi" w:cstheme="minorBidi"/>
          <w:noProof/>
          <w:sz w:val="22"/>
          <w:szCs w:val="22"/>
        </w:rPr>
      </w:pPr>
      <w:hyperlink w:anchor="_Toc500087403" w:history="1">
        <w:r w:rsidR="009309BB" w:rsidRPr="00A42182">
          <w:rPr>
            <w:rStyle w:val="Hyperlink"/>
            <w:noProof/>
          </w:rPr>
          <w:t>Table 10. ANOVA on Financial Performance</w:t>
        </w:r>
        <w:r w:rsidR="009309BB">
          <w:rPr>
            <w:noProof/>
            <w:webHidden/>
          </w:rPr>
          <w:tab/>
        </w:r>
        <w:r w:rsidR="009309BB">
          <w:rPr>
            <w:noProof/>
            <w:webHidden/>
          </w:rPr>
          <w:fldChar w:fldCharType="begin"/>
        </w:r>
        <w:r w:rsidR="009309BB">
          <w:rPr>
            <w:noProof/>
            <w:webHidden/>
          </w:rPr>
          <w:instrText xml:space="preserve"> PAGEREF _Toc500087403 \h </w:instrText>
        </w:r>
        <w:r w:rsidR="009309BB">
          <w:rPr>
            <w:noProof/>
            <w:webHidden/>
          </w:rPr>
        </w:r>
        <w:r w:rsidR="009309BB">
          <w:rPr>
            <w:noProof/>
            <w:webHidden/>
          </w:rPr>
          <w:fldChar w:fldCharType="separate"/>
        </w:r>
        <w:r w:rsidR="009309BB">
          <w:rPr>
            <w:noProof/>
            <w:webHidden/>
          </w:rPr>
          <w:t>94</w:t>
        </w:r>
        <w:r w:rsidR="009309BB">
          <w:rPr>
            <w:noProof/>
            <w:webHidden/>
          </w:rPr>
          <w:fldChar w:fldCharType="end"/>
        </w:r>
      </w:hyperlink>
    </w:p>
    <w:p w:rsidR="006356CB" w:rsidRPr="00FE71D6" w:rsidRDefault="00B85134" w:rsidP="00CE2949">
      <w:r w:rsidRPr="00FE71D6">
        <w:fldChar w:fldCharType="end"/>
      </w: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C531D8" w:rsidRPr="00FE71D6" w:rsidRDefault="00C531D8" w:rsidP="00DF07D5">
      <w:pPr>
        <w:spacing w:after="320"/>
        <w:jc w:val="center"/>
        <w:rPr>
          <w:b/>
          <w:bCs/>
        </w:rPr>
      </w:pPr>
      <w:r w:rsidRPr="00FE71D6">
        <w:rPr>
          <w:b/>
          <w:bCs/>
        </w:rPr>
        <w:lastRenderedPageBreak/>
        <w:t>LIST OF FIGURES</w:t>
      </w:r>
    </w:p>
    <w:p w:rsidR="009309BB" w:rsidRDefault="007739FC">
      <w:pPr>
        <w:pStyle w:val="TableofFigures"/>
        <w:tabs>
          <w:tab w:val="right" w:leader="dot" w:pos="7571"/>
        </w:tabs>
        <w:rPr>
          <w:rFonts w:asciiTheme="minorHAnsi" w:eastAsiaTheme="minorEastAsia" w:hAnsiTheme="minorHAnsi" w:cstheme="minorBidi"/>
          <w:noProof/>
          <w:sz w:val="22"/>
          <w:szCs w:val="22"/>
        </w:rPr>
      </w:pPr>
      <w:r w:rsidRPr="00FE71D6">
        <w:rPr>
          <w:b/>
          <w:bCs/>
          <w:i/>
          <w:iCs/>
        </w:rPr>
        <w:fldChar w:fldCharType="begin"/>
      </w:r>
      <w:r w:rsidRPr="00FE71D6">
        <w:rPr>
          <w:b/>
          <w:bCs/>
          <w:i/>
          <w:iCs/>
        </w:rPr>
        <w:instrText xml:space="preserve"> TOC \h \z \c "Figure" </w:instrText>
      </w:r>
      <w:r w:rsidRPr="00FE71D6">
        <w:rPr>
          <w:b/>
          <w:bCs/>
          <w:i/>
          <w:iCs/>
        </w:rPr>
        <w:fldChar w:fldCharType="separate"/>
      </w:r>
      <w:hyperlink w:anchor="_Toc500087406" w:history="1">
        <w:r w:rsidR="009309BB" w:rsidRPr="00F1484B">
          <w:rPr>
            <w:rStyle w:val="Hyperlink"/>
            <w:noProof/>
          </w:rPr>
          <w:t>Figure 1. Proposed Latent Variable Model</w:t>
        </w:r>
        <w:r w:rsidR="009309BB">
          <w:rPr>
            <w:noProof/>
            <w:webHidden/>
          </w:rPr>
          <w:tab/>
        </w:r>
        <w:r w:rsidR="009309BB">
          <w:rPr>
            <w:noProof/>
            <w:webHidden/>
          </w:rPr>
          <w:fldChar w:fldCharType="begin"/>
        </w:r>
        <w:r w:rsidR="009309BB">
          <w:rPr>
            <w:noProof/>
            <w:webHidden/>
          </w:rPr>
          <w:instrText xml:space="preserve"> PAGEREF _Toc500087406 \h </w:instrText>
        </w:r>
        <w:r w:rsidR="009309BB">
          <w:rPr>
            <w:noProof/>
            <w:webHidden/>
          </w:rPr>
        </w:r>
        <w:r w:rsidR="009309BB">
          <w:rPr>
            <w:noProof/>
            <w:webHidden/>
          </w:rPr>
          <w:fldChar w:fldCharType="separate"/>
        </w:r>
        <w:r w:rsidR="009309BB">
          <w:rPr>
            <w:noProof/>
            <w:webHidden/>
          </w:rPr>
          <w:t>53</w:t>
        </w:r>
        <w:r w:rsidR="009309BB">
          <w:rPr>
            <w:noProof/>
            <w:webHidden/>
          </w:rPr>
          <w:fldChar w:fldCharType="end"/>
        </w:r>
      </w:hyperlink>
    </w:p>
    <w:p w:rsidR="009309BB" w:rsidRDefault="00017F63">
      <w:pPr>
        <w:pStyle w:val="TableofFigures"/>
        <w:tabs>
          <w:tab w:val="right" w:leader="dot" w:pos="7571"/>
        </w:tabs>
        <w:rPr>
          <w:rFonts w:asciiTheme="minorHAnsi" w:eastAsiaTheme="minorEastAsia" w:hAnsiTheme="minorHAnsi" w:cstheme="minorBidi"/>
          <w:noProof/>
          <w:sz w:val="22"/>
          <w:szCs w:val="22"/>
        </w:rPr>
      </w:pPr>
      <w:hyperlink w:anchor="_Toc500087407" w:history="1">
        <w:r w:rsidR="009309BB" w:rsidRPr="00F1484B">
          <w:rPr>
            <w:rStyle w:val="Hyperlink"/>
            <w:noProof/>
          </w:rPr>
          <w:t>Figure 2. Results of the Latent Variable Model Test</w:t>
        </w:r>
        <w:r w:rsidR="009309BB">
          <w:rPr>
            <w:noProof/>
            <w:webHidden/>
          </w:rPr>
          <w:tab/>
        </w:r>
        <w:r w:rsidR="009309BB">
          <w:rPr>
            <w:noProof/>
            <w:webHidden/>
          </w:rPr>
          <w:fldChar w:fldCharType="begin"/>
        </w:r>
        <w:r w:rsidR="009309BB">
          <w:rPr>
            <w:noProof/>
            <w:webHidden/>
          </w:rPr>
          <w:instrText xml:space="preserve"> PAGEREF _Toc500087407 \h </w:instrText>
        </w:r>
        <w:r w:rsidR="009309BB">
          <w:rPr>
            <w:noProof/>
            <w:webHidden/>
          </w:rPr>
        </w:r>
        <w:r w:rsidR="009309BB">
          <w:rPr>
            <w:noProof/>
            <w:webHidden/>
          </w:rPr>
          <w:fldChar w:fldCharType="separate"/>
        </w:r>
        <w:r w:rsidR="009309BB">
          <w:rPr>
            <w:noProof/>
            <w:webHidden/>
          </w:rPr>
          <w:t>90</w:t>
        </w:r>
        <w:r w:rsidR="009309BB">
          <w:rPr>
            <w:noProof/>
            <w:webHidden/>
          </w:rPr>
          <w:fldChar w:fldCharType="end"/>
        </w:r>
      </w:hyperlink>
    </w:p>
    <w:p w:rsidR="000E4136" w:rsidRPr="00FE71D6" w:rsidRDefault="007739FC" w:rsidP="007739FC">
      <w:pPr>
        <w:pStyle w:val="Affiliation"/>
        <w:spacing w:before="0" w:after="120" w:line="480" w:lineRule="auto"/>
        <w:rPr>
          <w:b/>
          <w:bCs/>
          <w:i w:val="0"/>
          <w:iCs/>
        </w:rPr>
      </w:pPr>
      <w:r w:rsidRPr="00FE71D6">
        <w:rPr>
          <w:b/>
          <w:bCs/>
          <w:i w:val="0"/>
          <w:iCs/>
        </w:rPr>
        <w:fldChar w:fldCharType="end"/>
      </w: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0E4136" w:rsidRPr="00FE71D6" w:rsidRDefault="000E4136" w:rsidP="0088339B">
      <w:pPr>
        <w:pStyle w:val="Affiliation"/>
        <w:spacing w:before="0" w:after="120" w:line="480" w:lineRule="auto"/>
        <w:jc w:val="center"/>
        <w:rPr>
          <w:b/>
          <w:bCs/>
          <w:i w:val="0"/>
          <w:iCs/>
        </w:rPr>
      </w:pPr>
    </w:p>
    <w:p w:rsidR="00884858" w:rsidRPr="00FE71D6" w:rsidRDefault="00884858" w:rsidP="000E4136">
      <w:pPr>
        <w:tabs>
          <w:tab w:val="left" w:pos="3776"/>
          <w:tab w:val="center" w:pos="4249"/>
        </w:tabs>
        <w:jc w:val="center"/>
        <w:rPr>
          <w:b/>
          <w:bCs/>
        </w:rPr>
      </w:pPr>
    </w:p>
    <w:p w:rsidR="004B21E0" w:rsidRPr="00FE71D6" w:rsidRDefault="004B21E0">
      <w:pPr>
        <w:spacing w:line="240" w:lineRule="auto"/>
        <w:rPr>
          <w:b/>
          <w:bCs/>
        </w:rPr>
        <w:sectPr w:rsidR="004B21E0" w:rsidRPr="00FE71D6" w:rsidSect="00E14476">
          <w:headerReference w:type="default" r:id="rId13"/>
          <w:footerReference w:type="default" r:id="rId14"/>
          <w:footerReference w:type="first" r:id="rId15"/>
          <w:pgSz w:w="11901" w:h="16840" w:code="9"/>
          <w:pgMar w:top="2880" w:right="2160" w:bottom="1800" w:left="2160" w:header="706" w:footer="706" w:gutter="0"/>
          <w:pgNumType w:fmt="lowerRoman" w:start="1"/>
          <w:cols w:space="708"/>
          <w:titlePg/>
          <w:docGrid w:linePitch="360"/>
        </w:sectPr>
      </w:pPr>
    </w:p>
    <w:p w:rsidR="000E4136" w:rsidRPr="00FE71D6" w:rsidRDefault="00645926" w:rsidP="00D86636">
      <w:pPr>
        <w:pStyle w:val="Heading1"/>
      </w:pPr>
      <w:bookmarkStart w:id="3" w:name="_Toc495527304"/>
      <w:bookmarkStart w:id="4" w:name="_Toc500087459"/>
      <w:r w:rsidRPr="00FE71D6">
        <w:lastRenderedPageBreak/>
        <w:t>CHAPTER ONE</w:t>
      </w:r>
      <w:r w:rsidR="000E4136" w:rsidRPr="00FE71D6">
        <w:t>: INTRODUCTION</w:t>
      </w:r>
      <w:bookmarkEnd w:id="3"/>
      <w:bookmarkEnd w:id="4"/>
    </w:p>
    <w:p w:rsidR="007E2489" w:rsidRPr="00FE71D6" w:rsidRDefault="00250D40" w:rsidP="00250D40">
      <w:pPr>
        <w:pStyle w:val="Heading2"/>
        <w:contextualSpacing w:val="0"/>
        <w:rPr>
          <w:lang w:val="en-US"/>
        </w:rPr>
      </w:pPr>
      <w:bookmarkStart w:id="5" w:name="_Toc500087460"/>
      <w:r w:rsidRPr="00FE71D6">
        <w:rPr>
          <w:lang w:val="en-US"/>
        </w:rPr>
        <w:t>1.</w:t>
      </w:r>
      <w:r w:rsidR="008E27AB" w:rsidRPr="00FE71D6">
        <w:rPr>
          <w:lang w:val="en-US"/>
        </w:rPr>
        <w:t>1</w:t>
      </w:r>
      <w:r w:rsidRPr="00FE71D6">
        <w:rPr>
          <w:lang w:val="en-US"/>
        </w:rPr>
        <w:t xml:space="preserve"> </w:t>
      </w:r>
      <w:r w:rsidR="007E2489" w:rsidRPr="00FE71D6">
        <w:rPr>
          <w:lang w:val="en-US"/>
        </w:rPr>
        <w:t>Background of the Study</w:t>
      </w:r>
      <w:bookmarkEnd w:id="5"/>
    </w:p>
    <w:p w:rsidR="000E4136" w:rsidRPr="00FE71D6" w:rsidRDefault="00E00F93" w:rsidP="00E00F93">
      <w:pPr>
        <w:pStyle w:val="Paragraph"/>
        <w:spacing w:before="0"/>
        <w:jc w:val="both"/>
      </w:pPr>
      <w:r w:rsidRPr="00FE71D6">
        <w:t>A supply chain encloses each exertion comprised in manufacturing and distributing a final product, from supplier to consumer. Four fundamental procedures: plan, source, produce, distribute, commonly describe these exertions, which encompass running supply and demand, obtaining raw materials and spare parts, producing and get-together, storing and inventory hunt down, instruction enter and instruction controlling, dissemination through entire stations, and distribution to the customers</w:t>
      </w:r>
      <w:r w:rsidR="000E4136" w:rsidRPr="00FE71D6">
        <w:t xml:space="preserve"> (Supply Chain Council, 1997). </w:t>
      </w:r>
      <w:r w:rsidRPr="00FE71D6">
        <w:t>American Production and Inventory Control Society (APICS) defines supply chain as “the procedures beginning the first raw materials toward last ingestion of the complete product connecting through supplier-consumer companies”</w:t>
      </w:r>
      <w:r w:rsidR="006E41E8" w:rsidRPr="00FE71D6">
        <w:t xml:space="preserve"> (</w:t>
      </w:r>
      <w:r w:rsidR="002723F6" w:rsidRPr="00FE71D6">
        <w:t>p</w:t>
      </w:r>
      <w:r w:rsidR="006E41E8" w:rsidRPr="00FE71D6">
        <w:t>. 68)</w:t>
      </w:r>
      <w:r w:rsidR="000E4136" w:rsidRPr="00FE71D6">
        <w:t xml:space="preserve">. </w:t>
      </w:r>
      <w:r w:rsidRPr="00FE71D6">
        <w:t>The supply chain contains the entire occupations internal and external association that permits the value chain to manufacture products and offer services to customers. Lummus et al. (2001) clarify this description by encompassing the information systems essential to control the whole of those actions. This conceptualization is consistent with Alber and Walker (1998) who defined supply chain as “the universal network employed to provide products and services from raw materials to final customers via an engineered flow of information, corporeal dissemination, and cash flow”</w:t>
      </w:r>
      <w:r w:rsidR="002723F6" w:rsidRPr="00FE71D6">
        <w:t xml:space="preserve"> (p. 68).</w:t>
      </w:r>
    </w:p>
    <w:p w:rsidR="000E4136" w:rsidRPr="00FE71D6" w:rsidRDefault="000954A3" w:rsidP="000954A3">
      <w:pPr>
        <w:pStyle w:val="Paragraph"/>
        <w:spacing w:before="0"/>
        <w:ind w:firstLine="720"/>
        <w:jc w:val="both"/>
      </w:pPr>
      <w:r w:rsidRPr="00FE71D6">
        <w:t>Managing a supply chain is becoming the watchword for companies. Moreover, supply chain management has turn out to be a crucial research area throughout the previous decade</w:t>
      </w:r>
      <w:r w:rsidR="000E4136" w:rsidRPr="00FE71D6">
        <w:t xml:space="preserve"> (Cook &amp; Heiser, 2011). </w:t>
      </w:r>
      <w:r w:rsidRPr="00FE71D6">
        <w:t xml:space="preserve">As indicated by </w:t>
      </w:r>
      <w:r w:rsidRPr="00FE71D6">
        <w:lastRenderedPageBreak/>
        <w:t>several researchers, competition is no more existing among organizations, but among supply chains</w:t>
      </w:r>
      <w:r w:rsidR="000E4136" w:rsidRPr="00FE71D6">
        <w:t xml:space="preserve"> (Cox, 1999; Lambert &amp; Cooper, 2000; Noble, 1997). </w:t>
      </w:r>
      <w:r w:rsidRPr="00FE71D6">
        <w:t>In the present day’s competing business environments, monitoring and integrating the supply chain is no longer a choice but a must</w:t>
      </w:r>
      <w:r w:rsidR="000E4136" w:rsidRPr="00FE71D6">
        <w:t xml:space="preserve"> (O’Connell, 1999; Spekman et al., 1998). </w:t>
      </w:r>
      <w:r w:rsidRPr="00FE71D6">
        <w:t>Supply chain management has foreseen an improved consideration from educators, advisers, and business managers’ comparability</w:t>
      </w:r>
      <w:r w:rsidR="000E4136" w:rsidRPr="00FE71D6">
        <w:t xml:space="preserve"> (Croom et al., 2000; Tan et al., 1998; Van Hoek, 1998).</w:t>
      </w:r>
    </w:p>
    <w:p w:rsidR="007C04BD" w:rsidRPr="00FE71D6" w:rsidRDefault="000954A3" w:rsidP="000954A3">
      <w:pPr>
        <w:pStyle w:val="Paragraph"/>
        <w:spacing w:before="0"/>
        <w:ind w:firstLine="720"/>
        <w:jc w:val="both"/>
      </w:pPr>
      <w:r w:rsidRPr="00FE71D6">
        <w:t>The supply chain management practices are anticipated to generate added value in several methods: decreased bookkeeping, decreased inventory cost, upturned customer service</w:t>
      </w:r>
      <w:r w:rsidR="007C04BD" w:rsidRPr="00FE71D6">
        <w:t xml:space="preserve"> (Balsmeier &amp; Voisin, 1996; Sengupta &amp; Turnbull, 1996), </w:t>
      </w:r>
      <w:r w:rsidRPr="00FE71D6">
        <w:t>enriched degree of excellence, quicker distribution, wider obtainability, tougher competitive advantage</w:t>
      </w:r>
      <w:r w:rsidR="00CE22E2" w:rsidRPr="00FE71D6">
        <w:t xml:space="preserve"> (Patterson, 1995), </w:t>
      </w:r>
      <w:r w:rsidRPr="00FE71D6">
        <w:t>and improved agility of a company</w:t>
      </w:r>
      <w:r w:rsidR="007C04BD" w:rsidRPr="00FE71D6">
        <w:t xml:space="preserve"> (Prater et al., 2001). </w:t>
      </w:r>
      <w:r w:rsidRPr="00FE71D6">
        <w:t>Numerous companies are currently identifying supply chain management as the core to form a maintainable competitive advantage for their products or services in a progressively jam-packed marketplace</w:t>
      </w:r>
      <w:r w:rsidR="007C04BD" w:rsidRPr="00FE71D6">
        <w:t xml:space="preserve"> (Jones, 1998).</w:t>
      </w:r>
    </w:p>
    <w:p w:rsidR="001C7271" w:rsidRPr="00FE71D6" w:rsidRDefault="00BE6755" w:rsidP="00BE6755">
      <w:pPr>
        <w:pStyle w:val="Paragraph"/>
        <w:spacing w:before="0"/>
        <w:ind w:firstLine="720"/>
        <w:jc w:val="both"/>
      </w:pPr>
      <w:r w:rsidRPr="00FE71D6">
        <w:t>The literature is complete with catchwords, for instance, integrated purchasing plan, integrated inventory administration, supplier integration, purchaser-supplier partnerships, supply-base administration, planned supplier alliances, supply chain synchronization and supply chain management, to discourse the components of phases of this new management philosophy of supply chain management</w:t>
      </w:r>
      <w:r w:rsidR="00A35A91" w:rsidRPr="00FE71D6">
        <w:t xml:space="preserve"> </w:t>
      </w:r>
      <w:r w:rsidR="001C7271" w:rsidRPr="00FE71D6">
        <w:t xml:space="preserve">(Tan, 2001). </w:t>
      </w:r>
      <w:r w:rsidRPr="00FE71D6">
        <w:t xml:space="preserve">Although each term discourses components of phenomenon, usually concentrating on immediate suppliers of a company; supply chain management is the most extensively employed, </w:t>
      </w:r>
      <w:r w:rsidRPr="00FE71D6">
        <w:lastRenderedPageBreak/>
        <w:t>however, misemployed term to designate this viewpoint. Inappropriately, there is a mystifying abundance of overlapping terminologies and meanings for supply chain management. This is in some measure due to the method that the perception of supply chain management is settled. Originally, the development and evolution of supply chain management followed two distinct pathways: buying and supply management, and shipping and inventory management</w:t>
      </w:r>
      <w:r w:rsidR="001C7271" w:rsidRPr="00FE71D6">
        <w:t xml:space="preserve"> (Tan et al., 1998), </w:t>
      </w:r>
      <w:r w:rsidRPr="00FE71D6">
        <w:t>which ultimately merged into a rounded supply chain management that incorporates all the value-added actions across the supply chain</w:t>
      </w:r>
      <w:r w:rsidR="001C7271" w:rsidRPr="00FE71D6">
        <w:t>.</w:t>
      </w:r>
    </w:p>
    <w:p w:rsidR="00082F73" w:rsidRPr="00FE71D6" w:rsidRDefault="00C80E54" w:rsidP="004F7E89">
      <w:pPr>
        <w:pStyle w:val="Paragraph"/>
        <w:spacing w:before="0"/>
        <w:ind w:firstLine="720"/>
        <w:jc w:val="both"/>
      </w:pPr>
      <w:r w:rsidRPr="00FE71D6">
        <w:t>Most literatures on supply chain management as designated on this document follow purchasing and supply perspectives. According to this viewpoint, supply chain management is identical to the integration of supply base that progressed as of the traditional buying and materials purposes. It is an administrative viewpoint that encompasses traditional intra-project actions by passing trading partners composed with a mutual aim of optimization and competence</w:t>
      </w:r>
      <w:r w:rsidR="00082F73" w:rsidRPr="00FE71D6">
        <w:t xml:space="preserve"> (Suhong Li, 2002). </w:t>
      </w:r>
      <w:r w:rsidR="004F7E89" w:rsidRPr="00FE71D6">
        <w:t xml:space="preserve">This viewpoint on supply chain management stresses on the manufacturing sector and its upstream activities, and has little to do with the downstream activities of transportation and inventory management. A transportation and inventory management perspectives in the wholesaling and retailing sector emphasize on location and inventory management issues more often than manufacture. In this perspective, supply chain management is identical to integrated inventory management structures. An integrated inventory management system covers the integration of procedures, structures, and companies that monitor the drive of commodities </w:t>
      </w:r>
      <w:r w:rsidR="004F7E89" w:rsidRPr="00FE71D6">
        <w:lastRenderedPageBreak/>
        <w:t>from the suppliers to pleased customers while lessening damage</w:t>
      </w:r>
      <w:r w:rsidR="00082F73" w:rsidRPr="00FE71D6">
        <w:t xml:space="preserve"> (Suhong Li, 2002). </w:t>
      </w:r>
      <w:r w:rsidR="004F7E89" w:rsidRPr="00FE71D6">
        <w:t>Thus, an integrated inventory management comprises inventory management system, seller interactions, conveyance, delivery, storing, and distribution facilities</w:t>
      </w:r>
      <w:r w:rsidR="00082F73" w:rsidRPr="00FE71D6">
        <w:t>.</w:t>
      </w:r>
    </w:p>
    <w:p w:rsidR="00643B3F" w:rsidRPr="00FE71D6" w:rsidRDefault="00F332ED" w:rsidP="00200AAC">
      <w:pPr>
        <w:pStyle w:val="Paragraph"/>
        <w:spacing w:before="0"/>
        <w:ind w:firstLine="720"/>
        <w:jc w:val="both"/>
      </w:pPr>
      <w:r w:rsidRPr="00FE71D6">
        <w:t>Ultimately, these two viewpoints progressed into an integrated supply chain management perspective that integrates the entire actions alongside the supply chain</w:t>
      </w:r>
      <w:r w:rsidR="00643B3F" w:rsidRPr="00FE71D6">
        <w:t xml:space="preserve"> (Tan, 2001). </w:t>
      </w:r>
      <w:r w:rsidR="00200AAC" w:rsidRPr="00FE71D6">
        <w:t>The goal of supply chain management is to generate manufacturing procedures and inventory management purposes perfectly through the supply chain as an operational competitive armament that cannot be simply replicated by competitors. The ways in which supply chain management varies starting integrated inventory management and buying and supply management are the scopes and the activities they refer to. Supply chain management has advanced into a rounded approach to manage across organizational boundaries, comprising upstream side of purchasing and supply management, and the downstream side of physical distribution and inventory management</w:t>
      </w:r>
      <w:r w:rsidR="00643B3F" w:rsidRPr="00FE71D6">
        <w:t xml:space="preserve"> (Slack et al., 1998). </w:t>
      </w:r>
      <w:r w:rsidR="00200AAC" w:rsidRPr="00FE71D6">
        <w:t>On the other hand, supply chain management goes further than integrated inventory management because its purpose is to integrate the entire business procedures and initiate final customers toward innovative suppliers, which offer products, services, and information that add value for the consumers</w:t>
      </w:r>
      <w:r w:rsidR="00643B3F" w:rsidRPr="00FE71D6">
        <w:t xml:space="preserve"> (Cooper et al., 1997). </w:t>
      </w:r>
      <w:r w:rsidR="00200AAC" w:rsidRPr="00FE71D6">
        <w:t>From this view point, supply chain management comprises not only inventory management activities, even if stretched to the entire supply network, but also to other procedures</w:t>
      </w:r>
      <w:r w:rsidR="00643B3F" w:rsidRPr="00FE71D6">
        <w:t xml:space="preserve"> (Romano &amp; Vinelli, 2001).</w:t>
      </w:r>
    </w:p>
    <w:p w:rsidR="00764B12" w:rsidRPr="00FE71D6" w:rsidRDefault="00764B12" w:rsidP="00764B12">
      <w:pPr>
        <w:pStyle w:val="Newparagraph"/>
      </w:pPr>
    </w:p>
    <w:p w:rsidR="000E4136" w:rsidRPr="00FE71D6" w:rsidRDefault="003B7DE5" w:rsidP="00951422">
      <w:pPr>
        <w:pStyle w:val="Paragraph"/>
        <w:spacing w:before="0"/>
        <w:ind w:firstLine="720"/>
        <w:jc w:val="both"/>
      </w:pPr>
      <w:r w:rsidRPr="00FE71D6">
        <w:lastRenderedPageBreak/>
        <w:t>The description given by the Council of Logistics Management (CLM) offers a comprehensive and concise summary of aforementioned descriptions. Moreover, unlike other descriptions, this description clearly designates the planned nature of harmonization between trading partners and clarifies the double determination of supply chain management: to enhance the performance of a separate company in addition to that of the entire supply chain. This description is similarly employed in the study of Mentzer (1999) and Mentzer et al. (2000). Consequently, it is obvious to accept this description in this research. Supply chain management is described here as the universal, planned harmonization of the traditional business purposes in addition to schemes through these business purposes inside a specific organization as well as through businesses inside the supply chain for the determination of enhancing the long-standing performance of the separate associations and the supply chain in its entirety</w:t>
      </w:r>
      <w:r w:rsidR="000E4136" w:rsidRPr="00FE71D6">
        <w:t xml:space="preserve"> (CLM, 1998).</w:t>
      </w:r>
    </w:p>
    <w:p w:rsidR="000E4136" w:rsidRPr="00FE71D6" w:rsidRDefault="00CF4A0C" w:rsidP="00CF4A0C">
      <w:pPr>
        <w:pStyle w:val="Paragraph"/>
        <w:spacing w:before="0"/>
        <w:ind w:firstLine="720"/>
        <w:jc w:val="both"/>
      </w:pPr>
      <w:r w:rsidRPr="00FE71D6">
        <w:t>Irrespective of the improved attention to and several anticipations from supply chain management, various difficulties still occur in the employment of supply chain management by companies. Boddy et al. (1998) found that less than partial of the respondents deliberated that their companies were successful in employing such change. This is consistent with the comment by Spekman et al. (1998) that 60% of all associations will fail. The Deloitte Consulting study stated merely two percent of the manufacturers ranked their supply chains as a domain level</w:t>
      </w:r>
      <w:r w:rsidR="000E4136" w:rsidRPr="00FE71D6">
        <w:t xml:space="preserve"> (Thomas, 1999). </w:t>
      </w:r>
      <w:r w:rsidRPr="00FE71D6">
        <w:t xml:space="preserve">Tan et al. (1999) indicated that even though the general media is complete with reports of companies that planned in advance the supplier-purchaser partnerships, subcontracted </w:t>
      </w:r>
      <w:r w:rsidRPr="00FE71D6">
        <w:lastRenderedPageBreak/>
        <w:t>secondary capabilities, and accepted customer relationship practice; insufficient organizations have flourished concurrently on the entire frontages</w:t>
      </w:r>
      <w:r w:rsidR="000E4136" w:rsidRPr="00FE71D6">
        <w:t>.</w:t>
      </w:r>
    </w:p>
    <w:p w:rsidR="00F41577" w:rsidRPr="00FE71D6" w:rsidRDefault="00CF4A0C" w:rsidP="00CF4A0C">
      <w:pPr>
        <w:pStyle w:val="Paragraph"/>
        <w:spacing w:before="0"/>
        <w:ind w:firstLine="720"/>
        <w:jc w:val="both"/>
      </w:pPr>
      <w:r w:rsidRPr="00FE71D6">
        <w:t>The failure of supply chain management practices may result from the complexity of supply chain management; more notably it is the outcome of conceptual misperception in supply chain management and the absence of a theoretical model in guiding supply chain management. Thus far, supply chain management phenomenon has not been better comprehended in the literature. After directing broad literature review, Croom et al. (2000) determined that very little theoretical effort has been done in the field of supply chain management when associated to empirical- based studies and they highpoint the requirement of pure described constructs and conceptual models in supply chain management. Numerous studies still tend to measure supply chain management as being as good as integrated inventory management, concentrating on inventory deduction both inside and through companies in the supply chain</w:t>
      </w:r>
      <w:r w:rsidR="00F41577" w:rsidRPr="00FE71D6">
        <w:t xml:space="preserve"> (Bechtel &amp; Jayaram, 1997; Romano &amp; Vinelli, 2001; Van Hoek, 1998). </w:t>
      </w:r>
      <w:r w:rsidRPr="00FE71D6">
        <w:t>Some researchers employ the term supply chain management either to lead the administration of the supplier system or as a substitute of integration with suppliers, as a consequence of seeing it as impartial in the expansion of the traditional buying and supplier management actions</w:t>
      </w:r>
      <w:r w:rsidR="00F41577" w:rsidRPr="00FE71D6">
        <w:t xml:space="preserve"> (Banfield, 1999; Lamming, 1996).</w:t>
      </w:r>
    </w:p>
    <w:p w:rsidR="000E4136" w:rsidRPr="00FE71D6" w:rsidRDefault="009C7284" w:rsidP="0021597B">
      <w:pPr>
        <w:pStyle w:val="Paragraph"/>
        <w:spacing w:before="0"/>
        <w:ind w:firstLine="720"/>
        <w:jc w:val="both"/>
      </w:pPr>
      <w:r w:rsidRPr="00FE71D6">
        <w:t xml:space="preserve">Moreover, the theoretical misperception and the absence of hypothetical model in supply chain management are also exposed in the practical research. Cautious literature review discovers that most of recent practical supply chain management study impartial emphasize on the upstream </w:t>
      </w:r>
      <w:r w:rsidRPr="00FE71D6">
        <w:lastRenderedPageBreak/>
        <w:t>or the downstream lateral of the supply chain, with a substantial stress on the upstream lateral. Several practical researches have discoursed on a diversity of subjects from the supplier side, like supplier choice, supplier participation, and manufacturing performance</w:t>
      </w:r>
      <w:r w:rsidR="000E4136" w:rsidRPr="00FE71D6">
        <w:t xml:space="preserve"> (Choi &amp; Hartley, 1996; Vonderembse &amp; Tracey, 1999), </w:t>
      </w:r>
      <w:r w:rsidRPr="00FE71D6">
        <w:t>the impacts of supplier association on company</w:t>
      </w:r>
      <w:r w:rsidR="000E4136" w:rsidRPr="00FE71D6">
        <w:t xml:space="preserve"> (Stuart, 1997), </w:t>
      </w:r>
      <w:r w:rsidRPr="00FE71D6">
        <w:t>attainment influences in planned supplier associations</w:t>
      </w:r>
      <w:r w:rsidR="000E4136" w:rsidRPr="00FE71D6">
        <w:t xml:space="preserve"> (Monczka et al., 1998; Narasimhan &amp; Jayaram, 1998; Stuart, 1997), </w:t>
      </w:r>
      <w:r w:rsidRPr="00FE71D6">
        <w:t>and supply management direction and supplier or purchaser performance</w:t>
      </w:r>
      <w:r w:rsidR="000E4136" w:rsidRPr="00FE71D6">
        <w:t xml:space="preserve"> (Shin et al., 2000). </w:t>
      </w:r>
      <w:r w:rsidR="00C803C8" w:rsidRPr="00FE71D6">
        <w:t>In contrast, there are numerous researches concentrating on downstream connection between producers and vendors</w:t>
      </w:r>
      <w:r w:rsidR="000E4136" w:rsidRPr="00FE71D6">
        <w:t xml:space="preserve"> (Alvarado &amp; Kotzab, 2001; Clark &amp; Lee, 2000). </w:t>
      </w:r>
      <w:r w:rsidR="00C803C8" w:rsidRPr="00FE71D6">
        <w:t>Merely insufficient new researches instigate to reflect both upstream and downstream edges of the supply chain concurrently. Frohlich and Westbrook (2001) examined the influences of the supplier and customer integration on performance enlargement; Tan et al. (1998) discovered the relationships between supplier management practices, customer relationships practices and organizational performance. Despite that fact, the researches of Frohlich and Westbrook (2001) and Tan et al. (1998) had reflected on the whole supply chain. Their researches devoted merely on the portion of supply chain management problems and did not measure supply chain management from an integrated view that link with efficient working capital management to enhance financial performance via good utilization of resources</w:t>
      </w:r>
      <w:r w:rsidR="0093274E" w:rsidRPr="00FE71D6">
        <w:t>.</w:t>
      </w:r>
    </w:p>
    <w:p w:rsidR="000E4136" w:rsidRPr="00FE71D6" w:rsidRDefault="00E546D0" w:rsidP="009045D2">
      <w:pPr>
        <w:pStyle w:val="Paragraph"/>
        <w:spacing w:before="0"/>
        <w:ind w:firstLine="720"/>
        <w:jc w:val="both"/>
      </w:pPr>
      <w:r w:rsidRPr="00FE71D6">
        <w:t xml:space="preserve">On the other hand, in the field of corporate finance, it is usually recognized that the main economic goal of a company should be to emphasize on the expansion of stockholder value. With the intention of recognizing this </w:t>
      </w:r>
      <w:r w:rsidRPr="00FE71D6">
        <w:lastRenderedPageBreak/>
        <w:t>goal, the administration of a company wants to guarantee that the company's capital is spent in value added and commercial ventures that will create positive net present values. Broad practical study has been utilized to discover the influence of exploitation and funding results on company value. Just now, the emphasis has also progressively been positioned on the influence that working capital results apply on company value</w:t>
      </w:r>
      <w:r w:rsidR="000E4136" w:rsidRPr="00FE71D6">
        <w:t xml:space="preserve"> (Deloof, 2003; Lazaridis &amp; Tryfonidis, 2006; Nazir &amp; Afza, 2008).</w:t>
      </w:r>
    </w:p>
    <w:p w:rsidR="000E4136" w:rsidRPr="00FE71D6" w:rsidRDefault="00001BA9" w:rsidP="0044523F">
      <w:pPr>
        <w:pStyle w:val="Paragraph"/>
        <w:spacing w:before="0"/>
        <w:ind w:firstLine="720"/>
        <w:jc w:val="both"/>
      </w:pPr>
      <w:r w:rsidRPr="00FE71D6">
        <w:t>The net working capital of a company embodies an exploitation of the company's capital in current assets and the usage of current liabilities to fund portion of this exploitation. This exploitation in net working capital is essential to sustain the procedures of the company; and, if deprived of adequate exploitation would mean improbable to guide commerce and breed income. It is vital, nevertheless, that administration should guarantee that the working capital exploitation is resourcefully exploited; meanwhile, an over exploitation in untapped working capital might result in the obliteration of value. If a company is capable to decrease its exploitation in working capital, then the capital can be spent in other more commercial ventures where value is generated</w:t>
      </w:r>
      <w:r w:rsidR="000E4136" w:rsidRPr="00FE71D6">
        <w:t xml:space="preserve"> (Erasmus, 2010).</w:t>
      </w:r>
    </w:p>
    <w:p w:rsidR="000E4136" w:rsidRPr="00FE71D6" w:rsidRDefault="004455DA" w:rsidP="0021597B">
      <w:pPr>
        <w:pStyle w:val="Paragraph"/>
        <w:spacing w:before="0"/>
        <w:ind w:firstLine="720"/>
        <w:jc w:val="both"/>
      </w:pPr>
      <w:r w:rsidRPr="00FE71D6">
        <w:t xml:space="preserve">Nonetheless, administration similarly suffers the difficulty that an under exploitation in working capital might result in liquidity issues. If an inadequate exploitation in cash, inventory or account receivable is completed, the company may wrestle to run its daily business. Consequently, sales may dwindle, and eventually, profitability may be negotiated. This compromise between liquidity and financial performance was emphasized by Smith (1980), </w:t>
      </w:r>
      <w:r w:rsidRPr="00FE71D6">
        <w:lastRenderedPageBreak/>
        <w:t>who indicated that working capital management might perform a vital part in the financial performance, danger predilection, and eventually, the value of a company. Johnson and Soenen (2003) similarly struggled that efficient working capital management is one of the main features of monetarily fruitful companies</w:t>
      </w:r>
      <w:r w:rsidR="000E4136" w:rsidRPr="00FE71D6">
        <w:t xml:space="preserve">. </w:t>
      </w:r>
    </w:p>
    <w:p w:rsidR="00FD0DF0" w:rsidRPr="00FE71D6" w:rsidRDefault="00AE442C" w:rsidP="00AE442C">
      <w:pPr>
        <w:pStyle w:val="Paragraph"/>
        <w:spacing w:before="0"/>
        <w:ind w:firstLine="720"/>
        <w:jc w:val="both"/>
      </w:pPr>
      <w:r w:rsidRPr="00FE71D6">
        <w:t>The relationship between net trade cycle and profitability was examined on companies in the USA</w:t>
      </w:r>
      <w:r w:rsidR="00FD0DF0" w:rsidRPr="00FE71D6">
        <w:t xml:space="preserve"> (Shin &amp; Soenen, 1998). </w:t>
      </w:r>
      <w:r w:rsidRPr="00FE71D6">
        <w:t>The denominators encompassed the computation of the sold amounts of inventory, account receivable, and account payable. The net trade cycle is computed by articulating its entirety as a percentage of sales. As a result, the value of a company's net trade cycle designates the number of days of sales that the company has to fund its net working capital exploitation. The outcomes of their research designated that a statistically significant negative relationship occur between an organization's net trade cycle and its profitability. They affirmed that a deduction in a company's net trade cycle could result in the formation of shareholder value. Net trade cycle gauges the organizational consumption to transfer resource inputs into cash flows which is a meaningful dimension of a company's liquidity and profitability</w:t>
      </w:r>
      <w:r w:rsidR="00FD0DF0" w:rsidRPr="00FE71D6">
        <w:t xml:space="preserve"> (Hsieh &amp; Wu, 2013). </w:t>
      </w:r>
      <w:r w:rsidRPr="00FE71D6">
        <w:t>Thus, it has a relationship with the financial performance which is mainly determined by return on assets, return on equity</w:t>
      </w:r>
      <w:r w:rsidR="00ED085E" w:rsidRPr="00FE71D6">
        <w:t xml:space="preserve"> (Shakoor et al., 2012), </w:t>
      </w:r>
      <w:r w:rsidRPr="00FE71D6">
        <w:t>operational profit margin</w:t>
      </w:r>
      <w:r w:rsidR="00ED085E" w:rsidRPr="00FE71D6">
        <w:t xml:space="preserve"> </w:t>
      </w:r>
      <w:r w:rsidR="007531C8" w:rsidRPr="00FE71D6">
        <w:t xml:space="preserve">(Torghabeha et al., 2014) </w:t>
      </w:r>
      <w:r w:rsidRPr="00FE71D6">
        <w:t>and competitive position</w:t>
      </w:r>
      <w:r w:rsidR="00AC35A5" w:rsidRPr="00FE71D6">
        <w:t xml:space="preserve"> </w:t>
      </w:r>
      <w:r w:rsidR="00AC35A5" w:rsidRPr="00FE71D6">
        <w:rPr>
          <w:noProof/>
          <w:lang w:val="en-US"/>
        </w:rPr>
        <w:t>(Lama et al., 2012)</w:t>
      </w:r>
      <w:r w:rsidR="00FD0DF0" w:rsidRPr="00FE71D6">
        <w:t xml:space="preserve">. </w:t>
      </w:r>
    </w:p>
    <w:p w:rsidR="00446569" w:rsidRPr="00FE71D6" w:rsidRDefault="00446569" w:rsidP="00E26921">
      <w:pPr>
        <w:pStyle w:val="Paragraph"/>
        <w:spacing w:before="0"/>
        <w:ind w:firstLine="720"/>
        <w:jc w:val="both"/>
      </w:pPr>
    </w:p>
    <w:p w:rsidR="00446569" w:rsidRPr="00FE71D6" w:rsidRDefault="00446569" w:rsidP="00E26921">
      <w:pPr>
        <w:pStyle w:val="Paragraph"/>
        <w:spacing w:before="0"/>
        <w:ind w:firstLine="720"/>
        <w:jc w:val="both"/>
      </w:pPr>
    </w:p>
    <w:p w:rsidR="000E4136" w:rsidRPr="00FE71D6" w:rsidRDefault="00D23671" w:rsidP="00E26921">
      <w:pPr>
        <w:pStyle w:val="Paragraph"/>
        <w:spacing w:before="0"/>
        <w:ind w:firstLine="720"/>
        <w:jc w:val="both"/>
      </w:pPr>
      <w:r w:rsidRPr="00FE71D6">
        <w:lastRenderedPageBreak/>
        <w:t>By means of any practical research, it will be improbable to examine a relationship deprived of valid and reliable dimension tools for the constructs encompassed in the relationships. As a result, a major involvement of this study is the improvement of valid and reliable measurement instruments for 1) the most common supply chain management practices, 2) net trade cycle, and 3) financial performance. The measurement instruments for the constructs in the proposed model are implemented with modification from previous researches</w:t>
      </w:r>
      <w:r w:rsidR="000E4136" w:rsidRPr="00FE71D6">
        <w:t>.</w:t>
      </w:r>
    </w:p>
    <w:p w:rsidR="000E4136" w:rsidRPr="00FE71D6" w:rsidRDefault="00D23671" w:rsidP="0021597B">
      <w:pPr>
        <w:pStyle w:val="Paragraph"/>
        <w:spacing w:before="0"/>
        <w:ind w:firstLine="720"/>
        <w:jc w:val="both"/>
      </w:pPr>
      <w:r w:rsidRPr="00FE71D6">
        <w:t>From a practitioner’s view point, this research provides vital guidelines for a company in better understanding supply chain management issues and for more effective application of supply chain management practices. This research identifies different supply chain management practices that companies can adopt and the factors for simplifying the application of supply chain management practices. Additionally, the gauges from net trade cycle developed in this research provide a valuable tool for companies to assess and benchmark their supply chain system</w:t>
      </w:r>
      <w:r w:rsidR="000E4136" w:rsidRPr="00FE71D6">
        <w:t xml:space="preserve">. </w:t>
      </w:r>
    </w:p>
    <w:p w:rsidR="000E4136" w:rsidRPr="00FE71D6" w:rsidRDefault="00D23671" w:rsidP="004643DB">
      <w:pPr>
        <w:pStyle w:val="Paragraph"/>
        <w:spacing w:before="0" w:after="240"/>
        <w:ind w:firstLine="720"/>
        <w:jc w:val="both"/>
      </w:pPr>
      <w:r w:rsidRPr="00FE71D6">
        <w:t>The outcomes of the existing supply chain management research are characterized by opposing outcomes leading to misperception among researchers. The opposing outcomes are credited to the utilisation of numerous practices to gauge supply chain management</w:t>
      </w:r>
      <w:r w:rsidR="000E4136" w:rsidRPr="00FE71D6">
        <w:t xml:space="preserve"> (Abdallah et al., 2014). </w:t>
      </w:r>
      <w:r w:rsidR="004643DB" w:rsidRPr="00FE71D6">
        <w:t xml:space="preserve">In addition, supply chain management researches are mainly emphasized on organizations in developed countries. Organizations in developing countries suffer an actual challenge to enhance their functional competencies, containing supply chain management, with the intention of being capable to </w:t>
      </w:r>
      <w:r w:rsidR="004643DB" w:rsidRPr="00FE71D6">
        <w:lastRenderedPageBreak/>
        <w:t>compete and endure in the present day’s competitive environment. Competition has radically upturned through the latest two decades</w:t>
      </w:r>
      <w:r w:rsidR="000E4136" w:rsidRPr="00FE71D6">
        <w:t xml:space="preserve"> (Abdallah et al., 2014).</w:t>
      </w:r>
    </w:p>
    <w:p w:rsidR="007E2489" w:rsidRPr="00FE71D6" w:rsidRDefault="008E27AB" w:rsidP="004946E6">
      <w:pPr>
        <w:pStyle w:val="Heading2"/>
        <w:contextualSpacing w:val="0"/>
        <w:rPr>
          <w:lang w:val="en-US"/>
        </w:rPr>
      </w:pPr>
      <w:bookmarkStart w:id="6" w:name="_Toc500087461"/>
      <w:r w:rsidRPr="00FE71D6">
        <w:rPr>
          <w:lang w:val="en-US"/>
        </w:rPr>
        <w:t>1.2</w:t>
      </w:r>
      <w:r w:rsidR="007E2489" w:rsidRPr="00FE71D6">
        <w:rPr>
          <w:lang w:val="en-US"/>
        </w:rPr>
        <w:t xml:space="preserve"> Significance of the Study</w:t>
      </w:r>
      <w:bookmarkEnd w:id="6"/>
      <w:r w:rsidR="007E2489" w:rsidRPr="00FE71D6">
        <w:rPr>
          <w:lang w:val="en-US"/>
        </w:rPr>
        <w:t xml:space="preserve"> </w:t>
      </w:r>
    </w:p>
    <w:p w:rsidR="000E4136" w:rsidRPr="00FE71D6" w:rsidRDefault="00D43E5A" w:rsidP="00453A3F">
      <w:pPr>
        <w:pStyle w:val="Affiliation"/>
        <w:spacing w:before="0" w:line="480" w:lineRule="auto"/>
        <w:jc w:val="both"/>
        <w:rPr>
          <w:i w:val="0"/>
          <w:iCs/>
        </w:rPr>
      </w:pPr>
      <w:r w:rsidRPr="00FE71D6">
        <w:rPr>
          <w:i w:val="0"/>
          <w:iCs/>
        </w:rPr>
        <w:t>The most common supply chain management needs to be designated and related with efficient net trade cycle that may lead to enhancing financial performance by increasing liquidity and profitability via eliminating unnecessary costs which are essential for any successful company</w:t>
      </w:r>
      <w:r w:rsidR="000E4136" w:rsidRPr="00FE71D6">
        <w:rPr>
          <w:i w:val="0"/>
          <w:iCs/>
        </w:rPr>
        <w:t xml:space="preserve"> </w:t>
      </w:r>
      <w:r w:rsidR="000E4136" w:rsidRPr="00FE71D6">
        <w:rPr>
          <w:i w:val="0"/>
          <w:iCs/>
          <w:noProof/>
        </w:rPr>
        <w:t>(Hsieh &amp; Wu, 2013)</w:t>
      </w:r>
      <w:r w:rsidR="000E4136" w:rsidRPr="00FE71D6">
        <w:rPr>
          <w:i w:val="0"/>
          <w:iCs/>
        </w:rPr>
        <w:t xml:space="preserve">. </w:t>
      </w:r>
      <w:r w:rsidRPr="00FE71D6">
        <w:rPr>
          <w:i w:val="0"/>
          <w:iCs/>
        </w:rPr>
        <w:t>The net trade cycle embraces importance to gauge liquidity and also aids as a dimension linking the procedures of the company</w:t>
      </w:r>
      <w:r w:rsidR="000E4136" w:rsidRPr="00FE71D6">
        <w:rPr>
          <w:i w:val="0"/>
          <w:iCs/>
        </w:rPr>
        <w:t xml:space="preserve"> (</w:t>
      </w:r>
      <w:r w:rsidR="000E4136" w:rsidRPr="00FE71D6">
        <w:rPr>
          <w:i w:val="0"/>
          <w:iCs/>
          <w:noProof/>
        </w:rPr>
        <w:t>Farris &amp; Hutchison, 2002)</w:t>
      </w:r>
      <w:r w:rsidR="000E4136" w:rsidRPr="00FE71D6">
        <w:rPr>
          <w:i w:val="0"/>
          <w:iCs/>
        </w:rPr>
        <w:t xml:space="preserve">. </w:t>
      </w:r>
      <w:r w:rsidR="00453A3F" w:rsidRPr="00FE71D6">
        <w:rPr>
          <w:i w:val="0"/>
          <w:iCs/>
        </w:rPr>
        <w:t>To do so, it is required to attain the optimal level of net trade cycle through balancing between the risks related to a too low level of net trade cycle and investments in current assets</w:t>
      </w:r>
      <w:r w:rsidR="000E4136" w:rsidRPr="00FE71D6">
        <w:rPr>
          <w:i w:val="0"/>
          <w:iCs/>
        </w:rPr>
        <w:t xml:space="preserve"> </w:t>
      </w:r>
      <w:r w:rsidR="000E4136" w:rsidRPr="00FE71D6">
        <w:rPr>
          <w:i w:val="0"/>
          <w:iCs/>
          <w:noProof/>
        </w:rPr>
        <w:t>(</w:t>
      </w:r>
      <w:r w:rsidR="00220A41" w:rsidRPr="00FE71D6">
        <w:rPr>
          <w:i w:val="0"/>
          <w:iCs/>
          <w:noProof/>
        </w:rPr>
        <w:t>García</w:t>
      </w:r>
      <w:r w:rsidR="000E4136" w:rsidRPr="00FE71D6">
        <w:rPr>
          <w:i w:val="0"/>
          <w:iCs/>
          <w:noProof/>
        </w:rPr>
        <w:t xml:space="preserve">-Terual &amp; </w:t>
      </w:r>
      <w:r w:rsidR="00B9633C" w:rsidRPr="00FE71D6">
        <w:rPr>
          <w:i w:val="0"/>
          <w:iCs/>
          <w:noProof/>
        </w:rPr>
        <w:t>Martínez</w:t>
      </w:r>
      <w:r w:rsidR="000E4136" w:rsidRPr="00FE71D6">
        <w:rPr>
          <w:i w:val="0"/>
          <w:iCs/>
          <w:noProof/>
        </w:rPr>
        <w:t>-Solano, 2007)</w:t>
      </w:r>
      <w:r w:rsidR="000E4136" w:rsidRPr="00FE71D6">
        <w:rPr>
          <w:i w:val="0"/>
          <w:iCs/>
        </w:rPr>
        <w:t>.</w:t>
      </w:r>
    </w:p>
    <w:p w:rsidR="000E4136" w:rsidRPr="00FE71D6" w:rsidRDefault="00E4049C" w:rsidP="00E4049C">
      <w:pPr>
        <w:pStyle w:val="Affiliation"/>
        <w:spacing w:before="0" w:after="240" w:line="480" w:lineRule="auto"/>
        <w:ind w:firstLine="720"/>
        <w:jc w:val="both"/>
        <w:rPr>
          <w:i w:val="0"/>
          <w:iCs/>
        </w:rPr>
      </w:pPr>
      <w:r w:rsidRPr="00FE71D6">
        <w:rPr>
          <w:i w:val="0"/>
          <w:iCs/>
        </w:rPr>
        <w:t>Some previous studies found significant relationship between supply chain management and financial performance</w:t>
      </w:r>
      <w:r w:rsidR="000E4136" w:rsidRPr="00FE71D6">
        <w:rPr>
          <w:i w:val="0"/>
          <w:iCs/>
        </w:rPr>
        <w:t xml:space="preserve"> (Kumar &amp; Nambirajan, 2013), </w:t>
      </w:r>
      <w:r w:rsidRPr="00FE71D6">
        <w:rPr>
          <w:i w:val="0"/>
          <w:iCs/>
        </w:rPr>
        <w:t>while others found significant relationship between net trade cycle and financial performance</w:t>
      </w:r>
      <w:r w:rsidR="000E4136" w:rsidRPr="00FE71D6">
        <w:rPr>
          <w:i w:val="0"/>
          <w:iCs/>
        </w:rPr>
        <w:t xml:space="preserve"> </w:t>
      </w:r>
      <w:sdt>
        <w:sdtPr>
          <w:rPr>
            <w:i w:val="0"/>
            <w:iCs/>
          </w:rPr>
          <w:id w:val="1608005207"/>
          <w:citation/>
        </w:sdtPr>
        <w:sdtEndPr/>
        <w:sdtContent>
          <w:r w:rsidR="000E4136" w:rsidRPr="00FE71D6">
            <w:rPr>
              <w:i w:val="0"/>
              <w:iCs/>
            </w:rPr>
            <w:fldChar w:fldCharType="begin"/>
          </w:r>
          <w:r w:rsidR="000E4136" w:rsidRPr="00FE71D6">
            <w:rPr>
              <w:i w:val="0"/>
              <w:iCs/>
            </w:rPr>
            <w:instrText xml:space="preserve"> CITATION Era10 \l 2057 </w:instrText>
          </w:r>
          <w:r w:rsidR="000E4136" w:rsidRPr="00FE71D6">
            <w:rPr>
              <w:i w:val="0"/>
              <w:iCs/>
            </w:rPr>
            <w:fldChar w:fldCharType="separate"/>
          </w:r>
          <w:r w:rsidR="0063081B" w:rsidRPr="00FE71D6">
            <w:rPr>
              <w:i w:val="0"/>
              <w:iCs/>
              <w:noProof/>
            </w:rPr>
            <w:t>(Erasmus, 2010)</w:t>
          </w:r>
          <w:r w:rsidR="000E4136" w:rsidRPr="00FE71D6">
            <w:rPr>
              <w:i w:val="0"/>
              <w:iCs/>
            </w:rPr>
            <w:fldChar w:fldCharType="end"/>
          </w:r>
        </w:sdtContent>
      </w:sdt>
      <w:r w:rsidR="000E4136" w:rsidRPr="00FE71D6">
        <w:rPr>
          <w:i w:val="0"/>
          <w:iCs/>
        </w:rPr>
        <w:t xml:space="preserve">, </w:t>
      </w:r>
      <w:r w:rsidRPr="00FE71D6">
        <w:rPr>
          <w:i w:val="0"/>
          <w:iCs/>
        </w:rPr>
        <w:t>and others found significant relationship between supply chain management in general and net trade cycle</w:t>
      </w:r>
      <w:r w:rsidR="000E4136" w:rsidRPr="00FE71D6">
        <w:rPr>
          <w:i w:val="0"/>
          <w:iCs/>
        </w:rPr>
        <w:t xml:space="preserve"> (Hofmann &amp; Kotzab, 2010). </w:t>
      </w:r>
      <w:r w:rsidRPr="00FE71D6">
        <w:rPr>
          <w:i w:val="0"/>
          <w:iCs/>
        </w:rPr>
        <w:t>However, none of the previous studies were found to have combined the most common supply chain management practices, net trade cycle, and financial performance in one model. Novelty of this research is to find the significant relationships among these critical constructs in one model. This path leads to the following research questions</w:t>
      </w:r>
      <w:r w:rsidR="00557601" w:rsidRPr="00FE71D6">
        <w:rPr>
          <w:i w:val="0"/>
          <w:iCs/>
        </w:rPr>
        <w:t>.</w:t>
      </w:r>
    </w:p>
    <w:p w:rsidR="00557601" w:rsidRPr="00FE71D6" w:rsidRDefault="008E27AB" w:rsidP="00557601">
      <w:pPr>
        <w:pStyle w:val="Heading2"/>
        <w:contextualSpacing w:val="0"/>
        <w:rPr>
          <w:lang w:val="en-US"/>
        </w:rPr>
      </w:pPr>
      <w:bookmarkStart w:id="7" w:name="_Toc495527305"/>
      <w:bookmarkStart w:id="8" w:name="_Toc500087462"/>
      <w:r w:rsidRPr="00FE71D6">
        <w:rPr>
          <w:lang w:val="en-US"/>
        </w:rPr>
        <w:lastRenderedPageBreak/>
        <w:t>1.3</w:t>
      </w:r>
      <w:r w:rsidR="007E2489" w:rsidRPr="00FE71D6">
        <w:rPr>
          <w:lang w:val="en-US"/>
        </w:rPr>
        <w:t xml:space="preserve"> </w:t>
      </w:r>
      <w:r w:rsidR="00557601" w:rsidRPr="00FE71D6">
        <w:rPr>
          <w:lang w:val="en-US"/>
        </w:rPr>
        <w:t>Research Questions</w:t>
      </w:r>
      <w:bookmarkEnd w:id="7"/>
      <w:bookmarkEnd w:id="8"/>
    </w:p>
    <w:p w:rsidR="000E4136" w:rsidRPr="00FE71D6" w:rsidRDefault="007D04E9" w:rsidP="00FB1225">
      <w:pPr>
        <w:pStyle w:val="Paragraph"/>
        <w:spacing w:before="0" w:after="120"/>
        <w:jc w:val="both"/>
      </w:pPr>
      <w:r w:rsidRPr="00FE71D6">
        <w:rPr>
          <w:b/>
          <w:bCs/>
        </w:rPr>
        <w:t xml:space="preserve">RQ1. </w:t>
      </w:r>
      <w:r w:rsidRPr="00FE71D6">
        <w:t>What are the most common supply chain management practices</w:t>
      </w:r>
      <w:r w:rsidR="000E4136" w:rsidRPr="00FE71D6">
        <w:t>?</w:t>
      </w:r>
    </w:p>
    <w:p w:rsidR="000E4136" w:rsidRPr="00FE71D6" w:rsidRDefault="007D04E9" w:rsidP="00FB1225">
      <w:pPr>
        <w:pStyle w:val="Paragraph"/>
        <w:spacing w:before="0" w:after="120"/>
        <w:jc w:val="both"/>
      </w:pPr>
      <w:r w:rsidRPr="00FE71D6">
        <w:rPr>
          <w:b/>
          <w:bCs/>
        </w:rPr>
        <w:t>RQ2.</w:t>
      </w:r>
      <w:r w:rsidRPr="00FE71D6">
        <w:t xml:space="preserve"> What are the direct influences of those most common supply chain management practices on financial performance</w:t>
      </w:r>
      <w:r w:rsidR="000E4136" w:rsidRPr="00FE71D6">
        <w:t>?</w:t>
      </w:r>
    </w:p>
    <w:p w:rsidR="000E4136" w:rsidRPr="00FE71D6" w:rsidRDefault="007D04E9" w:rsidP="00FB1225">
      <w:pPr>
        <w:pStyle w:val="Paragraph"/>
        <w:spacing w:before="0" w:after="120"/>
        <w:jc w:val="both"/>
      </w:pPr>
      <w:r w:rsidRPr="00FE71D6">
        <w:rPr>
          <w:b/>
          <w:bCs/>
        </w:rPr>
        <w:t xml:space="preserve">RQ3. </w:t>
      </w:r>
      <w:r w:rsidRPr="00FE71D6">
        <w:t>What are the indirect influences of those most common supply chain management practices on fina</w:t>
      </w:r>
      <w:r w:rsidR="00B54D34" w:rsidRPr="00FE71D6">
        <w:t>ncial performance that are mediated</w:t>
      </w:r>
      <w:r w:rsidRPr="00FE71D6">
        <w:t xml:space="preserve"> by net trade cycle</w:t>
      </w:r>
      <w:r w:rsidR="000E4136" w:rsidRPr="00FE71D6">
        <w:t>?</w:t>
      </w:r>
    </w:p>
    <w:p w:rsidR="000E4136" w:rsidRPr="00FE71D6" w:rsidRDefault="007D04E9" w:rsidP="00DD13BA">
      <w:pPr>
        <w:pStyle w:val="Affiliation"/>
        <w:spacing w:before="0" w:after="240" w:line="480" w:lineRule="auto"/>
        <w:ind w:firstLine="720"/>
        <w:jc w:val="both"/>
        <w:rPr>
          <w:i w:val="0"/>
          <w:iCs/>
        </w:rPr>
      </w:pPr>
      <w:r w:rsidRPr="00FE71D6">
        <w:rPr>
          <w:i w:val="0"/>
          <w:iCs/>
        </w:rPr>
        <w:t>Therefore, this research aims to examine the four most common supply chain management practices (supplier partnership, customer relationship, information sharing, and lean system) with efficient net trade cycle to enhance financial performance in one developing country such as the Kingdom of Bahrain to fill out this literature gap. Through an extensive literature review, this research identifies the four most common dimensions of supply chain management practices (the supplier partnership, the customer relationship, the information sharing, and the lean system), three measurements of net trade cycle (inventory conversion period, receivable collection period, and payable deferral period), and four dimensions of financial performance (return on assets, return on equity, operational profit margin, and competitive position). The important relationships to be examined include (1) the indirect influences of those most common supply chain management practices on the f</w:t>
      </w:r>
      <w:r w:rsidR="00B54D34" w:rsidRPr="00FE71D6">
        <w:rPr>
          <w:i w:val="0"/>
          <w:iCs/>
        </w:rPr>
        <w:t>inancial performance that are medi</w:t>
      </w:r>
      <w:r w:rsidRPr="00FE71D6">
        <w:rPr>
          <w:i w:val="0"/>
          <w:iCs/>
        </w:rPr>
        <w:t>ated by the net trade cycle; (2) the direct influences of those most common supply chain management practices on the financial performance; and (3) the influence of the net trade cycle on the financial performance</w:t>
      </w:r>
      <w:r w:rsidR="00DD13BA" w:rsidRPr="00FE71D6">
        <w:rPr>
          <w:i w:val="0"/>
          <w:iCs/>
        </w:rPr>
        <w:t xml:space="preserve">. </w:t>
      </w:r>
      <w:r w:rsidR="000E4136" w:rsidRPr="00FE71D6">
        <w:rPr>
          <w:i w:val="0"/>
          <w:iCs/>
        </w:rPr>
        <w:t xml:space="preserve"> </w:t>
      </w:r>
    </w:p>
    <w:p w:rsidR="007E2489" w:rsidRPr="00FE71D6" w:rsidRDefault="008E27AB" w:rsidP="004946E6">
      <w:pPr>
        <w:pStyle w:val="Heading2"/>
        <w:contextualSpacing w:val="0"/>
        <w:rPr>
          <w:lang w:val="en-US"/>
        </w:rPr>
      </w:pPr>
      <w:bookmarkStart w:id="9" w:name="_Toc500087463"/>
      <w:r w:rsidRPr="00FE71D6">
        <w:rPr>
          <w:lang w:val="en-US"/>
        </w:rPr>
        <w:t>1.4</w:t>
      </w:r>
      <w:r w:rsidR="007E2489" w:rsidRPr="00FE71D6">
        <w:rPr>
          <w:lang w:val="en-US"/>
        </w:rPr>
        <w:t xml:space="preserve"> </w:t>
      </w:r>
      <w:r w:rsidR="00715F02" w:rsidRPr="00FE71D6">
        <w:rPr>
          <w:lang w:val="en-US"/>
        </w:rPr>
        <w:t>Scope of the Study</w:t>
      </w:r>
      <w:bookmarkEnd w:id="9"/>
    </w:p>
    <w:p w:rsidR="005C064B" w:rsidRPr="00FE71D6" w:rsidRDefault="002F6518" w:rsidP="00561A6F">
      <w:pPr>
        <w:pStyle w:val="Affiliation"/>
        <w:spacing w:before="0" w:line="480" w:lineRule="auto"/>
        <w:jc w:val="both"/>
        <w:rPr>
          <w:i w:val="0"/>
          <w:iCs/>
        </w:rPr>
      </w:pPr>
      <w:r w:rsidRPr="00FE71D6">
        <w:rPr>
          <w:i w:val="0"/>
          <w:iCs/>
          <w:lang w:val="en-US"/>
        </w:rPr>
        <w:t>This research mainly used questionnaire instrument to collect data to test the influences of the four most common supply chain management practices (supplier partnership, customer relationship, information sharing, and lean system as independent variables), net trade cycle (as a mediator variable) on financial performance (as a dependent variable) at three manufacturing companies in the Kingdom of Bahrain</w:t>
      </w:r>
      <w:r w:rsidR="009C5293" w:rsidRPr="00FE71D6">
        <w:rPr>
          <w:i w:val="0"/>
          <w:iCs/>
        </w:rPr>
        <w:t>.</w:t>
      </w:r>
      <w:r w:rsidR="005C064B" w:rsidRPr="00FE71D6">
        <w:rPr>
          <w:i w:val="0"/>
          <w:iCs/>
        </w:rPr>
        <w:t xml:space="preserve"> </w:t>
      </w:r>
    </w:p>
    <w:p w:rsidR="007A7537" w:rsidRPr="00FE71D6" w:rsidRDefault="00837874" w:rsidP="00474E9A">
      <w:pPr>
        <w:pStyle w:val="Affiliation"/>
        <w:spacing w:before="0" w:line="480" w:lineRule="auto"/>
        <w:ind w:firstLine="720"/>
        <w:jc w:val="both"/>
        <w:rPr>
          <w:i w:val="0"/>
          <w:iCs/>
        </w:rPr>
      </w:pPr>
      <w:r w:rsidRPr="00FE71D6">
        <w:rPr>
          <w:i w:val="0"/>
          <w:iCs/>
        </w:rPr>
        <w:t xml:space="preserve">Consequently, the results of this research is limited to these six variables which are supplier partnership, customer relationship, information sharing, lean system, net trade cycle on the financial performance. These four most common supply chain management practices have been selected based on the most frequently used practices in the literature. Hence, there are many other supply chain management practices that have been ignored in this research. Moreover, the financial performance has been </w:t>
      </w:r>
      <w:r w:rsidR="00904502" w:rsidRPr="00FE71D6">
        <w:rPr>
          <w:i w:val="0"/>
          <w:iCs/>
        </w:rPr>
        <w:t xml:space="preserve">well </w:t>
      </w:r>
      <w:r w:rsidRPr="00FE71D6">
        <w:rPr>
          <w:i w:val="0"/>
          <w:iCs/>
        </w:rPr>
        <w:t>measured by return on assets, return on equity, operational profit margin, and competitive position that are used in previous key studies.</w:t>
      </w:r>
    </w:p>
    <w:p w:rsidR="000E4136" w:rsidRPr="00FE71D6" w:rsidRDefault="00837874" w:rsidP="00FB1225">
      <w:pPr>
        <w:pStyle w:val="Affiliation"/>
        <w:spacing w:before="0" w:after="240" w:line="480" w:lineRule="auto"/>
        <w:ind w:firstLine="720"/>
        <w:jc w:val="both"/>
        <w:rPr>
          <w:i w:val="0"/>
          <w:iCs/>
        </w:rPr>
      </w:pPr>
      <w:r w:rsidRPr="00FE71D6">
        <w:rPr>
          <w:i w:val="0"/>
          <w:iCs/>
        </w:rPr>
        <w:t>Furthermore, the results of this research represent the responses from the three manufacturing companies alone in the Kingdom of Bahrain where the questionnaires have been administered. In addition, research locale is held only in the Kingdom of Bahrain causing the results of this research to significantly vary from other countries where access to different technologies and competencies are more prevalent</w:t>
      </w:r>
      <w:r w:rsidR="00427657" w:rsidRPr="00FE71D6">
        <w:rPr>
          <w:i w:val="0"/>
          <w:iCs/>
        </w:rPr>
        <w:t>.</w:t>
      </w:r>
    </w:p>
    <w:p w:rsidR="007E2489" w:rsidRPr="00FE71D6" w:rsidRDefault="008E27AB" w:rsidP="004946E6">
      <w:pPr>
        <w:pStyle w:val="Heading2"/>
        <w:contextualSpacing w:val="0"/>
        <w:rPr>
          <w:i/>
          <w:iCs w:val="0"/>
        </w:rPr>
      </w:pPr>
      <w:bookmarkStart w:id="10" w:name="_Toc500087464"/>
      <w:r w:rsidRPr="00FE71D6">
        <w:rPr>
          <w:lang w:val="en-US"/>
        </w:rPr>
        <w:t>1.5</w:t>
      </w:r>
      <w:r w:rsidR="007E2489" w:rsidRPr="00FE71D6">
        <w:rPr>
          <w:lang w:val="en-US"/>
        </w:rPr>
        <w:t xml:space="preserve"> Dissertation Chapters </w:t>
      </w:r>
      <w:r w:rsidR="00250D40" w:rsidRPr="00FE71D6">
        <w:rPr>
          <w:lang w:val="en-US"/>
        </w:rPr>
        <w:t>Outline</w:t>
      </w:r>
      <w:bookmarkEnd w:id="10"/>
      <w:r w:rsidR="007E2489" w:rsidRPr="00FE71D6">
        <w:rPr>
          <w:lang w:val="en-US"/>
        </w:rPr>
        <w:t xml:space="preserve"> </w:t>
      </w:r>
    </w:p>
    <w:p w:rsidR="000E4136" w:rsidRPr="00FE71D6" w:rsidRDefault="004904B4" w:rsidP="00FB1225">
      <w:pPr>
        <w:pStyle w:val="Affiliation"/>
        <w:spacing w:before="0" w:after="240" w:line="480" w:lineRule="auto"/>
        <w:jc w:val="both"/>
        <w:rPr>
          <w:i w:val="0"/>
          <w:iCs/>
        </w:rPr>
      </w:pPr>
      <w:r w:rsidRPr="00FE71D6">
        <w:rPr>
          <w:i w:val="0"/>
          <w:iCs/>
        </w:rPr>
        <w:t>Chapter 2 is the literature review on the conceptual substance and several constructs of supply chain management, net trade cycle, and financial performance. The theoretical model that shows the relationships between the constructs and the improvement of hypotheses are presented in Chapter 3. The research methodology for creating substances for dimension tools appears in Chapter 4. This methodology comprises pre-examining with consultants and educationalists, a pilot study employing interview method and conducting questionnaire method. Data analysis contains questionnaire survey, reliability, validity results, and the results of hypotheses testing employing structural equation modelling methodology are shown in Chapter 5. Chapter 6 interprets the extracted outcomes that consist of constructed validity interpretation and tested hypotheses interpretation. Chapter 7 concludes with the briefs of major findings, research contribution, practical implications, limitations and future research, and recommendations</w:t>
      </w:r>
      <w:r w:rsidR="000E4136" w:rsidRPr="00FE71D6">
        <w:rPr>
          <w:i w:val="0"/>
          <w:iCs/>
        </w:rPr>
        <w:t>.</w:t>
      </w:r>
    </w:p>
    <w:p w:rsidR="00A11159" w:rsidRPr="00FE71D6" w:rsidRDefault="00A11159" w:rsidP="00A11159"/>
    <w:p w:rsidR="00A11159" w:rsidRPr="00FE71D6" w:rsidRDefault="00A11159" w:rsidP="00A11159"/>
    <w:p w:rsidR="00A11159" w:rsidRPr="00FE71D6" w:rsidRDefault="00A11159" w:rsidP="00A11159"/>
    <w:p w:rsidR="00A11159" w:rsidRPr="00FE71D6" w:rsidRDefault="00A11159" w:rsidP="00A11159"/>
    <w:p w:rsidR="00A11159" w:rsidRPr="00FE71D6" w:rsidRDefault="00A11159" w:rsidP="00A11159"/>
    <w:p w:rsidR="00837874" w:rsidRPr="00FE71D6" w:rsidRDefault="00837874" w:rsidP="00837874">
      <w:bookmarkStart w:id="11" w:name="_Toc495527306"/>
    </w:p>
    <w:p w:rsidR="00105F79" w:rsidRPr="00FE71D6" w:rsidRDefault="00105F79" w:rsidP="00105F79"/>
    <w:p w:rsidR="00DD6E12" w:rsidRPr="00FE71D6" w:rsidRDefault="00645926" w:rsidP="00557601">
      <w:pPr>
        <w:pStyle w:val="Heading1"/>
      </w:pPr>
      <w:bookmarkStart w:id="12" w:name="_Toc500087465"/>
      <w:r w:rsidRPr="00FE71D6">
        <w:t>CHAPTER TWO</w:t>
      </w:r>
      <w:r w:rsidR="00DD6E12" w:rsidRPr="00FE71D6">
        <w:t>: LITERATURE REVIEW</w:t>
      </w:r>
      <w:bookmarkEnd w:id="11"/>
      <w:bookmarkEnd w:id="12"/>
    </w:p>
    <w:p w:rsidR="00B17D2C" w:rsidRPr="00FE71D6" w:rsidRDefault="00063AD5" w:rsidP="00FB1225">
      <w:pPr>
        <w:pStyle w:val="Paragraph"/>
        <w:spacing w:before="0"/>
        <w:jc w:val="both"/>
      </w:pPr>
      <w:r w:rsidRPr="00FE71D6">
        <w:t>As competition intensifies and markets became global, so did the challenges associated with getting products and services to the right place, at the right time and at the lowest cost</w:t>
      </w:r>
      <w:r w:rsidR="002810BD" w:rsidRPr="00FE71D6">
        <w:t xml:space="preserve">. </w:t>
      </w:r>
      <w:r w:rsidRPr="00FE71D6">
        <w:t>Realizing that enhancing efficiencies within a company alone is insufficient, companies should regard the competitiveness of the whole supply chain.</w:t>
      </w:r>
      <w:r w:rsidR="002810BD" w:rsidRPr="00FE71D6">
        <w:t xml:space="preserve"> </w:t>
      </w:r>
      <w:r w:rsidRPr="00FE71D6">
        <w:t>Developing close, long-term relationships with both customers and suppliers can take substantial wastes out of the supply chain, and is a potentially valuable method of acquiring competitive advantage</w:t>
      </w:r>
      <w:r w:rsidR="002810BD" w:rsidRPr="00FE71D6">
        <w:t xml:space="preserve"> (</w:t>
      </w:r>
      <w:r w:rsidR="003621F0" w:rsidRPr="00FE71D6">
        <w:t>Spekman et al., 1998</w:t>
      </w:r>
      <w:r w:rsidR="002810BD" w:rsidRPr="00FE71D6">
        <w:t xml:space="preserve">). </w:t>
      </w:r>
      <w:r w:rsidRPr="00FE71D6">
        <w:t>Understanding and practicing SCM have become a crucial requirement to survive in the competitive global race and to rising financial performance</w:t>
      </w:r>
      <w:r w:rsidR="00061B0F" w:rsidRPr="00FE71D6">
        <w:t xml:space="preserve"> </w:t>
      </w:r>
      <w:sdt>
        <w:sdtPr>
          <w:id w:val="1763187152"/>
          <w:citation/>
        </w:sdtPr>
        <w:sdtEndPr/>
        <w:sdtContent>
          <w:r w:rsidR="00061B0F" w:rsidRPr="00FE71D6">
            <w:fldChar w:fldCharType="begin"/>
          </w:r>
          <w:r w:rsidR="00061B0F" w:rsidRPr="00FE71D6">
            <w:rPr>
              <w:lang w:val="en-US"/>
            </w:rPr>
            <w:instrText xml:space="preserve"> CITATION Gar99 \l 1033 </w:instrText>
          </w:r>
          <w:r w:rsidR="00061B0F" w:rsidRPr="00FE71D6">
            <w:fldChar w:fldCharType="separate"/>
          </w:r>
          <w:r w:rsidR="00061B0F" w:rsidRPr="00FE71D6">
            <w:rPr>
              <w:noProof/>
              <w:lang w:val="en-US"/>
            </w:rPr>
            <w:t>(Garwood, 1999)</w:t>
          </w:r>
          <w:r w:rsidR="00061B0F" w:rsidRPr="00FE71D6">
            <w:fldChar w:fldCharType="end"/>
          </w:r>
        </w:sdtContent>
      </w:sdt>
      <w:r w:rsidR="00061B0F" w:rsidRPr="00FE71D6">
        <w:t>.</w:t>
      </w:r>
    </w:p>
    <w:p w:rsidR="002810BD" w:rsidRPr="00FE71D6" w:rsidRDefault="00491763" w:rsidP="00FB1225">
      <w:pPr>
        <w:pStyle w:val="Paragraph"/>
        <w:spacing w:before="0"/>
        <w:ind w:firstLine="720"/>
        <w:jc w:val="both"/>
      </w:pPr>
      <w:r w:rsidRPr="00FE71D6">
        <w:t>Moreover, increased competition in recent decades has owed to the rationalization of short-term investments, giving working capital management a vital role in company’s financial performance</w:t>
      </w:r>
      <w:r w:rsidR="00B17D2C" w:rsidRPr="00FE71D6">
        <w:t xml:space="preserve"> (Appuhami, 2008; Shin &amp; Soenen, 1998). </w:t>
      </w:r>
      <w:r w:rsidRPr="00FE71D6">
        <w:t>Net trade cycle management has been considered as essential to working capital management</w:t>
      </w:r>
      <w:r w:rsidR="004C2F80" w:rsidRPr="00FE71D6">
        <w:t xml:space="preserve"> (Deloof, 2003; Richards &amp; Laughlin, 1980).</w:t>
      </w:r>
    </w:p>
    <w:p w:rsidR="00A85274" w:rsidRPr="00FE71D6" w:rsidRDefault="00B17D2C" w:rsidP="00FB1225">
      <w:pPr>
        <w:pStyle w:val="Paragraph"/>
        <w:spacing w:before="0" w:after="240"/>
        <w:ind w:firstLine="720"/>
        <w:jc w:val="both"/>
      </w:pPr>
      <w:r w:rsidRPr="00FE71D6">
        <w:t>Consequently, t</w:t>
      </w:r>
      <w:r w:rsidR="00652ABD" w:rsidRPr="00FE71D6">
        <w:t>his chapter contains three sections namely: supply chain management, net trade cycle, and financial performance that are discussed in details below. Some previous studies found significant influence by supply chain management practices on financial performance</w:t>
      </w:r>
      <w:r w:rsidR="00A85274" w:rsidRPr="00FE71D6">
        <w:t xml:space="preserve"> </w:t>
      </w:r>
      <w:r w:rsidR="00A85274" w:rsidRPr="00FE71D6">
        <w:rPr>
          <w:noProof/>
        </w:rPr>
        <w:t xml:space="preserve">(Kim, 2006; Kumar &amp; Nambirajan, 2013; Huo, 2012). </w:t>
      </w:r>
      <w:r w:rsidR="00652ABD" w:rsidRPr="00FE71D6">
        <w:t>Others found significant influence by net trade cycle on financial performance</w:t>
      </w:r>
      <w:r w:rsidR="00A85274" w:rsidRPr="00FE71D6">
        <w:t xml:space="preserve"> (</w:t>
      </w:r>
      <w:r w:rsidR="00A85274" w:rsidRPr="00FE71D6">
        <w:rPr>
          <w:iCs/>
          <w:noProof/>
        </w:rPr>
        <w:t xml:space="preserve">Erasmus, 2010; </w:t>
      </w:r>
      <w:r w:rsidR="00A85274" w:rsidRPr="00FE71D6">
        <w:t xml:space="preserve">Karaduman et al., 2010; </w:t>
      </w:r>
      <w:r w:rsidR="00A85274" w:rsidRPr="00FE71D6">
        <w:rPr>
          <w:rFonts w:eastAsia="CourierNewPSMT"/>
        </w:rPr>
        <w:t>Shakoor et al., 2012</w:t>
      </w:r>
      <w:r w:rsidR="00A85274" w:rsidRPr="00FE71D6">
        <w:t xml:space="preserve">). </w:t>
      </w:r>
      <w:r w:rsidR="00652ABD" w:rsidRPr="00FE71D6">
        <w:t>Moreover, others found significant relationship between supply chain management in general as well as net trade cycle</w:t>
      </w:r>
      <w:r w:rsidR="00A85274" w:rsidRPr="00FE71D6">
        <w:t xml:space="preserve"> </w:t>
      </w:r>
      <w:r w:rsidR="00A85274" w:rsidRPr="00FE71D6">
        <w:rPr>
          <w:iCs/>
          <w:noProof/>
        </w:rPr>
        <w:t xml:space="preserve">(Hofmann &amp; Kotzab, 2010). </w:t>
      </w:r>
      <w:r w:rsidR="00652ABD" w:rsidRPr="00FE71D6">
        <w:t>Conversely, this research combines these critical relationships among the most common supply chain management practices, net trade cycle, and financial performance in one model. The question remains as to what the four most common supply chain management practices are that will lead to efficient net trade cycle, thereby, eventually enhancing financial performance of companies by eliminating unnecessary costs</w:t>
      </w:r>
      <w:r w:rsidR="00A85274" w:rsidRPr="00FE71D6">
        <w:t>.</w:t>
      </w:r>
    </w:p>
    <w:p w:rsidR="00EF1078" w:rsidRPr="00FE71D6" w:rsidRDefault="00C50DB7" w:rsidP="003A6DA6">
      <w:pPr>
        <w:pStyle w:val="Heading2"/>
        <w:contextualSpacing w:val="0"/>
        <w:rPr>
          <w:lang w:val="en-US"/>
        </w:rPr>
      </w:pPr>
      <w:bookmarkStart w:id="13" w:name="_Toc495527307"/>
      <w:bookmarkStart w:id="14" w:name="_Toc500087466"/>
      <w:r w:rsidRPr="00FE71D6">
        <w:rPr>
          <w:lang w:val="en-US"/>
        </w:rPr>
        <w:t>2.1 Supply Chain Management</w:t>
      </w:r>
      <w:r w:rsidR="000855B6" w:rsidRPr="00FE71D6">
        <w:rPr>
          <w:lang w:val="en-US"/>
        </w:rPr>
        <w:t xml:space="preserve"> (SCM)</w:t>
      </w:r>
      <w:bookmarkEnd w:id="13"/>
      <w:bookmarkEnd w:id="14"/>
    </w:p>
    <w:p w:rsidR="00E2313F" w:rsidRPr="00FE71D6" w:rsidRDefault="009D0FB5" w:rsidP="00AD6A52">
      <w:pPr>
        <w:jc w:val="both"/>
      </w:pPr>
      <w:r w:rsidRPr="00FE71D6">
        <w:t>The works of several researchers have been employed in starting the need for supply chain in the present- day competitive environment. As competition heightens, companies have been made to appreciate that it is insufficient to improve efficiency, but the precondition for remaining in competition is to identify and implement supply chain management practices</w:t>
      </w:r>
      <w:r w:rsidR="00E2313F" w:rsidRPr="00FE71D6">
        <w:t xml:space="preserve"> </w:t>
      </w:r>
      <w:r w:rsidR="00E2313F" w:rsidRPr="00FE71D6">
        <w:rPr>
          <w:noProof/>
        </w:rPr>
        <w:t>(Dikshi &amp; Trivedi, 2012)</w:t>
      </w:r>
      <w:r w:rsidR="00E2313F" w:rsidRPr="00FE71D6">
        <w:t>.</w:t>
      </w:r>
    </w:p>
    <w:p w:rsidR="00E2313F" w:rsidRPr="00FE71D6" w:rsidRDefault="009D0FB5" w:rsidP="009D0FB5">
      <w:pPr>
        <w:ind w:firstLine="720"/>
        <w:jc w:val="both"/>
      </w:pPr>
      <w:r w:rsidRPr="00FE71D6">
        <w:rPr>
          <w:iCs/>
        </w:rPr>
        <w:t>Supply chain management has turned out to be a crucial research area throughout the previous decade</w:t>
      </w:r>
      <w:r w:rsidR="00E2313F" w:rsidRPr="00FE71D6">
        <w:rPr>
          <w:iCs/>
        </w:rPr>
        <w:t xml:space="preserve"> </w:t>
      </w:r>
      <w:r w:rsidR="00E2313F" w:rsidRPr="00FE71D6">
        <w:rPr>
          <w:noProof/>
        </w:rPr>
        <w:t>(Cook &amp; Heiser, 2011)</w:t>
      </w:r>
      <w:r w:rsidR="00E2313F" w:rsidRPr="00FE71D6">
        <w:t xml:space="preserve">. </w:t>
      </w:r>
      <w:r w:rsidRPr="00FE71D6">
        <w:t>Nevertheless, the outcomes of current research herein are described by opposing outcomes leading to uncertainty among researchers. In addition, supply chain management research is mainly the centre of consideration of companies in developed countries</w:t>
      </w:r>
      <w:r w:rsidR="00E2313F" w:rsidRPr="00FE71D6">
        <w:t xml:space="preserve"> </w:t>
      </w:r>
      <w:r w:rsidR="00E2313F" w:rsidRPr="00FE71D6">
        <w:rPr>
          <w:iCs/>
        </w:rPr>
        <w:t>(</w:t>
      </w:r>
      <w:r w:rsidR="00E2313F" w:rsidRPr="00FE71D6">
        <w:rPr>
          <w:iCs/>
          <w:noProof/>
        </w:rPr>
        <w:t xml:space="preserve">Abdallah </w:t>
      </w:r>
      <w:r w:rsidR="00E2313F" w:rsidRPr="00FE71D6">
        <w:rPr>
          <w:noProof/>
        </w:rPr>
        <w:t>et al.,</w:t>
      </w:r>
      <w:r w:rsidR="00E2313F" w:rsidRPr="00FE71D6">
        <w:rPr>
          <w:iCs/>
          <w:noProof/>
        </w:rPr>
        <w:t xml:space="preserve"> 2014)</w:t>
      </w:r>
      <w:r w:rsidR="00E2313F" w:rsidRPr="00FE71D6">
        <w:t xml:space="preserve">. </w:t>
      </w:r>
      <w:r w:rsidRPr="00FE71D6">
        <w:t>Companies in developing countries suffer an actual phase to improve their equipped capacities, together with supply chain management, to enable them to contribute and survive in recent competitive business landscape. Competition has radically expanded throughout the last two decades</w:t>
      </w:r>
      <w:r w:rsidR="00E2313F" w:rsidRPr="00FE71D6">
        <w:t xml:space="preserve"> (Abdallah et al., 2014). </w:t>
      </w:r>
      <w:r w:rsidRPr="00FE71D6">
        <w:t>Furthermore, prior researches have given consideration to diverse supply chain management practices</w:t>
      </w:r>
      <w:r w:rsidR="00E2313F" w:rsidRPr="00FE71D6">
        <w:t xml:space="preserve"> </w:t>
      </w:r>
      <w:r w:rsidR="00E2313F" w:rsidRPr="00FE71D6">
        <w:rPr>
          <w:noProof/>
        </w:rPr>
        <w:t>(Kumar &amp; Nambirajan, 2013)</w:t>
      </w:r>
      <w:r w:rsidR="00E2313F" w:rsidRPr="00FE71D6">
        <w:t xml:space="preserve">. </w:t>
      </w:r>
      <w:r w:rsidRPr="00FE71D6">
        <w:t>The supply chain management has the observation of manager actions to find out if it sustains the linear objective commodities flow from suppliers to producers to distributors and retailers</w:t>
      </w:r>
      <w:r w:rsidR="00E2313F" w:rsidRPr="00FE71D6">
        <w:t xml:space="preserve"> </w:t>
      </w:r>
      <w:r w:rsidR="00E2313F" w:rsidRPr="00FE71D6">
        <w:rPr>
          <w:noProof/>
        </w:rPr>
        <w:t>(Sherer, 2005)</w:t>
      </w:r>
      <w:r w:rsidR="00E2313F" w:rsidRPr="00FE71D6">
        <w:t xml:space="preserve">. </w:t>
      </w:r>
      <w:r w:rsidRPr="00FE71D6">
        <w:t>The concentration in supply chain management is strongly twisted in favor of the manufacturing sector</w:t>
      </w:r>
      <w:r w:rsidR="00E2313F" w:rsidRPr="00FE71D6">
        <w:t xml:space="preserve"> </w:t>
      </w:r>
      <w:r w:rsidR="00E2313F" w:rsidRPr="00FE71D6">
        <w:rPr>
          <w:noProof/>
        </w:rPr>
        <w:t>(Boon-itt &amp; Pongpanarat, 2011)</w:t>
      </w:r>
      <w:r w:rsidR="00E2313F" w:rsidRPr="00FE71D6">
        <w:t>.</w:t>
      </w:r>
    </w:p>
    <w:p w:rsidR="00E2313F" w:rsidRPr="00FE71D6" w:rsidRDefault="009A22BB" w:rsidP="009A22BB">
      <w:pPr>
        <w:ind w:firstLine="720"/>
        <w:jc w:val="both"/>
      </w:pPr>
      <w:r w:rsidRPr="00FE71D6">
        <w:t>Mentzer et al. (2000) described the supply chain as a group of at least three bodies directly comprised in the upstream and downstream flows of products, services, funds, and information from a source to a consumer. Supply chain management comprises purchasing, producing and managing inventory crosswise the supply chain</w:t>
      </w:r>
      <w:r w:rsidR="00E2313F" w:rsidRPr="00FE71D6">
        <w:t xml:space="preserve"> (Cooper et al., 1997; Ellram &amp; Cooper, 1990). </w:t>
      </w:r>
      <w:r w:rsidRPr="00FE71D6">
        <w:t>Fruitful operation of supply chain management needs the administration of upstream, internal, and downstream of the supply chain</w:t>
      </w:r>
      <w:r w:rsidR="00E2313F" w:rsidRPr="00FE71D6">
        <w:t xml:space="preserve"> (Vickery et al., 2003).</w:t>
      </w:r>
    </w:p>
    <w:p w:rsidR="00E2313F" w:rsidRPr="00FE71D6" w:rsidRDefault="003244E1" w:rsidP="00C1112B">
      <w:pPr>
        <w:ind w:firstLine="720"/>
        <w:jc w:val="both"/>
      </w:pPr>
      <w:r w:rsidRPr="00FE71D6">
        <w:t>Supply chain management has turned out to be a vital precondition to remaining in the competitive universal battle and to increasing profitability</w:t>
      </w:r>
      <w:r w:rsidR="00E2313F" w:rsidRPr="00FE71D6">
        <w:t xml:space="preserve"> (Moberg et al., 2002; Power et al., 2001). </w:t>
      </w:r>
      <w:r w:rsidR="00C1112B" w:rsidRPr="00FE71D6">
        <w:t>The concept of supply chain management has aggregate consideration among educationalists, advisors, and commercial executives</w:t>
      </w:r>
      <w:r w:rsidR="00E2313F" w:rsidRPr="00FE71D6">
        <w:t xml:space="preserve"> (Croom et al., 2000; Li et al, 2005; Tan et al., 1998). </w:t>
      </w:r>
      <w:r w:rsidR="00C1112B" w:rsidRPr="00FE71D6">
        <w:t>In the academe, many research works have been completed to examine the influences of various supply chain management practices on financial performance</w:t>
      </w:r>
      <w:r w:rsidR="00E2313F" w:rsidRPr="00FE71D6">
        <w:t xml:space="preserve"> (Choi &amp; Hartley, 1996; Tan, 2002; Zhou &amp; Benton, 2007). </w:t>
      </w:r>
      <w:r w:rsidR="00C1112B" w:rsidRPr="00FE71D6">
        <w:t>However, many of the recent empirical studies either focus on the inside supply chain, the upstream, or downstream of the supply chain</w:t>
      </w:r>
      <w:r w:rsidR="00E2313F" w:rsidRPr="00FE71D6">
        <w:t xml:space="preserve"> (Li et al., 2005).</w:t>
      </w:r>
    </w:p>
    <w:p w:rsidR="00E2313F" w:rsidRPr="00FE71D6" w:rsidRDefault="00B77F79" w:rsidP="009B4804">
      <w:pPr>
        <w:ind w:firstLine="720"/>
        <w:jc w:val="both"/>
      </w:pPr>
      <w:r w:rsidRPr="00FE71D6">
        <w:t>The perception of supply chain management has been determined from diverse viewpoints in diverse literature organizations, for instance, buying and supply management, inventory management, processes administration, marketing, organizational theory, and management information systems</w:t>
      </w:r>
      <w:r w:rsidR="00E2313F" w:rsidRPr="00FE71D6">
        <w:rPr>
          <w:noProof/>
        </w:rPr>
        <w:t xml:space="preserve"> (Dikshi &amp; Trivedi, 2012)</w:t>
      </w:r>
      <w:r w:rsidR="00E2313F" w:rsidRPr="00FE71D6">
        <w:t xml:space="preserve">. </w:t>
      </w:r>
      <w:r w:rsidR="009B4804" w:rsidRPr="00FE71D6">
        <w:t>Notwithstanding the amplified consideration paid to supply chain management, the literature cannot be provided much lane of direction to assist the supply chain management practices. This has been credited to the interdisciplinary source of supply chain management, the theoretical misperception, and the evolutionary nature of supply chain management perception. There is no general putative description of supply chain management in the literature</w:t>
      </w:r>
      <w:r w:rsidR="00E2313F" w:rsidRPr="00FE71D6">
        <w:t xml:space="preserve"> </w:t>
      </w:r>
      <w:r w:rsidR="00E2313F" w:rsidRPr="00FE71D6">
        <w:rPr>
          <w:noProof/>
        </w:rPr>
        <w:t>(Dikshi &amp; Trivedi, 2012)</w:t>
      </w:r>
      <w:r w:rsidR="00E2313F" w:rsidRPr="00FE71D6">
        <w:t>.</w:t>
      </w:r>
    </w:p>
    <w:p w:rsidR="00E2313F" w:rsidRPr="00FE71D6" w:rsidRDefault="009B4804" w:rsidP="00933CB5">
      <w:pPr>
        <w:ind w:firstLine="720"/>
        <w:jc w:val="both"/>
      </w:pPr>
      <w:r w:rsidRPr="00FE71D6">
        <w:t>Stock and Boyer (2009) described supply chain management as the administration of a system of relationships inside a company and among mutually dependent companies and business units containing material suppliers, buying, manufacture services, inventory management, marketing, and related structures that simplify the onward and inverse flow of materials, facilities, funds and information from the innovative manufacturer to last consumer with the gains of added value, financial performance maximisation via productivities and attaining customer gratification. Academicians have proclivity to numerous purposes and objectives of supply chain management such as cumulative productivity, decreasing cycle time, and inventory</w:t>
      </w:r>
      <w:r w:rsidR="00E2313F" w:rsidRPr="00FE71D6">
        <w:t xml:space="preserve"> </w:t>
      </w:r>
      <w:r w:rsidR="00E2313F" w:rsidRPr="00FE71D6">
        <w:rPr>
          <w:noProof/>
        </w:rPr>
        <w:t>(Wisner &amp; Tan, 2000)</w:t>
      </w:r>
      <w:r w:rsidR="00E2313F" w:rsidRPr="00FE71D6">
        <w:t>.</w:t>
      </w:r>
    </w:p>
    <w:p w:rsidR="00E2313F" w:rsidRPr="00FE71D6" w:rsidRDefault="009E1E9F" w:rsidP="006830D6">
      <w:pPr>
        <w:ind w:firstLine="720"/>
        <w:jc w:val="both"/>
      </w:pPr>
      <w:r w:rsidRPr="00FE71D6">
        <w:t>Over current periods, supply chain management has developed in prominence by reforming the structural emphasis from practical silos to integrated actions. Supply chain management emphasizes on attaining the lowest total cost via synergistic communication of all supply chain practices. The cash conversion cycle is a vital gauge as it links through incoming material actions with suppliers, via producing processes and the outcoming inventory management and sales actions with customers</w:t>
      </w:r>
      <w:r w:rsidR="00E2313F" w:rsidRPr="00FE71D6">
        <w:t xml:space="preserve"> (</w:t>
      </w:r>
      <w:r w:rsidR="00E2313F" w:rsidRPr="00FE71D6">
        <w:rPr>
          <w:noProof/>
        </w:rPr>
        <w:t>Farris &amp; Hutchison, 2002)</w:t>
      </w:r>
      <w:r w:rsidR="00E2313F" w:rsidRPr="00FE71D6">
        <w:t>.</w:t>
      </w:r>
    </w:p>
    <w:p w:rsidR="00E2313F" w:rsidRPr="00FE71D6" w:rsidRDefault="009E1E9F" w:rsidP="006830D6">
      <w:pPr>
        <w:ind w:firstLine="720"/>
        <w:jc w:val="both"/>
      </w:pPr>
      <w:r w:rsidRPr="00FE71D6">
        <w:t>Supply chain management provides chances for development through the business procedure. James Morehouse, the vice-president of consulting company A.T. Kearney in Chicago, records that the total cycle time for corn flakes is near to an annual, and that cycle ties in the medicinal sector mean is 465 days. More houses struggle that if supply chain management developments enclosed the whole factors from first supplier to last consumer fulfilment, total cycle time could be decreased to 30 days</w:t>
      </w:r>
      <w:r w:rsidR="00E2313F" w:rsidRPr="00FE71D6">
        <w:t xml:space="preserve"> </w:t>
      </w:r>
      <w:r w:rsidR="00E2313F" w:rsidRPr="00FE71D6">
        <w:rPr>
          <w:noProof/>
        </w:rPr>
        <w:t>(Bradley, 1998)</w:t>
      </w:r>
      <w:r w:rsidR="00E2313F" w:rsidRPr="00FE71D6">
        <w:t>.</w:t>
      </w:r>
    </w:p>
    <w:p w:rsidR="00E2313F" w:rsidRPr="00FE71D6" w:rsidRDefault="009E1E9F" w:rsidP="009E1E9F">
      <w:pPr>
        <w:ind w:firstLine="720"/>
        <w:jc w:val="both"/>
      </w:pPr>
      <w:r w:rsidRPr="00FE71D6">
        <w:t>In many studies, supply chain management practices have been described as a group of activities supposed in an organization to enhance active administration of its supply chain. The most current development of supply chain management practices comprises supplier partnership, subcontracting, cycle time compression, incessant procedure flow, and information technology sharing</w:t>
      </w:r>
      <w:r w:rsidR="00E2313F" w:rsidRPr="00FE71D6">
        <w:t xml:space="preserve"> </w:t>
      </w:r>
      <w:r w:rsidR="00E2313F" w:rsidRPr="00FE71D6">
        <w:rPr>
          <w:noProof/>
        </w:rPr>
        <w:t>(Dikshi &amp; Trivedi, 2012)</w:t>
      </w:r>
      <w:r w:rsidR="00E2313F" w:rsidRPr="00FE71D6">
        <w:t xml:space="preserve">. </w:t>
      </w:r>
      <w:r w:rsidRPr="00FE71D6">
        <w:t>Tan et al. (1998) engaged buying, degree of excellence, and customer relations to describe supply chain management practices in their practical research</w:t>
      </w:r>
      <w:r w:rsidR="00E2313F" w:rsidRPr="00FE71D6">
        <w:t xml:space="preserve">. </w:t>
      </w:r>
    </w:p>
    <w:p w:rsidR="00E2313F" w:rsidRPr="00FE71D6" w:rsidRDefault="009E1E9F" w:rsidP="005A1F96">
      <w:pPr>
        <w:ind w:firstLine="720"/>
        <w:jc w:val="both"/>
      </w:pPr>
      <w:r w:rsidRPr="00FE71D6">
        <w:t>Several supply chain management practices were suggested in the literature</w:t>
      </w:r>
      <w:r w:rsidR="00E2313F" w:rsidRPr="00FE71D6">
        <w:t xml:space="preserve"> (</w:t>
      </w:r>
      <w:r w:rsidR="00E2313F" w:rsidRPr="00FE71D6">
        <w:rPr>
          <w:noProof/>
        </w:rPr>
        <w:t>Abdallah et al., 2014)</w:t>
      </w:r>
      <w:r w:rsidR="00E2313F" w:rsidRPr="00FE71D6">
        <w:t xml:space="preserve">. </w:t>
      </w:r>
      <w:r w:rsidRPr="00FE71D6">
        <w:t>Cook and Heiser (2011) described the subsequent supply chain management practices: information sharing, long term relationships, progressive planning tools, leveraging the internet, and supply and delivery system constructions. They generated a</w:t>
      </w:r>
      <w:r w:rsidR="005A1F96" w:rsidRPr="00FE71D6">
        <w:t>n</w:t>
      </w:r>
      <w:r w:rsidRPr="00FE71D6">
        <w:t xml:space="preserve"> influence of supply chain management practices on f</w:t>
      </w:r>
      <w:r w:rsidR="00A61D4E" w:rsidRPr="00FE71D6">
        <w:t>inancial performance with the medi</w:t>
      </w:r>
      <w:r w:rsidRPr="00FE71D6">
        <w:t>ate effect on supply chain role</w:t>
      </w:r>
      <w:r w:rsidR="00E2313F" w:rsidRPr="00FE71D6">
        <w:t>.</w:t>
      </w:r>
    </w:p>
    <w:p w:rsidR="00E2313F" w:rsidRPr="00FE71D6" w:rsidRDefault="00C733E4" w:rsidP="00C733E4">
      <w:pPr>
        <w:ind w:firstLine="720"/>
        <w:jc w:val="both"/>
      </w:pPr>
      <w:r w:rsidRPr="00FE71D6">
        <w:t>Supply chain management practices are described as the group of actions supposed by a company to encourage active administration of its supply chain</w:t>
      </w:r>
      <w:r w:rsidR="00E2313F" w:rsidRPr="00FE71D6">
        <w:t xml:space="preserve"> (Koh et al., 2007). </w:t>
      </w:r>
      <w:r w:rsidRPr="00FE71D6">
        <w:t>Donlon (1996) designates the development of supply chain management practices as comprising supplier partnership, subcontracting, cycle time density, incessant procedure flow, and information technology sharing</w:t>
      </w:r>
      <w:r w:rsidR="00E2313F" w:rsidRPr="00FE71D6">
        <w:t xml:space="preserve">. </w:t>
      </w:r>
    </w:p>
    <w:p w:rsidR="00E2313F" w:rsidRPr="00FE71D6" w:rsidRDefault="00C733E4" w:rsidP="00D00EA0">
      <w:pPr>
        <w:spacing w:after="120"/>
        <w:ind w:firstLine="720"/>
        <w:jc w:val="both"/>
      </w:pPr>
      <w:r w:rsidRPr="00FE71D6">
        <w:t>Based on the preceding literature, supply chain management practices are observed from various viewpoints with a mutual objective of cultivating financial performance. In revising and combining, the literature stated four supply chain management emerging practices, namely supplier partnership, customer relationship, information sharing, and lean system. A more exhaustive explanation of these practices is delivered successively. Moreover, some prior researches initiated that there is a significant relationship between supply chain management in general and net trade cycle</w:t>
      </w:r>
      <w:r w:rsidR="00E2313F" w:rsidRPr="00FE71D6">
        <w:t xml:space="preserve"> </w:t>
      </w:r>
      <w:r w:rsidR="00E2313F" w:rsidRPr="00FE71D6">
        <w:rPr>
          <w:iCs/>
          <w:noProof/>
        </w:rPr>
        <w:t xml:space="preserve">(Hofmann &amp; Kotzab, 2010; </w:t>
      </w:r>
      <w:r w:rsidR="00E2313F" w:rsidRPr="00FE71D6">
        <w:t xml:space="preserve">Saenz et al., 2003). </w:t>
      </w:r>
      <w:r w:rsidR="006052A4" w:rsidRPr="00FE71D6">
        <w:t>Therefore, there is actually a need to explore the relationships among the four most common supply chain management practices as independent varia</w:t>
      </w:r>
      <w:r w:rsidR="00A61D4E" w:rsidRPr="00FE71D6">
        <w:t>bles and net trade cycle as a medi</w:t>
      </w:r>
      <w:r w:rsidR="005A1F96" w:rsidRPr="00FE71D6">
        <w:t>ator</w:t>
      </w:r>
      <w:r w:rsidR="006052A4" w:rsidRPr="00FE71D6">
        <w:t xml:space="preserve"> variable: the influence of the four most common supply chain management practices (supplier partnership, customer relationship, information sharing, and lean system) as independent variables on financial performance (return on asset, return on equity, operational profit margin, and competitive position) as a dependent variable; and the influence of net trade cycle (inventory conversion period, receivable collection period, and </w:t>
      </w:r>
      <w:r w:rsidR="00A61D4E" w:rsidRPr="00FE71D6">
        <w:t>payable deferral period) as a medi</w:t>
      </w:r>
      <w:r w:rsidR="005A1F96" w:rsidRPr="00FE71D6">
        <w:t>ator</w:t>
      </w:r>
      <w:r w:rsidR="006052A4" w:rsidRPr="00FE71D6">
        <w:t xml:space="preserve"> variable on financial performance (return on asset, return on equity, operational profit margin, and competitive position) as a dependent variable</w:t>
      </w:r>
      <w:r w:rsidR="00E2313F" w:rsidRPr="00FE71D6">
        <w:t>.</w:t>
      </w:r>
    </w:p>
    <w:p w:rsidR="00F53D8F" w:rsidRPr="00FE71D6" w:rsidRDefault="005232D9" w:rsidP="00405FCB">
      <w:pPr>
        <w:pStyle w:val="Heading3"/>
        <w:rPr>
          <w:bCs w:val="0"/>
          <w:iCs w:val="0"/>
          <w:lang w:val="en-US"/>
        </w:rPr>
      </w:pPr>
      <w:bookmarkStart w:id="15" w:name="_Toc495527308"/>
      <w:bookmarkStart w:id="16" w:name="_Toc500087467"/>
      <w:r w:rsidRPr="00FE71D6">
        <w:rPr>
          <w:bCs w:val="0"/>
          <w:iCs w:val="0"/>
          <w:lang w:val="en-US"/>
        </w:rPr>
        <w:t>2.1.1 Supplier Partnership</w:t>
      </w:r>
      <w:r w:rsidR="000855B6" w:rsidRPr="00FE71D6">
        <w:rPr>
          <w:bCs w:val="0"/>
          <w:iCs w:val="0"/>
          <w:lang w:val="en-US"/>
        </w:rPr>
        <w:t xml:space="preserve"> (SP)</w:t>
      </w:r>
      <w:bookmarkEnd w:id="15"/>
      <w:bookmarkEnd w:id="16"/>
    </w:p>
    <w:p w:rsidR="001C316A" w:rsidRPr="00FE71D6" w:rsidRDefault="00840CE8" w:rsidP="00D00EA0">
      <w:pPr>
        <w:jc w:val="both"/>
      </w:pPr>
      <w:r w:rsidRPr="00FE71D6">
        <w:t>Supplier partnership is described as the long- range relationship between the company and its suppliers. It is envisioned to influence the planned and practical competencies of distinct contributing companies to encourage them attain significant on-going gains</w:t>
      </w:r>
      <w:r w:rsidR="001C316A" w:rsidRPr="00FE71D6">
        <w:t xml:space="preserve"> (Li et al., 2005; Stuart, 1997).</w:t>
      </w:r>
    </w:p>
    <w:p w:rsidR="001C316A" w:rsidRPr="00FE71D6" w:rsidRDefault="00840CE8" w:rsidP="00D00EA0">
      <w:pPr>
        <w:ind w:firstLine="720"/>
        <w:jc w:val="both"/>
        <w:rPr>
          <w:b/>
          <w:bCs/>
          <w:i/>
          <w:iCs/>
        </w:rPr>
      </w:pPr>
      <w:r w:rsidRPr="00FE71D6">
        <w:t>Supplier partnership is associated with several actions for instance information sharing, direction, expectation, shared technology, integrated procedures, long range agreements, supporting suppliers to advance manufacture procedures, adopting improved degree of excellences, spending in supplier’s assets, encompassing suppliers in recent product improvement, cultivating supplier’s general competences, danger and gain involvement, and shared benefits from advanced exertions</w:t>
      </w:r>
      <w:r w:rsidR="001C316A" w:rsidRPr="00FE71D6">
        <w:t xml:space="preserve"> (Dyer et al., 1998; Echtelt et al., 2008). </w:t>
      </w:r>
      <w:r w:rsidR="00E24089" w:rsidRPr="00FE71D6">
        <w:t>For itself, integration outcomes in enriched decision taking, enriched information involvement, allied competencies, constructed knowledge procedures, and amplified performance of supply chain partners</w:t>
      </w:r>
      <w:r w:rsidR="001C316A" w:rsidRPr="00FE71D6">
        <w:t xml:space="preserve"> (Echtelt et al., 2008).</w:t>
      </w:r>
    </w:p>
    <w:p w:rsidR="001C316A" w:rsidRPr="00FE71D6" w:rsidRDefault="002F46A2" w:rsidP="00D00EA0">
      <w:pPr>
        <w:ind w:firstLine="720"/>
        <w:jc w:val="both"/>
      </w:pPr>
      <w:r w:rsidRPr="00FE71D6">
        <w:t>By emerging partnership with suppliers, it is probable to exert more successfully with a few aggressive suppliers who are keen to part accountability for the achievement of the products. Suppliers previously contributing in the product scheme procedure can produce more cost- operative scheme selections, grow another theoretical solution, choose the best activities and knowledge and assist in form valuation</w:t>
      </w:r>
      <w:r w:rsidR="001C316A" w:rsidRPr="00FE71D6">
        <w:t xml:space="preserve"> (Monczka et al., 1994). </w:t>
      </w:r>
      <w:r w:rsidR="00EF45BA" w:rsidRPr="00FE71D6">
        <w:t>Deliberately allied companies can exert narrowly together and eliminate missed time and exertion</w:t>
      </w:r>
      <w:r w:rsidR="001C316A" w:rsidRPr="00FE71D6">
        <w:t xml:space="preserve"> (Balsmeier &amp; Voisin, 1996). </w:t>
      </w:r>
      <w:r w:rsidR="00EF45BA" w:rsidRPr="00FE71D6">
        <w:t>Further, highlighting inside capabilities needs superior dependence on outside suppliers to back non- primary condition, predominantly in the scheme and industrial back</w:t>
      </w:r>
      <w:r w:rsidR="001C316A" w:rsidRPr="00FE71D6">
        <w:t>.</w:t>
      </w:r>
    </w:p>
    <w:p w:rsidR="001C316A" w:rsidRPr="00FE71D6" w:rsidRDefault="0027112E" w:rsidP="00D00EA0">
      <w:pPr>
        <w:spacing w:after="120"/>
        <w:ind w:firstLine="720"/>
        <w:jc w:val="both"/>
      </w:pPr>
      <w:r w:rsidRPr="00FE71D6">
        <w:t>As Tompkins (1998) highlights, conventional business linking competitive attempting, numerous bases, and confrontational relationships do not apply in integrated supply chain circumstances. A right supplier partnership, which highlights guide, long- range relationship, thus promising joint scheduling and issue- resolving exertions</w:t>
      </w:r>
      <w:r w:rsidR="001C316A" w:rsidRPr="00FE71D6">
        <w:t xml:space="preserve"> (Gunasekaran et al., 2001; Lamming, 1993; Stuart, 1993), </w:t>
      </w:r>
      <w:r w:rsidRPr="00FE71D6">
        <w:t>is severe in functioning a front-line supply chain</w:t>
      </w:r>
      <w:r w:rsidR="001C316A" w:rsidRPr="00FE71D6">
        <w:t xml:space="preserve"> (Noble, 1997). </w:t>
      </w:r>
      <w:r w:rsidRPr="00FE71D6">
        <w:t>Honda of America and Chrysler, frequently mentioned for their foremost practice in emerging partnership relationships with suppliers, have attained abundant gains from it</w:t>
      </w:r>
      <w:r w:rsidR="001C316A" w:rsidRPr="00FE71D6">
        <w:t xml:space="preserve"> </w:t>
      </w:r>
      <w:r w:rsidR="001C316A" w:rsidRPr="00FE71D6">
        <w:rPr>
          <w:noProof/>
        </w:rPr>
        <w:t>(Sheridan, 1998)</w:t>
      </w:r>
      <w:r w:rsidR="001C316A" w:rsidRPr="00FE71D6">
        <w:t>.</w:t>
      </w:r>
    </w:p>
    <w:p w:rsidR="00671AEF" w:rsidRPr="00FE71D6" w:rsidRDefault="00671AEF" w:rsidP="00405FCB">
      <w:pPr>
        <w:pStyle w:val="Heading3"/>
        <w:rPr>
          <w:bCs w:val="0"/>
          <w:iCs w:val="0"/>
          <w:lang w:val="en-US"/>
        </w:rPr>
      </w:pPr>
      <w:bookmarkStart w:id="17" w:name="_Toc495527309"/>
      <w:bookmarkStart w:id="18" w:name="_Toc500087468"/>
      <w:r w:rsidRPr="00FE71D6">
        <w:rPr>
          <w:bCs w:val="0"/>
          <w:iCs w:val="0"/>
          <w:lang w:val="en-US"/>
        </w:rPr>
        <w:t xml:space="preserve">2.1.2 Customer Relationship </w:t>
      </w:r>
      <w:r w:rsidR="000855B6" w:rsidRPr="00FE71D6">
        <w:rPr>
          <w:bCs w:val="0"/>
          <w:iCs w:val="0"/>
          <w:lang w:val="en-US"/>
        </w:rPr>
        <w:t>(CR)</w:t>
      </w:r>
      <w:bookmarkEnd w:id="17"/>
      <w:bookmarkEnd w:id="18"/>
    </w:p>
    <w:p w:rsidR="004702ED" w:rsidRPr="00FE71D6" w:rsidRDefault="00851515" w:rsidP="005C05E7">
      <w:pPr>
        <w:jc w:val="both"/>
      </w:pPr>
      <w:r w:rsidRPr="00FE71D6">
        <w:t>Customer relationship is described as the demand management practice throughout long- range customer relationship, gratification enlargement, and criticism administration</w:t>
      </w:r>
      <w:r w:rsidR="004702ED" w:rsidRPr="00FE71D6">
        <w:t xml:space="preserve"> (Tan et al., 1998). </w:t>
      </w:r>
      <w:r w:rsidR="00243CB5" w:rsidRPr="00FE71D6">
        <w:t>The important feature of customer relationship is the consideration on main customers to appreciate and satisfy their wants and necessities</w:t>
      </w:r>
      <w:r w:rsidR="004702ED" w:rsidRPr="00FE71D6">
        <w:t xml:space="preserve"> (Sheth et al., 2000). </w:t>
      </w:r>
      <w:r w:rsidR="00243CB5" w:rsidRPr="00FE71D6">
        <w:t>It is also described as the whole collection of activities that are affianced for the determination of handling customer criticisms, establishing long- range relationships with customers and cultivating customer gratification</w:t>
      </w:r>
      <w:r w:rsidR="004702ED" w:rsidRPr="00FE71D6">
        <w:t xml:space="preserve"> (Li et al., 2005; Tan et al., 2002). </w:t>
      </w:r>
      <w:r w:rsidR="00243CB5" w:rsidRPr="00FE71D6">
        <w:t>Customer relationship covers diverse activities, for instance, integrative issue- resolving creativities, straight customer associates, handling customer criticisms, cumulative customer gratification, and forming long- term relations with customers</w:t>
      </w:r>
      <w:r w:rsidR="004702ED" w:rsidRPr="00FE71D6">
        <w:t xml:space="preserve"> (Boulding et al., 2005; Sousa, 2003; Tan et al., 1998).</w:t>
      </w:r>
    </w:p>
    <w:p w:rsidR="004702ED" w:rsidRPr="00FE71D6" w:rsidRDefault="00243CB5" w:rsidP="005C05E7">
      <w:pPr>
        <w:ind w:firstLine="720"/>
        <w:jc w:val="both"/>
      </w:pPr>
      <w:r w:rsidRPr="00FE71D6">
        <w:t>Customer relationship is anticipated to produce diverse gains for companies. Such gains comprise the capability to distinguish products from rivals, amplify market share, retain lucrative customers, enrich customer loyalty, resolve probable issues rapidly, share information and proficiency regarding recent technologies, understand customer wants deeply, and respond quickly to customers</w:t>
      </w:r>
      <w:r w:rsidR="004702ED" w:rsidRPr="00FE71D6">
        <w:t xml:space="preserve"> (Magretta, 1998; Wasti &amp; Jeffrey, 1999). </w:t>
      </w:r>
      <w:r w:rsidR="00695229" w:rsidRPr="00FE71D6">
        <w:t>Noble (1997) and Tan et al. (1999) reflect customer relationship administration as one of the most vital supply chain management practices. The development of form customization and tailored facility is prominent to an age in which relationship administration with customers is flattering and vital for corporate economic existence</w:t>
      </w:r>
      <w:r w:rsidR="004702ED" w:rsidRPr="00FE71D6">
        <w:t xml:space="preserve"> </w:t>
      </w:r>
      <w:r w:rsidR="004702ED" w:rsidRPr="00FE71D6">
        <w:rPr>
          <w:noProof/>
        </w:rPr>
        <w:t>(Wines, 1996)</w:t>
      </w:r>
      <w:r w:rsidR="004702ED" w:rsidRPr="00FE71D6">
        <w:t>.</w:t>
      </w:r>
    </w:p>
    <w:p w:rsidR="004702ED" w:rsidRPr="00FE71D6" w:rsidRDefault="00087AD6" w:rsidP="005C05E7">
      <w:pPr>
        <w:spacing w:after="120"/>
        <w:ind w:firstLine="720"/>
        <w:jc w:val="both"/>
        <w:rPr>
          <w:lang w:val="en-US"/>
        </w:rPr>
      </w:pPr>
      <w:r w:rsidRPr="00FE71D6">
        <w:t>A main measurement of supply chain management practices encompasses the administration of upstream suppliers in addition to downstream integration of customers</w:t>
      </w:r>
      <w:r w:rsidR="004702ED" w:rsidRPr="00FE71D6">
        <w:t xml:space="preserve"> (Tan et al., 1999). </w:t>
      </w:r>
      <w:r w:rsidRPr="00FE71D6">
        <w:t>Customer relationship has long been acknowledged as an inside part of a company’s marketing plan to upturn revenues and financial performance</w:t>
      </w:r>
      <w:r w:rsidR="004702ED" w:rsidRPr="00FE71D6">
        <w:t xml:space="preserve"> (Bommer et al., 2001). </w:t>
      </w:r>
      <w:r w:rsidR="00F43495" w:rsidRPr="00FE71D6">
        <w:t>The main goal in customer relationship is to apprehend and reach customers’ wants and necessities. Close customer relationship lets a company to distinguish its product from rivals and radically expand the value it delivers to its customers</w:t>
      </w:r>
      <w:r w:rsidR="004702ED" w:rsidRPr="00FE71D6">
        <w:t xml:space="preserve"> </w:t>
      </w:r>
      <w:r w:rsidR="004702ED" w:rsidRPr="00FE71D6">
        <w:rPr>
          <w:noProof/>
        </w:rPr>
        <w:t>(Magretta, 1998)</w:t>
      </w:r>
      <w:r w:rsidR="004702ED" w:rsidRPr="00FE71D6">
        <w:t xml:space="preserve"> </w:t>
      </w:r>
      <w:r w:rsidR="00F43495" w:rsidRPr="00FE71D6">
        <w:t>and withstand customer loyalty. A company’s customer relation activities can impact its achievement in handling the entire supply chain in addition to its inside performance</w:t>
      </w:r>
      <w:r w:rsidR="004702ED" w:rsidRPr="00FE71D6">
        <w:t>.</w:t>
      </w:r>
      <w:r w:rsidR="004702ED" w:rsidRPr="00FE71D6">
        <w:rPr>
          <w:lang w:val="en-US"/>
        </w:rPr>
        <w:t xml:space="preserve"> </w:t>
      </w:r>
    </w:p>
    <w:p w:rsidR="00671AEF" w:rsidRPr="00FE71D6" w:rsidRDefault="00671AEF" w:rsidP="00405FCB">
      <w:pPr>
        <w:pStyle w:val="Heading3"/>
        <w:rPr>
          <w:bCs w:val="0"/>
          <w:iCs w:val="0"/>
          <w:lang w:val="en-US"/>
        </w:rPr>
      </w:pPr>
      <w:bookmarkStart w:id="19" w:name="_Toc495527310"/>
      <w:bookmarkStart w:id="20" w:name="_Toc500087469"/>
      <w:r w:rsidRPr="00FE71D6">
        <w:rPr>
          <w:bCs w:val="0"/>
          <w:iCs w:val="0"/>
          <w:lang w:val="en-US"/>
        </w:rPr>
        <w:t xml:space="preserve">2.1.3 Information Sharing </w:t>
      </w:r>
      <w:r w:rsidR="000855B6" w:rsidRPr="00FE71D6">
        <w:rPr>
          <w:bCs w:val="0"/>
          <w:iCs w:val="0"/>
          <w:lang w:val="en-US"/>
        </w:rPr>
        <w:t>(IS)</w:t>
      </w:r>
      <w:bookmarkEnd w:id="19"/>
      <w:bookmarkEnd w:id="20"/>
    </w:p>
    <w:p w:rsidR="007825BA" w:rsidRPr="00FE71D6" w:rsidRDefault="00E55071" w:rsidP="00186BE2">
      <w:pPr>
        <w:jc w:val="both"/>
      </w:pPr>
      <w:r w:rsidRPr="00FE71D6">
        <w:t>Information sharing is described as the degree to which serious and exclusive information is connected to an individual’s supply chain companion</w:t>
      </w:r>
      <w:r w:rsidR="007825BA" w:rsidRPr="00FE71D6">
        <w:t xml:space="preserve"> (Li et al., 2005). </w:t>
      </w:r>
      <w:r w:rsidRPr="00FE71D6">
        <w:t>The innovations of information technology have immensely contributed to the development of sharing information through the supply chain. Even interactions of information permit for supply chain members to achieve as a sole form</w:t>
      </w:r>
      <w:r w:rsidR="007825BA" w:rsidRPr="00FE71D6">
        <w:t xml:space="preserve"> </w:t>
      </w:r>
      <w:r w:rsidR="007825BA" w:rsidRPr="00FE71D6">
        <w:rPr>
          <w:noProof/>
        </w:rPr>
        <w:t>(Stein &amp; Sweat, 1998)</w:t>
      </w:r>
      <w:r w:rsidR="007825BA" w:rsidRPr="00FE71D6">
        <w:t xml:space="preserve">. </w:t>
      </w:r>
      <w:r w:rsidRPr="00FE71D6">
        <w:t>Shared information has diverse classifications comprising inventory, assets, products, demands, postponements, and scheduling information</w:t>
      </w:r>
      <w:r w:rsidR="007825BA" w:rsidRPr="00FE71D6">
        <w:t xml:space="preserve"> </w:t>
      </w:r>
      <w:r w:rsidR="007825BA" w:rsidRPr="00FE71D6">
        <w:rPr>
          <w:noProof/>
        </w:rPr>
        <w:t>(Sakka &amp; Botta-Genoulaz, 2009)</w:t>
      </w:r>
      <w:r w:rsidR="007825BA" w:rsidRPr="00FE71D6">
        <w:t xml:space="preserve">. </w:t>
      </w:r>
      <w:r w:rsidRPr="00FE71D6">
        <w:t>It may as well comprise information about degree of excellence, inventory management, overall market information, and scheme information</w:t>
      </w:r>
      <w:r w:rsidR="007825BA" w:rsidRPr="00FE71D6">
        <w:t xml:space="preserve"> </w:t>
      </w:r>
      <w:r w:rsidR="007825BA" w:rsidRPr="00FE71D6">
        <w:rPr>
          <w:noProof/>
        </w:rPr>
        <w:t>(Singh, 2013)</w:t>
      </w:r>
      <w:r w:rsidR="007825BA" w:rsidRPr="00FE71D6">
        <w:t xml:space="preserve">. </w:t>
      </w:r>
      <w:r w:rsidRPr="00FE71D6">
        <w:t>So as to generate best outcomes, communal information has to be sufficient, precise, reliable, and appropriate</w:t>
      </w:r>
      <w:r w:rsidR="007825BA" w:rsidRPr="00FE71D6">
        <w:t xml:space="preserve"> (Li et al., 2004). </w:t>
      </w:r>
      <w:r w:rsidRPr="00FE71D6">
        <w:t>Information sharing influences performance in terms of enriched customer receptiveness, reduced costs, enriched service ranks, and decreased degrees of complication</w:t>
      </w:r>
      <w:r w:rsidR="007825BA" w:rsidRPr="00FE71D6">
        <w:t xml:space="preserve"> (Zhao et al., 2002).</w:t>
      </w:r>
    </w:p>
    <w:p w:rsidR="007825BA" w:rsidRPr="00FE71D6" w:rsidRDefault="003A2DA0" w:rsidP="005C05E7">
      <w:pPr>
        <w:ind w:firstLine="720"/>
        <w:jc w:val="both"/>
      </w:pPr>
      <w:r w:rsidRPr="00FE71D6">
        <w:t>Numerous academicians have recommended that the main goal of the unified supply chain is to obtain factual and latest marketing data at each echelon inside the supply chain</w:t>
      </w:r>
      <w:r w:rsidR="007825BA" w:rsidRPr="00FE71D6">
        <w:t xml:space="preserve"> (Balsmeier &amp; Voisin, 1996; Towill, 1997; Turner, 1993). </w:t>
      </w:r>
      <w:r w:rsidRPr="00FE71D6">
        <w:t>Having the information accessible and visible to other members in the supply chain, customer data can be employed as a basis for competitive advantage</w:t>
      </w:r>
      <w:r w:rsidR="007825BA" w:rsidRPr="00FE71D6">
        <w:t xml:space="preserve"> (Jones, 1998; Novack et al., 1995).</w:t>
      </w:r>
    </w:p>
    <w:p w:rsidR="007825BA" w:rsidRPr="00FE71D6" w:rsidRDefault="003A2DA0" w:rsidP="005C05E7">
      <w:pPr>
        <w:ind w:firstLine="720"/>
        <w:jc w:val="both"/>
      </w:pPr>
      <w:r w:rsidRPr="00FE71D6">
        <w:t>Information sharing is a main component for any supply chain management scheme</w:t>
      </w:r>
      <w:r w:rsidR="007825BA" w:rsidRPr="00FE71D6">
        <w:t xml:space="preserve"> (Moberg et al., 2002). </w:t>
      </w:r>
      <w:r w:rsidRPr="00FE71D6">
        <w:t>Information sharing is described as the information connected between members where the accurateness, sufficiency, and appropriateness denote to the degree of excellence of information. Li et al. (2004) described information sharing in the supply chain as the degree to which energetic and exclusive information is connected to the organization’s supply chain member. The benefit of information sharing in supply chain management has been exhaustively reflected</w:t>
      </w:r>
      <w:r w:rsidR="007825BA" w:rsidRPr="00FE71D6">
        <w:t xml:space="preserve"> </w:t>
      </w:r>
      <w:r w:rsidR="007825BA" w:rsidRPr="00FE71D6">
        <w:rPr>
          <w:noProof/>
        </w:rPr>
        <w:t>(Cachon &amp; Fisher, 2000)</w:t>
      </w:r>
      <w:r w:rsidR="007825BA" w:rsidRPr="00FE71D6">
        <w:t xml:space="preserve">. </w:t>
      </w:r>
      <w:r w:rsidRPr="00FE71D6">
        <w:t>Information sharing advances harmonisation in supply chain procedures to permit the material flow and decreases inventory costs. Information sharing influences the supply chain performance both in terms of total cost and service level</w:t>
      </w:r>
      <w:r w:rsidR="007825BA" w:rsidRPr="00FE71D6">
        <w:t xml:space="preserve"> (Zhao et al., 2002).</w:t>
      </w:r>
    </w:p>
    <w:p w:rsidR="007825BA" w:rsidRPr="00FE71D6" w:rsidRDefault="00577EE2" w:rsidP="005C05E7">
      <w:pPr>
        <w:ind w:firstLine="720"/>
        <w:jc w:val="both"/>
      </w:pPr>
      <w:r w:rsidRPr="00FE71D6">
        <w:t>Numerous academicians have highlighted the prominence of information sharing in supply chain management practices. Lalonde (1998) deliberated on sharing of information as a portion of four construction blocks that describe concrete supply chain relationship. Rendering to Stein and Sweat (1998), supply chain members that interchange the information on a consistent base are accomplished to exert as a sole body. Collaboratively, they have a better sympathy with the last customers and are better accomplished in responding to changes in the marketplace. In addition, Yu et al. (2001) emphasized that the negative influence of the rawhide whip with a very long plaited lash impacts on a supply chain can be removed by sharing information with trading partners. Tompkins and Ang (1999) suggested that the main reasonable and distinctive influence for the 20th century is the capable usage of applicable and appropriate information by the entire practical parts inside the supply chain to reach organizational goals. Sharing information with suppliers provides Dell Company the gains of quicker cycle times, decreased inventory, and enriched predictions. Altogether, the customers achieve greater degree of excellence of products at a lower price</w:t>
      </w:r>
      <w:r w:rsidR="007825BA" w:rsidRPr="00FE71D6">
        <w:t xml:space="preserve"> </w:t>
      </w:r>
      <w:r w:rsidR="007825BA" w:rsidRPr="00FE71D6">
        <w:rPr>
          <w:noProof/>
        </w:rPr>
        <w:t>(Stein &amp; Sweat, 1998)</w:t>
      </w:r>
      <w:r w:rsidR="007825BA" w:rsidRPr="00FE71D6">
        <w:t>.</w:t>
      </w:r>
    </w:p>
    <w:p w:rsidR="007825BA" w:rsidRPr="00FE71D6" w:rsidRDefault="00042935" w:rsidP="005C05E7">
      <w:pPr>
        <w:spacing w:after="120"/>
        <w:ind w:firstLine="720"/>
        <w:jc w:val="both"/>
      </w:pPr>
      <w:r w:rsidRPr="00FE71D6">
        <w:t>Nonetheless, there is the unwillingness on the component of companies in the supply chain to share information with each other. Information is commonly detected as offering a benefit over rivals while companies struggle sharing with their members</w:t>
      </w:r>
      <w:r w:rsidR="007825BA" w:rsidRPr="00FE71D6">
        <w:t xml:space="preserve"> </w:t>
      </w:r>
      <w:r w:rsidR="007825BA" w:rsidRPr="00FE71D6">
        <w:rPr>
          <w:noProof/>
        </w:rPr>
        <w:t>(Vokurka &amp; Lummus, 2000)</w:t>
      </w:r>
      <w:r w:rsidR="007825BA" w:rsidRPr="00FE71D6">
        <w:t xml:space="preserve">. </w:t>
      </w:r>
      <w:r w:rsidRPr="00FE71D6">
        <w:t>This uncertainty was due to diverse influences, encompassing the professed threat of getting rid of competitive advantage in other companies, the sharing of dominant information, for instance, inventory amounts and manufacture timetables with other network participants and the probability of dropping customers to other rivals</w:t>
      </w:r>
      <w:r w:rsidR="007825BA" w:rsidRPr="00FE71D6">
        <w:t xml:space="preserve"> (Ballou et al. 2000; Croom et al., 2000; Lancioni et al., 2000).</w:t>
      </w:r>
    </w:p>
    <w:p w:rsidR="007D7464" w:rsidRPr="00FE71D6" w:rsidRDefault="007D7464" w:rsidP="00405FCB">
      <w:pPr>
        <w:pStyle w:val="Heading3"/>
        <w:rPr>
          <w:bCs w:val="0"/>
          <w:iCs w:val="0"/>
          <w:lang w:val="en-US"/>
        </w:rPr>
      </w:pPr>
      <w:bookmarkStart w:id="21" w:name="_Toc495527311"/>
      <w:bookmarkStart w:id="22" w:name="_Toc500087470"/>
      <w:r w:rsidRPr="00FE71D6">
        <w:rPr>
          <w:bCs w:val="0"/>
          <w:iCs w:val="0"/>
          <w:lang w:val="en-US"/>
        </w:rPr>
        <w:t xml:space="preserve">2.1.4 </w:t>
      </w:r>
      <w:r w:rsidR="00F53D8F" w:rsidRPr="00FE71D6">
        <w:rPr>
          <w:bCs w:val="0"/>
          <w:iCs w:val="0"/>
          <w:lang w:val="en-US"/>
        </w:rPr>
        <w:t>Lean System</w:t>
      </w:r>
      <w:r w:rsidR="000855B6" w:rsidRPr="00FE71D6">
        <w:rPr>
          <w:bCs w:val="0"/>
          <w:iCs w:val="0"/>
          <w:lang w:val="en-US"/>
        </w:rPr>
        <w:t xml:space="preserve"> (LS)</w:t>
      </w:r>
      <w:bookmarkEnd w:id="21"/>
      <w:bookmarkEnd w:id="22"/>
    </w:p>
    <w:p w:rsidR="003D1A12" w:rsidRPr="00FE71D6" w:rsidRDefault="007A579B" w:rsidP="005C05E7">
      <w:pPr>
        <w:jc w:val="both"/>
        <w:rPr>
          <w:b/>
          <w:bCs/>
          <w:i/>
          <w:iCs/>
        </w:rPr>
      </w:pPr>
      <w:r w:rsidRPr="00FE71D6">
        <w:t>Lean system is described as the activities of removing waste in an industrial system, deliberated by decreased set-up periods, small ration extents, and pull-production</w:t>
      </w:r>
      <w:r w:rsidR="003D1A12" w:rsidRPr="00FE71D6">
        <w:t xml:space="preserve"> (Li et al., 2005). </w:t>
      </w:r>
      <w:r w:rsidR="005140EB" w:rsidRPr="00FE71D6">
        <w:t>The term lean demonstrates a system that employs less of entire efforts to generate yields alike with the form manufacturing system, however, provides an enlarged selection for the last consumer. The rationale behind schedule lean thinking in supply chain management is that companies mutually recognize the worth stream for every product from ideas to intakes and develop this worth stream irrespective of old style operation</w:t>
      </w:r>
      <w:r w:rsidR="003D1A12" w:rsidRPr="00FE71D6">
        <w:t xml:space="preserve"> </w:t>
      </w:r>
      <w:r w:rsidR="003D1A12" w:rsidRPr="00FE71D6">
        <w:rPr>
          <w:noProof/>
        </w:rPr>
        <w:t>(Mclvor, 2001)</w:t>
      </w:r>
      <w:r w:rsidR="003D1A12" w:rsidRPr="00FE71D6">
        <w:t xml:space="preserve">. </w:t>
      </w:r>
      <w:r w:rsidR="00781CB3" w:rsidRPr="00FE71D6">
        <w:t>Removal of discarded waste is an essential idea inside the lean system. The consideration on discarded waste was founded by Taichii Ohno, Toyota’s Chief Engineer. Ohno recognizes Seven Wastes in the manufacturing system: over manufacture, coming up, shipping, unsuitable treating, unneeded inventory, flaws, and unneeded indication. However, the Seven Wastes were initially settled in a productive situation, and study has exposed that waste elimination is similarly appropriate as a foundation for development through the entire variety of supply chain</w:t>
      </w:r>
      <w:r w:rsidR="003D1A12" w:rsidRPr="00FE71D6">
        <w:t xml:space="preserve"> </w:t>
      </w:r>
      <w:r w:rsidR="003D1A12" w:rsidRPr="00FE71D6">
        <w:rPr>
          <w:noProof/>
        </w:rPr>
        <w:t>(Taylor, 1999)</w:t>
      </w:r>
      <w:r w:rsidR="003D1A12" w:rsidRPr="00FE71D6">
        <w:t>.</w:t>
      </w:r>
    </w:p>
    <w:p w:rsidR="003D1A12" w:rsidRPr="00FE71D6" w:rsidRDefault="00FD57BD" w:rsidP="005C05E7">
      <w:pPr>
        <w:ind w:firstLine="720"/>
        <w:jc w:val="both"/>
      </w:pPr>
      <w:r w:rsidRPr="00FE71D6">
        <w:t>In Lean Thinking written by Womack and Jones (1996), five rules are recognized which are essential to the removal of waste. Taylor (1999) combines these five rules into the supply chain management situation and creates five lean rules for supply chain management which are 1) identify what generates worth from customer’s view point; 2) recognize the actions which are crucial to convey that worth through the entire supply chain of the worth stream; 3) create worth by removing discarded waste between added worth actions and inside added worth actions; 4) merely create or transfer, what is pulled by the customers and not what manufacture components select to create and push into the supply tube and 5) struggle for distinction not only in terms of product degree of excellence but also in the corporeal procedure, information systems, and administration which begin supply chain action</w:t>
      </w:r>
      <w:r w:rsidR="003D1A12" w:rsidRPr="00FE71D6">
        <w:t>.</w:t>
      </w:r>
    </w:p>
    <w:p w:rsidR="003D1A12" w:rsidRPr="00FE71D6" w:rsidRDefault="00FD57BD" w:rsidP="005C05E7">
      <w:pPr>
        <w:spacing w:after="240"/>
        <w:ind w:firstLine="720"/>
        <w:jc w:val="both"/>
      </w:pPr>
      <w:r w:rsidRPr="00FE71D6">
        <w:t>Lean thinking and lean practice have turned out to be a very vital measurement of executing supply chain management</w:t>
      </w:r>
      <w:r w:rsidR="003D1A12" w:rsidRPr="00FE71D6">
        <w:t xml:space="preserve"> (Handfield &amp; Nichols, 1999; Mason-Jones &amp; Towill, 1997). </w:t>
      </w:r>
      <w:r w:rsidR="00FA1F01" w:rsidRPr="00FE71D6">
        <w:t>Companies that have not reengineered their whole supply chains to turn out the unwanted costs, time, and other wilds</w:t>
      </w:r>
      <w:r w:rsidR="005E73D8" w:rsidRPr="00FE71D6">
        <w:t>;</w:t>
      </w:r>
      <w:r w:rsidR="00FA1F01" w:rsidRPr="00FE71D6">
        <w:t xml:space="preserve"> so</w:t>
      </w:r>
      <w:r w:rsidR="005E73D8" w:rsidRPr="00FE71D6">
        <w:t>,</w:t>
      </w:r>
      <w:r w:rsidR="00FA1F01" w:rsidRPr="00FE71D6">
        <w:t xml:space="preserve"> they can provide high degree of excellence. Best worth products at extremely fast production will danger dropping customers. Lean functioning practice is the key teamster to an extremely integrated and down- sized supply chain, encouraging both cost savings and closer, more creative functioning member relationships. Decreasing the period needed to improve, produce, and allocate products not only decreases costs but also upturns efficiency, permits best charges to be indicted, decreases dangers, and upturns suppleness</w:t>
      </w:r>
      <w:r w:rsidR="003D1A12" w:rsidRPr="00FE71D6">
        <w:t xml:space="preserve"> </w:t>
      </w:r>
      <w:r w:rsidR="003D1A12" w:rsidRPr="00FE71D6">
        <w:rPr>
          <w:noProof/>
        </w:rPr>
        <w:t>(Burgess, 1998)</w:t>
      </w:r>
      <w:r w:rsidR="003D1A12" w:rsidRPr="00FE71D6">
        <w:t>.</w:t>
      </w:r>
    </w:p>
    <w:p w:rsidR="00932E5B" w:rsidRPr="00FE71D6" w:rsidRDefault="004954B1" w:rsidP="003A6DA6">
      <w:pPr>
        <w:pStyle w:val="Heading2"/>
        <w:contextualSpacing w:val="0"/>
        <w:rPr>
          <w:lang w:val="en-US"/>
        </w:rPr>
      </w:pPr>
      <w:bookmarkStart w:id="23" w:name="_Toc495527312"/>
      <w:bookmarkStart w:id="24" w:name="_Toc500087471"/>
      <w:r w:rsidRPr="00FE71D6">
        <w:rPr>
          <w:lang w:val="en-US"/>
        </w:rPr>
        <w:t>2.2 Net Trade Cycle</w:t>
      </w:r>
      <w:r w:rsidR="000855B6" w:rsidRPr="00FE71D6">
        <w:rPr>
          <w:lang w:val="en-US"/>
        </w:rPr>
        <w:t xml:space="preserve"> (NTC)</w:t>
      </w:r>
      <w:bookmarkEnd w:id="23"/>
      <w:bookmarkEnd w:id="24"/>
    </w:p>
    <w:p w:rsidR="000D385F" w:rsidRPr="00FE71D6" w:rsidRDefault="0010351A" w:rsidP="005C05E7">
      <w:pPr>
        <w:jc w:val="both"/>
      </w:pPr>
      <w:r w:rsidRPr="00FE71D6">
        <w:t>Extensive competition in current decades has anchored its consideration in the justification of short- range investments, providing working capital management a vital part in company financial performance</w:t>
      </w:r>
      <w:r w:rsidR="00746A0A" w:rsidRPr="00FE71D6">
        <w:t xml:space="preserve"> </w:t>
      </w:r>
      <w:r w:rsidR="000D385F" w:rsidRPr="00FE71D6">
        <w:t xml:space="preserve">(Appuhami, 2008; </w:t>
      </w:r>
      <w:r w:rsidR="00DC48B9" w:rsidRPr="00FE71D6">
        <w:t>Baños</w:t>
      </w:r>
      <w:r w:rsidR="000D385F" w:rsidRPr="00FE71D6">
        <w:t xml:space="preserve">-Caballero et al., 2011; Shin &amp; Soenen, 1998). </w:t>
      </w:r>
      <w:r w:rsidR="008A5413" w:rsidRPr="00FE71D6">
        <w:t>Working capital management comprises managing cash, inventory, and account receivable as well as the influencing factors of a company’s financial performance. Numerous prior researches have gauged the influence of working capital on company financial performance</w:t>
      </w:r>
      <w:r w:rsidR="000D385F" w:rsidRPr="00FE71D6">
        <w:t xml:space="preserve"> (Deloof, 2003; </w:t>
      </w:r>
      <w:r w:rsidR="005C2FD2" w:rsidRPr="00FE71D6">
        <w:rPr>
          <w:iCs/>
          <w:noProof/>
        </w:rPr>
        <w:t xml:space="preserve">García-Terual </w:t>
      </w:r>
      <w:r w:rsidR="000D385F" w:rsidRPr="00FE71D6">
        <w:t xml:space="preserve">&amp; </w:t>
      </w:r>
      <w:r w:rsidR="00B9633C" w:rsidRPr="00FE71D6">
        <w:t>Martínez</w:t>
      </w:r>
      <w:r w:rsidR="000D385F" w:rsidRPr="00FE71D6">
        <w:t>-Solano, 2007; Soenen, 1993).</w:t>
      </w:r>
    </w:p>
    <w:p w:rsidR="000D385F" w:rsidRPr="00FE71D6" w:rsidRDefault="006D0C38" w:rsidP="005C05E7">
      <w:pPr>
        <w:ind w:firstLine="720"/>
        <w:jc w:val="both"/>
      </w:pPr>
      <w:r w:rsidRPr="00FE71D6">
        <w:t>The impact of working capital management on the financial performance of manufacturing companies has paid the consideration of researchers in several countries in recent times</w:t>
      </w:r>
      <w:r w:rsidR="000D385F" w:rsidRPr="00FE71D6">
        <w:t xml:space="preserve"> (Shakoor et al., 2012). </w:t>
      </w:r>
      <w:r w:rsidRPr="00FE71D6">
        <w:t>Numerous studies disclose that efficient working capital management by shorter inventory conversion period and receivable collection period, and longer payable deferral period are linked with higher profitability</w:t>
      </w:r>
      <w:r w:rsidR="000D385F" w:rsidRPr="00FE71D6">
        <w:t xml:space="preserve"> </w:t>
      </w:r>
      <w:r w:rsidR="000D385F" w:rsidRPr="00FE71D6">
        <w:rPr>
          <w:noProof/>
        </w:rPr>
        <w:t>(Hsieh &amp; Wu, 2013)</w:t>
      </w:r>
      <w:r w:rsidR="000D385F" w:rsidRPr="00FE71D6">
        <w:t>.</w:t>
      </w:r>
    </w:p>
    <w:p w:rsidR="000D385F" w:rsidRPr="00FE71D6" w:rsidRDefault="006D0C38" w:rsidP="00BF13E4">
      <w:pPr>
        <w:ind w:firstLine="720"/>
        <w:jc w:val="both"/>
      </w:pPr>
      <w:r w:rsidRPr="00FE71D6">
        <w:t>The traditional sight on assessing a company's working capital management was to highlight on liquidity gauges, for instance, the current and quick ratios. These ratios, though, are grounded decently on balance sheet figures at the end of the financial year and an amount of issues are related with these static gauges</w:t>
      </w:r>
      <w:r w:rsidR="000D385F" w:rsidRPr="00FE71D6">
        <w:t xml:space="preserve"> (Jose et al., 1996). </w:t>
      </w:r>
      <w:r w:rsidRPr="00FE71D6">
        <w:t>In Richards and Laughlin (1980), the combined income statement figures would generate a flow gauge that highlights the operating cycle of the company and which would be well appropriate to assessing working capital management</w:t>
      </w:r>
      <w:r w:rsidR="000D385F" w:rsidRPr="00FE71D6">
        <w:t>.</w:t>
      </w:r>
    </w:p>
    <w:p w:rsidR="000D385F" w:rsidRPr="00FE71D6" w:rsidRDefault="00613A1C" w:rsidP="00BF13E4">
      <w:pPr>
        <w:ind w:firstLine="720"/>
        <w:jc w:val="both"/>
      </w:pPr>
      <w:r w:rsidRPr="00FE71D6">
        <w:t>In an effort to offer a basic technique to appraise a company's liquidity necessities, Gitman (1974) described the total cash cycle as the number of days between the first cash out flows related to the manufacture of an element and the last cash inflow of cash when the manufactured element is sold and the cash is received. The total cash cycle is computed by adding the company's raw material, the manufacturing, the finished inventory and account receivable turnover times, and subtracting the account payable turnover time. By bearing in mind the turnover times of the several working capital parts, the emphasis is located not only on the quantity of capital put in but also on the timing of these investments. Richards and Laughlin (1980) described this gauge as the cash conversion cycle and practiced it to assess working capital management</w:t>
      </w:r>
      <w:r w:rsidR="000D385F" w:rsidRPr="00FE71D6">
        <w:t>.</w:t>
      </w:r>
    </w:p>
    <w:p w:rsidR="000D385F" w:rsidRPr="00FE71D6" w:rsidRDefault="00613A1C" w:rsidP="00BF13E4">
      <w:pPr>
        <w:ind w:firstLine="720"/>
        <w:jc w:val="both"/>
      </w:pPr>
      <w:r w:rsidRPr="00FE71D6">
        <w:t>One key decision which makes part of financial management is that of settling an optimal balance of liquid resources in the company. Liquidity has been reflected key to either success or failure of a number of companies irrespective of having reported huge profits from their books of accounts</w:t>
      </w:r>
      <w:r w:rsidR="000D385F" w:rsidRPr="00FE71D6">
        <w:t xml:space="preserve"> </w:t>
      </w:r>
      <w:r w:rsidR="000D385F" w:rsidRPr="00FE71D6">
        <w:rPr>
          <w:noProof/>
        </w:rPr>
        <w:t>(Majanga, 2015)</w:t>
      </w:r>
      <w:r w:rsidR="000D385F" w:rsidRPr="00FE71D6">
        <w:t xml:space="preserve">. </w:t>
      </w:r>
      <w:r w:rsidRPr="00FE71D6">
        <w:t>It is contended, however, that companies with liquidity problems struggle to stay afloat, and they are perhaps to wind up if no development on their working capital is made. Similarly, companies with healthy liquidity positions are probable to advance smoothly in their procedures and that most of such companies have strong fortitude and development even in turbulent economic environments</w:t>
      </w:r>
      <w:r w:rsidR="000D385F" w:rsidRPr="00FE71D6">
        <w:t xml:space="preserve"> </w:t>
      </w:r>
      <w:r w:rsidR="000D385F" w:rsidRPr="00FE71D6">
        <w:rPr>
          <w:noProof/>
        </w:rPr>
        <w:t>(Majanga, 2015)</w:t>
      </w:r>
      <w:r w:rsidR="000D385F" w:rsidRPr="00FE71D6">
        <w:t xml:space="preserve">. </w:t>
      </w:r>
      <w:r w:rsidR="007A1604" w:rsidRPr="00FE71D6">
        <w:t>The liquidity position of a company is substantially influenced by the levels of inventory, account receivable, and short range debts</w:t>
      </w:r>
      <w:r w:rsidR="000D385F" w:rsidRPr="00FE71D6">
        <w:t xml:space="preserve"> </w:t>
      </w:r>
      <w:r w:rsidR="000D385F" w:rsidRPr="00FE71D6">
        <w:rPr>
          <w:noProof/>
        </w:rPr>
        <w:t>(Lyroudi &amp; McCarty, 1993)</w:t>
      </w:r>
      <w:r w:rsidR="000D385F" w:rsidRPr="00FE71D6">
        <w:t xml:space="preserve">, </w:t>
      </w:r>
      <w:r w:rsidR="00571D0C" w:rsidRPr="00FE71D6">
        <w:t>and therefore a good management of these components may lead to a company reaching a good liquidity and profitability position. In determining the company’s liquidity, the current and quick ratios have been acknowledged traditionally as suitable gauges of the liquidity situation of a company, the former being the appearance of company’s total current assets in contrast with its total current liabilities; whereas the latter being the appearance of highly convertible current assets in contrast with total current liabilities</w:t>
      </w:r>
      <w:r w:rsidR="000D385F" w:rsidRPr="00FE71D6">
        <w:t xml:space="preserve"> </w:t>
      </w:r>
      <w:r w:rsidR="000D385F" w:rsidRPr="00FE71D6">
        <w:rPr>
          <w:noProof/>
        </w:rPr>
        <w:t>(Watson &amp; Head, 1998)</w:t>
      </w:r>
      <w:r w:rsidR="000D385F" w:rsidRPr="00FE71D6">
        <w:t xml:space="preserve">. </w:t>
      </w:r>
      <w:r w:rsidR="005E4C88" w:rsidRPr="00FE71D6">
        <w:t>Lately, financial analysts as well as scholars such as Anser and Malik (2013) and Appuhami (2008) supported another gauge of a company’s liquidity, the cash conversion cycle, which is said to be one of the most commonly employed gauges to appraise and evaluate the dangers and revenues related with liquidity management. The cash conversion cycle is described as the time period between a company paying out cash for its manufacture costs and receiving cash from the proceeds of its commodities. The gauge of the cash conversion cycle climaxes how the companies or the whole sector is performing in addition to illuminating the areas where further development may be required</w:t>
      </w:r>
      <w:r w:rsidR="000D385F" w:rsidRPr="00FE71D6">
        <w:t xml:space="preserve"> </w:t>
      </w:r>
      <w:r w:rsidR="000D385F" w:rsidRPr="00FE71D6">
        <w:rPr>
          <w:noProof/>
        </w:rPr>
        <w:t>(Padachi, 2006)</w:t>
      </w:r>
      <w:r w:rsidR="000D385F" w:rsidRPr="00FE71D6">
        <w:t xml:space="preserve"> </w:t>
      </w:r>
      <w:r w:rsidR="005E4C88" w:rsidRPr="00FE71D6">
        <w:t>by demonstrating the degree of working capital financing required for particular level of procedures</w:t>
      </w:r>
      <w:r w:rsidR="000D385F" w:rsidRPr="00FE71D6">
        <w:t xml:space="preserve">. </w:t>
      </w:r>
    </w:p>
    <w:p w:rsidR="000D385F" w:rsidRPr="00FE71D6" w:rsidRDefault="008167FC" w:rsidP="00BF13E4">
      <w:pPr>
        <w:ind w:firstLine="720"/>
        <w:jc w:val="both"/>
      </w:pPr>
      <w:r w:rsidRPr="00FE71D6">
        <w:t>Managers, therefore, need to appropriately evaluate the working capital needs and recognize the basic components of liquidity in order to efficiently and effectively decide on the company’s operation and be capable of balancing between liquidity and profitability</w:t>
      </w:r>
      <w:r w:rsidR="000D385F" w:rsidRPr="00FE71D6">
        <w:t xml:space="preserve"> </w:t>
      </w:r>
      <w:r w:rsidR="000D385F" w:rsidRPr="00FE71D6">
        <w:rPr>
          <w:noProof/>
        </w:rPr>
        <w:t>(Manoori &amp; Muhammad, 2012)</w:t>
      </w:r>
      <w:r w:rsidR="000D385F" w:rsidRPr="00FE71D6">
        <w:t xml:space="preserve">. </w:t>
      </w:r>
      <w:r w:rsidRPr="00FE71D6">
        <w:t>Causal to the vital factors impacting working capital management, as identified in Lyroudi and McCarty (1993) would help executives to fix the optimal amount of exploitation in current assets as well as the good sources to finance them. This will enable them to be well- prepared and ready for irregular positions that have irregular impacts on company performance. Specifically, the cash conversion cycle is described as the summation of the inventory conversion period plus the receivable collection period minus the payable deferral period. Theoretically, the smaller the cash conversion cycle is, the faster the company can recover its cash from the revenues of its products. The more cash the company will acquire, the more liquid it will turn out to be. On the contrary, if the cash conversion cycle is high, then the organization proceeds extended to recuperate cash back into its system. Therefore, a high cash conversion cycle would designate a liquidity issue. This is in agreement with Gattis (2009) who contended that it is vital to viewpoint the cash conversion cycle in a movement; where a descendent movement is positive, demonstrating that the operating cycle is shortening, while an ascending movement is negative, demonstrating that the cycle is lengthening, hereafter cash is tied up for a lengthier period</w:t>
      </w:r>
      <w:r w:rsidR="000D385F" w:rsidRPr="00FE71D6">
        <w:t>.</w:t>
      </w:r>
    </w:p>
    <w:p w:rsidR="000D385F" w:rsidRPr="00FE71D6" w:rsidRDefault="00EA4B5B" w:rsidP="00BF13E4">
      <w:pPr>
        <w:ind w:firstLine="720"/>
        <w:jc w:val="both"/>
      </w:pPr>
      <w:r w:rsidRPr="00FE71D6">
        <w:t>Reducing a company's cash conversion cycle can be attained by declining the turnover times of the current assets, and aggregate the turnover time of the account payable. A company with a reasonably short cash conversion cycle, therefore, typically accomplishes to collect cash rapidly, and dispense its givers of trade credit near the due time. With Gentry et al. (1990), this runs through outcome in a higher present value of the cash flows and afterward, in a higher company value. The efficient administration of working capital is, thus, supposed to result in an upturn in company value</w:t>
      </w:r>
      <w:r w:rsidR="000D385F" w:rsidRPr="00FE71D6">
        <w:t>.</w:t>
      </w:r>
    </w:p>
    <w:p w:rsidR="000D385F" w:rsidRPr="00FE71D6" w:rsidRDefault="00883B67" w:rsidP="00BF13E4">
      <w:pPr>
        <w:ind w:firstLine="720"/>
        <w:jc w:val="both"/>
      </w:pPr>
      <w:r w:rsidRPr="00FE71D6">
        <w:t>Jose et al. (1996) observed the relationship between liquidity management and profitability. The outcomes of their study exposed a statistically negative influence of the cash conversion cycle on the return on assets in addition to the return on equity. In consequence, their research gauged the impact of particular sectors and companies. Despite the fact that some exclusions from their overall outcomes were indicated, they determined that company performance is enriched by efficient working capital management</w:t>
      </w:r>
      <w:r w:rsidR="000D385F" w:rsidRPr="00FE71D6">
        <w:t xml:space="preserve"> (Jose et al., 1996). </w:t>
      </w:r>
      <w:r w:rsidRPr="00FE71D6">
        <w:t>Karaduman et al. (2011) proposed the administration for the inventory, account receivable, and account payable is to be gauged by the most vital choice for finance executive for the reason that their influence on the company's value and general financial performance of the company. The outcomes of their study indicated that the financial performance of the companies may be enriched by decreasing the time period for cash conversion cycle</w:t>
      </w:r>
      <w:r w:rsidR="000D385F" w:rsidRPr="00FE71D6">
        <w:t>.</w:t>
      </w:r>
    </w:p>
    <w:p w:rsidR="000D385F" w:rsidRPr="00FE71D6" w:rsidRDefault="00883B67" w:rsidP="00BF13E4">
      <w:pPr>
        <w:ind w:firstLine="720"/>
        <w:jc w:val="both"/>
      </w:pPr>
      <w:r w:rsidRPr="00FE71D6">
        <w:t>Efficient cash conversion cycle management offers managers a better monitor on a company’s short range investments, which in sequence may influence risk, financial performance, and, in this manner, company value</w:t>
      </w:r>
      <w:r w:rsidR="000D385F" w:rsidRPr="00FE71D6">
        <w:t xml:space="preserve"> (Ebben &amp; Johnson, 2011; Peel et al., 2000). </w:t>
      </w:r>
      <w:r w:rsidRPr="00FE71D6">
        <w:t>Grounded on the trade-offs between anticipated financial performance versus risk and benefits versus drawbacks, a company’s cash conversion cycle can be optimized to make the most of profitability and growth</w:t>
      </w:r>
      <w:r w:rsidR="000D385F" w:rsidRPr="00FE71D6">
        <w:t xml:space="preserve"> (</w:t>
      </w:r>
      <w:r w:rsidR="00DC48B9" w:rsidRPr="00FE71D6">
        <w:t>Baños</w:t>
      </w:r>
      <w:r w:rsidR="000D385F" w:rsidRPr="00FE71D6">
        <w:t xml:space="preserve">-Caballero et al., 2011; Lazaridis &amp; Tryfonidis, 2006). </w:t>
      </w:r>
      <w:r w:rsidRPr="00FE71D6">
        <w:t>Decreasing the account receivable period, joined with lower inventory and stretched supplier credit terms, generates to a shorter cash conversion cycle, and working capital policy encompassing a shorter cash conversion cycle and a lower capital level may enhance financial performance</w:t>
      </w:r>
      <w:r w:rsidR="000D385F" w:rsidRPr="00FE71D6">
        <w:t xml:space="preserve"> (Ebben &amp; Johnson, 2011; Wang, 2002). </w:t>
      </w:r>
      <w:r w:rsidRPr="00FE71D6">
        <w:t>The benefit of a particular policy is that processes funded economically, as current liabilities, experiences little or no attention. Nonetheless, this policy comprises danger, as low inventory amounts joined with a short range trade credit may guide to a greater process danger and reduced revenues</w:t>
      </w:r>
      <w:r w:rsidR="000D385F" w:rsidRPr="00FE71D6">
        <w:t xml:space="preserve"> (Ebben &amp; Johnson, 2011; Wang, 2002).</w:t>
      </w:r>
    </w:p>
    <w:p w:rsidR="000D385F" w:rsidRPr="00FE71D6" w:rsidRDefault="00077CF5" w:rsidP="00BF13E4">
      <w:pPr>
        <w:ind w:firstLine="720"/>
        <w:jc w:val="both"/>
      </w:pPr>
      <w:r w:rsidRPr="00FE71D6">
        <w:t>Manufacturing companies have greater level of liquidity as a result of a greater amount of inventory and account receivable</w:t>
      </w:r>
      <w:r w:rsidR="00EC4A86" w:rsidRPr="00FE71D6">
        <w:t xml:space="preserve"> </w:t>
      </w:r>
      <w:r w:rsidR="000D385F" w:rsidRPr="00FE71D6">
        <w:rPr>
          <w:noProof/>
        </w:rPr>
        <w:t>(Soenen, 1993)</w:t>
      </w:r>
      <w:r w:rsidR="000D385F" w:rsidRPr="00FE71D6">
        <w:t xml:space="preserve">. </w:t>
      </w:r>
      <w:r w:rsidRPr="00FE71D6">
        <w:t>Cash conversion cycle and its parts control the efficient amount of inventory and account receivable. Executives can enhance a company’s financial performance by handling the period enclosed by the cash conversion cycle. It can be attained by retaining optimal amount for all of the parts of cash conversion cycle</w:t>
      </w:r>
      <w:r w:rsidR="000D385F" w:rsidRPr="00FE71D6">
        <w:t xml:space="preserve"> </w:t>
      </w:r>
      <w:r w:rsidR="000D385F" w:rsidRPr="00FE71D6">
        <w:rPr>
          <w:noProof/>
        </w:rPr>
        <w:t>(Dong &amp; Su, 2010)</w:t>
      </w:r>
      <w:r w:rsidR="000D385F" w:rsidRPr="00FE71D6">
        <w:t xml:space="preserve">. </w:t>
      </w:r>
      <w:r w:rsidRPr="00FE71D6">
        <w:t>The outcome of correlation and regression analysis displays strong opposite relationship among the quantity putting in inventory, account receivable, and the company’s financial performance</w:t>
      </w:r>
      <w:r w:rsidR="000D385F" w:rsidRPr="00FE71D6">
        <w:t xml:space="preserve"> (</w:t>
      </w:r>
      <w:r w:rsidR="000D385F" w:rsidRPr="00FE71D6">
        <w:rPr>
          <w:noProof/>
        </w:rPr>
        <w:t>Shin &amp; Soenen, 1998)</w:t>
      </w:r>
      <w:r w:rsidR="000D385F" w:rsidRPr="00FE71D6">
        <w:t xml:space="preserve">. </w:t>
      </w:r>
      <w:r w:rsidRPr="00FE71D6">
        <w:t>The inventory conversion period is an outcome of the period engaged by the company to transform his inventory into sale of finished goods; inventory conversion period has a main influence on the length of cash conversion cycle. Relying on the researches, for instance, Deloof (2003) and Rehman and Nasr (2007), the inventory conversion period data was employed in creating company inventory policy</w:t>
      </w:r>
      <w:r w:rsidR="000D385F" w:rsidRPr="00FE71D6">
        <w:t>.</w:t>
      </w:r>
    </w:p>
    <w:p w:rsidR="000D385F" w:rsidRPr="00FE71D6" w:rsidRDefault="00077CF5" w:rsidP="00BF13E4">
      <w:pPr>
        <w:ind w:firstLine="720"/>
        <w:jc w:val="both"/>
      </w:pPr>
      <w:r w:rsidRPr="00FE71D6">
        <w:t>The length of payable deferral period performs a vital function in the development of cash conversion cycle. Greater disbursement time will decrease the companies’ cash conversion, and lower disbursement time will increase the companies’ cash conversion cycle</w:t>
      </w:r>
      <w:r w:rsidR="000D385F" w:rsidRPr="00FE71D6">
        <w:t xml:space="preserve"> </w:t>
      </w:r>
      <w:r w:rsidR="000D385F" w:rsidRPr="00FE71D6">
        <w:rPr>
          <w:noProof/>
        </w:rPr>
        <w:t>(Lazaridis &amp; Tryfonidis, 2006)</w:t>
      </w:r>
      <w:r w:rsidR="000D385F" w:rsidRPr="00FE71D6">
        <w:t xml:space="preserve">. </w:t>
      </w:r>
      <w:r w:rsidRPr="00FE71D6">
        <w:t>The length of period the organization is capable to postpone its disbursements on its diversity of supply procurements is called payable deferral period</w:t>
      </w:r>
      <w:r w:rsidR="000D385F" w:rsidRPr="00FE71D6">
        <w:t xml:space="preserve"> </w:t>
      </w:r>
      <w:r w:rsidR="000D385F" w:rsidRPr="00FE71D6">
        <w:rPr>
          <w:noProof/>
        </w:rPr>
        <w:t>(Moss &amp; Stine, 1993)</w:t>
      </w:r>
      <w:r w:rsidR="000D385F" w:rsidRPr="00FE71D6">
        <w:t xml:space="preserve">. </w:t>
      </w:r>
      <w:r w:rsidRPr="00FE71D6">
        <w:t xml:space="preserve">Speeding up collection and slowing down disbursements are the straightforward principles of effective administration of account receivable and account payable. This standard of working capital apprehension with the notion offered by </w:t>
      </w:r>
      <w:r w:rsidRPr="00FE71D6">
        <w:rPr>
          <w:noProof/>
        </w:rPr>
        <w:t>Hong-Mei</w:t>
      </w:r>
      <w:r w:rsidRPr="00FE71D6">
        <w:t xml:space="preserve"> (2008) cash conversion cycle provides more obvious perceptions for efficient administration of company’s short term assets and liabilities that will guarantee the appropriate amount of liquidity requirements</w:t>
      </w:r>
      <w:r w:rsidR="000D385F" w:rsidRPr="00FE71D6">
        <w:t>.</w:t>
      </w:r>
    </w:p>
    <w:p w:rsidR="000D385F" w:rsidRPr="00FE71D6" w:rsidRDefault="00DE7342" w:rsidP="00BF13E4">
      <w:pPr>
        <w:ind w:firstLine="720"/>
        <w:jc w:val="both"/>
      </w:pPr>
      <w:r w:rsidRPr="00FE71D6">
        <w:t>To examine the relationship between liquidity administration and operating performance, Wang (2002) investigated a sample of 1,555 Japanese companies and 379 Taiwanese companies in several sectors over from 1985 to 1996 period. The outcomes disclosed that the cash conversion cycle, return on assets and cash conversion cycle, return on equity relationships were usually negative, proposing that managers could upturn company financial performance by decreasing cash conversion cycle. On the situation of emerging financial prudence, the research of Zariyawati et al. (2009) on Malaysian companies through the period from 1996 to 2006 discloses that there is a negative influence of cash conversion cycle on profitability. In addition, Dong and Su (2010) as well stated the similar influence of cash conversion cycle on profitability for the period from 2006 to 2008 for the practice listed in Vietnam Stock market. Financial performance of the company is negatively influenced by cash conversion cycle. In line with the outcomes of Gill et al. (2010), financial performance of the companies correlated with the collection of account receivable and slow collection of account receivable associated with low financial performance. The outcome divulges negative relationship between account receivable and financial performance. Conversely, the outcome discloses that slow down collection of account receivable correlates with low financial performance. Executives can generate worth by decreasing their inventory conversion period</w:t>
      </w:r>
      <w:r w:rsidR="000D385F" w:rsidRPr="00FE71D6">
        <w:t xml:space="preserve"> </w:t>
      </w:r>
      <w:r w:rsidR="000D385F" w:rsidRPr="00FE71D6">
        <w:rPr>
          <w:noProof/>
        </w:rPr>
        <w:t>(</w:t>
      </w:r>
      <w:r w:rsidR="00220A41" w:rsidRPr="00FE71D6">
        <w:rPr>
          <w:noProof/>
        </w:rPr>
        <w:t>García</w:t>
      </w:r>
      <w:r w:rsidR="000D385F" w:rsidRPr="00FE71D6">
        <w:rPr>
          <w:noProof/>
        </w:rPr>
        <w:t xml:space="preserve">-Terual &amp; </w:t>
      </w:r>
      <w:r w:rsidR="00B9633C" w:rsidRPr="00FE71D6">
        <w:rPr>
          <w:noProof/>
        </w:rPr>
        <w:t>Martínez</w:t>
      </w:r>
      <w:r w:rsidR="000D385F" w:rsidRPr="00FE71D6">
        <w:rPr>
          <w:noProof/>
        </w:rPr>
        <w:t>-Solano, 2007)</w:t>
      </w:r>
      <w:r w:rsidR="00451296" w:rsidRPr="00FE71D6">
        <w:t>.</w:t>
      </w:r>
      <w:r w:rsidR="00017E73" w:rsidRPr="00FE71D6">
        <w:t xml:space="preserve"> </w:t>
      </w:r>
      <w:r w:rsidRPr="00FE71D6">
        <w:t>Using a panel sample of 255 associations listed on the Stock Exchange of Thailand from 2007 to 2009, Napompech (2012) established the fact that although sector characteristics have an influence on gross operating profits, managers can still upturn the financial performance of their companies by reducing the cash conversion cycle, inventory conversion period, and receivable collection period</w:t>
      </w:r>
      <w:r w:rsidR="00017E73" w:rsidRPr="00FE71D6">
        <w:t>.</w:t>
      </w:r>
    </w:p>
    <w:p w:rsidR="000D385F" w:rsidRPr="00FE71D6" w:rsidRDefault="00DE7342" w:rsidP="00BF13E4">
      <w:pPr>
        <w:ind w:firstLine="720"/>
        <w:jc w:val="both"/>
      </w:pPr>
      <w:r w:rsidRPr="00FE71D6">
        <w:t>However, numerous researchers have found a</w:t>
      </w:r>
      <w:r w:rsidR="0045575D" w:rsidRPr="00FE71D6">
        <w:t>n</w:t>
      </w:r>
      <w:r w:rsidRPr="00FE71D6">
        <w:t xml:space="preserve"> influence of cash conversion cycle on financial performance. Lyroudi and Lazaridis (2000) tested the relationship between the liquidity, financial performance, and leverage ratios of 82 companies in the food sector listed on the Athens Stock Exchange in 1997. They uncovered the influence of cash conversion cycle on return on assets. Gill et al. (2010) tested a sample of 88 US industrial organizations over from 2005 to 2007 period and originated a significant influence of cash conversion cycle on financial performance. The researchers contended that managers might upturn financial performance, and thus, company values by emphasising on cash conversion cycle and retaining account receivable at an optimal amount. Alike outcomes were found by Sharma and Kumar (2011), who investigated a sample of 263 non-financial companies in India over 2000 to 2008 period. In addition, Abuzayed (2012) contended decisively, from a research of 93 non-financial companies in 11 sectors from 2000 to 2008 that financial performance and cash conversion cycle were significantly and positively correlated. The outcomes exposed that more financially performing companies were less interested to achieve their working capital resourcefully. In their study to examine the influence of cash conversion cycle on company’s financial performance, Lyroudi and McCarty (1993) found that the cash conversion cycle is significantly and positively related to all three financial performance ratios, namely: return on investment, return of equity, and net profit margin. Related to his study, Quayyum (2011) presented a comparable study on companies enlisted with the cement sector of the DSE over a period from 2005 to 2009 and found the existence of a significant level of relationship between the financial performance indicators and several liquidity indicators in addition to working capital parts. Shin and Soenen (1998) discovered significant influence of efficient cash conversion cycle management on profitability and liquidity of companies</w:t>
      </w:r>
      <w:r w:rsidR="000D385F" w:rsidRPr="00FE71D6">
        <w:t>.</w:t>
      </w:r>
    </w:p>
    <w:p w:rsidR="000D385F" w:rsidRPr="00FE71D6" w:rsidRDefault="00DE7342" w:rsidP="00BF13E4">
      <w:pPr>
        <w:ind w:firstLine="720"/>
        <w:jc w:val="both"/>
      </w:pPr>
      <w:r w:rsidRPr="00FE71D6">
        <w:t>As enlisted in the review of literature, prior practical outcomes are varied and faced vagueness regarding the practice of the influence of cash conversion cycle on company financial performance. The idea that these researches are grounded on diverse sample collections and settings somewhat designate the difference</w:t>
      </w:r>
      <w:r w:rsidR="000D385F" w:rsidRPr="00FE71D6">
        <w:t>.</w:t>
      </w:r>
    </w:p>
    <w:p w:rsidR="000D385F" w:rsidRPr="00FE71D6" w:rsidRDefault="00C3339F" w:rsidP="00BF13E4">
      <w:pPr>
        <w:ind w:firstLine="720"/>
        <w:jc w:val="both"/>
      </w:pPr>
      <w:r w:rsidRPr="00FE71D6">
        <w:t>Shin and Soenen (1998) examined the influence of a company's net trade cycle on its financial performance using a sample of 58985 company with years comprehending the period from 1975 to 1994 based on companies from the USA. The computation of the net trade cycle distinguishes from the cash conversion cycle. Dissimilar to the cash conversion cycle, where the denominators encompassed in the computation of the turnover rates of inventory, account receivable, and account payable distinguish, the net trade cycle is computed by stating them entirely as a proportion of revenues. Accordingly, the value of a company's net trade cycle designates the number of days of sales that the company has to fund its net working capital exploitation. Cash conversion cycle is not deprived of its opponents, though. Gentry et al. (1990) contended that the cash conversion cycle only emphasizes on the length of time that capital is put in the company's operating cycle and that the quantity of finances spent in a product is inadequately measured. Therefore, they acclaimed an adjusted form of the cash conversion cycle, described as the weighted cash conversion cycle. The weighted cash conversion cycle weighs the turnover time of a particular part by bearing in mind the percentage of the total cash otherwise engaged in that part. They contended that even though the weighted cash conversion cycle is a more accurate gauge to employ than the cash conversion cycle, the absence of obtainability of the data needed restricts its implementation by external analysts. The outcomes of their research disclosed that a statistically significant influence occurs in a company's net trade cycle through its financial performance. They decided that the efficiency of a company's net trade cycle could result in the formation of shareholder value</w:t>
      </w:r>
      <w:r w:rsidR="000D385F" w:rsidRPr="00FE71D6">
        <w:t>.</w:t>
      </w:r>
    </w:p>
    <w:p w:rsidR="00E0590F" w:rsidRPr="00FE71D6" w:rsidRDefault="00C3339F" w:rsidP="00BF13E4">
      <w:pPr>
        <w:ind w:firstLine="720"/>
        <w:jc w:val="both"/>
      </w:pPr>
      <w:r w:rsidRPr="00FE71D6">
        <w:t>In this research, the net trade cycle is computed as a gauge of working capital management. In the investigative phases of the study, the cash conversion cycle was also computed. A quantity of issues, though, was practiced when computing cash conversion cycle values. Firstly, the McGregor BFA record does not cover full figures on the cost of sales amount for all companies for the whole period under review. In addition, the cost of procurements through the year was also exclusive and had to be predictable. As a result of these, extra approximations were required to compute the cash conversion cycle. The resultant sample would have been noticeably smaller than the individual grounded on the net trade cycle. Shin and Soenen (1998) also substantiated the appropriateness of the cash conversion cycle. Meanwhile, its computation comprises the addition of ratios with diverse denominators. The working capital management is a proxy by net trade cycle, which should be neither too short nor too long, that it varies from time to time and from different sector to another</w:t>
      </w:r>
      <w:r w:rsidR="00E0590F" w:rsidRPr="00FE71D6">
        <w:t xml:space="preserve"> (Karaduman et al., 2010). </w:t>
      </w:r>
    </w:p>
    <w:p w:rsidR="00E0590F" w:rsidRPr="00FE71D6" w:rsidRDefault="0006621E" w:rsidP="004317DB">
      <w:pPr>
        <w:spacing w:after="120"/>
        <w:ind w:firstLine="720"/>
        <w:jc w:val="both"/>
      </w:pPr>
      <w:r w:rsidRPr="00FE71D6">
        <w:t>This research further examines the infl</w:t>
      </w:r>
      <w:r w:rsidR="00A61D4E" w:rsidRPr="00FE71D6">
        <w:t>uence of net trade cycle as a medi</w:t>
      </w:r>
      <w:r w:rsidR="004C357A" w:rsidRPr="00FE71D6">
        <w:t>ator</w:t>
      </w:r>
      <w:r w:rsidRPr="00FE71D6">
        <w:t xml:space="preserve"> variable on the financial performance as a dependent variable. The net trade cycle components are explicated in details below</w:t>
      </w:r>
      <w:r w:rsidR="00E0590F" w:rsidRPr="00FE71D6">
        <w:t>.</w:t>
      </w:r>
    </w:p>
    <w:p w:rsidR="005B5708" w:rsidRPr="00FE71D6" w:rsidRDefault="005B5708" w:rsidP="004317DB">
      <w:pPr>
        <w:spacing w:after="120"/>
        <w:jc w:val="both"/>
      </w:pPr>
      <w:r w:rsidRPr="00FE71D6">
        <w:rPr>
          <w:b/>
          <w:bCs/>
          <w:i/>
          <w:iCs/>
        </w:rPr>
        <w:t xml:space="preserve">1) Inventory Conversion Period (ICP). </w:t>
      </w:r>
      <w:r w:rsidR="007E6C27" w:rsidRPr="00FE71D6">
        <w:t>This is a gauge of how long a company ties its funds to inventory. When a business holds too much inventory for too long, its liquidity position gets cooperated. Inventory makes an enormous component of current assets predominantly for manufacturing entities and the longer it is held, the more funds are tied up, thus, paralyzing the operations. It also gauges the number of days that is required to sell inventory, in which shorter time is better to upturn liquidity</w:t>
      </w:r>
      <w:r w:rsidRPr="00FE71D6">
        <w:t xml:space="preserve"> (</w:t>
      </w:r>
      <w:r w:rsidRPr="00FE71D6">
        <w:rPr>
          <w:noProof/>
        </w:rPr>
        <w:t>Farris, 1996)</w:t>
      </w:r>
      <w:r w:rsidRPr="00FE71D6">
        <w:t xml:space="preserve"> </w:t>
      </w:r>
      <w:r w:rsidR="007E6C27" w:rsidRPr="00FE71D6">
        <w:t>on the expense of suffering from stock-out which may result in lost sales and so, it should be between speeding up and slowing down</w:t>
      </w:r>
      <w:r w:rsidRPr="00FE71D6">
        <w:t xml:space="preserve"> (</w:t>
      </w:r>
      <w:r w:rsidRPr="00FE71D6">
        <w:rPr>
          <w:noProof/>
        </w:rPr>
        <w:t>Nobanee et al., 2011)</w:t>
      </w:r>
      <w:r w:rsidRPr="00FE71D6">
        <w:t>.</w:t>
      </w:r>
    </w:p>
    <w:p w:rsidR="00E0590F" w:rsidRPr="00FE71D6" w:rsidRDefault="005B5708" w:rsidP="004317DB">
      <w:pPr>
        <w:spacing w:after="120"/>
        <w:jc w:val="both"/>
      </w:pPr>
      <w:r w:rsidRPr="00FE71D6">
        <w:rPr>
          <w:b/>
          <w:bCs/>
          <w:i/>
          <w:iCs/>
        </w:rPr>
        <w:t>2</w:t>
      </w:r>
      <w:r w:rsidR="000855B6" w:rsidRPr="00FE71D6">
        <w:rPr>
          <w:b/>
          <w:bCs/>
          <w:i/>
          <w:iCs/>
        </w:rPr>
        <w:t>) Receivable Collection Period (RCP)</w:t>
      </w:r>
      <w:r w:rsidR="0002720A" w:rsidRPr="00FE71D6">
        <w:rPr>
          <w:b/>
          <w:bCs/>
          <w:i/>
          <w:iCs/>
        </w:rPr>
        <w:t>.</w:t>
      </w:r>
      <w:r w:rsidR="00E0590F" w:rsidRPr="00FE71D6">
        <w:rPr>
          <w:b/>
          <w:bCs/>
          <w:i/>
          <w:iCs/>
        </w:rPr>
        <w:t xml:space="preserve"> </w:t>
      </w:r>
      <w:r w:rsidR="00F23A0B" w:rsidRPr="00FE71D6">
        <w:t>This variable gauges on average the number of days it takes for a company’s trade debtors to pay their dues. It is sensible that for a company to have an appropriate liquidity position, the receivable collection period must be as lower as promising</w:t>
      </w:r>
      <w:r w:rsidR="00E0590F" w:rsidRPr="00FE71D6">
        <w:t xml:space="preserve"> </w:t>
      </w:r>
      <w:r w:rsidR="00E0590F" w:rsidRPr="00FE71D6">
        <w:rPr>
          <w:noProof/>
        </w:rPr>
        <w:t>(Leitch &amp; Lamminmaki, 2011)</w:t>
      </w:r>
      <w:r w:rsidR="00E0590F" w:rsidRPr="00FE71D6">
        <w:t xml:space="preserve">. </w:t>
      </w:r>
      <w:r w:rsidR="00F23A0B" w:rsidRPr="00FE71D6">
        <w:t>It also gauges the number of days that is required to collect account receivable in which shorter time is better to upturn liquidity</w:t>
      </w:r>
      <w:r w:rsidR="00E0590F" w:rsidRPr="00FE71D6">
        <w:t xml:space="preserve"> </w:t>
      </w:r>
      <w:r w:rsidR="00E0590F" w:rsidRPr="00FE71D6">
        <w:rPr>
          <w:noProof/>
        </w:rPr>
        <w:t>(Boardman &amp; Ricci, 1985)</w:t>
      </w:r>
      <w:r w:rsidR="00E0590F" w:rsidRPr="00FE71D6">
        <w:t xml:space="preserve"> </w:t>
      </w:r>
      <w:r w:rsidR="00F23A0B" w:rsidRPr="00FE71D6">
        <w:t>on the expense of losing customers who are switching to competitors by imposing aggressive credit policy, which may also result in lost sales</w:t>
      </w:r>
      <w:r w:rsidR="00E0590F" w:rsidRPr="00FE71D6">
        <w:t xml:space="preserve"> (</w:t>
      </w:r>
      <w:r w:rsidR="00E0590F" w:rsidRPr="00FE71D6">
        <w:rPr>
          <w:noProof/>
        </w:rPr>
        <w:t>Nobanee et al., 2011)</w:t>
      </w:r>
      <w:r w:rsidR="00E0590F" w:rsidRPr="00FE71D6">
        <w:t>.</w:t>
      </w:r>
    </w:p>
    <w:p w:rsidR="00E0590F" w:rsidRPr="00FE71D6" w:rsidRDefault="00E0590F" w:rsidP="004317DB">
      <w:pPr>
        <w:spacing w:after="240"/>
        <w:jc w:val="both"/>
        <w:rPr>
          <w:lang w:val="en-US"/>
        </w:rPr>
      </w:pPr>
      <w:r w:rsidRPr="00FE71D6">
        <w:rPr>
          <w:b/>
          <w:bCs/>
          <w:i/>
          <w:iCs/>
        </w:rPr>
        <w:t>3</w:t>
      </w:r>
      <w:r w:rsidR="0002720A" w:rsidRPr="00FE71D6">
        <w:rPr>
          <w:b/>
          <w:bCs/>
          <w:i/>
          <w:iCs/>
        </w:rPr>
        <w:t>) Payable Deferral Period (PDP).</w:t>
      </w:r>
      <w:r w:rsidRPr="00FE71D6">
        <w:rPr>
          <w:b/>
          <w:bCs/>
          <w:i/>
          <w:iCs/>
        </w:rPr>
        <w:t xml:space="preserve"> </w:t>
      </w:r>
      <w:r w:rsidR="007C7A00" w:rsidRPr="00FE71D6">
        <w:t>This liquidity component gauges the length of time in days the company defers payments to its suppliers and other creditors. It is contended that a business can increase its liquidity by delaying payments to suppliers and creditors. However, it is practical that businesses should take caution for fear of losing its reliable and key suppliers for non-payment. It also gauges the number of days that is required to disburse account payable in which longer time is better to invest cash</w:t>
      </w:r>
      <w:r w:rsidRPr="00FE71D6">
        <w:t xml:space="preserve"> </w:t>
      </w:r>
      <w:r w:rsidRPr="00FE71D6">
        <w:rPr>
          <w:noProof/>
        </w:rPr>
        <w:t>(Boardman &amp; Ricci, 1985)</w:t>
      </w:r>
      <w:r w:rsidRPr="00FE71D6">
        <w:t xml:space="preserve"> </w:t>
      </w:r>
      <w:r w:rsidR="007C7A00" w:rsidRPr="00FE71D6">
        <w:t>at the expense of losing early payment discounts as well as the possibility of receiving bad quality materials from supplier, which would eventually influence the profitability</w:t>
      </w:r>
      <w:r w:rsidRPr="00FE71D6">
        <w:t xml:space="preserve"> (</w:t>
      </w:r>
      <w:r w:rsidRPr="00FE71D6">
        <w:rPr>
          <w:noProof/>
        </w:rPr>
        <w:t>Nobanee et al., 2011)</w:t>
      </w:r>
      <w:r w:rsidRPr="00FE71D6">
        <w:t>.</w:t>
      </w:r>
    </w:p>
    <w:p w:rsidR="00466CED" w:rsidRPr="00FE71D6" w:rsidRDefault="00466CED" w:rsidP="003A6DA6">
      <w:pPr>
        <w:pStyle w:val="Heading2"/>
        <w:contextualSpacing w:val="0"/>
        <w:rPr>
          <w:lang w:val="en-US"/>
        </w:rPr>
      </w:pPr>
      <w:bookmarkStart w:id="25" w:name="_Toc495527313"/>
      <w:bookmarkStart w:id="26" w:name="_Toc500087472"/>
      <w:r w:rsidRPr="00FE71D6">
        <w:rPr>
          <w:lang w:val="en-US"/>
        </w:rPr>
        <w:t>2.3 Financial Performance</w:t>
      </w:r>
      <w:r w:rsidR="000855B6" w:rsidRPr="00FE71D6">
        <w:rPr>
          <w:lang w:val="en-US"/>
        </w:rPr>
        <w:t xml:space="preserve"> (FP)</w:t>
      </w:r>
      <w:bookmarkEnd w:id="25"/>
      <w:bookmarkEnd w:id="26"/>
    </w:p>
    <w:p w:rsidR="008730CF" w:rsidRPr="00FE71D6" w:rsidRDefault="00606B45" w:rsidP="004317DB">
      <w:pPr>
        <w:jc w:val="both"/>
      </w:pPr>
      <w:r w:rsidRPr="00FE71D6">
        <w:t>Organizational performance denotes how well a company satisfies its market and financial objectives</w:t>
      </w:r>
      <w:r w:rsidR="008730CF" w:rsidRPr="00FE71D6">
        <w:t xml:space="preserve"> (Yamin et al., 1999). </w:t>
      </w:r>
      <w:r w:rsidRPr="00FE71D6">
        <w:t>The short range goals of supply chain management are mostly to upturn efficiency and decrease inventory and cycle time, whereas a long range goal is to upturn financial performance for the entire parties of the supply chain</w:t>
      </w:r>
      <w:r w:rsidR="008730CF" w:rsidRPr="00FE71D6">
        <w:t xml:space="preserve"> (Tan et al, 1998). </w:t>
      </w:r>
      <w:r w:rsidRPr="00FE71D6">
        <w:t>Financial metrics have aided as a technique of matching companies and appraising a company’s behaviour over time</w:t>
      </w:r>
      <w:r w:rsidR="008730CF" w:rsidRPr="00FE71D6">
        <w:t xml:space="preserve"> </w:t>
      </w:r>
      <w:r w:rsidR="008730CF" w:rsidRPr="00FE71D6">
        <w:rPr>
          <w:noProof/>
        </w:rPr>
        <w:t>(Holmberg, 2000)</w:t>
      </w:r>
      <w:r w:rsidR="008730CF" w:rsidRPr="00FE71D6">
        <w:t xml:space="preserve"> </w:t>
      </w:r>
      <w:r w:rsidRPr="00FE71D6">
        <w:t>and the eventual usefulness of supply chain management have to be gauged by particular performance</w:t>
      </w:r>
      <w:r w:rsidR="008730CF" w:rsidRPr="00FE71D6">
        <w:t>.</w:t>
      </w:r>
    </w:p>
    <w:p w:rsidR="008730CF" w:rsidRPr="00FE71D6" w:rsidRDefault="00C5522A" w:rsidP="004317DB">
      <w:pPr>
        <w:ind w:firstLine="720"/>
        <w:jc w:val="both"/>
      </w:pPr>
      <w:r w:rsidRPr="00FE71D6">
        <w:t>Organizational performance in their research is gauged by profit margin on sales and general competitive situation. These gauges have been employed extensively in the preceding study</w:t>
      </w:r>
      <w:r w:rsidR="008730CF" w:rsidRPr="00FE71D6">
        <w:t xml:space="preserve"> (Stock et al., 2000; Vickery et al., 1999). </w:t>
      </w:r>
      <w:r w:rsidRPr="00FE71D6">
        <w:t>These performance gauges were evaluated by respondents on a 5- point Likert scale from “significant decrease” to “significant increase”. Previous study has revealed that executive valuations of organizational performance are dependable on inside goal performance</w:t>
      </w:r>
      <w:r w:rsidR="008730CF" w:rsidRPr="00FE71D6">
        <w:t xml:space="preserve"> (Vickery et al., 1999) </w:t>
      </w:r>
      <w:r w:rsidRPr="00FE71D6">
        <w:t>and even though outside secondary data</w:t>
      </w:r>
      <w:r w:rsidR="008730CF" w:rsidRPr="00FE71D6">
        <w:t xml:space="preserve"> </w:t>
      </w:r>
      <w:r w:rsidR="008730CF" w:rsidRPr="00FE71D6">
        <w:rPr>
          <w:noProof/>
        </w:rPr>
        <w:t>(Venkatraman &amp; Rananujam, 1986)</w:t>
      </w:r>
      <w:r w:rsidR="008730CF" w:rsidRPr="00FE71D6">
        <w:t>.</w:t>
      </w:r>
    </w:p>
    <w:p w:rsidR="008730CF" w:rsidRPr="00FE71D6" w:rsidRDefault="00135551" w:rsidP="004317DB">
      <w:pPr>
        <w:ind w:firstLine="720"/>
        <w:jc w:val="both"/>
      </w:pPr>
      <w:r w:rsidRPr="00FE71D6">
        <w:t>Organizational performance is a pointer which gauges how sound a company attains their goals</w:t>
      </w:r>
      <w:r w:rsidR="008730CF" w:rsidRPr="00FE71D6">
        <w:t xml:space="preserve"> </w:t>
      </w:r>
      <w:r w:rsidR="008730CF" w:rsidRPr="00FE71D6">
        <w:rPr>
          <w:noProof/>
        </w:rPr>
        <w:t>(Hamon, 2003)</w:t>
      </w:r>
      <w:r w:rsidR="008730CF" w:rsidRPr="00FE71D6">
        <w:t xml:space="preserve">. </w:t>
      </w:r>
      <w:r w:rsidRPr="00FE71D6">
        <w:t>Ho (2008) described organizational performance in terms of how sound a company realizes its goals. Schermerhorn et al. (2002), however, attributed organizational performance depending on the degree of excellence and the number of individual or group effort accomplishment. Koh et al. (2007) and Petrovic-Lazareric et al. (2007), on the other hand, looked at organizational performance from the viewpoint of supply chain management to organizational performance. Koh et al. (2007) considered that even though organizational performance is gauged by both financial and market standards, the short range goals of supply chain management are to increase efficiency and decrease inventory and lead time. Tippins and Sohi (2003) ascertained the organizational performance gauges on four magnitudes: relative financial performance, return on investment, customer retention, and total sales development</w:t>
      </w:r>
      <w:r w:rsidR="008730CF" w:rsidRPr="00FE71D6">
        <w:t xml:space="preserve">. </w:t>
      </w:r>
    </w:p>
    <w:p w:rsidR="008730CF" w:rsidRPr="00FE71D6" w:rsidRDefault="008C057B" w:rsidP="004317DB">
      <w:pPr>
        <w:ind w:firstLine="720"/>
        <w:jc w:val="both"/>
      </w:pPr>
      <w:r w:rsidRPr="00FE71D6">
        <w:t xml:space="preserve">The topic of performance remains controversial. Indeed, the researchers have resisted </w:t>
      </w:r>
      <w:r w:rsidR="00CB4F27" w:rsidRPr="00FE71D6">
        <w:t>finding</w:t>
      </w:r>
      <w:r w:rsidRPr="00FE71D6">
        <w:t xml:space="preserve"> a description to this concept by seeking its sources and its relations with the several strategies on how to attain it</w:t>
      </w:r>
      <w:r w:rsidR="008730CF" w:rsidRPr="00FE71D6">
        <w:t xml:space="preserve"> </w:t>
      </w:r>
      <w:r w:rsidR="008730CF" w:rsidRPr="00FE71D6">
        <w:rPr>
          <w:noProof/>
        </w:rPr>
        <w:t>(Azouzi &amp; Jarboui, 2016)</w:t>
      </w:r>
      <w:r w:rsidR="008730CF" w:rsidRPr="00FE71D6">
        <w:t xml:space="preserve">. </w:t>
      </w:r>
      <w:r w:rsidRPr="00FE71D6">
        <w:t>The major goal is to identify the financial performance indicators</w:t>
      </w:r>
      <w:r w:rsidR="008730CF" w:rsidRPr="00FE71D6">
        <w:t>.</w:t>
      </w:r>
    </w:p>
    <w:p w:rsidR="008730CF" w:rsidRPr="00FE71D6" w:rsidRDefault="001217D4" w:rsidP="004317DB">
      <w:pPr>
        <w:spacing w:after="120"/>
        <w:ind w:firstLine="720"/>
        <w:jc w:val="both"/>
      </w:pPr>
      <w:r w:rsidRPr="00FE71D6">
        <w:t>Financial performance is hardly defined in the preceding literature</w:t>
      </w:r>
      <w:r w:rsidR="008730CF" w:rsidRPr="00FE71D6">
        <w:t xml:space="preserve"> (Kir</w:t>
      </w:r>
      <w:r w:rsidRPr="00FE71D6">
        <w:t>by, 2005; Richard et al., 2009)</w:t>
      </w:r>
      <w:r w:rsidR="008730CF" w:rsidRPr="00FE71D6">
        <w:t xml:space="preserve"> </w:t>
      </w:r>
      <w:r w:rsidRPr="00FE71D6">
        <w:t>because there is no consistent gauge and scope. Yet, it is the broadest and most widely- accepted dependent variable in management research</w:t>
      </w:r>
      <w:r w:rsidR="008730CF" w:rsidRPr="00FE71D6">
        <w:t xml:space="preserve"> (Richard et al., 2009; Rogers &amp; Wright, 1998). </w:t>
      </w:r>
      <w:r w:rsidRPr="00FE71D6">
        <w:t>Financial performance ratios including return on assets, return on equity, operational profit margin, and competitive position are the most common financial performance indicators which are explained in details below</w:t>
      </w:r>
      <w:r w:rsidR="008730CF" w:rsidRPr="00FE71D6">
        <w:t>.</w:t>
      </w:r>
    </w:p>
    <w:p w:rsidR="008730CF" w:rsidRPr="00FE71D6" w:rsidRDefault="008730CF" w:rsidP="004317DB">
      <w:pPr>
        <w:spacing w:after="120"/>
        <w:jc w:val="both"/>
      </w:pPr>
      <w:r w:rsidRPr="00FE71D6">
        <w:rPr>
          <w:b/>
          <w:bCs/>
          <w:i/>
          <w:iCs/>
        </w:rPr>
        <w:t>1) Return on Assets (ROA)</w:t>
      </w:r>
      <w:r w:rsidR="0002720A" w:rsidRPr="00FE71D6">
        <w:rPr>
          <w:i/>
          <w:iCs/>
        </w:rPr>
        <w:t>.</w:t>
      </w:r>
      <w:r w:rsidRPr="00FE71D6">
        <w:t xml:space="preserve"> </w:t>
      </w:r>
      <w:r w:rsidR="00D7541B" w:rsidRPr="00FE71D6">
        <w:t xml:space="preserve">Return on total assets is computed by dividing the net profit after tax by total assets. This ratio gauges the profitability of the assets utilized in generating net income for the company. Because the assets are financed by debt or equity or a combination thereof, a high return on assets designates that the assets are being engaged in the most profitable way to generate net income and vice versa. The return on assets demonstrates how effectively the company is using resources to upturn the level of profits earned on total assets invested via properly managing the supply chain. </w:t>
      </w:r>
      <w:r w:rsidR="0058521E" w:rsidRPr="00FE71D6">
        <w:t>A well- utilized resources via proper management of the supply chain that is mediated by the efficient net trade cycle can lead to dramatically increased profitability through a well utilization of total assets which is considered as the optimal expected result</w:t>
      </w:r>
      <w:r w:rsidR="00515A2D" w:rsidRPr="00FE71D6">
        <w:t xml:space="preserve">. </w:t>
      </w:r>
      <w:r w:rsidR="00D7541B" w:rsidRPr="00FE71D6">
        <w:t>It is a vital gauge, as companies must invest profitably in new capital endeavours above the company’s cost of capital to generate additional value for the company</w:t>
      </w:r>
      <w:r w:rsidRPr="00FE71D6">
        <w:t xml:space="preserve"> </w:t>
      </w:r>
      <w:r w:rsidRPr="00FE71D6">
        <w:rPr>
          <w:noProof/>
        </w:rPr>
        <w:t>(Khuong, 2002)</w:t>
      </w:r>
      <w:r w:rsidRPr="00FE71D6">
        <w:t xml:space="preserve">. </w:t>
      </w:r>
      <w:r w:rsidR="00D7541B" w:rsidRPr="00FE71D6">
        <w:t>Company assets are valuable and limited resources. These are often elevated through a combination of liabilities and equity. The return on assets ratio displays how effectively a management has invested in valuable company resources in order to recompense shareholders for its risks. The return on amount of assets is a ratio with which managers are typically acquainted with through financial reports. It can also be recognized in annual reports of public companies</w:t>
      </w:r>
      <w:r w:rsidRPr="00FE71D6">
        <w:t>.</w:t>
      </w:r>
    </w:p>
    <w:p w:rsidR="008730CF" w:rsidRPr="00FE71D6" w:rsidRDefault="008730CF" w:rsidP="004317DB">
      <w:pPr>
        <w:spacing w:after="120"/>
        <w:jc w:val="both"/>
      </w:pPr>
      <w:r w:rsidRPr="00FE71D6">
        <w:rPr>
          <w:b/>
          <w:bCs/>
          <w:i/>
          <w:iCs/>
        </w:rPr>
        <w:t>2) Return on Equity (ROE)</w:t>
      </w:r>
      <w:r w:rsidR="0002720A" w:rsidRPr="00FE71D6">
        <w:rPr>
          <w:i/>
          <w:iCs/>
        </w:rPr>
        <w:t>.</w:t>
      </w:r>
      <w:r w:rsidRPr="00FE71D6">
        <w:t xml:space="preserve"> </w:t>
      </w:r>
      <w:r w:rsidR="00D7541B" w:rsidRPr="00FE71D6">
        <w:t xml:space="preserve">The return on equity ratio is a gauge which designates the amount of net income generated as a proportion of the shareholders’ equity that can be reached through properly managing the supply chain. </w:t>
      </w:r>
      <w:r w:rsidR="0058521E" w:rsidRPr="00FE71D6">
        <w:t xml:space="preserve">A well- utilized resources via proper management of the supply chain that is mediated by the efficient net trade cycle can lead to dramatically increased profitability through a well utilization of </w:t>
      </w:r>
      <w:r w:rsidR="00515A2D" w:rsidRPr="00FE71D6">
        <w:t xml:space="preserve">owners’ investments </w:t>
      </w:r>
      <w:r w:rsidR="0058521E" w:rsidRPr="00FE71D6">
        <w:t>which is considered as the optimal expected result</w:t>
      </w:r>
      <w:r w:rsidR="00515A2D" w:rsidRPr="00FE71D6">
        <w:t xml:space="preserve">. </w:t>
      </w:r>
      <w:r w:rsidR="00D7541B" w:rsidRPr="00FE71D6">
        <w:t>This financial measurement designates a company’s profitability status by observing the profit level of a company generated from the money shareholders invested</w:t>
      </w:r>
      <w:r w:rsidR="00451296" w:rsidRPr="00FE71D6">
        <w:t xml:space="preserve"> (Ebert et al., 2006). </w:t>
      </w:r>
      <w:r w:rsidR="00D7541B" w:rsidRPr="00FE71D6">
        <w:t>Return on equity is also commonly known as the return on net worth. Net income, computed per fiscal year, is calculated before any dividends are detached from common shareholders, but after dividends are paid to preferred shareholders because shareholder equity does not cover preferred stock shares</w:t>
      </w:r>
      <w:r w:rsidRPr="00FE71D6">
        <w:t>.</w:t>
      </w:r>
    </w:p>
    <w:p w:rsidR="008730CF" w:rsidRPr="00FE71D6" w:rsidRDefault="008730CF" w:rsidP="004317DB">
      <w:pPr>
        <w:spacing w:after="120"/>
        <w:jc w:val="both"/>
      </w:pPr>
      <w:r w:rsidRPr="00FE71D6">
        <w:rPr>
          <w:b/>
          <w:bCs/>
          <w:i/>
          <w:iCs/>
        </w:rPr>
        <w:t xml:space="preserve">3) </w:t>
      </w:r>
      <w:r w:rsidR="0002720A" w:rsidRPr="00FE71D6">
        <w:rPr>
          <w:b/>
          <w:bCs/>
          <w:i/>
          <w:iCs/>
        </w:rPr>
        <w:t>Operational Profit Margin (OPM).</w:t>
      </w:r>
      <w:r w:rsidRPr="00FE71D6">
        <w:rPr>
          <w:b/>
          <w:bCs/>
          <w:i/>
          <w:iCs/>
        </w:rPr>
        <w:t xml:space="preserve"> </w:t>
      </w:r>
      <w:r w:rsidR="00D7541B" w:rsidRPr="00FE71D6">
        <w:t xml:space="preserve">The operating income amount was designated as a performance variable in the questionnaire because this measurement unit has been described by strict guidelines of the U.S. generally accepted accounting principles. Operating income, when articulated as a percentage of total net sales, characterizes earnings generated for each sales in dollar turned over via properly managing the supply chain. </w:t>
      </w:r>
      <w:r w:rsidR="0058521E" w:rsidRPr="00FE71D6">
        <w:t>A well- utilized resources via proper management of the supply chain that is mediated by the efficient net trade cycle can lead to dramatically increased profitability through a well utilization of</w:t>
      </w:r>
      <w:r w:rsidR="00515A2D" w:rsidRPr="00FE71D6">
        <w:t xml:space="preserve"> total net sales </w:t>
      </w:r>
      <w:r w:rsidR="0058521E" w:rsidRPr="00FE71D6">
        <w:t>which is considered as the optimal expected result</w:t>
      </w:r>
      <w:r w:rsidR="00515A2D" w:rsidRPr="00FE71D6">
        <w:t xml:space="preserve">. </w:t>
      </w:r>
      <w:r w:rsidR="00D7541B" w:rsidRPr="00FE71D6">
        <w:t>The ratio is the same irrespective of size, because the return is articulated as a percentage instead of a number and is employed to gauge return variables. The operating income percentage amount also permits for benchmarking against companies within the same sector, irrespective of size, because the return is articulated as a percentage instead of absolute dollars. Researchers such as Steiger (2008) and Torghabeha et al. (2014) employed the operational profit margin to explicate its relationship with company value</w:t>
      </w:r>
      <w:r w:rsidRPr="00FE71D6">
        <w:t>.</w:t>
      </w:r>
    </w:p>
    <w:p w:rsidR="00424CB9" w:rsidRPr="00FE71D6" w:rsidRDefault="00424CB9" w:rsidP="004317DB">
      <w:pPr>
        <w:spacing w:after="240"/>
        <w:jc w:val="both"/>
      </w:pPr>
      <w:r w:rsidRPr="00FE71D6">
        <w:rPr>
          <w:b/>
          <w:bCs/>
          <w:i/>
          <w:iCs/>
        </w:rPr>
        <w:t xml:space="preserve">4) Competitive Position (CP). </w:t>
      </w:r>
      <w:r w:rsidR="005440D3" w:rsidRPr="00FE71D6">
        <w:t>The competitive position is measured by how a company is compared to its rivals in a particular market. The competitive position is generally gauged by market share as classified with the company as the dominant leader, one of peers, a small player</w:t>
      </w:r>
      <w:r w:rsidR="001E4C19" w:rsidRPr="00FE71D6">
        <w:t xml:space="preserve"> </w:t>
      </w:r>
      <w:r w:rsidR="00AC35A5" w:rsidRPr="00FE71D6">
        <w:rPr>
          <w:noProof/>
          <w:lang w:val="en-US"/>
        </w:rPr>
        <w:t xml:space="preserve">(Lama et al., 2012). </w:t>
      </w:r>
      <w:r w:rsidR="005440D3" w:rsidRPr="00FE71D6">
        <w:t xml:space="preserve">The market share trend has to be recognized as well as the industry particular aspects such as brand equity, product differentiation, and customer loyalty. It is usually assumed that the company should have superior financial performance by having a strong competitive position. </w:t>
      </w:r>
      <w:r w:rsidR="0059721F" w:rsidRPr="00FE71D6">
        <w:t>A well- utilized resources via proper management of the supply chain that is mediated by the efficient net trade cycle can lead to dramatically increased competitive position related to rivals to become the dominant leader which is also considered as the optimal expected result</w:t>
      </w:r>
      <w:r w:rsidR="00515A2D" w:rsidRPr="00FE71D6">
        <w:t xml:space="preserve">. </w:t>
      </w:r>
      <w:r w:rsidR="005440D3" w:rsidRPr="00FE71D6">
        <w:t>Consequently, it is an industry advantage to illustrate the competitive battleground and how strong the diverse rivals are across market sectors</w:t>
      </w:r>
      <w:r w:rsidR="003004CC" w:rsidRPr="00FE71D6">
        <w:t>.</w:t>
      </w:r>
    </w:p>
    <w:p w:rsidR="00B832B1" w:rsidRPr="00FE71D6" w:rsidRDefault="00B832B1" w:rsidP="00670049">
      <w:pPr>
        <w:pStyle w:val="Caption"/>
        <w:spacing w:after="100"/>
        <w:rPr>
          <w:color w:val="auto"/>
          <w:sz w:val="24"/>
          <w:szCs w:val="24"/>
        </w:rPr>
      </w:pPr>
    </w:p>
    <w:p w:rsidR="0059721F" w:rsidRPr="00FE71D6" w:rsidRDefault="0059721F" w:rsidP="00670049">
      <w:pPr>
        <w:pStyle w:val="Caption"/>
        <w:spacing w:after="100"/>
        <w:rPr>
          <w:color w:val="auto"/>
          <w:sz w:val="24"/>
          <w:szCs w:val="24"/>
        </w:rPr>
      </w:pPr>
    </w:p>
    <w:p w:rsidR="007109C5" w:rsidRPr="00FE71D6" w:rsidRDefault="00670049" w:rsidP="00670049">
      <w:pPr>
        <w:pStyle w:val="Caption"/>
        <w:spacing w:after="100"/>
        <w:rPr>
          <w:color w:val="auto"/>
          <w:sz w:val="24"/>
          <w:szCs w:val="24"/>
        </w:rPr>
      </w:pPr>
      <w:bookmarkStart w:id="27" w:name="_Toc500087394"/>
      <w:r w:rsidRPr="00FE71D6">
        <w:rPr>
          <w:color w:val="auto"/>
          <w:sz w:val="24"/>
          <w:szCs w:val="24"/>
        </w:rPr>
        <w:t xml:space="preserve">Table </w:t>
      </w:r>
      <w:r w:rsidRPr="00FE71D6">
        <w:rPr>
          <w:color w:val="auto"/>
          <w:sz w:val="24"/>
          <w:szCs w:val="24"/>
        </w:rPr>
        <w:fldChar w:fldCharType="begin"/>
      </w:r>
      <w:r w:rsidRPr="00FE71D6">
        <w:rPr>
          <w:color w:val="auto"/>
          <w:sz w:val="24"/>
          <w:szCs w:val="24"/>
        </w:rPr>
        <w:instrText xml:space="preserve"> SEQ Table \* ARABIC </w:instrText>
      </w:r>
      <w:r w:rsidRPr="00FE71D6">
        <w:rPr>
          <w:color w:val="auto"/>
          <w:sz w:val="24"/>
          <w:szCs w:val="24"/>
        </w:rPr>
        <w:fldChar w:fldCharType="separate"/>
      </w:r>
      <w:r w:rsidRPr="00FE71D6">
        <w:rPr>
          <w:color w:val="auto"/>
          <w:sz w:val="24"/>
          <w:szCs w:val="24"/>
        </w:rPr>
        <w:t>1</w:t>
      </w:r>
      <w:r w:rsidRPr="00FE71D6">
        <w:rPr>
          <w:color w:val="auto"/>
          <w:sz w:val="24"/>
          <w:szCs w:val="24"/>
        </w:rPr>
        <w:fldChar w:fldCharType="end"/>
      </w:r>
      <w:r w:rsidR="007109C5" w:rsidRPr="00FE71D6">
        <w:rPr>
          <w:color w:val="auto"/>
          <w:sz w:val="24"/>
          <w:szCs w:val="24"/>
        </w:rPr>
        <w:t xml:space="preserve">. </w:t>
      </w:r>
      <w:r w:rsidR="007109C5" w:rsidRPr="00FE71D6">
        <w:rPr>
          <w:b w:val="0"/>
          <w:bCs w:val="0"/>
          <w:color w:val="auto"/>
          <w:sz w:val="24"/>
          <w:szCs w:val="24"/>
        </w:rPr>
        <w:t>Summary of Key Literature Review</w:t>
      </w:r>
      <w:bookmarkEnd w:id="27"/>
    </w:p>
    <w:tbl>
      <w:tblPr>
        <w:tblStyle w:val="TableGrid"/>
        <w:tblW w:w="0" w:type="auto"/>
        <w:tblInd w:w="108" w:type="dxa"/>
        <w:tblLook w:val="04A0" w:firstRow="1" w:lastRow="0" w:firstColumn="1" w:lastColumn="0" w:noHBand="0" w:noVBand="1"/>
      </w:tblPr>
      <w:tblGrid>
        <w:gridCol w:w="1980"/>
        <w:gridCol w:w="2340"/>
        <w:gridCol w:w="3240"/>
      </w:tblGrid>
      <w:tr w:rsidR="00FE71D6" w:rsidRPr="00FE71D6" w:rsidTr="0068768D">
        <w:tc>
          <w:tcPr>
            <w:tcW w:w="1980" w:type="dxa"/>
            <w:shd w:val="clear" w:color="auto" w:fill="D9D9D9" w:themeFill="background1" w:themeFillShade="D9"/>
            <w:vAlign w:val="center"/>
          </w:tcPr>
          <w:p w:rsidR="007109C5" w:rsidRPr="00FE71D6" w:rsidRDefault="007109C5" w:rsidP="0068768D">
            <w:pPr>
              <w:spacing w:line="240" w:lineRule="auto"/>
              <w:rPr>
                <w:rFonts w:ascii="Times New Roman" w:hAnsi="Times New Roman" w:cs="Times New Roman"/>
                <w:b/>
                <w:bCs/>
                <w:sz w:val="20"/>
                <w:szCs w:val="20"/>
              </w:rPr>
            </w:pPr>
            <w:r w:rsidRPr="00FE71D6">
              <w:rPr>
                <w:rFonts w:ascii="Times New Roman" w:hAnsi="Times New Roman" w:cs="Times New Roman"/>
                <w:b/>
                <w:bCs/>
                <w:sz w:val="20"/>
                <w:szCs w:val="20"/>
              </w:rPr>
              <w:t>Constructs</w:t>
            </w:r>
          </w:p>
        </w:tc>
        <w:tc>
          <w:tcPr>
            <w:tcW w:w="2340" w:type="dxa"/>
            <w:shd w:val="clear" w:color="auto" w:fill="D9D9D9" w:themeFill="background1" w:themeFillShade="D9"/>
            <w:vAlign w:val="center"/>
          </w:tcPr>
          <w:p w:rsidR="007109C5" w:rsidRPr="00FE71D6" w:rsidRDefault="007109C5" w:rsidP="0068768D">
            <w:pPr>
              <w:spacing w:line="240" w:lineRule="auto"/>
              <w:rPr>
                <w:rFonts w:ascii="Times New Roman" w:hAnsi="Times New Roman" w:cs="Times New Roman"/>
                <w:b/>
                <w:bCs/>
                <w:sz w:val="20"/>
                <w:szCs w:val="20"/>
              </w:rPr>
            </w:pPr>
            <w:r w:rsidRPr="00FE71D6">
              <w:rPr>
                <w:rFonts w:ascii="Times New Roman" w:hAnsi="Times New Roman" w:cs="Times New Roman"/>
                <w:b/>
                <w:bCs/>
                <w:sz w:val="20"/>
                <w:szCs w:val="20"/>
              </w:rPr>
              <w:t>Literature</w:t>
            </w:r>
          </w:p>
        </w:tc>
        <w:tc>
          <w:tcPr>
            <w:tcW w:w="3240" w:type="dxa"/>
            <w:shd w:val="clear" w:color="auto" w:fill="D9D9D9" w:themeFill="background1" w:themeFillShade="D9"/>
            <w:vAlign w:val="center"/>
          </w:tcPr>
          <w:p w:rsidR="007109C5" w:rsidRPr="00FE71D6" w:rsidRDefault="007109C5" w:rsidP="0068768D">
            <w:pPr>
              <w:spacing w:line="240" w:lineRule="auto"/>
              <w:rPr>
                <w:rFonts w:ascii="Times New Roman" w:hAnsi="Times New Roman" w:cs="Times New Roman"/>
                <w:b/>
                <w:bCs/>
                <w:sz w:val="20"/>
                <w:szCs w:val="20"/>
              </w:rPr>
            </w:pPr>
            <w:r w:rsidRPr="00FE71D6">
              <w:rPr>
                <w:rFonts w:ascii="Times New Roman" w:hAnsi="Times New Roman" w:cs="Times New Roman"/>
                <w:b/>
                <w:bCs/>
                <w:sz w:val="20"/>
                <w:szCs w:val="20"/>
              </w:rPr>
              <w:t>Model</w:t>
            </w:r>
          </w:p>
        </w:tc>
      </w:tr>
      <w:tr w:rsidR="00FE71D6" w:rsidRPr="00FE71D6" w:rsidTr="0068768D">
        <w:trPr>
          <w:trHeight w:val="174"/>
        </w:trPr>
        <w:tc>
          <w:tcPr>
            <w:tcW w:w="1980" w:type="dxa"/>
            <w:vMerge w:val="restart"/>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Supplier Partnership</w:t>
            </w: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Abdallah et al., 2014;</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The impact of SCM practices on SC performance.</w:t>
            </w:r>
          </w:p>
        </w:tc>
      </w:tr>
      <w:tr w:rsidR="00FE71D6" w:rsidRPr="00FE71D6" w:rsidTr="0068768D">
        <w:trPr>
          <w:trHeight w:val="174"/>
        </w:trPr>
        <w:tc>
          <w:tcPr>
            <w:tcW w:w="1980" w:type="dxa"/>
            <w:vMerge/>
            <w:vAlign w:val="center"/>
          </w:tcPr>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Farris II &amp; Hutchison, 2002;</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Net trade cycle bridges from suppliers to customers.</w:t>
            </w:r>
          </w:p>
        </w:tc>
      </w:tr>
      <w:tr w:rsidR="00FE71D6" w:rsidRPr="00FE71D6" w:rsidTr="0068768D">
        <w:trPr>
          <w:trHeight w:val="171"/>
        </w:trPr>
        <w:tc>
          <w:tcPr>
            <w:tcW w:w="1980" w:type="dxa"/>
            <w:vMerge/>
            <w:vAlign w:val="center"/>
          </w:tcPr>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Hofmann &amp; Kotzab, 2010;</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A supply chain-oriented perspective on the net trade cycle.</w:t>
            </w:r>
          </w:p>
        </w:tc>
      </w:tr>
      <w:tr w:rsidR="00FE71D6" w:rsidRPr="00FE71D6" w:rsidTr="0068768D">
        <w:trPr>
          <w:trHeight w:val="171"/>
        </w:trPr>
        <w:tc>
          <w:tcPr>
            <w:tcW w:w="1980" w:type="dxa"/>
            <w:vMerge/>
            <w:vAlign w:val="center"/>
          </w:tcPr>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9137A3"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Suhong Li, 2002.</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The causal relationships between facilitating factors for SCM practice, SCM practice, SCM performance, competitive advantage, and organizational performance.</w:t>
            </w:r>
          </w:p>
        </w:tc>
      </w:tr>
      <w:tr w:rsidR="00FE71D6" w:rsidRPr="00FE71D6" w:rsidTr="0068768D">
        <w:trPr>
          <w:trHeight w:val="134"/>
        </w:trPr>
        <w:tc>
          <w:tcPr>
            <w:tcW w:w="1980" w:type="dxa"/>
            <w:vMerge w:val="restart"/>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Customer Relationship</w:t>
            </w: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Abdallah et al., 2014;</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The impact of SCM practices on SC performance.</w:t>
            </w:r>
          </w:p>
        </w:tc>
      </w:tr>
      <w:tr w:rsidR="00FE71D6" w:rsidRPr="00FE71D6" w:rsidTr="0068768D">
        <w:trPr>
          <w:trHeight w:val="134"/>
        </w:trPr>
        <w:tc>
          <w:tcPr>
            <w:tcW w:w="1980" w:type="dxa"/>
            <w:vMerge/>
            <w:vAlign w:val="center"/>
          </w:tcPr>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Claycomb et al., 1999;</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A model of factors associated with JIT with customers.</w:t>
            </w:r>
          </w:p>
        </w:tc>
      </w:tr>
      <w:tr w:rsidR="00FE71D6" w:rsidRPr="00FE71D6" w:rsidTr="0068768D">
        <w:trPr>
          <w:trHeight w:val="134"/>
        </w:trPr>
        <w:tc>
          <w:tcPr>
            <w:tcW w:w="1980" w:type="dxa"/>
            <w:vMerge/>
            <w:vAlign w:val="center"/>
          </w:tcPr>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Farris II &amp; Hutchison, 2002;</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Net trade cycle bridges from suppliers to customers.</w:t>
            </w:r>
          </w:p>
        </w:tc>
      </w:tr>
      <w:tr w:rsidR="00FE71D6" w:rsidRPr="00FE71D6" w:rsidTr="0068768D">
        <w:trPr>
          <w:trHeight w:val="134"/>
        </w:trPr>
        <w:tc>
          <w:tcPr>
            <w:tcW w:w="1980" w:type="dxa"/>
            <w:vMerge/>
            <w:vAlign w:val="center"/>
          </w:tcPr>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Hofmann &amp; Kotzab, 2010;</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A supply chain-oriented perspective on the net trade cycle.</w:t>
            </w:r>
          </w:p>
        </w:tc>
      </w:tr>
      <w:tr w:rsidR="00FE71D6" w:rsidRPr="00FE71D6" w:rsidTr="0068768D">
        <w:trPr>
          <w:trHeight w:val="134"/>
        </w:trPr>
        <w:tc>
          <w:tcPr>
            <w:tcW w:w="1980" w:type="dxa"/>
            <w:vMerge/>
            <w:vAlign w:val="center"/>
          </w:tcPr>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9137A3"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Suhong Li, 2002.</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The causal relationships between facilitating factors for SCM practice, SCM practice, SCM performance, competitive advantage, and organizational performance.</w:t>
            </w:r>
          </w:p>
        </w:tc>
      </w:tr>
      <w:tr w:rsidR="00FE71D6" w:rsidRPr="00FE71D6" w:rsidTr="0068768D">
        <w:trPr>
          <w:trHeight w:val="202"/>
        </w:trPr>
        <w:tc>
          <w:tcPr>
            <w:tcW w:w="1980" w:type="dxa"/>
            <w:vMerge w:val="restart"/>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Information Sharing</w:t>
            </w:r>
          </w:p>
          <w:p w:rsidR="007109C5" w:rsidRPr="00FE71D6" w:rsidRDefault="007109C5" w:rsidP="0068768D">
            <w:pPr>
              <w:spacing w:line="240" w:lineRule="auto"/>
              <w:rPr>
                <w:rFonts w:ascii="Times New Roman" w:hAnsi="Times New Roman" w:cs="Times New Roman"/>
                <w:sz w:val="18"/>
                <w:szCs w:val="18"/>
              </w:rPr>
            </w:pPr>
          </w:p>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Abdallah et al., 2014;</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The impact of SCM practices on SC performance.</w:t>
            </w:r>
          </w:p>
        </w:tc>
      </w:tr>
      <w:tr w:rsidR="00FE71D6" w:rsidRPr="00FE71D6" w:rsidTr="0068768D">
        <w:trPr>
          <w:trHeight w:val="240"/>
        </w:trPr>
        <w:tc>
          <w:tcPr>
            <w:tcW w:w="1980" w:type="dxa"/>
            <w:vMerge/>
            <w:vAlign w:val="center"/>
          </w:tcPr>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Suhong Li, 2002;</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The causal relationships between facilitating factors for SCM practice, SCM practice, SCM performance, competitive advantage, and organizational performance.</w:t>
            </w:r>
          </w:p>
        </w:tc>
      </w:tr>
      <w:tr w:rsidR="00FE71D6" w:rsidRPr="00FE71D6" w:rsidTr="0068768D">
        <w:trPr>
          <w:trHeight w:val="240"/>
        </w:trPr>
        <w:tc>
          <w:tcPr>
            <w:tcW w:w="1980" w:type="dxa"/>
            <w:vMerge/>
            <w:vAlign w:val="center"/>
          </w:tcPr>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Yu et al., 2001.</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Three information sharing levels.</w:t>
            </w:r>
          </w:p>
        </w:tc>
      </w:tr>
      <w:tr w:rsidR="00FE71D6" w:rsidRPr="00FE71D6" w:rsidTr="0068768D">
        <w:trPr>
          <w:trHeight w:val="200"/>
        </w:trPr>
        <w:tc>
          <w:tcPr>
            <w:tcW w:w="1980" w:type="dxa"/>
            <w:vMerge w:val="restart"/>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 xml:space="preserve">Lean System </w:t>
            </w:r>
          </w:p>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Claycomb et al., 1999;</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A model of factors associated with JIT with customers.</w:t>
            </w:r>
          </w:p>
        </w:tc>
      </w:tr>
      <w:tr w:rsidR="00FE71D6" w:rsidRPr="00FE71D6" w:rsidTr="0068768D">
        <w:trPr>
          <w:trHeight w:val="200"/>
        </w:trPr>
        <w:tc>
          <w:tcPr>
            <w:tcW w:w="1980" w:type="dxa"/>
            <w:vMerge/>
            <w:vAlign w:val="center"/>
          </w:tcPr>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Hofmann &amp; Kotzab, 2010;</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A supply chain-oriented perspective on the net trade cycle.</w:t>
            </w:r>
          </w:p>
        </w:tc>
      </w:tr>
      <w:tr w:rsidR="00FE71D6" w:rsidRPr="00FE71D6" w:rsidTr="0068768D">
        <w:trPr>
          <w:trHeight w:val="200"/>
        </w:trPr>
        <w:tc>
          <w:tcPr>
            <w:tcW w:w="1980" w:type="dxa"/>
            <w:vMerge/>
            <w:vAlign w:val="center"/>
          </w:tcPr>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Suhong Li, 2002.</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The causal relationships between facilitating factors for SCM practice, SCM practice, SCM performance, competitive advantage, and organizational performance.</w:t>
            </w:r>
          </w:p>
        </w:tc>
      </w:tr>
      <w:tr w:rsidR="00FE71D6" w:rsidRPr="00FE71D6" w:rsidTr="0068768D">
        <w:trPr>
          <w:trHeight w:val="49"/>
        </w:trPr>
        <w:tc>
          <w:tcPr>
            <w:tcW w:w="1980" w:type="dxa"/>
            <w:vMerge w:val="restart"/>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Net Trade Cycle</w:t>
            </w: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Erasmus, 2010;</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The relationship between the net trade cycle and return on assets.</w:t>
            </w:r>
          </w:p>
        </w:tc>
      </w:tr>
      <w:tr w:rsidR="00FE71D6" w:rsidRPr="00FE71D6" w:rsidTr="0068768D">
        <w:trPr>
          <w:trHeight w:val="49"/>
        </w:trPr>
        <w:tc>
          <w:tcPr>
            <w:tcW w:w="1980" w:type="dxa"/>
            <w:vMerge/>
            <w:vAlign w:val="center"/>
          </w:tcPr>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Farris II &amp; Hutchison, 2002;</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Net trade cycle bridges from suppliers to customers.</w:t>
            </w:r>
          </w:p>
        </w:tc>
      </w:tr>
      <w:tr w:rsidR="00FE71D6" w:rsidRPr="00FE71D6" w:rsidTr="0068768D">
        <w:trPr>
          <w:trHeight w:val="49"/>
        </w:trPr>
        <w:tc>
          <w:tcPr>
            <w:tcW w:w="1980" w:type="dxa"/>
            <w:vMerge/>
            <w:vAlign w:val="center"/>
          </w:tcPr>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Hofmann &amp; Kotzab, 2010;</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A supply chain-oriented perspective on the net trade cycle.</w:t>
            </w:r>
          </w:p>
        </w:tc>
      </w:tr>
      <w:tr w:rsidR="00FE71D6" w:rsidRPr="00FE71D6" w:rsidTr="0068768D">
        <w:trPr>
          <w:trHeight w:val="49"/>
        </w:trPr>
        <w:tc>
          <w:tcPr>
            <w:tcW w:w="1980" w:type="dxa"/>
            <w:vMerge/>
            <w:vAlign w:val="center"/>
          </w:tcPr>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Nobanee et al., 2011;</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The relation between a firm’s net trade cycle and its profitability.</w:t>
            </w:r>
          </w:p>
        </w:tc>
      </w:tr>
      <w:tr w:rsidR="00FE71D6" w:rsidRPr="00FE71D6" w:rsidTr="0068768D">
        <w:trPr>
          <w:trHeight w:val="49"/>
        </w:trPr>
        <w:tc>
          <w:tcPr>
            <w:tcW w:w="1980" w:type="dxa"/>
            <w:vMerge/>
            <w:vAlign w:val="center"/>
          </w:tcPr>
          <w:p w:rsidR="007109C5" w:rsidRPr="00FE71D6" w:rsidRDefault="007109C5" w:rsidP="0068768D">
            <w:pPr>
              <w:spacing w:line="240" w:lineRule="auto"/>
              <w:rPr>
                <w:rFonts w:ascii="Times New Roman" w:hAnsi="Times New Roman" w:cs="Times New Roman"/>
                <w:sz w:val="18"/>
                <w:szCs w:val="18"/>
              </w:rPr>
            </w:pPr>
          </w:p>
        </w:tc>
        <w:tc>
          <w:tcPr>
            <w:tcW w:w="2340" w:type="dxa"/>
            <w:vAlign w:val="center"/>
          </w:tcPr>
          <w:p w:rsidR="007109C5" w:rsidRPr="00FE71D6" w:rsidRDefault="00070A0A"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Shakoor</w:t>
            </w:r>
            <w:r w:rsidR="007109C5" w:rsidRPr="00FE71D6">
              <w:rPr>
                <w:rFonts w:ascii="Times New Roman" w:hAnsi="Times New Roman" w:cs="Times New Roman"/>
                <w:sz w:val="18"/>
                <w:szCs w:val="18"/>
              </w:rPr>
              <w:t xml:space="preserve"> et al.</w:t>
            </w:r>
            <w:r w:rsidRPr="00FE71D6">
              <w:rPr>
                <w:rFonts w:ascii="Times New Roman" w:hAnsi="Times New Roman" w:cs="Times New Roman"/>
                <w:sz w:val="18"/>
                <w:szCs w:val="18"/>
              </w:rPr>
              <w:t>,</w:t>
            </w:r>
            <w:r w:rsidR="007109C5" w:rsidRPr="00FE71D6">
              <w:rPr>
                <w:rFonts w:ascii="Times New Roman" w:hAnsi="Times New Roman" w:cs="Times New Roman"/>
                <w:sz w:val="18"/>
                <w:szCs w:val="18"/>
              </w:rPr>
              <w:t xml:space="preserve"> 2012.</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The relationship between net trade cycle and profitability.</w:t>
            </w:r>
          </w:p>
        </w:tc>
      </w:tr>
      <w:tr w:rsidR="00FE71D6" w:rsidRPr="00FE71D6" w:rsidTr="0068768D">
        <w:trPr>
          <w:trHeight w:val="66"/>
        </w:trPr>
        <w:tc>
          <w:tcPr>
            <w:tcW w:w="1980" w:type="dxa"/>
            <w:vMerge w:val="restart"/>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Financial Performance</w:t>
            </w: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Abdallah et al., 2014;</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The impact of SCM practices on SC performance.</w:t>
            </w:r>
          </w:p>
        </w:tc>
      </w:tr>
      <w:tr w:rsidR="00FE71D6" w:rsidRPr="00FE71D6" w:rsidTr="0068768D">
        <w:trPr>
          <w:trHeight w:val="66"/>
        </w:trPr>
        <w:tc>
          <w:tcPr>
            <w:tcW w:w="1980" w:type="dxa"/>
            <w:vMerge/>
            <w:vAlign w:val="center"/>
          </w:tcPr>
          <w:p w:rsidR="007109C5" w:rsidRPr="00FE71D6" w:rsidRDefault="007109C5" w:rsidP="0068768D">
            <w:pPr>
              <w:spacing w:line="240" w:lineRule="auto"/>
              <w:rPr>
                <w:rFonts w:ascii="Times New Roman" w:hAnsi="Times New Roman" w:cs="Times New Roman"/>
                <w:sz w:val="20"/>
                <w:szCs w:val="20"/>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Claycomb et al., 1999;</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A model of factors associated with JIT with customers.</w:t>
            </w:r>
          </w:p>
        </w:tc>
      </w:tr>
      <w:tr w:rsidR="00FE71D6" w:rsidRPr="00FE71D6" w:rsidTr="0068768D">
        <w:trPr>
          <w:trHeight w:val="66"/>
        </w:trPr>
        <w:tc>
          <w:tcPr>
            <w:tcW w:w="1980" w:type="dxa"/>
            <w:vMerge/>
            <w:vAlign w:val="center"/>
          </w:tcPr>
          <w:p w:rsidR="007109C5" w:rsidRPr="00FE71D6" w:rsidRDefault="007109C5" w:rsidP="0068768D">
            <w:pPr>
              <w:spacing w:line="240" w:lineRule="auto"/>
              <w:rPr>
                <w:rFonts w:ascii="Times New Roman" w:hAnsi="Times New Roman" w:cs="Times New Roman"/>
                <w:sz w:val="20"/>
                <w:szCs w:val="20"/>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Erasmus, 2010;</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The relationship between the net trade cycle and return on assets.</w:t>
            </w:r>
          </w:p>
        </w:tc>
      </w:tr>
      <w:tr w:rsidR="00FE71D6" w:rsidRPr="00FE71D6" w:rsidTr="0068768D">
        <w:trPr>
          <w:trHeight w:val="65"/>
        </w:trPr>
        <w:tc>
          <w:tcPr>
            <w:tcW w:w="1980" w:type="dxa"/>
            <w:vMerge/>
            <w:vAlign w:val="center"/>
          </w:tcPr>
          <w:p w:rsidR="007109C5" w:rsidRPr="00FE71D6" w:rsidRDefault="007109C5" w:rsidP="0068768D">
            <w:pPr>
              <w:spacing w:line="240" w:lineRule="auto"/>
              <w:rPr>
                <w:rFonts w:ascii="Times New Roman" w:hAnsi="Times New Roman" w:cs="Times New Roman"/>
                <w:sz w:val="20"/>
                <w:szCs w:val="20"/>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Nobanee et al., 2011;</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The relation between a firm’s net trade cycle and its profitability.</w:t>
            </w:r>
          </w:p>
        </w:tc>
      </w:tr>
      <w:tr w:rsidR="00FE71D6" w:rsidRPr="00FE71D6" w:rsidTr="0068768D">
        <w:trPr>
          <w:trHeight w:val="65"/>
        </w:trPr>
        <w:tc>
          <w:tcPr>
            <w:tcW w:w="1980" w:type="dxa"/>
            <w:vMerge/>
            <w:vAlign w:val="center"/>
          </w:tcPr>
          <w:p w:rsidR="007109C5" w:rsidRPr="00FE71D6" w:rsidRDefault="007109C5" w:rsidP="0068768D">
            <w:pPr>
              <w:spacing w:line="240" w:lineRule="auto"/>
              <w:rPr>
                <w:rFonts w:ascii="Times New Roman" w:hAnsi="Times New Roman" w:cs="Times New Roman"/>
                <w:sz w:val="20"/>
                <w:szCs w:val="20"/>
              </w:rPr>
            </w:pPr>
          </w:p>
        </w:tc>
        <w:tc>
          <w:tcPr>
            <w:tcW w:w="2340" w:type="dxa"/>
            <w:vAlign w:val="center"/>
          </w:tcPr>
          <w:p w:rsidR="007109C5" w:rsidRPr="00FE71D6" w:rsidRDefault="00070A0A"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Shakoor</w:t>
            </w:r>
            <w:r w:rsidR="007109C5" w:rsidRPr="00FE71D6">
              <w:rPr>
                <w:rFonts w:ascii="Times New Roman" w:hAnsi="Times New Roman" w:cs="Times New Roman"/>
                <w:sz w:val="18"/>
                <w:szCs w:val="18"/>
              </w:rPr>
              <w:t xml:space="preserve"> et al.</w:t>
            </w:r>
            <w:r w:rsidRPr="00FE71D6">
              <w:rPr>
                <w:rFonts w:ascii="Times New Roman" w:hAnsi="Times New Roman" w:cs="Times New Roman"/>
                <w:sz w:val="18"/>
                <w:szCs w:val="18"/>
              </w:rPr>
              <w:t>,</w:t>
            </w:r>
            <w:r w:rsidR="007109C5" w:rsidRPr="00FE71D6">
              <w:rPr>
                <w:rFonts w:ascii="Times New Roman" w:hAnsi="Times New Roman" w:cs="Times New Roman"/>
                <w:sz w:val="18"/>
                <w:szCs w:val="18"/>
              </w:rPr>
              <w:t xml:space="preserve"> 2012;</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The relationship between net trade cycle and profitability.</w:t>
            </w:r>
          </w:p>
        </w:tc>
      </w:tr>
      <w:tr w:rsidR="00FE71D6" w:rsidRPr="00FE71D6" w:rsidTr="0068768D">
        <w:trPr>
          <w:trHeight w:val="65"/>
        </w:trPr>
        <w:tc>
          <w:tcPr>
            <w:tcW w:w="1980" w:type="dxa"/>
            <w:vMerge/>
            <w:vAlign w:val="center"/>
          </w:tcPr>
          <w:p w:rsidR="007109C5" w:rsidRPr="00FE71D6" w:rsidRDefault="007109C5" w:rsidP="0068768D">
            <w:pPr>
              <w:spacing w:line="240" w:lineRule="auto"/>
              <w:rPr>
                <w:rFonts w:ascii="Times New Roman" w:hAnsi="Times New Roman" w:cs="Times New Roman"/>
                <w:sz w:val="20"/>
                <w:szCs w:val="20"/>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Suhong Li, 2002;</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The causal relationships between facilitating factors for SCM practice, SCM practice, SCM performance, competitive advantage, and organizational performance.</w:t>
            </w:r>
          </w:p>
        </w:tc>
      </w:tr>
      <w:tr w:rsidR="00FE71D6" w:rsidRPr="00FE71D6" w:rsidTr="0068768D">
        <w:trPr>
          <w:trHeight w:val="65"/>
        </w:trPr>
        <w:tc>
          <w:tcPr>
            <w:tcW w:w="1980" w:type="dxa"/>
            <w:vMerge/>
            <w:vAlign w:val="center"/>
          </w:tcPr>
          <w:p w:rsidR="007109C5" w:rsidRPr="00FE71D6" w:rsidRDefault="007109C5" w:rsidP="0068768D">
            <w:pPr>
              <w:spacing w:line="240" w:lineRule="auto"/>
              <w:rPr>
                <w:rFonts w:ascii="Times New Roman" w:hAnsi="Times New Roman" w:cs="Times New Roman"/>
                <w:sz w:val="20"/>
                <w:szCs w:val="20"/>
              </w:rPr>
            </w:pPr>
          </w:p>
        </w:tc>
        <w:tc>
          <w:tcPr>
            <w:tcW w:w="2340" w:type="dxa"/>
            <w:vAlign w:val="center"/>
          </w:tcPr>
          <w:p w:rsidR="007109C5" w:rsidRPr="00FE71D6" w:rsidRDefault="007109C5" w:rsidP="0068768D">
            <w:pPr>
              <w:spacing w:line="240" w:lineRule="auto"/>
              <w:rPr>
                <w:rFonts w:ascii="Times New Roman" w:hAnsi="Times New Roman" w:cs="Times New Roman"/>
                <w:sz w:val="18"/>
                <w:szCs w:val="18"/>
              </w:rPr>
            </w:pPr>
            <w:r w:rsidRPr="00FE71D6">
              <w:rPr>
                <w:rFonts w:ascii="Times New Roman" w:hAnsi="Times New Roman" w:cs="Times New Roman"/>
                <w:sz w:val="18"/>
                <w:szCs w:val="18"/>
              </w:rPr>
              <w:t>Yu et al., 2001.</w:t>
            </w:r>
          </w:p>
        </w:tc>
        <w:tc>
          <w:tcPr>
            <w:tcW w:w="3240" w:type="dxa"/>
            <w:vAlign w:val="center"/>
          </w:tcPr>
          <w:p w:rsidR="007109C5" w:rsidRPr="00FE71D6" w:rsidRDefault="007109C5" w:rsidP="0068768D">
            <w:pPr>
              <w:spacing w:line="240" w:lineRule="auto"/>
              <w:rPr>
                <w:rFonts w:ascii="Times New Roman" w:hAnsi="Times New Roman" w:cs="Times New Roman"/>
                <w:sz w:val="17"/>
                <w:szCs w:val="17"/>
              </w:rPr>
            </w:pPr>
            <w:r w:rsidRPr="00FE71D6">
              <w:rPr>
                <w:rFonts w:ascii="Times New Roman" w:hAnsi="Times New Roman" w:cs="Times New Roman"/>
                <w:sz w:val="17"/>
                <w:szCs w:val="17"/>
              </w:rPr>
              <w:t>Three information sharing levels.</w:t>
            </w:r>
          </w:p>
        </w:tc>
      </w:tr>
    </w:tbl>
    <w:sdt>
      <w:sdtPr>
        <w:rPr>
          <w:b/>
          <w:bCs/>
        </w:rPr>
        <w:id w:val="111145805"/>
        <w:bibliography/>
      </w:sdtPr>
      <w:sdtEndPr>
        <w:rPr>
          <w:b w:val="0"/>
          <w:bCs w:val="0"/>
        </w:rPr>
      </w:sdtEndPr>
      <w:sdtContent>
        <w:p w:rsidR="00B832B1" w:rsidRPr="00FE71D6" w:rsidRDefault="00B832B1" w:rsidP="004317DB">
          <w:pPr>
            <w:spacing w:after="240"/>
            <w:ind w:firstLine="720"/>
            <w:jc w:val="both"/>
          </w:pPr>
          <w:r w:rsidRPr="00FE71D6">
            <w:t>Finally, the main relationships among constructs that are shown in Table 1 above with the following details: the significant influences of supplier partnership (Abdallah et al., 2014; Suhong Li, 2002), customer relationship (Abdallah et al., 2014; Claycomb et al., 1999; Suhong Li, 2002), information sharing (Abdallah et al., 2014; Suhong Li, 2002; Yu et al., 2001), and lean system (Claycomb et al., 1999; Suhong Li, 2002) on financial performance. Moreover, the significant relationship between supply chain management practices and net trade cycle (Farris II &amp; Hutchison, 2002; Hofmann &amp; Kotzab, 2010) are likewise included. Finally, Table 1 also highlights the significant influence of net trade cycle on financial performance (Erasmus, 2010</w:t>
          </w:r>
          <w:r w:rsidR="00070A0A" w:rsidRPr="00FE71D6">
            <w:t>; Nobanee et al., 2011; Shakoor</w:t>
          </w:r>
          <w:r w:rsidRPr="00FE71D6">
            <w:t xml:space="preserve"> et al.</w:t>
          </w:r>
          <w:r w:rsidR="00070A0A" w:rsidRPr="00FE71D6">
            <w:t>,</w:t>
          </w:r>
          <w:r w:rsidRPr="00FE71D6">
            <w:t xml:space="preserve"> 2012).</w:t>
          </w:r>
        </w:p>
        <w:p w:rsidR="00E25771" w:rsidRPr="00FE71D6" w:rsidRDefault="00E25771" w:rsidP="00B832B1">
          <w:pPr>
            <w:pStyle w:val="Heading1"/>
            <w:jc w:val="left"/>
            <w:rPr>
              <w:rFonts w:cs="Times New Roman"/>
              <w:b w:val="0"/>
              <w:bCs w:val="0"/>
              <w:kern w:val="0"/>
              <w:szCs w:val="24"/>
            </w:rPr>
          </w:pPr>
        </w:p>
        <w:p w:rsidR="00E25771" w:rsidRPr="00FE71D6" w:rsidRDefault="00E25771" w:rsidP="00271146">
          <w:pPr>
            <w:pStyle w:val="Heading1"/>
            <w:rPr>
              <w:rFonts w:cs="Times New Roman"/>
              <w:b w:val="0"/>
              <w:bCs w:val="0"/>
              <w:kern w:val="0"/>
              <w:szCs w:val="24"/>
            </w:rPr>
          </w:pPr>
        </w:p>
        <w:p w:rsidR="00E25771" w:rsidRPr="00FE71D6" w:rsidRDefault="00E25771" w:rsidP="00271146">
          <w:pPr>
            <w:pStyle w:val="Heading1"/>
            <w:rPr>
              <w:rFonts w:cs="Times New Roman"/>
              <w:b w:val="0"/>
              <w:bCs w:val="0"/>
              <w:kern w:val="0"/>
              <w:szCs w:val="24"/>
            </w:rPr>
          </w:pPr>
        </w:p>
        <w:p w:rsidR="00E25771" w:rsidRPr="00FE71D6" w:rsidRDefault="00E25771" w:rsidP="00271146">
          <w:pPr>
            <w:pStyle w:val="Heading1"/>
            <w:rPr>
              <w:rFonts w:cs="Times New Roman"/>
              <w:b w:val="0"/>
              <w:bCs w:val="0"/>
              <w:kern w:val="0"/>
              <w:szCs w:val="24"/>
            </w:rPr>
          </w:pPr>
        </w:p>
        <w:p w:rsidR="00E25771" w:rsidRPr="00FE71D6" w:rsidRDefault="00E25771" w:rsidP="00271146">
          <w:pPr>
            <w:pStyle w:val="Heading1"/>
            <w:rPr>
              <w:rFonts w:cs="Times New Roman"/>
              <w:b w:val="0"/>
              <w:bCs w:val="0"/>
              <w:kern w:val="0"/>
              <w:szCs w:val="24"/>
            </w:rPr>
          </w:pPr>
        </w:p>
        <w:p w:rsidR="00E25771" w:rsidRPr="00FE71D6" w:rsidRDefault="00E25771" w:rsidP="00271146">
          <w:pPr>
            <w:pStyle w:val="Heading1"/>
            <w:rPr>
              <w:rFonts w:cs="Times New Roman"/>
              <w:b w:val="0"/>
              <w:bCs w:val="0"/>
              <w:kern w:val="0"/>
              <w:szCs w:val="24"/>
            </w:rPr>
          </w:pPr>
        </w:p>
        <w:p w:rsidR="00E25771" w:rsidRPr="00FE71D6" w:rsidRDefault="00E25771" w:rsidP="00271146">
          <w:pPr>
            <w:pStyle w:val="Heading1"/>
            <w:rPr>
              <w:rFonts w:cs="Times New Roman"/>
            </w:rPr>
          </w:pPr>
        </w:p>
        <w:p w:rsidR="00E25771" w:rsidRPr="00FE71D6" w:rsidRDefault="00E25771" w:rsidP="00271146">
          <w:pPr>
            <w:pStyle w:val="Heading1"/>
            <w:rPr>
              <w:rFonts w:cs="Times New Roman"/>
            </w:rPr>
          </w:pPr>
        </w:p>
        <w:p w:rsidR="00E25771" w:rsidRPr="00FE71D6" w:rsidRDefault="00E25771" w:rsidP="00271146">
          <w:pPr>
            <w:pStyle w:val="Heading1"/>
            <w:rPr>
              <w:rFonts w:cs="Times New Roman"/>
            </w:rPr>
          </w:pPr>
        </w:p>
        <w:p w:rsidR="00E25771" w:rsidRPr="00FE71D6" w:rsidRDefault="00E25771" w:rsidP="00271146">
          <w:pPr>
            <w:pStyle w:val="Heading1"/>
            <w:rPr>
              <w:rFonts w:cs="Times New Roman"/>
            </w:rPr>
          </w:pPr>
        </w:p>
        <w:p w:rsidR="00E25771" w:rsidRPr="00FE71D6" w:rsidRDefault="00E25771" w:rsidP="00271146">
          <w:pPr>
            <w:pStyle w:val="Heading1"/>
            <w:rPr>
              <w:rFonts w:cs="Times New Roman"/>
            </w:rPr>
          </w:pPr>
        </w:p>
        <w:p w:rsidR="00E25771" w:rsidRPr="00FE71D6" w:rsidRDefault="00E25771" w:rsidP="00E25771"/>
        <w:p w:rsidR="00271146" w:rsidRPr="00FE71D6" w:rsidRDefault="00271146" w:rsidP="00271146">
          <w:pPr>
            <w:pStyle w:val="Heading1"/>
            <w:rPr>
              <w:rFonts w:cs="Times New Roman"/>
            </w:rPr>
          </w:pPr>
          <w:bookmarkStart w:id="28" w:name="_Toc500087473"/>
          <w:r w:rsidRPr="00FE71D6">
            <w:rPr>
              <w:rFonts w:cs="Times New Roman"/>
            </w:rPr>
            <w:t>CHAPTER THREE: THEORY</w:t>
          </w:r>
          <w:bookmarkEnd w:id="28"/>
        </w:p>
        <w:p w:rsidR="0016231D" w:rsidRPr="00FE71D6" w:rsidRDefault="009320BE" w:rsidP="00440E1E">
          <w:pPr>
            <w:spacing w:after="240"/>
            <w:jc w:val="both"/>
            <w:rPr>
              <w:i/>
              <w:iCs/>
            </w:rPr>
          </w:pPr>
          <w:r w:rsidRPr="00FE71D6">
            <w:rPr>
              <w:lang w:val="en-US"/>
            </w:rPr>
            <w:t>This chapter provides a description of how the most relevant theoretical knowledge was selected in line with the objectives of the current research. The analysed theoretical propositions and their contributions to reach the final theoretical background are discussed in detail in this chapter</w:t>
          </w:r>
          <w:r w:rsidR="0016231D" w:rsidRPr="00FE71D6">
            <w:rPr>
              <w:lang w:val="en-US"/>
            </w:rPr>
            <w:t>.</w:t>
          </w:r>
        </w:p>
        <w:p w:rsidR="0016231D" w:rsidRPr="00FE71D6" w:rsidRDefault="0016231D" w:rsidP="003A6DA6">
          <w:pPr>
            <w:pStyle w:val="Heading2"/>
            <w:contextualSpacing w:val="0"/>
            <w:rPr>
              <w:rFonts w:cs="Times New Roman"/>
              <w:lang w:val="en-US"/>
            </w:rPr>
          </w:pPr>
          <w:bookmarkStart w:id="29" w:name="_Toc495527315"/>
          <w:bookmarkStart w:id="30" w:name="_Toc500087474"/>
          <w:r w:rsidRPr="00FE71D6">
            <w:rPr>
              <w:rFonts w:cs="Times New Roman"/>
              <w:lang w:val="en-US"/>
            </w:rPr>
            <w:t>3.1 Theoretical Background and Conceptual Model</w:t>
          </w:r>
          <w:bookmarkEnd w:id="29"/>
          <w:bookmarkEnd w:id="30"/>
        </w:p>
        <w:p w:rsidR="0016231D" w:rsidRPr="00FE71D6" w:rsidRDefault="009320BE" w:rsidP="00440E1E">
          <w:pPr>
            <w:spacing w:after="120"/>
            <w:jc w:val="both"/>
            <w:rPr>
              <w:lang w:val="en-US"/>
            </w:rPr>
          </w:pPr>
          <w:r w:rsidRPr="00FE71D6">
            <w:rPr>
              <w:lang w:val="en-US"/>
            </w:rPr>
            <w:t>Some theoretical grounds used for the building of the model are provided. A clear theoretical rationality is that financial performance depends on the appropriate management of intangible and tangible resources</w:t>
          </w:r>
          <w:r w:rsidR="0016231D" w:rsidRPr="00FE71D6">
            <w:rPr>
              <w:lang w:val="en-US"/>
            </w:rPr>
            <w:t xml:space="preserve"> </w:t>
          </w:r>
          <w:r w:rsidR="0016231D" w:rsidRPr="00FE71D6">
            <w:rPr>
              <w:noProof/>
              <w:lang w:val="en-US"/>
            </w:rPr>
            <w:t>(Kumar &amp; Nambirajan, 2013)</w:t>
          </w:r>
          <w:r w:rsidR="0016231D" w:rsidRPr="00FE71D6">
            <w:rPr>
              <w:lang w:val="en-US"/>
            </w:rPr>
            <w:t xml:space="preserve">. </w:t>
          </w:r>
          <w:r w:rsidRPr="00FE71D6">
            <w:rPr>
              <w:lang w:val="en-US"/>
            </w:rPr>
            <w:t>Supply chain management practices and net trade cycle deal with the tangible and intangible resources. The combined effect of supply chain management practices and net trade cycle thus form the structure blocks of executive choices and engagements that regulate the long run performance of an association. Therefore, supply chain management practices and net trade cycle perform vital roles in donating to association’s financial performance via a good collaboration among all trading partners (all related parties in companies) that is supported by Relationship Marketing Theory and Resource Based Theory that are detailed below</w:t>
          </w:r>
          <w:r w:rsidR="0016231D" w:rsidRPr="00FE71D6">
            <w:rPr>
              <w:lang w:val="en-US"/>
            </w:rPr>
            <w:t>.</w:t>
          </w:r>
        </w:p>
        <w:p w:rsidR="009B2DCD" w:rsidRPr="00FE71D6" w:rsidRDefault="009F2073" w:rsidP="001B560A">
          <w:pPr>
            <w:ind w:firstLine="720"/>
            <w:jc w:val="both"/>
            <w:rPr>
              <w:lang w:val="en-US"/>
            </w:rPr>
          </w:pPr>
          <w:r w:rsidRPr="00FE71D6">
            <w:rPr>
              <w:lang w:val="en-US"/>
            </w:rPr>
            <w:t>The Relationship Marketing Theory (RMT) is used to explain the relationships among all parties in the supply chain as an integrated system, and hence, to ensure well-collaboration among these parties by sharing information and using lean system between suppliers and customers which enables the company to gain a competitive advantage and survive in a tough competitive environment. The Relationship Marketing Theory is discussed in details below.</w:t>
          </w:r>
        </w:p>
        <w:p w:rsidR="00C71695" w:rsidRPr="00FE71D6" w:rsidRDefault="00C71695" w:rsidP="00440E1E">
          <w:pPr>
            <w:jc w:val="both"/>
            <w:rPr>
              <w:lang w:val="en-US"/>
            </w:rPr>
          </w:pPr>
          <w:r w:rsidRPr="00FE71D6">
            <w:rPr>
              <w:b/>
              <w:bCs/>
              <w:i/>
              <w:iCs/>
              <w:lang w:val="en-US"/>
            </w:rPr>
            <w:t>Relationship Marketing Theory</w:t>
          </w:r>
          <w:r w:rsidRPr="00FE71D6">
            <w:rPr>
              <w:lang w:val="en-US"/>
            </w:rPr>
            <w:t xml:space="preserve"> </w:t>
          </w:r>
          <w:r w:rsidR="000D1C57" w:rsidRPr="00FE71D6">
            <w:rPr>
              <w:lang w:val="en-US"/>
            </w:rPr>
            <w:t>is characterized by exchanges between parties who have a history of business interaction and who have plans for future interactions</w:t>
          </w:r>
          <w:r w:rsidRPr="00FE71D6">
            <w:rPr>
              <w:lang w:val="en-US"/>
            </w:rPr>
            <w:t xml:space="preserve"> (Weitz &amp; Jap, 1995). </w:t>
          </w:r>
          <w:r w:rsidR="000D1C57" w:rsidRPr="00FE71D6">
            <w:rPr>
              <w:lang w:val="en-US"/>
            </w:rPr>
            <w:t>Morgan and Hunt (1994) defined Relationship Marketing Theory as “all marketing activities focused on establishing, emerging and upholding, positive relational exchanges.” This is the new pattern change that is underway in marketing</w:t>
          </w:r>
          <w:r w:rsidRPr="00FE71D6">
            <w:rPr>
              <w:lang w:val="en-US"/>
            </w:rPr>
            <w:t xml:space="preserve"> (Kotler, 1991).  </w:t>
          </w:r>
          <w:r w:rsidR="000D1C57" w:rsidRPr="00FE71D6">
            <w:rPr>
              <w:lang w:val="en-US"/>
            </w:rPr>
            <w:t>Kotler &amp; Armstrong (2004) had assumed that marketing as a field of study and practice is being reconceptualized from transactions to relationships. Sheth and Parvatiyar (1995) affirmed that the core of marketing is the relationship</w:t>
          </w:r>
          <w:r w:rsidRPr="00FE71D6">
            <w:rPr>
              <w:lang w:val="en-US"/>
            </w:rPr>
            <w:t xml:space="preserve">. </w:t>
          </w:r>
        </w:p>
        <w:p w:rsidR="00C71695" w:rsidRPr="00FE71D6" w:rsidRDefault="000D1C57" w:rsidP="00440E1E">
          <w:pPr>
            <w:ind w:firstLine="720"/>
            <w:jc w:val="both"/>
            <w:rPr>
              <w:lang w:val="en-US"/>
            </w:rPr>
          </w:pPr>
          <w:r w:rsidRPr="00FE71D6">
            <w:rPr>
              <w:lang w:val="en-US"/>
            </w:rPr>
            <w:t>The Relationship Marketing Theory is based on the management of marketing actions. It identifies the joint performance of marketing actions that upshot from the value added for members</w:t>
          </w:r>
          <w:r w:rsidR="00C71695" w:rsidRPr="00FE71D6">
            <w:rPr>
              <w:lang w:val="en-US"/>
            </w:rPr>
            <w:t xml:space="preserve"> (Min et al., 2005). </w:t>
          </w:r>
          <w:r w:rsidRPr="00FE71D6">
            <w:rPr>
              <w:lang w:val="en-US"/>
            </w:rPr>
            <w:t>These actions direct to trust, commitment, gratification and performance</w:t>
          </w:r>
          <w:r w:rsidR="00C71695" w:rsidRPr="00FE71D6">
            <w:rPr>
              <w:lang w:val="en-US"/>
            </w:rPr>
            <w:t xml:space="preserve"> (Palmatier, 2008). </w:t>
          </w:r>
          <w:r w:rsidRPr="00FE71D6">
            <w:rPr>
              <w:lang w:val="en-US"/>
            </w:rPr>
            <w:t>These gains are reinforced by good communications, pleasing exchanges, common values and goals, practical struggle, a composed power or dependency and imperfect opportunistic conduct among the members</w:t>
          </w:r>
          <w:r w:rsidR="00C71695" w:rsidRPr="00FE71D6">
            <w:rPr>
              <w:lang w:val="en-US"/>
            </w:rPr>
            <w:t xml:space="preserve"> (Anderson &amp; Weitz, 1992). </w:t>
          </w:r>
        </w:p>
        <w:p w:rsidR="00C71695" w:rsidRPr="00FE71D6" w:rsidRDefault="000D1C57" w:rsidP="00440E1E">
          <w:pPr>
            <w:ind w:firstLine="720"/>
            <w:jc w:val="both"/>
            <w:rPr>
              <w:lang w:val="en-US"/>
            </w:rPr>
          </w:pPr>
          <w:r w:rsidRPr="00FE71D6">
            <w:rPr>
              <w:lang w:val="en-US"/>
            </w:rPr>
            <w:t>The Nordic School reflects the dyadic relationship to be the essential theory of marketing. According to Harker (1999), the most illustrative definition of Relationship Marketing Theory and that was accepted by the European Relationship Marketing community is that of Gronroos (1994). He stated that Relationship Marketing Theory is to recognize and create, uphold and improve and, when needed, also to dismiss relationships with customers and other stakeholders, at a yield, so that the goals of all members are encountered, and that this is performed by a common exchange and gratification of capacities</w:t>
          </w:r>
          <w:r w:rsidR="00666CBA" w:rsidRPr="00FE71D6">
            <w:rPr>
              <w:lang w:val="en-US"/>
            </w:rPr>
            <w:t>.</w:t>
          </w:r>
          <w:r w:rsidR="00C71695" w:rsidRPr="00FE71D6">
            <w:rPr>
              <w:lang w:val="en-US"/>
            </w:rPr>
            <w:t xml:space="preserve"> </w:t>
          </w:r>
        </w:p>
        <w:p w:rsidR="00C71695" w:rsidRPr="00FE71D6" w:rsidRDefault="000D1C57" w:rsidP="00440E1E">
          <w:pPr>
            <w:spacing w:after="120"/>
            <w:ind w:firstLine="720"/>
            <w:jc w:val="both"/>
            <w:rPr>
              <w:lang w:val="en-US"/>
            </w:rPr>
          </w:pPr>
          <w:r w:rsidRPr="00FE71D6">
            <w:rPr>
              <w:lang w:val="en-US"/>
            </w:rPr>
            <w:t>The Relationship Marketing Theory is not new</w:t>
          </w:r>
          <w:r w:rsidR="00C71695" w:rsidRPr="00FE71D6">
            <w:rPr>
              <w:lang w:val="en-US"/>
            </w:rPr>
            <w:t xml:space="preserve"> (Gronroos, 1994). </w:t>
          </w:r>
          <w:r w:rsidRPr="00FE71D6">
            <w:rPr>
              <w:lang w:val="en-US"/>
            </w:rPr>
            <w:t>Channel management research and practice has long acknowledged the prominence of managing dyadic relationships between people and companies acting delivery functions, functions that generate value by making products and services obtainable to customers providing period, place and form values</w:t>
          </w:r>
          <w:r w:rsidR="00C71695" w:rsidRPr="00FE71D6">
            <w:rPr>
              <w:lang w:val="en-US"/>
            </w:rPr>
            <w:t xml:space="preserve"> (Weitz &amp; Jap, 1995). </w:t>
          </w:r>
          <w:r w:rsidRPr="00FE71D6">
            <w:rPr>
              <w:lang w:val="en-US"/>
            </w:rPr>
            <w:t>The Relationship Marketing Theory has been in place internationally in ages</w:t>
          </w:r>
          <w:r w:rsidR="00C71695" w:rsidRPr="00FE71D6">
            <w:rPr>
              <w:lang w:val="en-US"/>
            </w:rPr>
            <w:t>.</w:t>
          </w:r>
        </w:p>
        <w:p w:rsidR="009B2DCD" w:rsidRPr="00FE71D6" w:rsidRDefault="009F2073" w:rsidP="00825A60">
          <w:pPr>
            <w:ind w:firstLine="720"/>
            <w:jc w:val="both"/>
            <w:rPr>
              <w:lang w:val="en-US"/>
            </w:rPr>
          </w:pPr>
          <w:r w:rsidRPr="00FE71D6">
            <w:rPr>
              <w:lang w:val="en-US"/>
            </w:rPr>
            <w:t>The Resource Based Theory (RBT) is used to explain the enhancement in the financial performance of a company. This enhancement can be achieved by improving the influence of the four most common supply chain management practices (supplier partnership, customer relationship, information sharing, and lean system) and net trade cycle on the company’s financial performance can be improved through an efficient utilization of the available resources including tangible, intangible and human resources via accessing to different technologies and competencies and through a proper management of supply chain with efficient net trade cycle to eliminate unnecessary costs. The Resource Based Theory is discussed in details below.</w:t>
          </w:r>
        </w:p>
        <w:p w:rsidR="0016231D" w:rsidRPr="00FE71D6" w:rsidRDefault="0016231D" w:rsidP="00440E1E">
          <w:pPr>
            <w:jc w:val="both"/>
            <w:rPr>
              <w:lang w:val="en-US"/>
            </w:rPr>
          </w:pPr>
          <w:r w:rsidRPr="00FE71D6">
            <w:rPr>
              <w:b/>
              <w:i/>
              <w:szCs w:val="26"/>
              <w:lang w:val="en-US"/>
            </w:rPr>
            <w:t>Resource Base</w:t>
          </w:r>
          <w:r w:rsidR="002F5704" w:rsidRPr="00FE71D6">
            <w:rPr>
              <w:b/>
              <w:i/>
              <w:szCs w:val="26"/>
              <w:lang w:val="en-US"/>
            </w:rPr>
            <w:t>d</w:t>
          </w:r>
          <w:r w:rsidRPr="00FE71D6">
            <w:rPr>
              <w:b/>
              <w:i/>
              <w:szCs w:val="26"/>
              <w:lang w:val="en-US"/>
            </w:rPr>
            <w:t xml:space="preserve"> Theory</w:t>
          </w:r>
          <w:r w:rsidRPr="00FE71D6">
            <w:rPr>
              <w:lang w:val="en-US"/>
            </w:rPr>
            <w:t xml:space="preserve"> </w:t>
          </w:r>
          <w:r w:rsidR="008726A2" w:rsidRPr="00FE71D6">
            <w:rPr>
              <w:lang w:val="en-US"/>
            </w:rPr>
            <w:t>states that firms are combiners of resources which are heterogeneous and imperfectly mobile. These firms operate in industries characterized by imperfect information. Critical to this theory is the creation of market value via products and services desired by customers. Given the nature of the business environment, firms have access to technologies, competencies, capabilities and various organizational structures that make them more efficient than their competitors</w:t>
          </w:r>
          <w:r w:rsidRPr="00FE71D6">
            <w:rPr>
              <w:lang w:val="en-US"/>
            </w:rPr>
            <w:t xml:space="preserve"> </w:t>
          </w:r>
          <w:r w:rsidRPr="00FE71D6">
            <w:rPr>
              <w:noProof/>
              <w:lang w:val="en-US"/>
            </w:rPr>
            <w:t>(Hunt &amp; Davis, 2012)</w:t>
          </w:r>
          <w:r w:rsidR="00451296" w:rsidRPr="00FE71D6">
            <w:rPr>
              <w:lang w:val="en-US"/>
            </w:rPr>
            <w:t>.</w:t>
          </w:r>
        </w:p>
        <w:p w:rsidR="0016231D" w:rsidRPr="00FE71D6" w:rsidRDefault="00CC303E" w:rsidP="00440E1E">
          <w:pPr>
            <w:ind w:firstLine="720"/>
            <w:jc w:val="both"/>
            <w:rPr>
              <w:lang w:val="en-US"/>
            </w:rPr>
          </w:pPr>
          <w:r w:rsidRPr="00FE71D6">
            <w:rPr>
              <w:lang w:val="en-US"/>
            </w:rPr>
            <w:t>Blind et al. (2012) positioned supply chain management directly into the Resource Based Theory. They indicated that the theory was directly associated with cooperative and relational marketing. They also cited knowledge acquisition as critical to competitive advantage. Knowledge acquired, assimilated or transformed from other disciplines or industries, facilitated competitive advantage</w:t>
          </w:r>
          <w:r w:rsidR="0016231D" w:rsidRPr="00FE71D6">
            <w:rPr>
              <w:lang w:val="en-US"/>
            </w:rPr>
            <w:t xml:space="preserve"> (Kessler et al., 2000; Kogut &amp; Zander 1996). </w:t>
          </w:r>
          <w:r w:rsidRPr="00FE71D6">
            <w:rPr>
              <w:lang w:val="en-US"/>
            </w:rPr>
            <w:t>Information search accesses asset- specific knowledge, valuable to the firm</w:t>
          </w:r>
          <w:r w:rsidR="0016231D" w:rsidRPr="00FE71D6">
            <w:rPr>
              <w:lang w:val="en-US"/>
            </w:rPr>
            <w:t xml:space="preserve"> (DeSarbo et al., 2007; Wang et al., 2009) </w:t>
          </w:r>
          <w:r w:rsidRPr="00FE71D6">
            <w:rPr>
              <w:lang w:val="en-US"/>
            </w:rPr>
            <w:t>and competitors, could provide valuable information made available using cooperative strategies</w:t>
          </w:r>
          <w:r w:rsidR="0016231D" w:rsidRPr="00FE71D6">
            <w:rPr>
              <w:lang w:val="en-US"/>
            </w:rPr>
            <w:t xml:space="preserve"> </w:t>
          </w:r>
          <w:r w:rsidR="0016231D" w:rsidRPr="00FE71D6">
            <w:rPr>
              <w:noProof/>
              <w:lang w:val="en-US"/>
            </w:rPr>
            <w:t>(Grant &amp; Baden-Fuller, 1995)</w:t>
          </w:r>
          <w:r w:rsidR="0016231D" w:rsidRPr="00FE71D6">
            <w:rPr>
              <w:lang w:val="en-US"/>
            </w:rPr>
            <w:t>.</w:t>
          </w:r>
        </w:p>
        <w:p w:rsidR="0016231D" w:rsidRPr="00FE71D6" w:rsidRDefault="00CC303E" w:rsidP="00440E1E">
          <w:pPr>
            <w:ind w:firstLine="720"/>
            <w:jc w:val="both"/>
            <w:rPr>
              <w:lang w:val="en-US"/>
            </w:rPr>
          </w:pPr>
          <w:r w:rsidRPr="00FE71D6">
            <w:rPr>
              <w:lang w:val="en-US"/>
            </w:rPr>
            <w:t>In addition, market researchers have associated collaboration with value creation and innovation. Collaboration supports differential advantage by providing access to markets, technologies, reduced cost and risk, improved competitiveness, knowledge development, exploitation, and enhanced financial performance</w:t>
          </w:r>
          <w:r w:rsidR="0016231D" w:rsidRPr="00FE71D6">
            <w:rPr>
              <w:lang w:val="en-US"/>
            </w:rPr>
            <w:t xml:space="preserve"> (Jo</w:t>
          </w:r>
          <w:r w:rsidR="00451296" w:rsidRPr="00FE71D6">
            <w:rPr>
              <w:lang w:val="en-US"/>
            </w:rPr>
            <w:t xml:space="preserve">rde &amp; Teece 1989; Tsai, 2002). </w:t>
          </w:r>
          <w:r w:rsidRPr="00FE71D6">
            <w:rPr>
              <w:lang w:val="en-US"/>
            </w:rPr>
            <w:t>Gnyawali and Park (2011) and Ritala and Hurmelinna-Laukkanen (2009) found collaboration to increase innovation</w:t>
          </w:r>
          <w:r w:rsidR="0016231D" w:rsidRPr="00FE71D6">
            <w:rPr>
              <w:lang w:val="en-US"/>
            </w:rPr>
            <w:t>.</w:t>
          </w:r>
        </w:p>
        <w:p w:rsidR="0016231D" w:rsidRPr="00FE71D6" w:rsidRDefault="00336E69" w:rsidP="00440E1E">
          <w:pPr>
            <w:ind w:firstLine="720"/>
            <w:jc w:val="both"/>
            <w:rPr>
              <w:lang w:val="en-US"/>
            </w:rPr>
          </w:pPr>
          <w:r w:rsidRPr="00FE71D6">
            <w:rPr>
              <w:lang w:val="en-US"/>
            </w:rPr>
            <w:t>Resource Based Theory is not a theory of competition, rather a supporter of collaboration, and is credited with enabling firms to adopt collaborative management strategies gaining greater benefits and control over competitors</w:t>
          </w:r>
          <w:r w:rsidR="0016231D" w:rsidRPr="00FE71D6">
            <w:rPr>
              <w:lang w:val="en-US"/>
            </w:rPr>
            <w:t xml:space="preserve"> (Chen &amp; Chen 2011; Quintana-Garcia &amp; Benavides-Velasco, 2004). </w:t>
          </w:r>
          <w:r w:rsidRPr="00FE71D6">
            <w:rPr>
              <w:lang w:val="en-US"/>
            </w:rPr>
            <w:t>Hence, in Resource Based Theory, competitive strategies are generally insignificant means by which a competitive advantage is achieved. Blind et al. (2012) and LaCoste (2012) regarded cooperation and competition to exist on a single continuum; however, they treat cooperation as a relational management strategy and competition as self-indulgent</w:t>
          </w:r>
          <w:r w:rsidR="00851933" w:rsidRPr="00FE71D6">
            <w:rPr>
              <w:lang w:val="en-US"/>
            </w:rPr>
            <w:t>.</w:t>
          </w:r>
          <w:r w:rsidR="0016231D" w:rsidRPr="00FE71D6">
            <w:rPr>
              <w:lang w:val="en-US"/>
            </w:rPr>
            <w:t xml:space="preserve"> </w:t>
          </w:r>
        </w:p>
        <w:p w:rsidR="0016231D" w:rsidRPr="00FE71D6" w:rsidRDefault="00336E69" w:rsidP="00440E1E">
          <w:pPr>
            <w:widowControl w:val="0"/>
            <w:spacing w:after="240"/>
            <w:ind w:firstLine="720"/>
            <w:jc w:val="both"/>
          </w:pPr>
          <w:r w:rsidRPr="00FE71D6">
            <w:rPr>
              <w:lang w:val="en-US"/>
            </w:rPr>
            <w:t>A</w:t>
          </w:r>
          <w:r w:rsidRPr="00FE71D6">
            <w:t xml:space="preserve"> broad literature review shows that there are contradicting results in </w:t>
          </w:r>
          <w:r w:rsidRPr="00FE71D6">
            <w:rPr>
              <w:lang w:val="en-US"/>
            </w:rPr>
            <w:t>supply chain management</w:t>
          </w:r>
          <w:r w:rsidRPr="00FE71D6">
            <w:t xml:space="preserve"> and </w:t>
          </w:r>
          <w:r w:rsidRPr="00FE71D6">
            <w:rPr>
              <w:lang w:val="en-US"/>
            </w:rPr>
            <w:t>net trade cycle</w:t>
          </w:r>
          <w:r w:rsidRPr="00FE71D6">
            <w:t xml:space="preserve"> in general, and a lack of studies addressing their applicability specifically in the case of developing countries. Moreover, none of the previous studies combined the most common </w:t>
          </w:r>
          <w:r w:rsidRPr="00FE71D6">
            <w:rPr>
              <w:lang w:val="en-US"/>
            </w:rPr>
            <w:t>supply chain management</w:t>
          </w:r>
          <w:r w:rsidRPr="00FE71D6">
            <w:t xml:space="preserve"> practices, </w:t>
          </w:r>
          <w:r w:rsidRPr="00FE71D6">
            <w:rPr>
              <w:lang w:val="en-US"/>
            </w:rPr>
            <w:t>net trade cycle</w:t>
          </w:r>
          <w:r w:rsidRPr="00FE71D6">
            <w:t xml:space="preserve">, and financial performance in one model. Consequently, this research aims to enhance financial performance through examining the most common </w:t>
          </w:r>
          <w:r w:rsidRPr="00FE71D6">
            <w:rPr>
              <w:lang w:val="en-US"/>
            </w:rPr>
            <w:t>supply chain management</w:t>
          </w:r>
          <w:r w:rsidRPr="00FE71D6">
            <w:t xml:space="preserve"> practices with efficient </w:t>
          </w:r>
          <w:r w:rsidRPr="00FE71D6">
            <w:rPr>
              <w:lang w:val="en-US"/>
            </w:rPr>
            <w:t xml:space="preserve">net trade cycle </w:t>
          </w:r>
          <w:r w:rsidRPr="00FE71D6">
            <w:t>in a developing country such as the Kingdom of Bahrain and in the hope to fill out the gap in literature</w:t>
          </w:r>
          <w:r w:rsidR="0016231D" w:rsidRPr="00FE71D6">
            <w:t>.</w:t>
          </w:r>
        </w:p>
        <w:p w:rsidR="0016231D" w:rsidRPr="00FE71D6" w:rsidRDefault="0016231D" w:rsidP="003A6DA6">
          <w:pPr>
            <w:pStyle w:val="Heading2"/>
            <w:contextualSpacing w:val="0"/>
            <w:rPr>
              <w:rFonts w:cs="Times New Roman"/>
              <w:lang w:val="en-US"/>
            </w:rPr>
          </w:pPr>
          <w:bookmarkStart w:id="31" w:name="_Toc495527316"/>
          <w:bookmarkStart w:id="32" w:name="_Toc500087475"/>
          <w:r w:rsidRPr="00FE71D6">
            <w:rPr>
              <w:rFonts w:cs="Times New Roman"/>
              <w:lang w:val="en-US"/>
            </w:rPr>
            <w:t>3.2 Theoretical Framework</w:t>
          </w:r>
          <w:bookmarkEnd w:id="31"/>
          <w:bookmarkEnd w:id="32"/>
        </w:p>
        <w:p w:rsidR="009102C4" w:rsidRPr="00FE71D6" w:rsidRDefault="00565C72" w:rsidP="008D73B9">
          <w:pPr>
            <w:pStyle w:val="Newparagraph"/>
            <w:ind w:firstLine="0"/>
            <w:jc w:val="both"/>
          </w:pPr>
          <w:r w:rsidRPr="00FE71D6">
            <w:rPr>
              <w:lang w:val="en-US"/>
            </w:rPr>
            <w:t>The research model relies on two main theories: Relationship Marketing Theory (RMT) and Resource Based Theory (RBT). More specifically, RMT is used to explain how the related parties interact. This is achieved through finding significant correlations among the four most common supply chain management practices (supplier partnership, customer relationship, information sharing, and lean system). On the other hand, RBT is used to explain how to improve financial performance via well utilization of resources of the four most common supply chain management practices and net trade cycle.</w:t>
          </w:r>
        </w:p>
        <w:p w:rsidR="0016231D" w:rsidRPr="00FE71D6" w:rsidRDefault="00396CC6" w:rsidP="009102C4">
          <w:pPr>
            <w:pStyle w:val="Newparagraph"/>
            <w:jc w:val="both"/>
          </w:pPr>
          <w:r w:rsidRPr="00FE71D6">
            <w:t>To recognize well the backgrounds and magnitudes of supply chain management, a model is created which designates the causal relationships between facilitating factors or constructs for the four most common supply chain management practices that are mainly used in previous key studies</w:t>
          </w:r>
          <w:r w:rsidR="00BE48AC" w:rsidRPr="00FE71D6">
            <w:t xml:space="preserve"> </w:t>
          </w:r>
          <w:r w:rsidR="00B86DD8" w:rsidRPr="00FE71D6">
            <w:t>(</w:t>
          </w:r>
          <w:r w:rsidR="00B86DD8" w:rsidRPr="00FE71D6">
            <w:rPr>
              <w:lang w:val="en-US"/>
            </w:rPr>
            <w:t>Abdallah et al., 2014; Suhong Li, 2002</w:t>
          </w:r>
          <w:r w:rsidR="00B86DD8" w:rsidRPr="00FE71D6">
            <w:t>)</w:t>
          </w:r>
          <w:r w:rsidR="00BE48AC" w:rsidRPr="00FE71D6">
            <w:t>,</w:t>
          </w:r>
          <w:r w:rsidRPr="00FE71D6">
            <w:t xml:space="preserve"> and their relationships with net trade cycle construct, and financial performance construct</w:t>
          </w:r>
          <w:r w:rsidR="00B86DD8" w:rsidRPr="00FE71D6">
            <w:t xml:space="preserve"> (</w:t>
          </w:r>
          <w:r w:rsidR="00B86DD8" w:rsidRPr="00FE71D6">
            <w:rPr>
              <w:lang w:val="en-US"/>
            </w:rPr>
            <w:t>Erasmus, 2010</w:t>
          </w:r>
          <w:r w:rsidR="00070A0A" w:rsidRPr="00FE71D6">
            <w:rPr>
              <w:lang w:val="en-US"/>
            </w:rPr>
            <w:t>; Nobanee et al., 2011; Shakoor</w:t>
          </w:r>
          <w:r w:rsidR="00B86DD8" w:rsidRPr="00FE71D6">
            <w:rPr>
              <w:lang w:val="en-US"/>
            </w:rPr>
            <w:t xml:space="preserve"> et al.</w:t>
          </w:r>
          <w:r w:rsidR="00070A0A" w:rsidRPr="00FE71D6">
            <w:rPr>
              <w:lang w:val="en-US"/>
            </w:rPr>
            <w:t>,</w:t>
          </w:r>
          <w:r w:rsidR="00B86DD8" w:rsidRPr="00FE71D6">
            <w:rPr>
              <w:lang w:val="en-US"/>
            </w:rPr>
            <w:t xml:space="preserve"> 2012</w:t>
          </w:r>
          <w:r w:rsidR="00B86DD8" w:rsidRPr="00FE71D6">
            <w:t>)</w:t>
          </w:r>
          <w:r w:rsidR="004179A6" w:rsidRPr="00FE71D6">
            <w:t xml:space="preserve">. Fundamental to this research model is directness: a higher level of </w:t>
          </w:r>
          <w:r w:rsidR="004179A6" w:rsidRPr="00FE71D6">
            <w:rPr>
              <w:lang w:val="en-US"/>
            </w:rPr>
            <w:t>supply chain management</w:t>
          </w:r>
          <w:r w:rsidR="004179A6" w:rsidRPr="00FE71D6">
            <w:t xml:space="preserve"> practices will lead to higher level of </w:t>
          </w:r>
          <w:r w:rsidR="004179A6" w:rsidRPr="00FE71D6">
            <w:rPr>
              <w:lang w:val="en-US"/>
            </w:rPr>
            <w:t>net trade cycle</w:t>
          </w:r>
          <w:r w:rsidR="004179A6" w:rsidRPr="00FE71D6">
            <w:t xml:space="preserve"> construct, and a higher level of </w:t>
          </w:r>
          <w:r w:rsidR="004179A6" w:rsidRPr="00FE71D6">
            <w:rPr>
              <w:lang w:val="en-US"/>
            </w:rPr>
            <w:t>net trade cycle</w:t>
          </w:r>
          <w:r w:rsidR="004179A6" w:rsidRPr="00FE71D6">
            <w:t xml:space="preserve"> will guide to an improved financial performance construct</w:t>
          </w:r>
          <w:r w:rsidR="0016231D" w:rsidRPr="00FE71D6">
            <w:t xml:space="preserve">. </w:t>
          </w:r>
        </w:p>
        <w:p w:rsidR="001E0501" w:rsidRPr="00FE71D6" w:rsidRDefault="00396CC6" w:rsidP="00440E1E">
          <w:pPr>
            <w:ind w:firstLine="720"/>
            <w:jc w:val="both"/>
          </w:pPr>
          <w:r w:rsidRPr="00FE71D6">
            <w:t>Prior practical researches typically linked certain features of those four most common supply chain management practices financial performance which are directly deprived of seeing an intermediate performance gauges net trade cycle</w:t>
          </w:r>
          <w:r w:rsidR="0016231D" w:rsidRPr="00FE71D6">
            <w:t xml:space="preserve"> (Frohlich &amp; Westbrook, 2001; Shin et al., 2000; Stuart, 1997). </w:t>
          </w:r>
          <w:r w:rsidRPr="00FE71D6">
            <w:t>Since financial performance is an eventual gauge of every action in an association, it may not be a suitable gauge for immediate consequence of those most common supply chain management practices</w:t>
          </w:r>
          <w:r w:rsidR="004179A6" w:rsidRPr="00FE71D6">
            <w:t xml:space="preserve">. </w:t>
          </w:r>
          <w:r w:rsidR="005068F0" w:rsidRPr="00FE71D6">
            <w:t>So, it is highly possible that supply chain management practices impact the financial performance construct indirectly through mediation by the net trade cycle construct. In addition to the direct impact of supply chain management practices on the financial performance construct, the financial performance construct is also indirectly impacted through mediation by the net trade cycle construct</w:t>
          </w:r>
          <w:r w:rsidR="00451296" w:rsidRPr="00FE71D6">
            <w:t>.</w:t>
          </w:r>
        </w:p>
        <w:p w:rsidR="0016231D" w:rsidRPr="00FE71D6" w:rsidRDefault="002A01A1" w:rsidP="00440E1E">
          <w:pPr>
            <w:spacing w:after="120"/>
            <w:ind w:firstLine="720"/>
            <w:jc w:val="both"/>
            <w:rPr>
              <w:lang w:val="en-US"/>
            </w:rPr>
          </w:pPr>
          <w:r w:rsidRPr="00FE71D6">
            <w:t xml:space="preserve"> </w:t>
          </w:r>
          <w:r w:rsidR="001875DB" w:rsidRPr="00FE71D6">
            <w:t>Figure 1 illustrates all the possible relationships that can affect supply chain management considered within the model proposed for this study</w:t>
          </w:r>
          <w:r w:rsidR="0016231D" w:rsidRPr="00FE71D6">
            <w:rPr>
              <w:lang w:val="en-US"/>
            </w:rPr>
            <w:t>.</w:t>
          </w:r>
          <w:r w:rsidR="009008DF" w:rsidRPr="00FE71D6">
            <w:rPr>
              <w:lang w:val="en-US"/>
            </w:rPr>
            <w:t xml:space="preserve"> </w:t>
          </w:r>
          <w:r w:rsidR="001875DB" w:rsidRPr="00FE71D6">
            <w:rPr>
              <w:lang w:val="en-US"/>
            </w:rPr>
            <w:t>It shows the indirect influence of those four common supply chain management practices on financial performance that is mediated by net trade cycle as well as the direct influence of those four common supply chain management practices on financial performance</w:t>
          </w:r>
          <w:r w:rsidR="00A754B5" w:rsidRPr="00FE71D6">
            <w:rPr>
              <w:lang w:val="en-US"/>
            </w:rPr>
            <w:t>.</w:t>
          </w:r>
        </w:p>
        <w:p w:rsidR="0016231D" w:rsidRPr="00FE71D6" w:rsidRDefault="009008DF" w:rsidP="00201B68">
          <w:pPr>
            <w:pStyle w:val="Caption"/>
            <w:spacing w:after="360"/>
            <w:jc w:val="center"/>
            <w:rPr>
              <w:b w:val="0"/>
              <w:bCs w:val="0"/>
              <w:color w:val="auto"/>
              <w:sz w:val="24"/>
              <w:szCs w:val="24"/>
            </w:rPr>
          </w:pPr>
          <w:bookmarkStart w:id="33" w:name="_Toc500087406"/>
          <w:r w:rsidRPr="00FE71D6">
            <w:rPr>
              <w:noProof/>
              <w:color w:val="auto"/>
              <w:lang w:val="en-US" w:eastAsia="en-US"/>
            </w:rPr>
            <w:drawing>
              <wp:anchor distT="0" distB="0" distL="114300" distR="114300" simplePos="0" relativeHeight="251659264" behindDoc="1" locked="0" layoutInCell="1" allowOverlap="1" wp14:anchorId="122B1B43" wp14:editId="1AC1A146">
                <wp:simplePos x="0" y="0"/>
                <wp:positionH relativeFrom="column">
                  <wp:posOffset>17780</wp:posOffset>
                </wp:positionH>
                <wp:positionV relativeFrom="paragraph">
                  <wp:posOffset>27305</wp:posOffset>
                </wp:positionV>
                <wp:extent cx="4798695" cy="2896235"/>
                <wp:effectExtent l="0" t="0" r="1905" b="0"/>
                <wp:wrapTight wrapText="bothSides">
                  <wp:wrapPolygon edited="0">
                    <wp:start x="0" y="0"/>
                    <wp:lineTo x="0" y="21453"/>
                    <wp:lineTo x="21523" y="21453"/>
                    <wp:lineTo x="21523" y="0"/>
                    <wp:lineTo x="0" y="0"/>
                  </wp:wrapPolygon>
                </wp:wrapTight>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04AE2.tmp"/>
                        <pic:cNvPicPr/>
                      </pic:nvPicPr>
                      <pic:blipFill>
                        <a:blip r:embed="rId16">
                          <a:extLst>
                            <a:ext uri="{28A0092B-C50C-407E-A947-70E740481C1C}">
                              <a14:useLocalDpi xmlns:a14="http://schemas.microsoft.com/office/drawing/2010/main" val="0"/>
                            </a:ext>
                          </a:extLst>
                        </a:blip>
                        <a:stretch>
                          <a:fillRect/>
                        </a:stretch>
                      </pic:blipFill>
                      <pic:spPr>
                        <a:xfrm>
                          <a:off x="0" y="0"/>
                          <a:ext cx="4798695" cy="2896235"/>
                        </a:xfrm>
                        <a:prstGeom prst="rect">
                          <a:avLst/>
                        </a:prstGeom>
                      </pic:spPr>
                    </pic:pic>
                  </a:graphicData>
                </a:graphic>
                <wp14:sizeRelH relativeFrom="page">
                  <wp14:pctWidth>0</wp14:pctWidth>
                </wp14:sizeRelH>
                <wp14:sizeRelV relativeFrom="page">
                  <wp14:pctHeight>0</wp14:pctHeight>
                </wp14:sizeRelV>
              </wp:anchor>
            </w:drawing>
          </w:r>
          <w:r w:rsidR="007739FC" w:rsidRPr="00FE71D6">
            <w:rPr>
              <w:color w:val="auto"/>
              <w:sz w:val="24"/>
              <w:szCs w:val="24"/>
            </w:rPr>
            <w:t xml:space="preserve">Figure </w:t>
          </w:r>
          <w:r w:rsidR="007739FC" w:rsidRPr="00FE71D6">
            <w:rPr>
              <w:color w:val="auto"/>
              <w:sz w:val="24"/>
              <w:szCs w:val="24"/>
            </w:rPr>
            <w:fldChar w:fldCharType="begin"/>
          </w:r>
          <w:r w:rsidR="007739FC" w:rsidRPr="00FE71D6">
            <w:rPr>
              <w:color w:val="auto"/>
              <w:sz w:val="24"/>
              <w:szCs w:val="24"/>
            </w:rPr>
            <w:instrText xml:space="preserve"> SEQ Figure \* ARABIC </w:instrText>
          </w:r>
          <w:r w:rsidR="007739FC" w:rsidRPr="00FE71D6">
            <w:rPr>
              <w:color w:val="auto"/>
              <w:sz w:val="24"/>
              <w:szCs w:val="24"/>
            </w:rPr>
            <w:fldChar w:fldCharType="separate"/>
          </w:r>
          <w:r w:rsidR="00B66E91" w:rsidRPr="00FE71D6">
            <w:rPr>
              <w:noProof/>
              <w:color w:val="auto"/>
              <w:sz w:val="24"/>
              <w:szCs w:val="24"/>
            </w:rPr>
            <w:t>1</w:t>
          </w:r>
          <w:r w:rsidR="007739FC" w:rsidRPr="00FE71D6">
            <w:rPr>
              <w:color w:val="auto"/>
              <w:sz w:val="24"/>
              <w:szCs w:val="24"/>
            </w:rPr>
            <w:fldChar w:fldCharType="end"/>
          </w:r>
          <w:r w:rsidR="007739FC" w:rsidRPr="00FE71D6">
            <w:rPr>
              <w:color w:val="auto"/>
              <w:sz w:val="24"/>
              <w:szCs w:val="24"/>
            </w:rPr>
            <w:t xml:space="preserve">. </w:t>
          </w:r>
          <w:r w:rsidR="0016231D" w:rsidRPr="00FE71D6">
            <w:rPr>
              <w:b w:val="0"/>
              <w:bCs w:val="0"/>
              <w:color w:val="auto"/>
              <w:sz w:val="24"/>
              <w:szCs w:val="24"/>
            </w:rPr>
            <w:t>Proposed Latent Variable Model</w:t>
          </w:r>
          <w:bookmarkEnd w:id="33"/>
        </w:p>
        <w:p w:rsidR="008C53DC" w:rsidRPr="00FE71D6" w:rsidRDefault="00852CF5" w:rsidP="0077733A">
          <w:pPr>
            <w:spacing w:after="120"/>
            <w:ind w:firstLine="720"/>
            <w:jc w:val="both"/>
          </w:pPr>
          <w:r w:rsidRPr="00FE71D6">
            <w:t xml:space="preserve"> </w:t>
          </w:r>
        </w:p>
        <w:p w:rsidR="009F2073" w:rsidRPr="00FE71D6" w:rsidRDefault="009F2073" w:rsidP="009F2073">
          <w:bookmarkStart w:id="34" w:name="_Toc495527317"/>
        </w:p>
        <w:p w:rsidR="009F2073" w:rsidRPr="00FE71D6" w:rsidRDefault="009F2073" w:rsidP="009F2073"/>
        <w:p w:rsidR="009F2073" w:rsidRPr="00FE71D6" w:rsidRDefault="009F2073" w:rsidP="009F2073"/>
        <w:p w:rsidR="009F2073" w:rsidRPr="00FE71D6" w:rsidRDefault="009F2073" w:rsidP="009F2073"/>
        <w:p w:rsidR="0016231D" w:rsidRPr="00FE71D6" w:rsidRDefault="00645926" w:rsidP="00D86636">
          <w:pPr>
            <w:pStyle w:val="Heading1"/>
            <w:rPr>
              <w:rFonts w:cs="Times New Roman"/>
            </w:rPr>
          </w:pPr>
          <w:bookmarkStart w:id="35" w:name="_Toc500087476"/>
          <w:r w:rsidRPr="00FE71D6">
            <w:rPr>
              <w:rFonts w:cs="Times New Roman"/>
            </w:rPr>
            <w:t>CHAPTER FOUR</w:t>
          </w:r>
          <w:r w:rsidR="0016231D" w:rsidRPr="00FE71D6">
            <w:rPr>
              <w:rFonts w:cs="Times New Roman"/>
            </w:rPr>
            <w:t>: METHODOLOGY</w:t>
          </w:r>
          <w:bookmarkEnd w:id="34"/>
          <w:bookmarkEnd w:id="35"/>
        </w:p>
        <w:p w:rsidR="0016231D" w:rsidRPr="00FE71D6" w:rsidRDefault="00E23F0A" w:rsidP="002F5ECB">
          <w:pPr>
            <w:pStyle w:val="Affiliation"/>
            <w:spacing w:before="0" w:after="240" w:line="480" w:lineRule="auto"/>
            <w:jc w:val="both"/>
            <w:rPr>
              <w:i w:val="0"/>
              <w:iCs/>
            </w:rPr>
          </w:pPr>
          <w:r w:rsidRPr="00FE71D6">
            <w:rPr>
              <w:i w:val="0"/>
              <w:iCs/>
            </w:rPr>
            <w:t>This chapter mainly focuses on how the data was collected and organized. So, it consists of two primary sections which are data collection and data preparation that are discussed in details below</w:t>
          </w:r>
          <w:r w:rsidR="0016231D" w:rsidRPr="00FE71D6">
            <w:rPr>
              <w:i w:val="0"/>
              <w:iCs/>
            </w:rPr>
            <w:t>.</w:t>
          </w:r>
        </w:p>
        <w:p w:rsidR="0016231D" w:rsidRPr="00FE71D6" w:rsidRDefault="0016231D" w:rsidP="003A6DA6">
          <w:pPr>
            <w:pStyle w:val="Heading2"/>
            <w:contextualSpacing w:val="0"/>
            <w:rPr>
              <w:rFonts w:cs="Times New Roman"/>
              <w:lang w:val="en-US"/>
            </w:rPr>
          </w:pPr>
          <w:bookmarkStart w:id="36" w:name="_Toc495527318"/>
          <w:bookmarkStart w:id="37" w:name="_Toc500087477"/>
          <w:r w:rsidRPr="00FE71D6">
            <w:rPr>
              <w:rFonts w:cs="Times New Roman"/>
              <w:lang w:val="en-US"/>
            </w:rPr>
            <w:t>4.1 Data Collection</w:t>
          </w:r>
          <w:bookmarkEnd w:id="36"/>
          <w:bookmarkEnd w:id="37"/>
        </w:p>
        <w:p w:rsidR="0016231D" w:rsidRPr="00FE71D6" w:rsidRDefault="0016231D" w:rsidP="00405FCB">
          <w:pPr>
            <w:pStyle w:val="Heading3"/>
            <w:rPr>
              <w:rFonts w:cs="Times New Roman"/>
              <w:bCs w:val="0"/>
              <w:iCs w:val="0"/>
              <w:lang w:val="en-US"/>
            </w:rPr>
          </w:pPr>
          <w:bookmarkStart w:id="38" w:name="_Toc495527319"/>
          <w:bookmarkStart w:id="39" w:name="_Toc500087478"/>
          <w:r w:rsidRPr="00FE71D6">
            <w:rPr>
              <w:rFonts w:cs="Times New Roman"/>
              <w:bCs w:val="0"/>
              <w:iCs w:val="0"/>
              <w:lang w:val="en-US"/>
            </w:rPr>
            <w:t>4.1.1 Survey Instrument</w:t>
          </w:r>
          <w:bookmarkEnd w:id="38"/>
          <w:bookmarkEnd w:id="39"/>
          <w:r w:rsidRPr="00FE71D6">
            <w:rPr>
              <w:rFonts w:cs="Times New Roman"/>
              <w:bCs w:val="0"/>
              <w:iCs w:val="0"/>
              <w:lang w:val="en-US"/>
            </w:rPr>
            <w:t xml:space="preserve"> </w:t>
          </w:r>
        </w:p>
        <w:p w:rsidR="00173442" w:rsidRPr="00FE71D6" w:rsidRDefault="0095523B" w:rsidP="00446569">
          <w:pPr>
            <w:pStyle w:val="NormalWeb"/>
            <w:spacing w:before="0" w:beforeAutospacing="0" w:after="0" w:afterAutospacing="0" w:line="480" w:lineRule="auto"/>
            <w:jc w:val="both"/>
            <w:rPr>
              <w:rStyle w:val="tgc"/>
            </w:rPr>
          </w:pPr>
          <w:r w:rsidRPr="00FE71D6">
            <w:rPr>
              <w:lang w:val="en"/>
            </w:rPr>
            <w:t>Not only quantitative methodology is advantageous because it allows researchers to conduct a broad survey, which involves many subjects and generalization of findings but also enables researchers to correlate independent and dependent variables in order to determine causality within a study framework</w:t>
          </w:r>
          <w:r w:rsidR="00173442" w:rsidRPr="00FE71D6">
            <w:rPr>
              <w:lang w:val="en"/>
            </w:rPr>
            <w:t xml:space="preserve">. </w:t>
          </w:r>
          <w:r w:rsidR="001735A6" w:rsidRPr="00FE71D6">
            <w:rPr>
              <w:lang w:val="en"/>
            </w:rPr>
            <w:t>On the other hand, quantitative methodology is rigid and provides less detail on the motivation, attitudes and behavior of study subjects</w:t>
          </w:r>
          <w:r w:rsidR="00F45FDF" w:rsidRPr="00FE71D6">
            <w:rPr>
              <w:lang w:val="en"/>
            </w:rPr>
            <w:t>.</w:t>
          </w:r>
          <w:r w:rsidR="00173442" w:rsidRPr="00FE71D6">
            <w:rPr>
              <w:lang w:val="en"/>
            </w:rPr>
            <w:t xml:space="preserve"> </w:t>
          </w:r>
          <w:r w:rsidR="001735A6" w:rsidRPr="00FE71D6">
            <w:rPr>
              <w:lang w:val="en"/>
            </w:rPr>
            <w:t>Thus, quantitative methodology would be the most applicable method for this research problem. A quantitative approach allows the researcher to examine the relationships among variables of supply chain management practices, net trade cycle, and financial performance. The data can be used to look for cause and effect relationships and, therefore, can be used to make predictions</w:t>
          </w:r>
          <w:r w:rsidR="00D77883" w:rsidRPr="00FE71D6">
            <w:t>.</w:t>
          </w:r>
          <w:r w:rsidR="00D77883" w:rsidRPr="00FE71D6">
            <w:rPr>
              <w:rStyle w:val="tgc"/>
            </w:rPr>
            <w:t xml:space="preserve"> </w:t>
          </w:r>
        </w:p>
        <w:p w:rsidR="00632B91" w:rsidRPr="00FE71D6" w:rsidRDefault="00411C38" w:rsidP="002F5ECB">
          <w:pPr>
            <w:pStyle w:val="NormalWeb"/>
            <w:spacing w:before="0" w:beforeAutospacing="0" w:after="0" w:afterAutospacing="0" w:line="480" w:lineRule="auto"/>
            <w:ind w:firstLine="720"/>
            <w:jc w:val="both"/>
          </w:pPr>
          <w:r w:rsidRPr="00FE71D6">
            <w:t>This research mainly uses a questionnaire instrument to collect data, as it is the more practical way to gather information about how organizations attain proper supply chain management practices at manufacturing companies</w:t>
          </w:r>
          <w:r w:rsidR="00A903A1" w:rsidRPr="00FE71D6">
            <w:t xml:space="preserve"> </w:t>
          </w:r>
          <w:sdt>
            <w:sdtPr>
              <w:id w:val="1230198786"/>
              <w:citation/>
            </w:sdtPr>
            <w:sdtEndPr/>
            <w:sdtContent>
              <w:r w:rsidR="00A903A1" w:rsidRPr="00FE71D6">
                <w:fldChar w:fldCharType="begin"/>
              </w:r>
              <w:r w:rsidR="00A903A1" w:rsidRPr="00FE71D6">
                <w:instrText xml:space="preserve"> CITATION Tan011 \l 1033 </w:instrText>
              </w:r>
              <w:r w:rsidR="00A903A1" w:rsidRPr="00FE71D6">
                <w:fldChar w:fldCharType="separate"/>
              </w:r>
              <w:r w:rsidR="00A903A1" w:rsidRPr="00FE71D6">
                <w:rPr>
                  <w:noProof/>
                </w:rPr>
                <w:t>(Tan, 2001)</w:t>
              </w:r>
              <w:r w:rsidR="00A903A1" w:rsidRPr="00FE71D6">
                <w:fldChar w:fldCharType="end"/>
              </w:r>
            </w:sdtContent>
          </w:sdt>
          <w:r w:rsidR="0016231D" w:rsidRPr="00FE71D6">
            <w:t xml:space="preserve"> </w:t>
          </w:r>
          <w:r w:rsidR="008964D4" w:rsidRPr="00FE71D6">
            <w:t>with efficient net trade cycle to enhance financial performance. It is interesting to note that none of the previous studies examined these critical relationships in one model. The questionnaire utilizes the Likert scale which is the best rating in the scale of 1 to 5 that was similarly used in many previous studies</w:t>
          </w:r>
          <w:r w:rsidR="0016231D" w:rsidRPr="00FE71D6">
            <w:t xml:space="preserve"> (</w:t>
          </w:r>
          <w:r w:rsidR="005070E8" w:rsidRPr="00FE71D6">
            <w:rPr>
              <w:noProof/>
            </w:rPr>
            <w:t>Li et al., 2004</w:t>
          </w:r>
          <w:r w:rsidR="0016231D" w:rsidRPr="00FE71D6">
            <w:rPr>
              <w:noProof/>
            </w:rPr>
            <w:t>)</w:t>
          </w:r>
          <w:r w:rsidR="0016231D" w:rsidRPr="00FE71D6">
            <w:t xml:space="preserve">. </w:t>
          </w:r>
          <w:r w:rsidR="008964D4" w:rsidRPr="00FE71D6">
            <w:t xml:space="preserve">The first edition of the questionnaire was pilot-checked through actual interviews with the general managers of the three manufacturing companies in the Kingdom of Bahrain and was revised for accuracy and correctness. One general manager suggested adding explanations for some terminologies such as </w:t>
          </w:r>
          <w:r w:rsidR="008964D4" w:rsidRPr="00FE71D6">
            <w:rPr>
              <w:rFonts w:asciiTheme="majorBidi" w:hAnsiTheme="majorBidi" w:cstheme="majorBidi"/>
            </w:rPr>
            <w:t xml:space="preserve">lead time (the explanation of the lead time is the time between the initiation and completion of a production process) and pull production system (the explanation of the pull production system is make to order in which the production is based on actual demand). </w:t>
          </w:r>
          <w:r w:rsidR="008964D4" w:rsidRPr="00FE71D6">
            <w:t xml:space="preserve">Another general manager suggested adding </w:t>
          </w:r>
          <w:r w:rsidR="008964D4" w:rsidRPr="00FE71D6">
            <w:rPr>
              <w:rFonts w:asciiTheme="majorBidi" w:hAnsiTheme="majorBidi" w:cstheme="majorBidi"/>
            </w:rPr>
            <w:t xml:space="preserve">competitive position as the fourth indicator of the financial performance construct. </w:t>
          </w:r>
          <w:r w:rsidR="008964D4" w:rsidRPr="00FE71D6">
            <w:t xml:space="preserve">Finally, the resultant instrument was evaluated by faculty of the Abu Dhabi University and was further adjusted to ensure that the gauges are suitable, reliable, and user-friendly. One faculty suggested transferring questionnaire sentences from active tenses to passive tenses (examples of the passive tenses: </w:t>
          </w:r>
          <w:r w:rsidR="00CE0732" w:rsidRPr="00FE71D6">
            <w:rPr>
              <w:rFonts w:asciiTheme="majorBidi" w:hAnsiTheme="majorBidi" w:cstheme="majorBidi"/>
            </w:rPr>
            <w:t>customers are contacted to establish dependability, receptiveness, and other criteria</w:t>
          </w:r>
          <w:r w:rsidR="008964D4" w:rsidRPr="00FE71D6">
            <w:rPr>
              <w:rFonts w:asciiTheme="majorBidi" w:hAnsiTheme="majorBidi" w:cstheme="majorBidi"/>
            </w:rPr>
            <w:t xml:space="preserve">; </w:t>
          </w:r>
          <w:r w:rsidR="00CE0732" w:rsidRPr="00FE71D6">
            <w:rPr>
              <w:rFonts w:asciiTheme="majorBidi" w:hAnsiTheme="majorBidi" w:cstheme="majorBidi"/>
            </w:rPr>
            <w:t>suppliers are streamlined for ordering, receiving, and other paperwork</w:t>
          </w:r>
          <w:r w:rsidR="008964D4" w:rsidRPr="00FE71D6">
            <w:rPr>
              <w:rFonts w:asciiTheme="majorBidi" w:hAnsiTheme="majorBidi" w:cstheme="majorBidi"/>
            </w:rPr>
            <w:t>; and other similar things</w:t>
          </w:r>
          <w:r w:rsidR="008964D4" w:rsidRPr="00FE71D6">
            <w:rPr>
              <w:rFonts w:ascii="Arial" w:hAnsi="Arial" w:cs="Arial"/>
              <w:b/>
              <w:bCs/>
              <w:vanish/>
              <w:sz w:val="22"/>
              <w:szCs w:val="22"/>
              <w:lang w:val="en"/>
            </w:rPr>
            <w:t xml:space="preserve">and other </w:t>
          </w:r>
          <w:hyperlink r:id="rId17" w:tooltip="similar" w:history="1">
            <w:r w:rsidR="008964D4" w:rsidRPr="00FE71D6">
              <w:rPr>
                <w:rFonts w:ascii="Arial" w:hAnsi="Arial" w:cs="Arial"/>
                <w:b/>
                <w:bCs/>
                <w:vanish/>
                <w:sz w:val="22"/>
                <w:szCs w:val="22"/>
                <w:lang w:val="en"/>
              </w:rPr>
              <w:t>similar</w:t>
            </w:r>
          </w:hyperlink>
          <w:r w:rsidR="008964D4" w:rsidRPr="00FE71D6">
            <w:rPr>
              <w:rFonts w:ascii="Arial" w:hAnsi="Arial" w:cs="Arial"/>
              <w:b/>
              <w:bCs/>
              <w:vanish/>
              <w:sz w:val="22"/>
              <w:szCs w:val="22"/>
              <w:lang w:val="en"/>
            </w:rPr>
            <w:t xml:space="preserve"> things and other </w:t>
          </w:r>
          <w:hyperlink r:id="rId18" w:tooltip="similar" w:history="1">
            <w:r w:rsidR="008964D4" w:rsidRPr="00FE71D6">
              <w:rPr>
                <w:rFonts w:ascii="Arial" w:hAnsi="Arial" w:cs="Arial"/>
                <w:b/>
                <w:bCs/>
                <w:vanish/>
                <w:sz w:val="22"/>
                <w:szCs w:val="22"/>
                <w:lang w:val="en"/>
              </w:rPr>
              <w:t>similar</w:t>
            </w:r>
          </w:hyperlink>
          <w:r w:rsidR="008964D4" w:rsidRPr="00FE71D6">
            <w:rPr>
              <w:rFonts w:ascii="Arial" w:hAnsi="Arial" w:cs="Arial"/>
              <w:b/>
              <w:bCs/>
              <w:vanish/>
              <w:sz w:val="22"/>
              <w:szCs w:val="22"/>
              <w:lang w:val="en"/>
            </w:rPr>
            <w:t xml:space="preserve"> things</w:t>
          </w:r>
          <w:r w:rsidR="008964D4" w:rsidRPr="00FE71D6">
            <w:rPr>
              <w:rFonts w:asciiTheme="majorBidi" w:hAnsiTheme="majorBidi" w:cstheme="majorBidi"/>
            </w:rPr>
            <w:t>)</w:t>
          </w:r>
          <w:r w:rsidR="00754B56" w:rsidRPr="00FE71D6">
            <w:t>.</w:t>
          </w:r>
          <w:r w:rsidR="00383A1B" w:rsidRPr="00FE71D6">
            <w:t xml:space="preserve"> </w:t>
          </w:r>
        </w:p>
        <w:p w:rsidR="00CE0732" w:rsidRPr="00FE71D6" w:rsidRDefault="00274370" w:rsidP="002F5ECB">
          <w:pPr>
            <w:spacing w:after="120"/>
            <w:ind w:firstLine="720"/>
            <w:jc w:val="both"/>
            <w:rPr>
              <w:lang w:val="en-US"/>
            </w:rPr>
          </w:pPr>
          <w:r w:rsidRPr="00FE71D6">
            <w:rPr>
              <w:lang w:val="en-US"/>
            </w:rPr>
            <w:t>Mediator explains a relationship between the independent variable and the dependent variable, whereas moderator influences the strength of a relationship. Moreover, moderator tells when to expect what in a relationship, whereas mediator variable helps in explaining the effect and why such an effect takes place. Thus, the net trade cycle is used as a mediator variable to explain the effect of the four most common supply chain management practices on the financial performance</w:t>
          </w:r>
          <w:r w:rsidR="00632B91" w:rsidRPr="00FE71D6">
            <w:rPr>
              <w:lang w:val="en-US"/>
            </w:rPr>
            <w:t>.</w:t>
          </w:r>
        </w:p>
        <w:p w:rsidR="00446569" w:rsidRPr="00FE71D6" w:rsidRDefault="000723AC" w:rsidP="00474E9A">
          <w:pPr>
            <w:jc w:val="both"/>
            <w:rPr>
              <w:lang w:val="en-US"/>
            </w:rPr>
          </w:pPr>
          <w:r w:rsidRPr="00FE71D6">
            <w:rPr>
              <w:lang w:val="en-US"/>
            </w:rPr>
            <w:t xml:space="preserve"> </w:t>
          </w:r>
        </w:p>
        <w:p w:rsidR="0077733A" w:rsidRPr="00FE71D6" w:rsidRDefault="0077733A" w:rsidP="00474E9A">
          <w:pPr>
            <w:jc w:val="both"/>
            <w:rPr>
              <w:bCs/>
              <w:iCs/>
              <w:noProof/>
            </w:rPr>
          </w:pPr>
          <w:r w:rsidRPr="00FE71D6">
            <w:rPr>
              <w:lang w:val="en-US"/>
            </w:rPr>
            <w:t>In consequence</w:t>
          </w:r>
          <w:r w:rsidRPr="00FE71D6">
            <w:rPr>
              <w:bCs/>
              <w:iCs/>
              <w:noProof/>
            </w:rPr>
            <w:t xml:space="preserve"> this research examined the following nine hypotheses:</w:t>
          </w:r>
        </w:p>
        <w:p w:rsidR="0077733A" w:rsidRPr="00FE71D6" w:rsidRDefault="0077733A" w:rsidP="002F5ECB">
          <w:pPr>
            <w:pStyle w:val="Newparagraph"/>
            <w:spacing w:after="120"/>
            <w:ind w:firstLine="0"/>
            <w:jc w:val="both"/>
          </w:pPr>
          <w:r w:rsidRPr="00FE71D6">
            <w:rPr>
              <w:b/>
              <w:bCs/>
            </w:rPr>
            <w:t>H1.</w:t>
          </w:r>
          <w:r w:rsidRPr="00FE71D6">
            <w:t xml:space="preserve"> There is an indirect significant influence of supplier partnership on financial performance that is </w:t>
          </w:r>
          <w:r w:rsidR="009B1140" w:rsidRPr="00FE71D6">
            <w:t>explained</w:t>
          </w:r>
          <w:r w:rsidRPr="00FE71D6">
            <w:t xml:space="preserve"> through the mediation of net trade cycle.</w:t>
          </w:r>
        </w:p>
        <w:p w:rsidR="0077733A" w:rsidRPr="00FE71D6" w:rsidRDefault="0077733A" w:rsidP="002F5ECB">
          <w:pPr>
            <w:pStyle w:val="Newparagraph"/>
            <w:spacing w:after="120"/>
            <w:ind w:firstLine="0"/>
            <w:jc w:val="both"/>
          </w:pPr>
          <w:r w:rsidRPr="00FE71D6">
            <w:rPr>
              <w:b/>
              <w:bCs/>
            </w:rPr>
            <w:t>H2.</w:t>
          </w:r>
          <w:r w:rsidRPr="00FE71D6">
            <w:t xml:space="preserve"> There is a direct significant influence of supplier partnership on financial performance.</w:t>
          </w:r>
        </w:p>
        <w:p w:rsidR="0077733A" w:rsidRPr="00FE71D6" w:rsidRDefault="0077733A" w:rsidP="002F5ECB">
          <w:pPr>
            <w:pStyle w:val="Newparagraph"/>
            <w:spacing w:after="120"/>
            <w:ind w:firstLine="0"/>
            <w:jc w:val="both"/>
          </w:pPr>
          <w:r w:rsidRPr="00FE71D6">
            <w:rPr>
              <w:b/>
              <w:bCs/>
            </w:rPr>
            <w:t>H3.</w:t>
          </w:r>
          <w:r w:rsidRPr="00FE71D6">
            <w:t xml:space="preserve"> There is an indirect significant influence of customer relationship on financial performance that is </w:t>
          </w:r>
          <w:r w:rsidR="009B1140" w:rsidRPr="00FE71D6">
            <w:t>explained</w:t>
          </w:r>
          <w:r w:rsidR="006E41F0" w:rsidRPr="00FE71D6">
            <w:t xml:space="preserve"> </w:t>
          </w:r>
          <w:r w:rsidRPr="00FE71D6">
            <w:t>through the mediation of net trade cycle.</w:t>
          </w:r>
        </w:p>
        <w:p w:rsidR="0077733A" w:rsidRPr="00FE71D6" w:rsidRDefault="0077733A" w:rsidP="002F5ECB">
          <w:pPr>
            <w:pStyle w:val="Newparagraph"/>
            <w:spacing w:after="120"/>
            <w:ind w:firstLine="0"/>
            <w:jc w:val="both"/>
          </w:pPr>
          <w:r w:rsidRPr="00FE71D6">
            <w:rPr>
              <w:b/>
              <w:bCs/>
            </w:rPr>
            <w:t>H4.</w:t>
          </w:r>
          <w:r w:rsidRPr="00FE71D6">
            <w:t xml:space="preserve"> There is a direct significant influence of customer relationship on financial performance.</w:t>
          </w:r>
        </w:p>
        <w:p w:rsidR="0077733A" w:rsidRPr="00FE71D6" w:rsidRDefault="0077733A" w:rsidP="002F5ECB">
          <w:pPr>
            <w:pStyle w:val="Newparagraph"/>
            <w:spacing w:after="120"/>
            <w:ind w:firstLine="0"/>
            <w:jc w:val="both"/>
          </w:pPr>
          <w:r w:rsidRPr="00FE71D6">
            <w:rPr>
              <w:b/>
              <w:bCs/>
            </w:rPr>
            <w:t>H5.</w:t>
          </w:r>
          <w:r w:rsidRPr="00FE71D6">
            <w:t xml:space="preserve"> There is an indirect significant influence of information sharing on financial performance that is </w:t>
          </w:r>
          <w:r w:rsidR="009B1140" w:rsidRPr="00FE71D6">
            <w:t>explained</w:t>
          </w:r>
          <w:r w:rsidR="006E41F0" w:rsidRPr="00FE71D6">
            <w:t xml:space="preserve"> </w:t>
          </w:r>
          <w:r w:rsidRPr="00FE71D6">
            <w:t>through the mediation of net trade cycle.</w:t>
          </w:r>
        </w:p>
        <w:p w:rsidR="0077733A" w:rsidRPr="00FE71D6" w:rsidRDefault="0077733A" w:rsidP="002F5ECB">
          <w:pPr>
            <w:pStyle w:val="Newparagraph"/>
            <w:spacing w:after="120"/>
            <w:ind w:firstLine="0"/>
            <w:jc w:val="both"/>
          </w:pPr>
          <w:r w:rsidRPr="00FE71D6">
            <w:rPr>
              <w:b/>
              <w:bCs/>
            </w:rPr>
            <w:t>H6.</w:t>
          </w:r>
          <w:r w:rsidRPr="00FE71D6">
            <w:t xml:space="preserve"> There is a direct significant influence of information sharing on financial performance.</w:t>
          </w:r>
        </w:p>
        <w:p w:rsidR="0077733A" w:rsidRPr="00FE71D6" w:rsidRDefault="0077733A" w:rsidP="002F5ECB">
          <w:pPr>
            <w:pStyle w:val="Newparagraph"/>
            <w:spacing w:after="120"/>
            <w:ind w:firstLine="0"/>
            <w:jc w:val="both"/>
          </w:pPr>
          <w:r w:rsidRPr="00FE71D6">
            <w:rPr>
              <w:b/>
              <w:bCs/>
            </w:rPr>
            <w:t>H7.</w:t>
          </w:r>
          <w:r w:rsidRPr="00FE71D6">
            <w:t xml:space="preserve"> There is an indirect significant influence of lean system on financial performance that is </w:t>
          </w:r>
          <w:r w:rsidR="009B1140" w:rsidRPr="00FE71D6">
            <w:t>explained</w:t>
          </w:r>
          <w:r w:rsidR="006E41F0" w:rsidRPr="00FE71D6">
            <w:t xml:space="preserve"> </w:t>
          </w:r>
          <w:r w:rsidRPr="00FE71D6">
            <w:t>through the mediation of net trade cycle.</w:t>
          </w:r>
        </w:p>
        <w:p w:rsidR="0077733A" w:rsidRPr="00FE71D6" w:rsidRDefault="0077733A" w:rsidP="002F5ECB">
          <w:pPr>
            <w:pStyle w:val="Newparagraph"/>
            <w:spacing w:after="120"/>
            <w:ind w:firstLine="0"/>
            <w:jc w:val="both"/>
          </w:pPr>
          <w:r w:rsidRPr="00FE71D6">
            <w:rPr>
              <w:b/>
              <w:bCs/>
            </w:rPr>
            <w:t>H8.</w:t>
          </w:r>
          <w:r w:rsidRPr="00FE71D6">
            <w:t xml:space="preserve"> There is a direct significant influence of lean system on financial performance.</w:t>
          </w:r>
        </w:p>
        <w:p w:rsidR="0077733A" w:rsidRPr="00FE71D6" w:rsidRDefault="0077733A" w:rsidP="002F5ECB">
          <w:pPr>
            <w:pStyle w:val="Newparagraph"/>
            <w:spacing w:after="240"/>
            <w:ind w:firstLine="0"/>
            <w:jc w:val="both"/>
          </w:pPr>
          <w:r w:rsidRPr="00FE71D6">
            <w:rPr>
              <w:b/>
              <w:bCs/>
            </w:rPr>
            <w:t>H9.</w:t>
          </w:r>
          <w:r w:rsidRPr="00FE71D6">
            <w:t xml:space="preserve"> There is a significant influence of net trade cycle on financial performance.</w:t>
          </w:r>
        </w:p>
        <w:p w:rsidR="0016231D" w:rsidRPr="00FE71D6" w:rsidRDefault="0077733A" w:rsidP="002F5ECB">
          <w:pPr>
            <w:spacing w:after="120"/>
            <w:ind w:firstLine="720"/>
            <w:jc w:val="both"/>
            <w:rPr>
              <w:lang w:val="en-US"/>
            </w:rPr>
          </w:pPr>
          <w:r w:rsidRPr="00FE71D6">
            <w:t xml:space="preserve">In other words, this research examined the nine hypotheses which are divided mainly by four indirect relationships and five direct influences which are as follows: the four indirect relationships of the four most common supply chain management practices (the supplier partnership construct, the customer relationship construct, the information sharing construct, and the lean system construct are as independent variables) have significant relationships with the financial performance construct (as a dependent variable) that are mediated by the net trade cycle construct. Moreover, the five direct influences of the four supply chain management practices (the supplier partnership construct, the customer relationship construct, the information sharing construct, and the lean system construct are as independent variables) and the net trade cycle construct (as a </w:t>
          </w:r>
          <w:r w:rsidR="00515748" w:rsidRPr="00FE71D6">
            <w:t>mediator</w:t>
          </w:r>
          <w:r w:rsidRPr="00FE71D6">
            <w:t xml:space="preserve"> variable) have significant influences on the financial performance construct (as a dependent variable).</w:t>
          </w:r>
        </w:p>
        <w:p w:rsidR="0016231D" w:rsidRPr="00FE71D6" w:rsidRDefault="0016231D" w:rsidP="00405FCB">
          <w:pPr>
            <w:pStyle w:val="Heading3"/>
            <w:rPr>
              <w:rFonts w:cs="Times New Roman"/>
              <w:bCs w:val="0"/>
              <w:iCs w:val="0"/>
              <w:lang w:val="en-US"/>
            </w:rPr>
          </w:pPr>
          <w:bookmarkStart w:id="40" w:name="_Toc495527320"/>
          <w:bookmarkStart w:id="41" w:name="_Toc500087479"/>
          <w:r w:rsidRPr="00FE71D6">
            <w:rPr>
              <w:rFonts w:cs="Times New Roman"/>
              <w:bCs w:val="0"/>
              <w:iCs w:val="0"/>
              <w:lang w:val="en-US"/>
            </w:rPr>
            <w:t>4.1.2 Sample</w:t>
          </w:r>
          <w:bookmarkEnd w:id="40"/>
          <w:bookmarkEnd w:id="41"/>
          <w:r w:rsidRPr="00FE71D6">
            <w:rPr>
              <w:rFonts w:cs="Times New Roman"/>
              <w:bCs w:val="0"/>
              <w:iCs w:val="0"/>
              <w:lang w:val="en-US"/>
            </w:rPr>
            <w:t xml:space="preserve"> </w:t>
          </w:r>
        </w:p>
        <w:p w:rsidR="00F52A21" w:rsidRPr="00FE71D6" w:rsidRDefault="00840858" w:rsidP="00505957">
          <w:pPr>
            <w:spacing w:after="120"/>
            <w:jc w:val="both"/>
            <w:rPr>
              <w:lang w:val="en-US"/>
            </w:rPr>
          </w:pPr>
          <w:r w:rsidRPr="00FE71D6">
            <w:rPr>
              <w:lang w:val="en-US"/>
            </w:rPr>
            <w:t>The survey was administered as a questionnaire to all senior employees at the production department and finance department of three manufacturing companies in the Kingdom of Bahrain</w:t>
          </w:r>
          <w:r w:rsidR="00B75A65" w:rsidRPr="00FE71D6">
            <w:rPr>
              <w:lang w:val="en-US"/>
            </w:rPr>
            <w:t xml:space="preserve">. </w:t>
          </w:r>
          <w:r w:rsidR="00436CDC" w:rsidRPr="00FE71D6">
            <w:rPr>
              <w:lang w:val="en-US"/>
            </w:rPr>
            <w:t>Kingdom of Bahrain is generally a small country and it is the smallest country among the Gulf Cooperation Council countries. Therefore, as a consequence of the selected</w:t>
          </w:r>
          <w:r w:rsidR="00436CDC" w:rsidRPr="00FE71D6">
            <w:t xml:space="preserve"> field of research in Bahrain, only three </w:t>
          </w:r>
          <w:r w:rsidR="00436CDC" w:rsidRPr="00FE71D6">
            <w:rPr>
              <w:lang w:val="en-US"/>
            </w:rPr>
            <w:t>manufacturing companies have been considered in the study that are all listed industrial companies at Bahrain Bourse. Moreover, the topic of interest measures finance at a managerial level so that only senior employees have the capability to answer the questionnaire accurately. This is the reason for having a small sample size. Indeed, the total senior employees in the designated departments for the selected three companies are only 147 distributed as follows: 76 senior employees in the first company, 31</w:t>
          </w:r>
          <w:r w:rsidR="00436CDC" w:rsidRPr="00FE71D6">
            <w:rPr>
              <w:b/>
              <w:bCs/>
              <w:lang w:val="en-US"/>
            </w:rPr>
            <w:t xml:space="preserve"> </w:t>
          </w:r>
          <w:r w:rsidR="00436CDC" w:rsidRPr="00FE71D6">
            <w:rPr>
              <w:lang w:val="en-US"/>
            </w:rPr>
            <w:t>senior employees in the second company, and 40 senior employees in the third company. Accordingly, the study covered all senior employees in the designated departments.</w:t>
          </w:r>
          <w:r w:rsidRPr="00FE71D6">
            <w:rPr>
              <w:lang w:val="en-US"/>
            </w:rPr>
            <w:t xml:space="preserve"> </w:t>
          </w:r>
          <w:r w:rsidR="00505957" w:rsidRPr="005C36C6">
            <w:rPr>
              <w:lang w:val="en-US"/>
            </w:rPr>
            <w:t>Totally, the study covered 112 respondents of senior employees distributed among the three selected companies as follows: 61 from the first company, 21 from the second company</w:t>
          </w:r>
          <w:r w:rsidR="00505957">
            <w:rPr>
              <w:lang w:val="en-US"/>
            </w:rPr>
            <w:t>, and 30 from the third company</w:t>
          </w:r>
          <w:r w:rsidRPr="00FE71D6">
            <w:rPr>
              <w:lang w:val="en-US"/>
            </w:rPr>
            <w:t xml:space="preserve">. Therefore, it has a very high overall response rate of 76% as shown in Table 2. This is </w:t>
          </w:r>
          <w:r w:rsidRPr="00FE71D6">
            <w:t xml:space="preserve">the best sample that can be gathered within the boundaries of Bahrain, strengthening one’s choice of sample. Besides, this is a good number of responses, and if it is a significant share of the industry that depends on supply chains, it is a robust sample for Bahrain. The following </w:t>
          </w:r>
          <w:r w:rsidRPr="00FE71D6">
            <w:rPr>
              <w:lang w:val="en-US"/>
            </w:rPr>
            <w:t xml:space="preserve">details on the basis of the job titles for </w:t>
          </w:r>
          <w:r w:rsidRPr="00FE71D6">
            <w:t xml:space="preserve">the </w:t>
          </w:r>
          <w:r w:rsidRPr="00FE71D6">
            <w:rPr>
              <w:lang w:val="en-US"/>
            </w:rPr>
            <w:t>three manufacturing companies</w:t>
          </w:r>
          <w:r w:rsidR="002F5ECB" w:rsidRPr="00FE71D6">
            <w:rPr>
              <w:lang w:val="en-US"/>
            </w:rPr>
            <w:t>.</w:t>
          </w:r>
          <w:r w:rsidR="006B14CE" w:rsidRPr="00FE71D6">
            <w:rPr>
              <w:lang w:val="en-US"/>
            </w:rPr>
            <w:t xml:space="preserve"> </w:t>
          </w:r>
        </w:p>
        <w:p w:rsidR="0016231D" w:rsidRPr="00FE71D6" w:rsidRDefault="007A1298" w:rsidP="002F5ECB">
          <w:pPr>
            <w:spacing w:after="120"/>
            <w:jc w:val="both"/>
            <w:rPr>
              <w:lang w:val="en-US"/>
            </w:rPr>
          </w:pPr>
          <w:r w:rsidRPr="00FE71D6">
            <w:rPr>
              <w:lang w:val="en-US"/>
            </w:rPr>
            <w:t>Firstly, Company 1 in production department for production lead man has 23 respondents out of 28 senior employees with a response rate of 82%; for production supervisor, it has 11 respondents out of 14 senior employees with a response rate of 79%; for production superintendent, it has five respondents out of six senior employees with a response rate of 83%; and for production manager, it has one respondent out of one senior employee with a response rate of 100%; in purchasing department for purchasing supervisor,  it has four respondents out of five senior employees with a response rate of 80%; and for purchasing manager, it has one respondent out of one senior employee with a response rate of 100%; in logistic</w:t>
          </w:r>
          <w:r w:rsidR="009F0741" w:rsidRPr="00FE71D6">
            <w:rPr>
              <w:lang w:val="en-US"/>
            </w:rPr>
            <w:t>s</w:t>
          </w:r>
          <w:r w:rsidRPr="00FE71D6">
            <w:rPr>
              <w:lang w:val="en-US"/>
            </w:rPr>
            <w:t xml:space="preserve"> department for logistics supervisor, it has seven respondents out of nine senior employees with a response rate of 78%; and for logistics manager, it has one respondent out of one senior manager with a response rate of 100%; in accounting and finance department for senior accountant, it has four respondents out of six senior employees with a response rate of 67%; for chief accountant, it has one respondent out of one senior employee with a response rate of 100%; and for financial controller, it has one respondent out of one senior employee with a response rate of 100%; and in audit department, for internal auditor, it has one respondent out of two senior employees with a response rate of 50%; and for internal audit head, it has one respondent out of one senior employee with a response rate of 100%</w:t>
          </w:r>
          <w:r w:rsidR="00F52A21" w:rsidRPr="00FE71D6">
            <w:rPr>
              <w:lang w:val="en-US"/>
            </w:rPr>
            <w:t>.</w:t>
          </w:r>
        </w:p>
        <w:p w:rsidR="00F56B0E" w:rsidRPr="00FE71D6" w:rsidRDefault="009F0741" w:rsidP="002F5ECB">
          <w:pPr>
            <w:spacing w:after="120"/>
            <w:jc w:val="both"/>
            <w:rPr>
              <w:lang w:val="en-US"/>
            </w:rPr>
          </w:pPr>
          <w:r w:rsidRPr="00FE71D6">
            <w:rPr>
              <w:lang w:val="en-US"/>
            </w:rPr>
            <w:t xml:space="preserve">Secondly, Company </w:t>
          </w:r>
          <w:r w:rsidR="000B6580" w:rsidRPr="00FE71D6">
            <w:rPr>
              <w:lang w:val="en-US"/>
            </w:rPr>
            <w:t xml:space="preserve">2 </w:t>
          </w:r>
          <w:r w:rsidRPr="00FE71D6">
            <w:rPr>
              <w:lang w:val="en-US"/>
            </w:rPr>
            <w:t>in production department for production lead man has</w:t>
          </w:r>
          <w:r w:rsidR="000B6580" w:rsidRPr="00FE71D6">
            <w:rPr>
              <w:lang w:val="en-US"/>
            </w:rPr>
            <w:t xml:space="preserve"> six </w:t>
          </w:r>
          <w:r w:rsidRPr="00FE71D6">
            <w:rPr>
              <w:lang w:val="en-US"/>
            </w:rPr>
            <w:t>respondents out of</w:t>
          </w:r>
          <w:r w:rsidR="000B6580" w:rsidRPr="00FE71D6">
            <w:rPr>
              <w:lang w:val="en-US"/>
            </w:rPr>
            <w:t xml:space="preserve"> 10 </w:t>
          </w:r>
          <w:r w:rsidRPr="00FE71D6">
            <w:rPr>
              <w:lang w:val="en-US"/>
            </w:rPr>
            <w:t>senior employees with a response rate of</w:t>
          </w:r>
          <w:r w:rsidR="000B6580" w:rsidRPr="00FE71D6">
            <w:rPr>
              <w:lang w:val="en-US"/>
            </w:rPr>
            <w:t xml:space="preserve"> 60%</w:t>
          </w:r>
          <w:r w:rsidRPr="00FE71D6">
            <w:rPr>
              <w:lang w:val="en-US"/>
            </w:rPr>
            <w:t>; for production superintendent, it has</w:t>
          </w:r>
          <w:r w:rsidR="000B6580" w:rsidRPr="00FE71D6">
            <w:rPr>
              <w:lang w:val="en-US"/>
            </w:rPr>
            <w:t xml:space="preserve"> </w:t>
          </w:r>
          <w:r w:rsidR="00F56B0E" w:rsidRPr="00FE71D6">
            <w:rPr>
              <w:lang w:val="en-US"/>
            </w:rPr>
            <w:t>two</w:t>
          </w:r>
          <w:r w:rsidR="000B6580" w:rsidRPr="00FE71D6">
            <w:rPr>
              <w:lang w:val="en-US"/>
            </w:rPr>
            <w:t xml:space="preserve"> respondents out of </w:t>
          </w:r>
          <w:r w:rsidR="00F56B0E" w:rsidRPr="00FE71D6">
            <w:rPr>
              <w:lang w:val="en-US"/>
            </w:rPr>
            <w:t>three</w:t>
          </w:r>
          <w:r w:rsidR="000B6580" w:rsidRPr="00FE71D6">
            <w:rPr>
              <w:lang w:val="en-US"/>
            </w:rPr>
            <w:t xml:space="preserve"> </w:t>
          </w:r>
          <w:r w:rsidRPr="00FE71D6">
            <w:rPr>
              <w:lang w:val="en-US"/>
            </w:rPr>
            <w:t>senior employees with a response rate of</w:t>
          </w:r>
          <w:r w:rsidR="000B6580" w:rsidRPr="00FE71D6">
            <w:rPr>
              <w:lang w:val="en-US"/>
            </w:rPr>
            <w:t xml:space="preserve"> </w:t>
          </w:r>
          <w:r w:rsidR="00F56B0E" w:rsidRPr="00FE71D6">
            <w:rPr>
              <w:lang w:val="en-US"/>
            </w:rPr>
            <w:t>67</w:t>
          </w:r>
          <w:r w:rsidRPr="00FE71D6">
            <w:rPr>
              <w:lang w:val="en-US"/>
            </w:rPr>
            <w:t>%; and for production manager, it has one respondent out of one senior employee with a response rate of 100%</w:t>
          </w:r>
          <w:r w:rsidR="000B6580" w:rsidRPr="00FE71D6">
            <w:rPr>
              <w:lang w:val="en-US"/>
            </w:rPr>
            <w:t>; in purchasing depar</w:t>
          </w:r>
          <w:r w:rsidRPr="00FE71D6">
            <w:rPr>
              <w:lang w:val="en-US"/>
            </w:rPr>
            <w:t>tment for purchasing supervisor,  it has</w:t>
          </w:r>
          <w:r w:rsidR="000B6580" w:rsidRPr="00FE71D6">
            <w:rPr>
              <w:lang w:val="en-US"/>
            </w:rPr>
            <w:t xml:space="preserve"> </w:t>
          </w:r>
          <w:r w:rsidR="00F56B0E" w:rsidRPr="00FE71D6">
            <w:rPr>
              <w:lang w:val="en-US"/>
            </w:rPr>
            <w:t>two</w:t>
          </w:r>
          <w:r w:rsidR="000B6580" w:rsidRPr="00FE71D6">
            <w:rPr>
              <w:lang w:val="en-US"/>
            </w:rPr>
            <w:t xml:space="preserve"> respondents out of </w:t>
          </w:r>
          <w:r w:rsidR="00F56B0E" w:rsidRPr="00FE71D6">
            <w:rPr>
              <w:lang w:val="en-US"/>
            </w:rPr>
            <w:t>three</w:t>
          </w:r>
          <w:r w:rsidR="000B6580" w:rsidRPr="00FE71D6">
            <w:rPr>
              <w:lang w:val="en-US"/>
            </w:rPr>
            <w:t xml:space="preserve"> </w:t>
          </w:r>
          <w:r w:rsidRPr="00FE71D6">
            <w:rPr>
              <w:lang w:val="en-US"/>
            </w:rPr>
            <w:t>senior employees with a response rate of</w:t>
          </w:r>
          <w:r w:rsidR="000B6580" w:rsidRPr="00FE71D6">
            <w:rPr>
              <w:lang w:val="en-US"/>
            </w:rPr>
            <w:t xml:space="preserve"> </w:t>
          </w:r>
          <w:r w:rsidR="00F56B0E" w:rsidRPr="00FE71D6">
            <w:rPr>
              <w:lang w:val="en-US"/>
            </w:rPr>
            <w:t>67</w:t>
          </w:r>
          <w:r w:rsidRPr="00FE71D6">
            <w:rPr>
              <w:lang w:val="en-US"/>
            </w:rPr>
            <w:t>%; and for purchasing manager, it has one respondent out of one senior employee with a response rate of 100%</w:t>
          </w:r>
          <w:r w:rsidR="000B6580" w:rsidRPr="00FE71D6">
            <w:rPr>
              <w:lang w:val="en-US"/>
            </w:rPr>
            <w:t>; in logistic</w:t>
          </w:r>
          <w:r w:rsidRPr="00FE71D6">
            <w:rPr>
              <w:lang w:val="en-US"/>
            </w:rPr>
            <w:t>s</w:t>
          </w:r>
          <w:r w:rsidR="000B6580" w:rsidRPr="00FE71D6">
            <w:rPr>
              <w:lang w:val="en-US"/>
            </w:rPr>
            <w:t xml:space="preserve"> depa</w:t>
          </w:r>
          <w:r w:rsidRPr="00FE71D6">
            <w:rPr>
              <w:lang w:val="en-US"/>
            </w:rPr>
            <w:t>rtment for logistics supervisor, it has</w:t>
          </w:r>
          <w:r w:rsidR="000B6580" w:rsidRPr="00FE71D6">
            <w:rPr>
              <w:lang w:val="en-US"/>
            </w:rPr>
            <w:t xml:space="preserve"> </w:t>
          </w:r>
          <w:r w:rsidR="00F56B0E" w:rsidRPr="00FE71D6">
            <w:rPr>
              <w:lang w:val="en-US"/>
            </w:rPr>
            <w:t>four</w:t>
          </w:r>
          <w:r w:rsidR="000B6580" w:rsidRPr="00FE71D6">
            <w:rPr>
              <w:lang w:val="en-US"/>
            </w:rPr>
            <w:t xml:space="preserve"> respondents out of </w:t>
          </w:r>
          <w:r w:rsidR="00F56B0E" w:rsidRPr="00FE71D6">
            <w:rPr>
              <w:lang w:val="en-US"/>
            </w:rPr>
            <w:t>six</w:t>
          </w:r>
          <w:r w:rsidR="000B6580" w:rsidRPr="00FE71D6">
            <w:rPr>
              <w:lang w:val="en-US"/>
            </w:rPr>
            <w:t xml:space="preserve"> </w:t>
          </w:r>
          <w:r w:rsidR="009F16BF" w:rsidRPr="00FE71D6">
            <w:rPr>
              <w:lang w:val="en-US"/>
            </w:rPr>
            <w:t>senior employees with a response rate of</w:t>
          </w:r>
          <w:r w:rsidR="000B6580" w:rsidRPr="00FE71D6">
            <w:rPr>
              <w:lang w:val="en-US"/>
            </w:rPr>
            <w:t xml:space="preserve"> </w:t>
          </w:r>
          <w:r w:rsidR="00F56B0E" w:rsidRPr="00FE71D6">
            <w:rPr>
              <w:lang w:val="en-US"/>
            </w:rPr>
            <w:t>67</w:t>
          </w:r>
          <w:r w:rsidR="00C527F6" w:rsidRPr="00FE71D6">
            <w:rPr>
              <w:lang w:val="en-US"/>
            </w:rPr>
            <w:t>%; and for logistics manager, it has one respondent out of one senior manager with a response rate of 100%</w:t>
          </w:r>
          <w:r w:rsidR="000B6580" w:rsidRPr="00FE71D6">
            <w:rPr>
              <w:lang w:val="en-US"/>
            </w:rPr>
            <w:t>; in accounting and finance d</w:t>
          </w:r>
          <w:r w:rsidR="00C527F6" w:rsidRPr="00FE71D6">
            <w:rPr>
              <w:lang w:val="en-US"/>
            </w:rPr>
            <w:t>epartment for senior accountant, it has</w:t>
          </w:r>
          <w:r w:rsidR="000B6580" w:rsidRPr="00FE71D6">
            <w:rPr>
              <w:lang w:val="en-US"/>
            </w:rPr>
            <w:t xml:space="preserve"> </w:t>
          </w:r>
          <w:r w:rsidR="00747B96" w:rsidRPr="00FE71D6">
            <w:rPr>
              <w:lang w:val="en-US"/>
            </w:rPr>
            <w:t>two</w:t>
          </w:r>
          <w:r w:rsidR="000B6580" w:rsidRPr="00FE71D6">
            <w:rPr>
              <w:lang w:val="en-US"/>
            </w:rPr>
            <w:t xml:space="preserve"> respondents out of </w:t>
          </w:r>
          <w:r w:rsidR="00747B96" w:rsidRPr="00FE71D6">
            <w:rPr>
              <w:lang w:val="en-US"/>
            </w:rPr>
            <w:t>four</w:t>
          </w:r>
          <w:r w:rsidR="00C527F6" w:rsidRPr="00FE71D6">
            <w:rPr>
              <w:lang w:val="en-US"/>
            </w:rPr>
            <w:t xml:space="preserve"> senior employees with a response rate of</w:t>
          </w:r>
          <w:r w:rsidR="00CC6B1A" w:rsidRPr="00FE71D6">
            <w:rPr>
              <w:lang w:val="en-US"/>
            </w:rPr>
            <w:t xml:space="preserve"> 50</w:t>
          </w:r>
          <w:r w:rsidR="000B6580" w:rsidRPr="00FE71D6">
            <w:rPr>
              <w:lang w:val="en-US"/>
            </w:rPr>
            <w:t xml:space="preserve">%; </w:t>
          </w:r>
          <w:r w:rsidR="00F56B0E" w:rsidRPr="00FE71D6">
            <w:rPr>
              <w:lang w:val="en-US"/>
            </w:rPr>
            <w:t xml:space="preserve">and </w:t>
          </w:r>
          <w:r w:rsidR="00C527F6" w:rsidRPr="00FE71D6">
            <w:rPr>
              <w:lang w:val="en-US"/>
            </w:rPr>
            <w:t>for chief accountant, it has one respondent out of one senior employee with a response rate of 100%</w:t>
          </w:r>
          <w:r w:rsidR="000B6580" w:rsidRPr="00FE71D6">
            <w:rPr>
              <w:lang w:val="en-US"/>
            </w:rPr>
            <w:t xml:space="preserve">; </w:t>
          </w:r>
          <w:r w:rsidR="00CC6B1A" w:rsidRPr="00FE71D6">
            <w:rPr>
              <w:lang w:val="en-US"/>
            </w:rPr>
            <w:t xml:space="preserve">and </w:t>
          </w:r>
          <w:r w:rsidR="000B6580" w:rsidRPr="00FE71D6">
            <w:rPr>
              <w:lang w:val="en-US"/>
            </w:rPr>
            <w:t>in audit department fo</w:t>
          </w:r>
          <w:r w:rsidR="00C527F6" w:rsidRPr="00FE71D6">
            <w:rPr>
              <w:lang w:val="en-US"/>
            </w:rPr>
            <w:t>r internal auditor, it has</w:t>
          </w:r>
          <w:r w:rsidR="000B6580" w:rsidRPr="00FE71D6">
            <w:rPr>
              <w:lang w:val="en-US"/>
            </w:rPr>
            <w:t xml:space="preserve"> one respondent out of </w:t>
          </w:r>
          <w:r w:rsidR="00F56B0E" w:rsidRPr="00FE71D6">
            <w:rPr>
              <w:lang w:val="en-US"/>
            </w:rPr>
            <w:t>one</w:t>
          </w:r>
          <w:r w:rsidR="00C527F6" w:rsidRPr="00FE71D6">
            <w:rPr>
              <w:lang w:val="en-US"/>
            </w:rPr>
            <w:t xml:space="preserve"> senior employees with a response rate of</w:t>
          </w:r>
          <w:r w:rsidR="000B6580" w:rsidRPr="00FE71D6">
            <w:rPr>
              <w:lang w:val="en-US"/>
            </w:rPr>
            <w:t xml:space="preserve"> </w:t>
          </w:r>
          <w:r w:rsidR="00F56B0E" w:rsidRPr="00FE71D6">
            <w:rPr>
              <w:lang w:val="en-US"/>
            </w:rPr>
            <w:t>100</w:t>
          </w:r>
          <w:r w:rsidR="000B6580" w:rsidRPr="00FE71D6">
            <w:rPr>
              <w:lang w:val="en-US"/>
            </w:rPr>
            <w:t>%</w:t>
          </w:r>
          <w:r w:rsidR="00F56B0E" w:rsidRPr="00FE71D6">
            <w:rPr>
              <w:lang w:val="en-US"/>
            </w:rPr>
            <w:t>.</w:t>
          </w:r>
        </w:p>
        <w:p w:rsidR="00222BDB" w:rsidRPr="00FE71D6" w:rsidRDefault="00F3267F" w:rsidP="00660FF7">
          <w:pPr>
            <w:spacing w:after="120"/>
            <w:jc w:val="both"/>
            <w:rPr>
              <w:lang w:val="en-US"/>
            </w:rPr>
          </w:pPr>
          <w:r w:rsidRPr="00FE71D6">
            <w:rPr>
              <w:lang w:val="en-US"/>
            </w:rPr>
            <w:t xml:space="preserve">Lastly, Company </w:t>
          </w:r>
          <w:r w:rsidR="00222BDB" w:rsidRPr="00FE71D6">
            <w:rPr>
              <w:lang w:val="en-US"/>
            </w:rPr>
            <w:t>3 in production department for production lead man</w:t>
          </w:r>
          <w:r w:rsidR="00851BDD" w:rsidRPr="00FE71D6">
            <w:rPr>
              <w:lang w:val="en-US"/>
            </w:rPr>
            <w:t xml:space="preserve"> </w:t>
          </w:r>
          <w:r w:rsidR="00222BDB" w:rsidRPr="00FE71D6">
            <w:rPr>
              <w:lang w:val="en-US"/>
            </w:rPr>
            <w:t xml:space="preserve">has nine respondents out of 13 </w:t>
          </w:r>
          <w:r w:rsidR="00851BDD" w:rsidRPr="00FE71D6">
            <w:rPr>
              <w:lang w:val="en-US"/>
            </w:rPr>
            <w:t>senior employees with a response rate of</w:t>
          </w:r>
          <w:r w:rsidR="00222BDB" w:rsidRPr="00FE71D6">
            <w:rPr>
              <w:lang w:val="en-US"/>
            </w:rPr>
            <w:t xml:space="preserve"> 69%; for production superintendent</w:t>
          </w:r>
          <w:r w:rsidR="00851BDD" w:rsidRPr="00FE71D6">
            <w:rPr>
              <w:lang w:val="en-US"/>
            </w:rPr>
            <w:t>,</w:t>
          </w:r>
          <w:r w:rsidR="00222BDB" w:rsidRPr="00FE71D6">
            <w:rPr>
              <w:lang w:val="en-US"/>
            </w:rPr>
            <w:t xml:space="preserve"> </w:t>
          </w:r>
          <w:r w:rsidR="00851BDD" w:rsidRPr="00FE71D6">
            <w:rPr>
              <w:lang w:val="en-US"/>
            </w:rPr>
            <w:t xml:space="preserve">it </w:t>
          </w:r>
          <w:r w:rsidR="00222BDB" w:rsidRPr="00FE71D6">
            <w:rPr>
              <w:lang w:val="en-US"/>
            </w:rPr>
            <w:t xml:space="preserve">has four respondents out of five </w:t>
          </w:r>
          <w:r w:rsidR="00851BDD" w:rsidRPr="00FE71D6">
            <w:rPr>
              <w:lang w:val="en-US"/>
            </w:rPr>
            <w:t>senior employees with a response rate of</w:t>
          </w:r>
          <w:r w:rsidR="00222BDB" w:rsidRPr="00FE71D6">
            <w:rPr>
              <w:lang w:val="en-US"/>
            </w:rPr>
            <w:t xml:space="preserve"> 80%; and for production manager</w:t>
          </w:r>
          <w:r w:rsidR="00851BDD" w:rsidRPr="00FE71D6">
            <w:rPr>
              <w:lang w:val="en-US"/>
            </w:rPr>
            <w:t>,</w:t>
          </w:r>
          <w:r w:rsidR="00222BDB" w:rsidRPr="00FE71D6">
            <w:rPr>
              <w:lang w:val="en-US"/>
            </w:rPr>
            <w:t xml:space="preserve"> </w:t>
          </w:r>
          <w:r w:rsidR="00851BDD" w:rsidRPr="00FE71D6">
            <w:rPr>
              <w:lang w:val="en-US"/>
            </w:rPr>
            <w:t>it has one respondent out of one senior employee with a response rate of 100%</w:t>
          </w:r>
          <w:r w:rsidR="00222BDB" w:rsidRPr="00FE71D6">
            <w:rPr>
              <w:lang w:val="en-US"/>
            </w:rPr>
            <w:t>; in purchasing department for purchasing supervisor</w:t>
          </w:r>
          <w:r w:rsidR="00851BDD" w:rsidRPr="00FE71D6">
            <w:rPr>
              <w:lang w:val="en-US"/>
            </w:rPr>
            <w:t>,</w:t>
          </w:r>
          <w:r w:rsidR="00222BDB" w:rsidRPr="00FE71D6">
            <w:rPr>
              <w:lang w:val="en-US"/>
            </w:rPr>
            <w:t xml:space="preserve"> </w:t>
          </w:r>
          <w:r w:rsidR="00851BDD" w:rsidRPr="00FE71D6">
            <w:rPr>
              <w:lang w:val="en-US"/>
            </w:rPr>
            <w:t xml:space="preserve">it </w:t>
          </w:r>
          <w:r w:rsidR="00222BDB" w:rsidRPr="00FE71D6">
            <w:rPr>
              <w:lang w:val="en-US"/>
            </w:rPr>
            <w:t xml:space="preserve">has three respondents out of four </w:t>
          </w:r>
          <w:r w:rsidR="00851BDD" w:rsidRPr="00FE71D6">
            <w:rPr>
              <w:lang w:val="en-US"/>
            </w:rPr>
            <w:t>senior employees with a response rate of</w:t>
          </w:r>
          <w:r w:rsidR="00222BDB" w:rsidRPr="00FE71D6">
            <w:rPr>
              <w:lang w:val="en-US"/>
            </w:rPr>
            <w:t xml:space="preserve"> 75%; and for purchasing manager</w:t>
          </w:r>
          <w:r w:rsidR="00851BDD" w:rsidRPr="00FE71D6">
            <w:rPr>
              <w:lang w:val="en-US"/>
            </w:rPr>
            <w:t>,</w:t>
          </w:r>
          <w:r w:rsidR="00222BDB" w:rsidRPr="00FE71D6">
            <w:rPr>
              <w:lang w:val="en-US"/>
            </w:rPr>
            <w:t xml:space="preserve"> </w:t>
          </w:r>
          <w:r w:rsidR="00851BDD" w:rsidRPr="00FE71D6">
            <w:rPr>
              <w:lang w:val="en-US"/>
            </w:rPr>
            <w:t>it has one respondent out of one senior employee with a response rate of 100%</w:t>
          </w:r>
          <w:r w:rsidR="00222BDB" w:rsidRPr="00FE71D6">
            <w:rPr>
              <w:lang w:val="en-US"/>
            </w:rPr>
            <w:t>; in logistic</w:t>
          </w:r>
          <w:r w:rsidR="00851BDD" w:rsidRPr="00FE71D6">
            <w:rPr>
              <w:lang w:val="en-US"/>
            </w:rPr>
            <w:t>s</w:t>
          </w:r>
          <w:r w:rsidR="00222BDB" w:rsidRPr="00FE71D6">
            <w:rPr>
              <w:lang w:val="en-US"/>
            </w:rPr>
            <w:t xml:space="preserve"> department for logistics supervisor</w:t>
          </w:r>
          <w:r w:rsidR="00851BDD" w:rsidRPr="00FE71D6">
            <w:rPr>
              <w:lang w:val="en-US"/>
            </w:rPr>
            <w:t>,</w:t>
          </w:r>
          <w:r w:rsidR="00222BDB" w:rsidRPr="00FE71D6">
            <w:rPr>
              <w:lang w:val="en-US"/>
            </w:rPr>
            <w:t xml:space="preserve"> </w:t>
          </w:r>
          <w:r w:rsidR="00851BDD" w:rsidRPr="00FE71D6">
            <w:rPr>
              <w:lang w:val="en-US"/>
            </w:rPr>
            <w:t xml:space="preserve">it </w:t>
          </w:r>
          <w:r w:rsidR="00222BDB" w:rsidRPr="00FE71D6">
            <w:rPr>
              <w:lang w:val="en-US"/>
            </w:rPr>
            <w:t xml:space="preserve">has five respondents out of seven </w:t>
          </w:r>
          <w:r w:rsidR="00851BDD" w:rsidRPr="00FE71D6">
            <w:rPr>
              <w:lang w:val="en-US"/>
            </w:rPr>
            <w:t>senior employees with a response rate of</w:t>
          </w:r>
          <w:r w:rsidR="00222BDB" w:rsidRPr="00FE71D6">
            <w:rPr>
              <w:lang w:val="en-US"/>
            </w:rPr>
            <w:t xml:space="preserve"> 71%; and for logistics manager</w:t>
          </w:r>
          <w:r w:rsidR="00660FF7" w:rsidRPr="00FE71D6">
            <w:rPr>
              <w:lang w:val="en-US"/>
            </w:rPr>
            <w:t>,</w:t>
          </w:r>
          <w:r w:rsidR="00222BDB" w:rsidRPr="00FE71D6">
            <w:rPr>
              <w:lang w:val="en-US"/>
            </w:rPr>
            <w:t xml:space="preserve"> </w:t>
          </w:r>
          <w:r w:rsidR="00660FF7" w:rsidRPr="00FE71D6">
            <w:rPr>
              <w:lang w:val="en-US"/>
            </w:rPr>
            <w:t>it has one respondent out of one senior manager with a response rate of 100%</w:t>
          </w:r>
          <w:r w:rsidR="00222BDB" w:rsidRPr="00FE71D6">
            <w:rPr>
              <w:lang w:val="en-US"/>
            </w:rPr>
            <w:t>; in accounting and finance department for senior accountant</w:t>
          </w:r>
          <w:r w:rsidR="00660FF7" w:rsidRPr="00FE71D6">
            <w:rPr>
              <w:lang w:val="en-US"/>
            </w:rPr>
            <w:t>,</w:t>
          </w:r>
          <w:r w:rsidR="00222BDB" w:rsidRPr="00FE71D6">
            <w:rPr>
              <w:lang w:val="en-US"/>
            </w:rPr>
            <w:t xml:space="preserve"> </w:t>
          </w:r>
          <w:r w:rsidR="00660FF7" w:rsidRPr="00FE71D6">
            <w:rPr>
              <w:lang w:val="en-US"/>
            </w:rPr>
            <w:t xml:space="preserve">it </w:t>
          </w:r>
          <w:r w:rsidR="00222BDB" w:rsidRPr="00FE71D6">
            <w:rPr>
              <w:lang w:val="en-US"/>
            </w:rPr>
            <w:t xml:space="preserve">has </w:t>
          </w:r>
          <w:r w:rsidR="00747B96" w:rsidRPr="00FE71D6">
            <w:rPr>
              <w:lang w:val="en-US"/>
            </w:rPr>
            <w:t>three</w:t>
          </w:r>
          <w:r w:rsidR="00222BDB" w:rsidRPr="00FE71D6">
            <w:rPr>
              <w:lang w:val="en-US"/>
            </w:rPr>
            <w:t xml:space="preserve"> respondents out of </w:t>
          </w:r>
          <w:r w:rsidR="00747B96" w:rsidRPr="00FE71D6">
            <w:rPr>
              <w:lang w:val="en-US"/>
            </w:rPr>
            <w:t>five</w:t>
          </w:r>
          <w:r w:rsidR="00222BDB" w:rsidRPr="00FE71D6">
            <w:rPr>
              <w:lang w:val="en-US"/>
            </w:rPr>
            <w:t xml:space="preserve"> </w:t>
          </w:r>
          <w:r w:rsidR="00660FF7" w:rsidRPr="00FE71D6">
            <w:rPr>
              <w:lang w:val="en-US"/>
            </w:rPr>
            <w:t>senior employees with a response rate of</w:t>
          </w:r>
          <w:r w:rsidR="0070694A" w:rsidRPr="00FE71D6">
            <w:rPr>
              <w:lang w:val="en-US"/>
            </w:rPr>
            <w:t xml:space="preserve"> 60</w:t>
          </w:r>
          <w:r w:rsidR="00222BDB" w:rsidRPr="00FE71D6">
            <w:rPr>
              <w:lang w:val="en-US"/>
            </w:rPr>
            <w:t>%; and for chief accountant</w:t>
          </w:r>
          <w:r w:rsidR="00660FF7" w:rsidRPr="00FE71D6">
            <w:rPr>
              <w:lang w:val="en-US"/>
            </w:rPr>
            <w:t>,</w:t>
          </w:r>
          <w:r w:rsidR="00222BDB" w:rsidRPr="00FE71D6">
            <w:rPr>
              <w:lang w:val="en-US"/>
            </w:rPr>
            <w:t xml:space="preserve"> </w:t>
          </w:r>
          <w:r w:rsidR="00660FF7" w:rsidRPr="00FE71D6">
            <w:rPr>
              <w:lang w:val="en-US"/>
            </w:rPr>
            <w:t>it has one respondent out of one senior employee with a response rate of 100%</w:t>
          </w:r>
          <w:r w:rsidR="00222BDB" w:rsidRPr="00FE71D6">
            <w:rPr>
              <w:lang w:val="en-US"/>
            </w:rPr>
            <w:t xml:space="preserve">; </w:t>
          </w:r>
          <w:r w:rsidR="0070694A" w:rsidRPr="00FE71D6">
            <w:rPr>
              <w:lang w:val="en-US"/>
            </w:rPr>
            <w:t xml:space="preserve">and </w:t>
          </w:r>
          <w:r w:rsidR="00222BDB" w:rsidRPr="00FE71D6">
            <w:rPr>
              <w:lang w:val="en-US"/>
            </w:rPr>
            <w:t>in audit department for internal auditor</w:t>
          </w:r>
          <w:r w:rsidR="00660FF7" w:rsidRPr="00FE71D6">
            <w:rPr>
              <w:lang w:val="en-US"/>
            </w:rPr>
            <w:t>,</w:t>
          </w:r>
          <w:r w:rsidR="00222BDB" w:rsidRPr="00FE71D6">
            <w:rPr>
              <w:lang w:val="en-US"/>
            </w:rPr>
            <w:t xml:space="preserve"> </w:t>
          </w:r>
          <w:r w:rsidR="00660FF7" w:rsidRPr="00FE71D6">
            <w:rPr>
              <w:lang w:val="en-US"/>
            </w:rPr>
            <w:t xml:space="preserve">it </w:t>
          </w:r>
          <w:r w:rsidR="00222BDB" w:rsidRPr="00FE71D6">
            <w:rPr>
              <w:lang w:val="en-US"/>
            </w:rPr>
            <w:t>has one respondent out of one s</w:t>
          </w:r>
          <w:r w:rsidR="00660FF7" w:rsidRPr="00FE71D6">
            <w:rPr>
              <w:lang w:val="en-US"/>
            </w:rPr>
            <w:t>enior employees with a response rate of</w:t>
          </w:r>
          <w:r w:rsidR="00222BDB" w:rsidRPr="00FE71D6">
            <w:rPr>
              <w:lang w:val="en-US"/>
            </w:rPr>
            <w:t xml:space="preserve"> 100%</w:t>
          </w:r>
          <w:r w:rsidR="00747B96" w:rsidRPr="00FE71D6">
            <w:rPr>
              <w:lang w:val="en-US"/>
            </w:rPr>
            <w:t>; and for internal audit head</w:t>
          </w:r>
          <w:r w:rsidR="00660FF7" w:rsidRPr="00FE71D6">
            <w:rPr>
              <w:lang w:val="en-US"/>
            </w:rPr>
            <w:t>,</w:t>
          </w:r>
          <w:r w:rsidR="00747B96" w:rsidRPr="00FE71D6">
            <w:rPr>
              <w:lang w:val="en-US"/>
            </w:rPr>
            <w:t xml:space="preserve"> </w:t>
          </w:r>
          <w:r w:rsidR="00660FF7" w:rsidRPr="00FE71D6">
            <w:rPr>
              <w:lang w:val="en-US"/>
            </w:rPr>
            <w:t xml:space="preserve">it </w:t>
          </w:r>
          <w:r w:rsidR="00747B96" w:rsidRPr="00FE71D6">
            <w:rPr>
              <w:lang w:val="en-US"/>
            </w:rPr>
            <w:t xml:space="preserve">has one respondent out of one </w:t>
          </w:r>
          <w:r w:rsidR="00660FF7" w:rsidRPr="00FE71D6">
            <w:rPr>
              <w:lang w:val="en-US"/>
            </w:rPr>
            <w:t>senior employee with a response rate of</w:t>
          </w:r>
          <w:r w:rsidR="00747B96" w:rsidRPr="00FE71D6">
            <w:rPr>
              <w:lang w:val="en-US"/>
            </w:rPr>
            <w:t xml:space="preserve"> 100%.</w:t>
          </w:r>
        </w:p>
        <w:p w:rsidR="00952717" w:rsidRPr="00FE71D6" w:rsidRDefault="00D638E2" w:rsidP="00C00087">
          <w:pPr>
            <w:ind w:firstLine="720"/>
            <w:jc w:val="both"/>
            <w:rPr>
              <w:lang w:val="en-US"/>
            </w:rPr>
          </w:pPr>
          <w:r w:rsidRPr="00FE71D6">
            <w:rPr>
              <w:lang w:val="en-US"/>
            </w:rPr>
            <w:t xml:space="preserve">Obviously, it has shown that there are high response rates for all the individual job titles of </w:t>
          </w:r>
          <w:r w:rsidRPr="00FE71D6">
            <w:t xml:space="preserve">the </w:t>
          </w:r>
          <w:r w:rsidRPr="00FE71D6">
            <w:rPr>
              <w:lang w:val="en-US"/>
            </w:rPr>
            <w:t>three</w:t>
          </w:r>
          <w:r w:rsidRPr="00FE71D6">
            <w:t xml:space="preserve"> </w:t>
          </w:r>
          <w:r w:rsidRPr="00FE71D6">
            <w:rPr>
              <w:lang w:val="en-US"/>
            </w:rPr>
            <w:t>manufacturing companies. Moreover, by making comparison among these three manufacturing companies, it shows that Company 1 has the highest response rate of 80%; Company 3 has the mid-level response rate of 75%; and Company 2 has the lowest response rate of 68%. Nevertheless, the average of all these three manufacturing companies has high response rate of 76%. This may be due to the way of conducting questionnaires that have been physically (personally attended) floated by the researcher. By this method, it enables the researcher to offer all required supports that may help to reduce unanswered questions through proving all required explanations in case of having any misunderstandings in the questionnaire instructions from the respondents</w:t>
          </w:r>
          <w:r w:rsidR="006A3F90" w:rsidRPr="00FE71D6">
            <w:rPr>
              <w:lang w:val="en-US"/>
            </w:rPr>
            <w:t>.</w:t>
          </w:r>
        </w:p>
        <w:p w:rsidR="0016231D" w:rsidRPr="00FE71D6" w:rsidRDefault="00D638E2" w:rsidP="00C00087">
          <w:pPr>
            <w:ind w:firstLine="720"/>
            <w:jc w:val="both"/>
            <w:rPr>
              <w:lang w:val="en-US"/>
            </w:rPr>
          </w:pPr>
          <w:r w:rsidRPr="00FE71D6">
            <w:rPr>
              <w:lang w:val="en-US"/>
            </w:rPr>
            <w:t>Furthermore, manufacturing companies were selected as they are considered the most practical companies to obtain measures of supply chain management</w:t>
          </w:r>
          <w:r w:rsidR="00057C84" w:rsidRPr="00FE71D6">
            <w:rPr>
              <w:lang w:val="en-US"/>
            </w:rPr>
            <w:t xml:space="preserve"> </w:t>
          </w:r>
          <w:sdt>
            <w:sdtPr>
              <w:rPr>
                <w:lang w:val="en-US"/>
              </w:rPr>
              <w:id w:val="-1055006045"/>
              <w:citation/>
            </w:sdtPr>
            <w:sdtEndPr/>
            <w:sdtContent>
              <w:r w:rsidR="00057C84" w:rsidRPr="00FE71D6">
                <w:rPr>
                  <w:lang w:val="en-US"/>
                </w:rPr>
                <w:fldChar w:fldCharType="begin"/>
              </w:r>
              <w:r w:rsidR="00057C84" w:rsidRPr="00FE71D6">
                <w:rPr>
                  <w:lang w:val="en-US"/>
                </w:rPr>
                <w:instrText xml:space="preserve"> CITATION Tan011 \l 1033 </w:instrText>
              </w:r>
              <w:r w:rsidR="00057C84" w:rsidRPr="00FE71D6">
                <w:rPr>
                  <w:lang w:val="en-US"/>
                </w:rPr>
                <w:fldChar w:fldCharType="separate"/>
              </w:r>
              <w:r w:rsidR="00057C84" w:rsidRPr="00FE71D6">
                <w:rPr>
                  <w:noProof/>
                  <w:lang w:val="en-US"/>
                </w:rPr>
                <w:t>(Tan, 2001)</w:t>
              </w:r>
              <w:r w:rsidR="00057C84" w:rsidRPr="00FE71D6">
                <w:rPr>
                  <w:lang w:val="en-US"/>
                </w:rPr>
                <w:fldChar w:fldCharType="end"/>
              </w:r>
            </w:sdtContent>
          </w:sdt>
          <w:r w:rsidR="0016231D" w:rsidRPr="00FE71D6">
            <w:rPr>
              <w:lang w:val="en-US"/>
            </w:rPr>
            <w:t xml:space="preserve">, </w:t>
          </w:r>
          <w:r w:rsidRPr="00FE71D6">
            <w:rPr>
              <w:lang w:val="en-US"/>
            </w:rPr>
            <w:t>net trade cycle and financial performance</w:t>
          </w:r>
          <w:r w:rsidR="0016231D" w:rsidRPr="00FE71D6">
            <w:rPr>
              <w:lang w:val="en-US"/>
            </w:rPr>
            <w:t xml:space="preserve"> (Shakoor et al., 2012). </w:t>
          </w:r>
          <w:r w:rsidRPr="00FE71D6">
            <w:rPr>
              <w:lang w:val="en-US"/>
            </w:rPr>
            <w:t xml:space="preserve">Lastly, due to lack of </w:t>
          </w:r>
          <w:r w:rsidRPr="00FE71D6">
            <w:t>supply chain management</w:t>
          </w:r>
          <w:r w:rsidRPr="00FE71D6">
            <w:rPr>
              <w:lang w:val="en-US"/>
            </w:rPr>
            <w:t xml:space="preserve"> research in developing countries</w:t>
          </w:r>
          <w:r w:rsidR="0016231D" w:rsidRPr="00FE71D6">
            <w:rPr>
              <w:lang w:val="en-US"/>
            </w:rPr>
            <w:t xml:space="preserve"> (</w:t>
          </w:r>
          <w:r w:rsidR="0016231D" w:rsidRPr="00FE71D6">
            <w:rPr>
              <w:noProof/>
              <w:lang w:val="en-US"/>
            </w:rPr>
            <w:t>Abdallah</w:t>
          </w:r>
          <w:r w:rsidR="0016231D" w:rsidRPr="00FE71D6">
            <w:rPr>
              <w:lang w:val="en-US"/>
            </w:rPr>
            <w:t xml:space="preserve"> et al., </w:t>
          </w:r>
          <w:r w:rsidR="0016231D" w:rsidRPr="00FE71D6">
            <w:rPr>
              <w:noProof/>
              <w:lang w:val="en-US"/>
            </w:rPr>
            <w:t>2014)</w:t>
          </w:r>
          <w:r w:rsidRPr="00FE71D6">
            <w:rPr>
              <w:noProof/>
              <w:lang w:val="en-US"/>
            </w:rPr>
            <w:t>,</w:t>
          </w:r>
          <w:r w:rsidR="0016231D" w:rsidRPr="00FE71D6">
            <w:rPr>
              <w:noProof/>
              <w:lang w:val="en-US"/>
            </w:rPr>
            <w:t xml:space="preserve"> </w:t>
          </w:r>
          <w:r w:rsidRPr="00FE71D6">
            <w:rPr>
              <w:lang w:val="en-US"/>
            </w:rPr>
            <w:t>this research is conducted in a developing country, the Kingdom of Bahrain</w:t>
          </w:r>
          <w:r w:rsidR="0016231D" w:rsidRPr="00FE71D6">
            <w:rPr>
              <w:lang w:val="en-US"/>
            </w:rPr>
            <w:t xml:space="preserve">. </w:t>
          </w:r>
        </w:p>
        <w:p w:rsidR="0016231D" w:rsidRPr="00FE71D6" w:rsidRDefault="00C83CF8" w:rsidP="00C00087">
          <w:pPr>
            <w:spacing w:after="120"/>
            <w:ind w:firstLine="720"/>
            <w:jc w:val="both"/>
          </w:pPr>
          <w:r w:rsidRPr="00FE71D6">
            <w:rPr>
              <w:lang w:val="en-US"/>
            </w:rPr>
            <w:t xml:space="preserve">To achieve a good representation level, all </w:t>
          </w:r>
          <w:r w:rsidRPr="00FE71D6">
            <w:t xml:space="preserve">the </w:t>
          </w:r>
          <w:r w:rsidRPr="00FE71D6">
            <w:rPr>
              <w:lang w:val="en-US"/>
            </w:rPr>
            <w:t xml:space="preserve">three manufacturing companies were physically inspected by the researcher. This is the communal technique of collecting data as organizations have a tendency to disregard questionnaires conducted by mail or e-mail. </w:t>
          </w:r>
          <w:r w:rsidRPr="00FE71D6">
            <w:t>Table 2 offers an expressive synopsis of the respondents</w:t>
          </w:r>
          <w:r w:rsidR="0016231D" w:rsidRPr="00FE71D6">
            <w:t>.</w:t>
          </w:r>
        </w:p>
        <w:p w:rsidR="0062390E" w:rsidRPr="00FE71D6" w:rsidRDefault="0062390E" w:rsidP="00F05342">
          <w:pPr>
            <w:spacing w:after="240"/>
            <w:ind w:firstLine="720"/>
            <w:jc w:val="both"/>
          </w:pPr>
        </w:p>
        <w:p w:rsidR="0062390E" w:rsidRPr="00FE71D6" w:rsidRDefault="0062390E" w:rsidP="00F05342">
          <w:pPr>
            <w:spacing w:after="240"/>
            <w:ind w:firstLine="720"/>
            <w:jc w:val="both"/>
          </w:pPr>
        </w:p>
        <w:p w:rsidR="0062390E" w:rsidRPr="00FE71D6" w:rsidRDefault="0062390E" w:rsidP="00F05342">
          <w:pPr>
            <w:spacing w:after="240"/>
            <w:ind w:firstLine="720"/>
            <w:jc w:val="both"/>
          </w:pPr>
        </w:p>
        <w:p w:rsidR="0062390E" w:rsidRPr="00FE71D6" w:rsidRDefault="0062390E" w:rsidP="0062390E">
          <w:pPr>
            <w:pStyle w:val="Caption"/>
            <w:spacing w:after="100"/>
            <w:rPr>
              <w:b w:val="0"/>
              <w:bCs w:val="0"/>
              <w:color w:val="auto"/>
              <w:sz w:val="24"/>
              <w:szCs w:val="24"/>
            </w:rPr>
          </w:pPr>
          <w:bookmarkStart w:id="42" w:name="_Toc500087395"/>
          <w:bookmarkStart w:id="43" w:name="_Toc495527321"/>
          <w:r w:rsidRPr="00FE71D6">
            <w:rPr>
              <w:color w:val="auto"/>
              <w:sz w:val="24"/>
              <w:szCs w:val="24"/>
            </w:rPr>
            <w:t xml:space="preserve">Table </w:t>
          </w:r>
          <w:r w:rsidRPr="00FE71D6">
            <w:rPr>
              <w:color w:val="auto"/>
              <w:sz w:val="24"/>
              <w:szCs w:val="24"/>
            </w:rPr>
            <w:fldChar w:fldCharType="begin"/>
          </w:r>
          <w:r w:rsidRPr="00FE71D6">
            <w:rPr>
              <w:color w:val="auto"/>
              <w:sz w:val="24"/>
              <w:szCs w:val="24"/>
            </w:rPr>
            <w:instrText xml:space="preserve"> SEQ Table \* ARABIC </w:instrText>
          </w:r>
          <w:r w:rsidRPr="00FE71D6">
            <w:rPr>
              <w:color w:val="auto"/>
              <w:sz w:val="24"/>
              <w:szCs w:val="24"/>
            </w:rPr>
            <w:fldChar w:fldCharType="separate"/>
          </w:r>
          <w:r w:rsidRPr="00FE71D6">
            <w:rPr>
              <w:noProof/>
              <w:color w:val="auto"/>
              <w:sz w:val="24"/>
              <w:szCs w:val="24"/>
            </w:rPr>
            <w:t>2</w:t>
          </w:r>
          <w:r w:rsidRPr="00FE71D6">
            <w:rPr>
              <w:color w:val="auto"/>
              <w:sz w:val="24"/>
              <w:szCs w:val="24"/>
            </w:rPr>
            <w:fldChar w:fldCharType="end"/>
          </w:r>
          <w:r w:rsidRPr="00FE71D6">
            <w:rPr>
              <w:color w:val="auto"/>
              <w:sz w:val="24"/>
              <w:szCs w:val="24"/>
            </w:rPr>
            <w:t xml:space="preserve">. </w:t>
          </w:r>
          <w:r w:rsidRPr="00FE71D6">
            <w:rPr>
              <w:b w:val="0"/>
              <w:bCs w:val="0"/>
              <w:color w:val="auto"/>
              <w:sz w:val="24"/>
              <w:szCs w:val="24"/>
            </w:rPr>
            <w:t>Profile of the Respondents</w:t>
          </w:r>
          <w:bookmarkEnd w:id="42"/>
        </w:p>
        <w:tbl>
          <w:tblPr>
            <w:tblStyle w:val="TableGrid"/>
            <w:tblW w:w="7478" w:type="dxa"/>
            <w:tblInd w:w="108" w:type="dxa"/>
            <w:tblLayout w:type="fixed"/>
            <w:tblLook w:val="04A0" w:firstRow="1" w:lastRow="0" w:firstColumn="1" w:lastColumn="0" w:noHBand="0" w:noVBand="1"/>
          </w:tblPr>
          <w:tblGrid>
            <w:gridCol w:w="1068"/>
            <w:gridCol w:w="534"/>
            <w:gridCol w:w="534"/>
            <w:gridCol w:w="534"/>
            <w:gridCol w:w="534"/>
            <w:gridCol w:w="534"/>
            <w:gridCol w:w="534"/>
            <w:gridCol w:w="534"/>
            <w:gridCol w:w="534"/>
            <w:gridCol w:w="534"/>
            <w:gridCol w:w="534"/>
            <w:gridCol w:w="534"/>
            <w:gridCol w:w="536"/>
          </w:tblGrid>
          <w:tr w:rsidR="00FE71D6" w:rsidRPr="00FE71D6" w:rsidTr="0018519F">
            <w:trPr>
              <w:trHeight w:val="210"/>
            </w:trPr>
            <w:tc>
              <w:tcPr>
                <w:tcW w:w="1068" w:type="dxa"/>
                <w:vMerge w:val="restart"/>
                <w:shd w:val="clear" w:color="auto" w:fill="D9D9D9" w:themeFill="background1" w:themeFillShade="D9"/>
                <w:vAlign w:val="center"/>
              </w:tcPr>
              <w:p w:rsidR="0062390E" w:rsidRPr="00FE71D6" w:rsidRDefault="0062390E" w:rsidP="0018519F">
                <w:pPr>
                  <w:spacing w:after="120"/>
                  <w:rPr>
                    <w:rFonts w:ascii="Times New Roman" w:hAnsi="Times New Roman" w:cs="Times New Roman"/>
                    <w:b/>
                    <w:bCs/>
                    <w:sz w:val="20"/>
                    <w:szCs w:val="20"/>
                  </w:rPr>
                </w:pPr>
                <w:r w:rsidRPr="00FE71D6">
                  <w:rPr>
                    <w:rFonts w:ascii="Times New Roman" w:hAnsi="Times New Roman" w:cs="Times New Roman"/>
                    <w:b/>
                    <w:bCs/>
                    <w:sz w:val="20"/>
                    <w:szCs w:val="20"/>
                  </w:rPr>
                  <w:t>Job Titles</w:t>
                </w:r>
              </w:p>
            </w:tc>
            <w:tc>
              <w:tcPr>
                <w:tcW w:w="2135" w:type="dxa"/>
                <w:gridSpan w:val="4"/>
                <w:shd w:val="clear" w:color="auto" w:fill="D9D9D9" w:themeFill="background1" w:themeFillShade="D9"/>
              </w:tcPr>
              <w:p w:rsidR="0062390E" w:rsidRPr="00FE71D6" w:rsidRDefault="0062390E" w:rsidP="0018519F">
                <w:pPr>
                  <w:spacing w:after="120"/>
                  <w:jc w:val="center"/>
                  <w:rPr>
                    <w:rFonts w:ascii="Times New Roman" w:hAnsi="Times New Roman" w:cs="Times New Roman"/>
                    <w:b/>
                    <w:bCs/>
                    <w:sz w:val="20"/>
                    <w:szCs w:val="20"/>
                  </w:rPr>
                </w:pPr>
                <w:r w:rsidRPr="00FE71D6">
                  <w:rPr>
                    <w:rFonts w:ascii="Times New Roman" w:hAnsi="Times New Roman" w:cs="Times New Roman"/>
                    <w:b/>
                    <w:bCs/>
                    <w:sz w:val="20"/>
                    <w:szCs w:val="20"/>
                  </w:rPr>
                  <w:t>Senior Employees</w:t>
                </w:r>
              </w:p>
            </w:tc>
            <w:tc>
              <w:tcPr>
                <w:tcW w:w="2135" w:type="dxa"/>
                <w:gridSpan w:val="4"/>
                <w:shd w:val="clear" w:color="auto" w:fill="D9D9D9" w:themeFill="background1" w:themeFillShade="D9"/>
              </w:tcPr>
              <w:p w:rsidR="0062390E" w:rsidRPr="00FE71D6" w:rsidRDefault="0062390E" w:rsidP="0018519F">
                <w:pPr>
                  <w:spacing w:after="120"/>
                  <w:jc w:val="center"/>
                  <w:rPr>
                    <w:rFonts w:ascii="Times New Roman" w:hAnsi="Times New Roman" w:cs="Times New Roman"/>
                    <w:b/>
                    <w:bCs/>
                    <w:sz w:val="20"/>
                    <w:szCs w:val="20"/>
                  </w:rPr>
                </w:pPr>
                <w:r w:rsidRPr="00FE71D6">
                  <w:rPr>
                    <w:rFonts w:ascii="Times New Roman" w:hAnsi="Times New Roman" w:cs="Times New Roman"/>
                    <w:b/>
                    <w:bCs/>
                    <w:sz w:val="20"/>
                    <w:szCs w:val="20"/>
                  </w:rPr>
                  <w:t>Respondents</w:t>
                </w:r>
              </w:p>
            </w:tc>
            <w:tc>
              <w:tcPr>
                <w:tcW w:w="2137" w:type="dxa"/>
                <w:gridSpan w:val="4"/>
                <w:shd w:val="clear" w:color="auto" w:fill="D9D9D9" w:themeFill="background1" w:themeFillShade="D9"/>
              </w:tcPr>
              <w:p w:rsidR="0062390E" w:rsidRPr="00FE71D6" w:rsidRDefault="0062390E" w:rsidP="0018519F">
                <w:pPr>
                  <w:spacing w:after="120"/>
                  <w:jc w:val="center"/>
                  <w:rPr>
                    <w:rFonts w:ascii="Times New Roman" w:hAnsi="Times New Roman" w:cs="Times New Roman"/>
                    <w:b/>
                    <w:bCs/>
                    <w:sz w:val="20"/>
                    <w:szCs w:val="20"/>
                  </w:rPr>
                </w:pPr>
                <w:r w:rsidRPr="00FE71D6">
                  <w:rPr>
                    <w:rFonts w:ascii="Times New Roman" w:hAnsi="Times New Roman" w:cs="Times New Roman"/>
                    <w:b/>
                    <w:bCs/>
                    <w:sz w:val="20"/>
                    <w:szCs w:val="20"/>
                  </w:rPr>
                  <w:t>Response Rates</w:t>
                </w:r>
              </w:p>
            </w:tc>
          </w:tr>
          <w:tr w:rsidR="00FE71D6" w:rsidRPr="00FE71D6" w:rsidTr="0018519F">
            <w:trPr>
              <w:trHeight w:val="86"/>
            </w:trPr>
            <w:tc>
              <w:tcPr>
                <w:tcW w:w="1068" w:type="dxa"/>
                <w:vMerge/>
                <w:shd w:val="clear" w:color="auto" w:fill="D9D9D9" w:themeFill="background1" w:themeFillShade="D9"/>
              </w:tcPr>
              <w:p w:rsidR="0062390E" w:rsidRPr="00FE71D6" w:rsidRDefault="0062390E" w:rsidP="0018519F">
                <w:pPr>
                  <w:spacing w:after="120" w:line="360" w:lineRule="auto"/>
                  <w:jc w:val="center"/>
                  <w:rPr>
                    <w:rFonts w:ascii="Times New Roman" w:hAnsi="Times New Roman" w:cs="Times New Roman"/>
                    <w:b/>
                    <w:bCs/>
                  </w:rPr>
                </w:pPr>
              </w:p>
            </w:tc>
            <w:tc>
              <w:tcPr>
                <w:tcW w:w="534" w:type="dxa"/>
                <w:shd w:val="clear" w:color="auto" w:fill="D9D9D9" w:themeFill="background1" w:themeFillShade="D9"/>
              </w:tcPr>
              <w:p w:rsidR="0062390E" w:rsidRPr="00FE71D6" w:rsidRDefault="0062390E" w:rsidP="0018519F">
                <w:pPr>
                  <w:spacing w:after="120" w:line="240" w:lineRule="auto"/>
                  <w:jc w:val="center"/>
                  <w:rPr>
                    <w:rFonts w:ascii="Times New Roman" w:hAnsi="Times New Roman" w:cs="Times New Roman"/>
                    <w:b/>
                    <w:bCs/>
                    <w:sz w:val="20"/>
                    <w:szCs w:val="20"/>
                  </w:rPr>
                </w:pPr>
                <w:r w:rsidRPr="00FE71D6">
                  <w:rPr>
                    <w:rFonts w:ascii="Times New Roman" w:hAnsi="Times New Roman" w:cs="Times New Roman"/>
                    <w:b/>
                    <w:bCs/>
                    <w:sz w:val="20"/>
                    <w:szCs w:val="20"/>
                  </w:rPr>
                  <w:t>C1</w:t>
                </w:r>
              </w:p>
            </w:tc>
            <w:tc>
              <w:tcPr>
                <w:tcW w:w="534" w:type="dxa"/>
                <w:shd w:val="clear" w:color="auto" w:fill="D9D9D9" w:themeFill="background1" w:themeFillShade="D9"/>
              </w:tcPr>
              <w:p w:rsidR="0062390E" w:rsidRPr="00FE71D6" w:rsidRDefault="0062390E" w:rsidP="0018519F">
                <w:pPr>
                  <w:spacing w:after="120" w:line="240" w:lineRule="auto"/>
                  <w:jc w:val="center"/>
                  <w:rPr>
                    <w:rFonts w:ascii="Times New Roman" w:hAnsi="Times New Roman" w:cs="Times New Roman"/>
                    <w:b/>
                    <w:bCs/>
                    <w:sz w:val="20"/>
                    <w:szCs w:val="20"/>
                  </w:rPr>
                </w:pPr>
                <w:r w:rsidRPr="00FE71D6">
                  <w:rPr>
                    <w:rFonts w:ascii="Times New Roman" w:hAnsi="Times New Roman" w:cs="Times New Roman"/>
                    <w:b/>
                    <w:bCs/>
                    <w:sz w:val="20"/>
                    <w:szCs w:val="20"/>
                  </w:rPr>
                  <w:t>C2</w:t>
                </w:r>
              </w:p>
            </w:tc>
            <w:tc>
              <w:tcPr>
                <w:tcW w:w="534" w:type="dxa"/>
                <w:shd w:val="clear" w:color="auto" w:fill="D9D9D9" w:themeFill="background1" w:themeFillShade="D9"/>
              </w:tcPr>
              <w:p w:rsidR="0062390E" w:rsidRPr="00FE71D6" w:rsidRDefault="0062390E" w:rsidP="0018519F">
                <w:pPr>
                  <w:spacing w:after="120" w:line="240" w:lineRule="auto"/>
                  <w:jc w:val="center"/>
                  <w:rPr>
                    <w:rFonts w:ascii="Times New Roman" w:hAnsi="Times New Roman" w:cs="Times New Roman"/>
                    <w:b/>
                    <w:bCs/>
                    <w:sz w:val="20"/>
                    <w:szCs w:val="20"/>
                  </w:rPr>
                </w:pPr>
                <w:r w:rsidRPr="00FE71D6">
                  <w:rPr>
                    <w:rFonts w:ascii="Times New Roman" w:hAnsi="Times New Roman" w:cs="Times New Roman"/>
                    <w:b/>
                    <w:bCs/>
                    <w:sz w:val="20"/>
                    <w:szCs w:val="20"/>
                  </w:rPr>
                  <w:t>C3</w:t>
                </w:r>
              </w:p>
            </w:tc>
            <w:tc>
              <w:tcPr>
                <w:tcW w:w="534" w:type="dxa"/>
                <w:shd w:val="clear" w:color="auto" w:fill="D9D9D9" w:themeFill="background1" w:themeFillShade="D9"/>
              </w:tcPr>
              <w:p w:rsidR="0062390E" w:rsidRPr="00FE71D6" w:rsidRDefault="0062390E" w:rsidP="0018519F">
                <w:pPr>
                  <w:spacing w:after="120" w:line="240" w:lineRule="auto"/>
                  <w:jc w:val="center"/>
                  <w:rPr>
                    <w:rFonts w:ascii="Times New Roman" w:hAnsi="Times New Roman" w:cs="Times New Roman"/>
                    <w:b/>
                    <w:bCs/>
                    <w:sz w:val="20"/>
                    <w:szCs w:val="20"/>
                  </w:rPr>
                </w:pPr>
                <w:r w:rsidRPr="00FE71D6">
                  <w:rPr>
                    <w:rFonts w:ascii="Times New Roman" w:hAnsi="Times New Roman" w:cs="Times New Roman"/>
                    <w:b/>
                    <w:bCs/>
                    <w:sz w:val="20"/>
                    <w:szCs w:val="20"/>
                  </w:rPr>
                  <w:t>To</w:t>
                </w:r>
              </w:p>
            </w:tc>
            <w:tc>
              <w:tcPr>
                <w:tcW w:w="534" w:type="dxa"/>
                <w:shd w:val="clear" w:color="auto" w:fill="D9D9D9" w:themeFill="background1" w:themeFillShade="D9"/>
              </w:tcPr>
              <w:p w:rsidR="0062390E" w:rsidRPr="00FE71D6" w:rsidRDefault="0062390E" w:rsidP="0018519F">
                <w:pPr>
                  <w:spacing w:after="120" w:line="240" w:lineRule="auto"/>
                  <w:jc w:val="center"/>
                  <w:rPr>
                    <w:rFonts w:ascii="Times New Roman" w:hAnsi="Times New Roman" w:cs="Times New Roman"/>
                    <w:b/>
                    <w:bCs/>
                    <w:sz w:val="20"/>
                    <w:szCs w:val="20"/>
                  </w:rPr>
                </w:pPr>
                <w:r w:rsidRPr="00FE71D6">
                  <w:rPr>
                    <w:rFonts w:ascii="Times New Roman" w:hAnsi="Times New Roman" w:cs="Times New Roman"/>
                    <w:b/>
                    <w:bCs/>
                    <w:sz w:val="20"/>
                    <w:szCs w:val="20"/>
                  </w:rPr>
                  <w:t>C1</w:t>
                </w:r>
              </w:p>
            </w:tc>
            <w:tc>
              <w:tcPr>
                <w:tcW w:w="534" w:type="dxa"/>
                <w:shd w:val="clear" w:color="auto" w:fill="D9D9D9" w:themeFill="background1" w:themeFillShade="D9"/>
              </w:tcPr>
              <w:p w:rsidR="0062390E" w:rsidRPr="00FE71D6" w:rsidRDefault="0062390E" w:rsidP="0018519F">
                <w:pPr>
                  <w:spacing w:after="120" w:line="240" w:lineRule="auto"/>
                  <w:jc w:val="center"/>
                  <w:rPr>
                    <w:rFonts w:ascii="Times New Roman" w:hAnsi="Times New Roman" w:cs="Times New Roman"/>
                    <w:b/>
                    <w:bCs/>
                    <w:sz w:val="20"/>
                    <w:szCs w:val="20"/>
                  </w:rPr>
                </w:pPr>
                <w:r w:rsidRPr="00FE71D6">
                  <w:rPr>
                    <w:rFonts w:ascii="Times New Roman" w:hAnsi="Times New Roman" w:cs="Times New Roman"/>
                    <w:b/>
                    <w:bCs/>
                    <w:sz w:val="20"/>
                    <w:szCs w:val="20"/>
                  </w:rPr>
                  <w:t>C2</w:t>
                </w:r>
              </w:p>
            </w:tc>
            <w:tc>
              <w:tcPr>
                <w:tcW w:w="534" w:type="dxa"/>
                <w:shd w:val="clear" w:color="auto" w:fill="D9D9D9" w:themeFill="background1" w:themeFillShade="D9"/>
              </w:tcPr>
              <w:p w:rsidR="0062390E" w:rsidRPr="00FE71D6" w:rsidRDefault="0062390E" w:rsidP="0018519F">
                <w:pPr>
                  <w:spacing w:after="120" w:line="240" w:lineRule="auto"/>
                  <w:jc w:val="center"/>
                  <w:rPr>
                    <w:rFonts w:ascii="Times New Roman" w:hAnsi="Times New Roman" w:cs="Times New Roman"/>
                    <w:b/>
                    <w:bCs/>
                    <w:sz w:val="20"/>
                    <w:szCs w:val="20"/>
                  </w:rPr>
                </w:pPr>
                <w:r w:rsidRPr="00FE71D6">
                  <w:rPr>
                    <w:rFonts w:ascii="Times New Roman" w:hAnsi="Times New Roman" w:cs="Times New Roman"/>
                    <w:b/>
                    <w:bCs/>
                    <w:sz w:val="20"/>
                    <w:szCs w:val="20"/>
                  </w:rPr>
                  <w:t>C3</w:t>
                </w:r>
              </w:p>
            </w:tc>
            <w:tc>
              <w:tcPr>
                <w:tcW w:w="534" w:type="dxa"/>
                <w:shd w:val="clear" w:color="auto" w:fill="D9D9D9" w:themeFill="background1" w:themeFillShade="D9"/>
              </w:tcPr>
              <w:p w:rsidR="0062390E" w:rsidRPr="00FE71D6" w:rsidRDefault="0062390E" w:rsidP="0018519F">
                <w:pPr>
                  <w:spacing w:after="120" w:line="240" w:lineRule="auto"/>
                  <w:jc w:val="center"/>
                  <w:rPr>
                    <w:rFonts w:ascii="Times New Roman" w:hAnsi="Times New Roman" w:cs="Times New Roman"/>
                    <w:b/>
                    <w:bCs/>
                    <w:sz w:val="20"/>
                    <w:szCs w:val="20"/>
                  </w:rPr>
                </w:pPr>
                <w:r w:rsidRPr="00FE71D6">
                  <w:rPr>
                    <w:rFonts w:ascii="Times New Roman" w:hAnsi="Times New Roman" w:cs="Times New Roman"/>
                    <w:b/>
                    <w:bCs/>
                    <w:sz w:val="20"/>
                    <w:szCs w:val="20"/>
                  </w:rPr>
                  <w:t>To</w:t>
                </w:r>
              </w:p>
            </w:tc>
            <w:tc>
              <w:tcPr>
                <w:tcW w:w="534" w:type="dxa"/>
                <w:shd w:val="clear" w:color="auto" w:fill="D9D9D9" w:themeFill="background1" w:themeFillShade="D9"/>
              </w:tcPr>
              <w:p w:rsidR="0062390E" w:rsidRPr="00FE71D6" w:rsidRDefault="0062390E" w:rsidP="0018519F">
                <w:pPr>
                  <w:spacing w:after="120" w:line="240" w:lineRule="auto"/>
                  <w:jc w:val="center"/>
                  <w:rPr>
                    <w:rFonts w:ascii="Times New Roman" w:hAnsi="Times New Roman" w:cs="Times New Roman"/>
                    <w:b/>
                    <w:bCs/>
                    <w:sz w:val="20"/>
                    <w:szCs w:val="20"/>
                  </w:rPr>
                </w:pPr>
                <w:r w:rsidRPr="00FE71D6">
                  <w:rPr>
                    <w:rFonts w:ascii="Times New Roman" w:hAnsi="Times New Roman" w:cs="Times New Roman"/>
                    <w:b/>
                    <w:bCs/>
                    <w:sz w:val="20"/>
                    <w:szCs w:val="20"/>
                  </w:rPr>
                  <w:t>C1</w:t>
                </w:r>
              </w:p>
            </w:tc>
            <w:tc>
              <w:tcPr>
                <w:tcW w:w="534" w:type="dxa"/>
                <w:shd w:val="clear" w:color="auto" w:fill="D9D9D9" w:themeFill="background1" w:themeFillShade="D9"/>
              </w:tcPr>
              <w:p w:rsidR="0062390E" w:rsidRPr="00FE71D6" w:rsidRDefault="0062390E" w:rsidP="0018519F">
                <w:pPr>
                  <w:spacing w:after="120" w:line="240" w:lineRule="auto"/>
                  <w:jc w:val="center"/>
                  <w:rPr>
                    <w:rFonts w:ascii="Times New Roman" w:hAnsi="Times New Roman" w:cs="Times New Roman"/>
                    <w:b/>
                    <w:bCs/>
                    <w:sz w:val="20"/>
                    <w:szCs w:val="20"/>
                  </w:rPr>
                </w:pPr>
                <w:r w:rsidRPr="00FE71D6">
                  <w:rPr>
                    <w:rFonts w:ascii="Times New Roman" w:hAnsi="Times New Roman" w:cs="Times New Roman"/>
                    <w:b/>
                    <w:bCs/>
                    <w:sz w:val="20"/>
                    <w:szCs w:val="20"/>
                  </w:rPr>
                  <w:t>C2</w:t>
                </w:r>
              </w:p>
            </w:tc>
            <w:tc>
              <w:tcPr>
                <w:tcW w:w="534" w:type="dxa"/>
                <w:shd w:val="clear" w:color="auto" w:fill="D9D9D9" w:themeFill="background1" w:themeFillShade="D9"/>
              </w:tcPr>
              <w:p w:rsidR="0062390E" w:rsidRPr="00FE71D6" w:rsidRDefault="0062390E" w:rsidP="0018519F">
                <w:pPr>
                  <w:spacing w:after="120" w:line="240" w:lineRule="auto"/>
                  <w:jc w:val="center"/>
                  <w:rPr>
                    <w:rFonts w:ascii="Times New Roman" w:hAnsi="Times New Roman" w:cs="Times New Roman"/>
                    <w:b/>
                    <w:bCs/>
                    <w:sz w:val="20"/>
                    <w:szCs w:val="20"/>
                  </w:rPr>
                </w:pPr>
                <w:r w:rsidRPr="00FE71D6">
                  <w:rPr>
                    <w:rFonts w:ascii="Times New Roman" w:hAnsi="Times New Roman" w:cs="Times New Roman"/>
                    <w:b/>
                    <w:bCs/>
                    <w:sz w:val="20"/>
                    <w:szCs w:val="20"/>
                  </w:rPr>
                  <w:t>C3</w:t>
                </w:r>
              </w:p>
            </w:tc>
            <w:tc>
              <w:tcPr>
                <w:tcW w:w="536" w:type="dxa"/>
                <w:shd w:val="clear" w:color="auto" w:fill="D9D9D9" w:themeFill="background1" w:themeFillShade="D9"/>
              </w:tcPr>
              <w:p w:rsidR="0062390E" w:rsidRPr="00FE71D6" w:rsidRDefault="0062390E" w:rsidP="0018519F">
                <w:pPr>
                  <w:spacing w:after="120" w:line="240" w:lineRule="auto"/>
                  <w:jc w:val="center"/>
                  <w:rPr>
                    <w:rFonts w:ascii="Times New Roman" w:hAnsi="Times New Roman" w:cs="Times New Roman"/>
                    <w:b/>
                    <w:bCs/>
                    <w:sz w:val="20"/>
                    <w:szCs w:val="20"/>
                  </w:rPr>
                </w:pPr>
                <w:r w:rsidRPr="00FE71D6">
                  <w:rPr>
                    <w:rFonts w:ascii="Times New Roman" w:hAnsi="Times New Roman" w:cs="Times New Roman"/>
                    <w:b/>
                    <w:bCs/>
                    <w:sz w:val="20"/>
                    <w:szCs w:val="20"/>
                  </w:rPr>
                  <w:t>To</w:t>
                </w:r>
              </w:p>
            </w:tc>
          </w:tr>
          <w:tr w:rsidR="00FE71D6" w:rsidRPr="00FE71D6" w:rsidTr="0018519F">
            <w:trPr>
              <w:trHeight w:val="377"/>
            </w:trPr>
            <w:tc>
              <w:tcPr>
                <w:tcW w:w="1068" w:type="dxa"/>
              </w:tcPr>
              <w:p w:rsidR="0062390E" w:rsidRPr="00FE71D6" w:rsidRDefault="0062390E" w:rsidP="0018519F">
                <w:pPr>
                  <w:spacing w:after="120" w:line="240" w:lineRule="auto"/>
                  <w:rPr>
                    <w:rFonts w:ascii="Times New Roman" w:hAnsi="Times New Roman" w:cs="Times New Roman"/>
                    <w:sz w:val="18"/>
                    <w:szCs w:val="18"/>
                  </w:rPr>
                </w:pPr>
                <w:r w:rsidRPr="00FE71D6">
                  <w:rPr>
                    <w:rFonts w:ascii="Times New Roman" w:hAnsi="Times New Roman" w:cs="Times New Roman"/>
                    <w:sz w:val="18"/>
                    <w:szCs w:val="18"/>
                  </w:rPr>
                  <w:t>Production Lead Man</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28</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10</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13</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51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23</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6</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9</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38</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.82</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.60</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.69</w:t>
                </w:r>
              </w:p>
            </w:tc>
            <w:tc>
              <w:tcPr>
                <w:tcW w:w="536"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.75</w:t>
                </w:r>
              </w:p>
            </w:tc>
          </w:tr>
          <w:tr w:rsidR="00FE71D6" w:rsidRPr="00FE71D6" w:rsidTr="0018519F">
            <w:trPr>
              <w:trHeight w:val="368"/>
            </w:trPr>
            <w:tc>
              <w:tcPr>
                <w:tcW w:w="1068" w:type="dxa"/>
              </w:tcPr>
              <w:p w:rsidR="0062390E" w:rsidRPr="00FE71D6" w:rsidRDefault="0062390E" w:rsidP="0018519F">
                <w:pPr>
                  <w:spacing w:after="120" w:line="240" w:lineRule="auto"/>
                  <w:rPr>
                    <w:rFonts w:ascii="Times New Roman" w:hAnsi="Times New Roman" w:cs="Times New Roman"/>
                    <w:sz w:val="18"/>
                    <w:szCs w:val="18"/>
                  </w:rPr>
                </w:pPr>
                <w:r w:rsidRPr="00FE71D6">
                  <w:rPr>
                    <w:rFonts w:ascii="Times New Roman" w:hAnsi="Times New Roman" w:cs="Times New Roman"/>
                    <w:sz w:val="18"/>
                    <w:szCs w:val="18"/>
                  </w:rPr>
                  <w:t>Production Supervisor</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14</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N/A</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N/A</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14</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N/A</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N/A</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.79</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N/A</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N/A</w:t>
                </w:r>
              </w:p>
            </w:tc>
            <w:tc>
              <w:tcPr>
                <w:tcW w:w="536"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.79</w:t>
                </w:r>
              </w:p>
            </w:tc>
          </w:tr>
          <w:tr w:rsidR="00FE71D6" w:rsidRPr="00FE71D6" w:rsidTr="0018519F">
            <w:trPr>
              <w:trHeight w:val="377"/>
            </w:trPr>
            <w:tc>
              <w:tcPr>
                <w:tcW w:w="1068" w:type="dxa"/>
              </w:tcPr>
              <w:p w:rsidR="0062390E" w:rsidRPr="00FE71D6" w:rsidRDefault="0062390E" w:rsidP="0018519F">
                <w:pPr>
                  <w:spacing w:after="120" w:line="240" w:lineRule="auto"/>
                  <w:rPr>
                    <w:rFonts w:ascii="Times New Roman" w:hAnsi="Times New Roman" w:cs="Times New Roman"/>
                    <w:sz w:val="18"/>
                    <w:szCs w:val="18"/>
                  </w:rPr>
                </w:pPr>
                <w:r w:rsidRPr="00FE71D6">
                  <w:rPr>
                    <w:rFonts w:ascii="Times New Roman" w:hAnsi="Times New Roman" w:cs="Times New Roman"/>
                    <w:sz w:val="18"/>
                    <w:szCs w:val="18"/>
                  </w:rPr>
                  <w:t>Production Superintendent</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6</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3</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5</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14</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5</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2</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4</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.83</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.67</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.80</w:t>
                </w:r>
              </w:p>
            </w:tc>
            <w:tc>
              <w:tcPr>
                <w:tcW w:w="536"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.79</w:t>
                </w:r>
              </w:p>
            </w:tc>
          </w:tr>
          <w:tr w:rsidR="00FE71D6" w:rsidRPr="00FE71D6" w:rsidTr="0018519F">
            <w:trPr>
              <w:trHeight w:val="368"/>
            </w:trPr>
            <w:tc>
              <w:tcPr>
                <w:tcW w:w="1068" w:type="dxa"/>
              </w:tcPr>
              <w:p w:rsidR="0062390E" w:rsidRPr="00FE71D6" w:rsidRDefault="0062390E" w:rsidP="0018519F">
                <w:pPr>
                  <w:spacing w:after="120" w:line="240" w:lineRule="auto"/>
                  <w:rPr>
                    <w:rFonts w:ascii="Times New Roman" w:hAnsi="Times New Roman" w:cs="Times New Roman"/>
                    <w:sz w:val="18"/>
                    <w:szCs w:val="18"/>
                  </w:rPr>
                </w:pPr>
                <w:r w:rsidRPr="00FE71D6">
                  <w:rPr>
                    <w:rFonts w:ascii="Times New Roman" w:hAnsi="Times New Roman" w:cs="Times New Roman"/>
                    <w:sz w:val="18"/>
                    <w:szCs w:val="18"/>
                  </w:rPr>
                  <w:t>Production Manager</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3</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3</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6"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w:t>
                </w:r>
              </w:p>
            </w:tc>
          </w:tr>
          <w:tr w:rsidR="00FE71D6" w:rsidRPr="00FE71D6" w:rsidTr="0018519F">
            <w:trPr>
              <w:trHeight w:val="368"/>
            </w:trPr>
            <w:tc>
              <w:tcPr>
                <w:tcW w:w="1068" w:type="dxa"/>
              </w:tcPr>
              <w:p w:rsidR="0062390E" w:rsidRPr="00FE71D6" w:rsidRDefault="0062390E" w:rsidP="0018519F">
                <w:pPr>
                  <w:spacing w:after="120" w:line="240" w:lineRule="auto"/>
                  <w:rPr>
                    <w:rFonts w:ascii="Times New Roman" w:hAnsi="Times New Roman" w:cs="Times New Roman"/>
                    <w:sz w:val="18"/>
                    <w:szCs w:val="18"/>
                  </w:rPr>
                </w:pPr>
                <w:r w:rsidRPr="00FE71D6">
                  <w:rPr>
                    <w:rFonts w:ascii="Times New Roman" w:hAnsi="Times New Roman" w:cs="Times New Roman"/>
                    <w:sz w:val="18"/>
                    <w:szCs w:val="18"/>
                  </w:rPr>
                  <w:t>Purchasing Supervisor</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5</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3</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4</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12</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4</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2</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3</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9</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.80</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.67</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.75</w:t>
                </w:r>
              </w:p>
            </w:tc>
            <w:tc>
              <w:tcPr>
                <w:tcW w:w="536"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.75</w:t>
                </w:r>
              </w:p>
            </w:tc>
          </w:tr>
          <w:tr w:rsidR="00FE71D6" w:rsidRPr="00FE71D6" w:rsidTr="0018519F">
            <w:trPr>
              <w:trHeight w:val="377"/>
            </w:trPr>
            <w:tc>
              <w:tcPr>
                <w:tcW w:w="1068" w:type="dxa"/>
              </w:tcPr>
              <w:p w:rsidR="0062390E" w:rsidRPr="00FE71D6" w:rsidRDefault="0062390E" w:rsidP="0018519F">
                <w:pPr>
                  <w:spacing w:after="120" w:line="240" w:lineRule="auto"/>
                  <w:rPr>
                    <w:rFonts w:ascii="Times New Roman" w:hAnsi="Times New Roman" w:cs="Times New Roman"/>
                    <w:sz w:val="18"/>
                    <w:szCs w:val="18"/>
                  </w:rPr>
                </w:pPr>
                <w:r w:rsidRPr="00FE71D6">
                  <w:rPr>
                    <w:rFonts w:ascii="Times New Roman" w:hAnsi="Times New Roman" w:cs="Times New Roman"/>
                    <w:sz w:val="18"/>
                    <w:szCs w:val="18"/>
                  </w:rPr>
                  <w:t>Purchasing Manager</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3</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3</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6"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w:t>
                </w:r>
              </w:p>
            </w:tc>
          </w:tr>
          <w:tr w:rsidR="00FE71D6" w:rsidRPr="00FE71D6" w:rsidTr="0018519F">
            <w:trPr>
              <w:trHeight w:val="368"/>
            </w:trPr>
            <w:tc>
              <w:tcPr>
                <w:tcW w:w="1068" w:type="dxa"/>
              </w:tcPr>
              <w:p w:rsidR="0062390E" w:rsidRPr="00FE71D6" w:rsidRDefault="0062390E" w:rsidP="0018519F">
                <w:pPr>
                  <w:spacing w:after="120" w:line="240" w:lineRule="auto"/>
                  <w:rPr>
                    <w:rFonts w:ascii="Times New Roman" w:hAnsi="Times New Roman" w:cs="Times New Roman"/>
                    <w:sz w:val="18"/>
                    <w:szCs w:val="18"/>
                  </w:rPr>
                </w:pPr>
                <w:r w:rsidRPr="00FE71D6">
                  <w:rPr>
                    <w:rFonts w:ascii="Times New Roman" w:hAnsi="Times New Roman" w:cs="Times New Roman"/>
                    <w:sz w:val="18"/>
                    <w:szCs w:val="18"/>
                  </w:rPr>
                  <w:t>Logistics Supervisor</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9</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6</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7</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22</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7</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4</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5</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16</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.78</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.67</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.71</w:t>
                </w:r>
              </w:p>
            </w:tc>
            <w:tc>
              <w:tcPr>
                <w:tcW w:w="536"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.73</w:t>
                </w:r>
              </w:p>
            </w:tc>
          </w:tr>
          <w:tr w:rsidR="00FE71D6" w:rsidRPr="00FE71D6" w:rsidTr="0018519F">
            <w:trPr>
              <w:trHeight w:val="377"/>
            </w:trPr>
            <w:tc>
              <w:tcPr>
                <w:tcW w:w="1068" w:type="dxa"/>
              </w:tcPr>
              <w:p w:rsidR="0062390E" w:rsidRPr="00FE71D6" w:rsidRDefault="0062390E" w:rsidP="0018519F">
                <w:pPr>
                  <w:spacing w:after="120" w:line="240" w:lineRule="auto"/>
                  <w:rPr>
                    <w:rFonts w:ascii="Times New Roman" w:hAnsi="Times New Roman" w:cs="Times New Roman"/>
                    <w:sz w:val="18"/>
                    <w:szCs w:val="18"/>
                  </w:rPr>
                </w:pPr>
                <w:r w:rsidRPr="00FE71D6">
                  <w:rPr>
                    <w:rFonts w:ascii="Times New Roman" w:hAnsi="Times New Roman" w:cs="Times New Roman"/>
                    <w:sz w:val="18"/>
                    <w:szCs w:val="18"/>
                  </w:rPr>
                  <w:t>Logistics Manager</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3</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3</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6"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w:t>
                </w:r>
              </w:p>
            </w:tc>
          </w:tr>
          <w:tr w:rsidR="00FE71D6" w:rsidRPr="00FE71D6" w:rsidTr="0018519F">
            <w:trPr>
              <w:trHeight w:val="368"/>
            </w:trPr>
            <w:tc>
              <w:tcPr>
                <w:tcW w:w="1068" w:type="dxa"/>
              </w:tcPr>
              <w:p w:rsidR="0062390E" w:rsidRPr="00FE71D6" w:rsidRDefault="0062390E" w:rsidP="0018519F">
                <w:pPr>
                  <w:spacing w:after="120" w:line="240" w:lineRule="auto"/>
                  <w:rPr>
                    <w:rFonts w:ascii="Times New Roman" w:hAnsi="Times New Roman" w:cs="Times New Roman"/>
                    <w:sz w:val="18"/>
                    <w:szCs w:val="18"/>
                  </w:rPr>
                </w:pPr>
                <w:r w:rsidRPr="00FE71D6">
                  <w:rPr>
                    <w:rFonts w:ascii="Times New Roman" w:hAnsi="Times New Roman" w:cs="Times New Roman"/>
                    <w:sz w:val="18"/>
                    <w:szCs w:val="18"/>
                  </w:rPr>
                  <w:t>Senior Accountant</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6</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4</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5</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15</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4</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2</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3</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9</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.67</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.50</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.60</w:t>
                </w:r>
              </w:p>
            </w:tc>
            <w:tc>
              <w:tcPr>
                <w:tcW w:w="536"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.60</w:t>
                </w:r>
              </w:p>
            </w:tc>
          </w:tr>
          <w:tr w:rsidR="00FE71D6" w:rsidRPr="00FE71D6" w:rsidTr="0018519F">
            <w:trPr>
              <w:trHeight w:val="368"/>
            </w:trPr>
            <w:tc>
              <w:tcPr>
                <w:tcW w:w="1068" w:type="dxa"/>
              </w:tcPr>
              <w:p w:rsidR="0062390E" w:rsidRPr="00FE71D6" w:rsidRDefault="0062390E" w:rsidP="0018519F">
                <w:pPr>
                  <w:spacing w:after="120" w:line="240" w:lineRule="auto"/>
                  <w:rPr>
                    <w:rFonts w:ascii="Times New Roman" w:hAnsi="Times New Roman" w:cs="Times New Roman"/>
                    <w:sz w:val="18"/>
                    <w:szCs w:val="18"/>
                  </w:rPr>
                </w:pPr>
                <w:r w:rsidRPr="00FE71D6">
                  <w:rPr>
                    <w:rFonts w:ascii="Times New Roman" w:hAnsi="Times New Roman" w:cs="Times New Roman"/>
                    <w:sz w:val="18"/>
                    <w:szCs w:val="18"/>
                  </w:rPr>
                  <w:t>Chief Accountant</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3</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3</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6"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w:t>
                </w:r>
              </w:p>
            </w:tc>
          </w:tr>
          <w:tr w:rsidR="00FE71D6" w:rsidRPr="00FE71D6" w:rsidTr="0018519F">
            <w:trPr>
              <w:trHeight w:val="377"/>
            </w:trPr>
            <w:tc>
              <w:tcPr>
                <w:tcW w:w="1068" w:type="dxa"/>
              </w:tcPr>
              <w:p w:rsidR="0062390E" w:rsidRPr="00FE71D6" w:rsidRDefault="0062390E" w:rsidP="0018519F">
                <w:pPr>
                  <w:spacing w:after="120" w:line="240" w:lineRule="auto"/>
                  <w:rPr>
                    <w:rFonts w:ascii="Times New Roman" w:hAnsi="Times New Roman" w:cs="Times New Roman"/>
                    <w:sz w:val="18"/>
                    <w:szCs w:val="18"/>
                  </w:rPr>
                </w:pPr>
                <w:r w:rsidRPr="00FE71D6">
                  <w:rPr>
                    <w:rFonts w:ascii="Times New Roman" w:hAnsi="Times New Roman" w:cs="Times New Roman"/>
                    <w:sz w:val="18"/>
                    <w:szCs w:val="18"/>
                  </w:rPr>
                  <w:t>Financial Controller</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N/A</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N/A</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N/A</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N/A</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N/A</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N/A</w:t>
                </w:r>
              </w:p>
            </w:tc>
            <w:tc>
              <w:tcPr>
                <w:tcW w:w="536"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w:t>
                </w:r>
              </w:p>
            </w:tc>
          </w:tr>
          <w:tr w:rsidR="00FE71D6" w:rsidRPr="00FE71D6" w:rsidTr="0018519F">
            <w:trPr>
              <w:trHeight w:val="216"/>
            </w:trPr>
            <w:tc>
              <w:tcPr>
                <w:tcW w:w="1068" w:type="dxa"/>
              </w:tcPr>
              <w:p w:rsidR="0062390E" w:rsidRPr="00FE71D6" w:rsidRDefault="0062390E" w:rsidP="0018519F">
                <w:pPr>
                  <w:spacing w:after="120" w:line="240" w:lineRule="auto"/>
                  <w:rPr>
                    <w:rFonts w:ascii="Times New Roman" w:hAnsi="Times New Roman" w:cs="Times New Roman"/>
                    <w:sz w:val="18"/>
                    <w:szCs w:val="18"/>
                  </w:rPr>
                </w:pPr>
                <w:r w:rsidRPr="00FE71D6">
                  <w:rPr>
                    <w:rFonts w:ascii="Times New Roman" w:hAnsi="Times New Roman" w:cs="Times New Roman"/>
                    <w:sz w:val="18"/>
                    <w:szCs w:val="18"/>
                  </w:rPr>
                  <w:t>Internal Auditor</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2</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4</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3</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.50</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6"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.75</w:t>
                </w:r>
              </w:p>
            </w:tc>
          </w:tr>
          <w:tr w:rsidR="00FE71D6" w:rsidRPr="00FE71D6" w:rsidTr="0018519F">
            <w:trPr>
              <w:trHeight w:val="377"/>
            </w:trPr>
            <w:tc>
              <w:tcPr>
                <w:tcW w:w="1068" w:type="dxa"/>
              </w:tcPr>
              <w:p w:rsidR="0062390E" w:rsidRPr="00FE71D6" w:rsidRDefault="0062390E" w:rsidP="0018519F">
                <w:pPr>
                  <w:spacing w:after="120" w:line="240" w:lineRule="auto"/>
                  <w:rPr>
                    <w:rFonts w:ascii="Times New Roman" w:hAnsi="Times New Roman" w:cs="Times New Roman"/>
                    <w:sz w:val="18"/>
                    <w:szCs w:val="18"/>
                  </w:rPr>
                </w:pPr>
                <w:r w:rsidRPr="00FE71D6">
                  <w:rPr>
                    <w:rFonts w:ascii="Times New Roman" w:hAnsi="Times New Roman" w:cs="Times New Roman"/>
                    <w:sz w:val="18"/>
                    <w:szCs w:val="18"/>
                  </w:rPr>
                  <w:t>Internal Auditor Head</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N/A</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2</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N/A</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2</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N/A</w:t>
                </w:r>
              </w:p>
            </w:tc>
            <w:tc>
              <w:tcPr>
                <w:tcW w:w="534" w:type="dxa"/>
                <w:vAlign w:val="center"/>
              </w:tcPr>
              <w:p w:rsidR="0062390E" w:rsidRPr="00FE71D6" w:rsidRDefault="0062390E" w:rsidP="0018519F">
                <w:pPr>
                  <w:spacing w:after="120" w:line="240" w:lineRule="auto"/>
                  <w:jc w:val="center"/>
                  <w:rPr>
                    <w:rFonts w:ascii="Times New Roman" w:hAnsi="Times New Roman" w:cs="Times New Roman"/>
                    <w:sz w:val="18"/>
                    <w:szCs w:val="18"/>
                  </w:rPr>
                </w:pPr>
                <w:r w:rsidRPr="00FE71D6">
                  <w:rPr>
                    <w:rFonts w:ascii="Times New Roman" w:hAnsi="Times New Roman" w:cs="Times New Roman"/>
                    <w:sz w:val="18"/>
                    <w:szCs w:val="18"/>
                  </w:rPr>
                  <w:t>1</w:t>
                </w:r>
              </w:p>
            </w:tc>
            <w:tc>
              <w:tcPr>
                <w:tcW w:w="536"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w:t>
                </w:r>
              </w:p>
            </w:tc>
          </w:tr>
          <w:tr w:rsidR="00FE71D6" w:rsidRPr="00FE71D6" w:rsidTr="0018519F">
            <w:trPr>
              <w:trHeight w:val="303"/>
            </w:trPr>
            <w:tc>
              <w:tcPr>
                <w:tcW w:w="1068"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Total</w:t>
                </w:r>
              </w:p>
            </w:tc>
            <w:tc>
              <w:tcPr>
                <w:tcW w:w="534" w:type="dxa"/>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76</w:t>
                </w:r>
              </w:p>
            </w:tc>
            <w:tc>
              <w:tcPr>
                <w:tcW w:w="534" w:type="dxa"/>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31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40</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147</w:t>
                </w:r>
              </w:p>
            </w:tc>
            <w:tc>
              <w:tcPr>
                <w:tcW w:w="534" w:type="dxa"/>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61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21</w:t>
                </w:r>
              </w:p>
            </w:tc>
            <w:tc>
              <w:tcPr>
                <w:tcW w:w="534" w:type="dxa"/>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30</w:t>
                </w:r>
              </w:p>
            </w:tc>
            <w:tc>
              <w:tcPr>
                <w:tcW w:w="534"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112</w:t>
                </w:r>
              </w:p>
            </w:tc>
            <w:tc>
              <w:tcPr>
                <w:tcW w:w="534" w:type="dxa"/>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.80</w:t>
                </w:r>
              </w:p>
            </w:tc>
            <w:tc>
              <w:tcPr>
                <w:tcW w:w="534" w:type="dxa"/>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.68</w:t>
                </w:r>
              </w:p>
            </w:tc>
            <w:tc>
              <w:tcPr>
                <w:tcW w:w="534" w:type="dxa"/>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.75</w:t>
                </w:r>
              </w:p>
            </w:tc>
            <w:tc>
              <w:tcPr>
                <w:tcW w:w="536" w:type="dxa"/>
                <w:shd w:val="clear" w:color="auto" w:fill="D9D9D9" w:themeFill="background1" w:themeFillShade="D9"/>
                <w:vAlign w:val="center"/>
              </w:tcPr>
              <w:p w:rsidR="0062390E" w:rsidRPr="00FE71D6" w:rsidRDefault="0062390E" w:rsidP="0018519F">
                <w:pPr>
                  <w:spacing w:after="120" w:line="240" w:lineRule="auto"/>
                  <w:jc w:val="center"/>
                  <w:rPr>
                    <w:rFonts w:ascii="Times New Roman" w:hAnsi="Times New Roman" w:cs="Times New Roman"/>
                    <w:b/>
                    <w:bCs/>
                    <w:sz w:val="18"/>
                    <w:szCs w:val="18"/>
                  </w:rPr>
                </w:pPr>
                <w:r w:rsidRPr="00FE71D6">
                  <w:rPr>
                    <w:rFonts w:ascii="Times New Roman" w:hAnsi="Times New Roman" w:cs="Times New Roman"/>
                    <w:b/>
                    <w:bCs/>
                    <w:sz w:val="18"/>
                    <w:szCs w:val="18"/>
                  </w:rPr>
                  <w:t>.76</w:t>
                </w:r>
              </w:p>
            </w:tc>
          </w:tr>
        </w:tbl>
        <w:p w:rsidR="0062390E" w:rsidRPr="00FE71D6" w:rsidRDefault="0062390E" w:rsidP="00C00087">
          <w:pPr>
            <w:spacing w:after="240"/>
            <w:jc w:val="both"/>
          </w:pPr>
          <w:r w:rsidRPr="00FE71D6">
            <w:rPr>
              <w:b/>
              <w:bCs/>
              <w:i/>
              <w:iCs/>
            </w:rPr>
            <w:t>Note:</w:t>
          </w:r>
          <w:r w:rsidRPr="00FE71D6">
            <w:t xml:space="preserve"> </w:t>
          </w:r>
          <w:r w:rsidR="00797263" w:rsidRPr="00FE71D6">
            <w:rPr>
              <w:sz w:val="22"/>
              <w:szCs w:val="22"/>
            </w:rPr>
            <w:t xml:space="preserve">C1 (Company 1), C2 (Company 2), C3 (Company </w:t>
          </w:r>
          <w:r w:rsidRPr="00FE71D6">
            <w:rPr>
              <w:sz w:val="22"/>
              <w:szCs w:val="22"/>
            </w:rPr>
            <w:t xml:space="preserve">3), and To (Total). </w:t>
          </w:r>
        </w:p>
        <w:p w:rsidR="0016231D" w:rsidRPr="00FE71D6" w:rsidRDefault="0016231D" w:rsidP="003A6DA6">
          <w:pPr>
            <w:pStyle w:val="Heading2"/>
            <w:contextualSpacing w:val="0"/>
            <w:rPr>
              <w:rFonts w:cs="Times New Roman"/>
              <w:lang w:val="en-US"/>
            </w:rPr>
          </w:pPr>
          <w:bookmarkStart w:id="44" w:name="_Toc500087480"/>
          <w:r w:rsidRPr="00FE71D6">
            <w:rPr>
              <w:rFonts w:cs="Times New Roman"/>
              <w:lang w:val="en-US"/>
            </w:rPr>
            <w:t>4.2 Data Preparation</w:t>
          </w:r>
          <w:bookmarkEnd w:id="43"/>
          <w:bookmarkEnd w:id="44"/>
        </w:p>
        <w:p w:rsidR="00C00087" w:rsidRPr="00FE71D6" w:rsidRDefault="00C83CF8" w:rsidP="00C00087">
          <w:pPr>
            <w:pStyle w:val="Paragraph"/>
            <w:spacing w:before="0"/>
            <w:jc w:val="both"/>
          </w:pPr>
          <w:r w:rsidRPr="00FE71D6">
            <w:t xml:space="preserve">It has an entire 27 indicators (five indicators of the supplier partnership construct: </w:t>
          </w:r>
          <w:r w:rsidRPr="00FE71D6">
            <w:rPr>
              <w:rFonts w:asciiTheme="majorBidi" w:hAnsiTheme="majorBidi" w:cstheme="majorBidi"/>
            </w:rPr>
            <w:t xml:space="preserve">degree of excellence is considered as the number one standard in choosing suppliers, issues are solved mutually with suppliers, suppliers are helped to enhance their product degree of excellence, main suppliers are involved in continuous improvement programs, and main suppliers are involved in forecasting and setting goal actions; </w:t>
          </w:r>
          <w:r w:rsidRPr="00FE71D6">
            <w:t xml:space="preserve">five indicators of the customer relationship construct: </w:t>
          </w:r>
          <w:r w:rsidRPr="00FE71D6">
            <w:rPr>
              <w:rFonts w:asciiTheme="majorBidi" w:hAnsiTheme="majorBidi" w:cstheme="majorBidi"/>
            </w:rPr>
            <w:t xml:space="preserve">customers are contacted to establish dependability, receptiveness, and other criteria, customer gratification is measured and evaluated, future customer anticipations are determined, customers’ capability is facilitated to look for help, and the prominence of relationship with customers is evaluated; four </w:t>
          </w:r>
          <w:r w:rsidRPr="00FE71D6">
            <w:t xml:space="preserve">indicators </w:t>
          </w:r>
          <w:r w:rsidRPr="00FE71D6">
            <w:rPr>
              <w:rFonts w:asciiTheme="majorBidi" w:hAnsiTheme="majorBidi" w:cstheme="majorBidi"/>
            </w:rPr>
            <w:t xml:space="preserve">of the </w:t>
          </w:r>
          <w:r w:rsidRPr="00FE71D6">
            <w:t xml:space="preserve">information sharing construct: </w:t>
          </w:r>
          <w:r w:rsidRPr="00FE71D6">
            <w:rPr>
              <w:rFonts w:asciiTheme="majorBidi" w:hAnsiTheme="majorBidi" w:cstheme="majorBidi"/>
            </w:rPr>
            <w:t xml:space="preserve">trading partners are informed in advance of altering requirements, trading partners share solid data, trading partners share commercial information of essential commercial procedures, and trading partners are retained completely knowledgeable about problems that impact </w:t>
          </w:r>
          <w:r w:rsidRPr="00FE71D6">
            <w:t>commerce</w:t>
          </w:r>
          <w:r w:rsidRPr="00FE71D6">
            <w:rPr>
              <w:rFonts w:asciiTheme="majorBidi" w:hAnsiTheme="majorBidi" w:cstheme="majorBidi"/>
            </w:rPr>
            <w:t xml:space="preserve">; five </w:t>
          </w:r>
          <w:r w:rsidRPr="00FE71D6">
            <w:t xml:space="preserve">indicators of the lean system construct: </w:t>
          </w:r>
          <w:r w:rsidRPr="00FE71D6">
            <w:rPr>
              <w:rFonts w:asciiTheme="majorBidi" w:hAnsiTheme="majorBidi" w:cstheme="majorBidi"/>
            </w:rPr>
            <w:t xml:space="preserve">suppliers are pushed for shorter lead time, pull production system is used, suppliers are streamlined for ordering, receiving, and other paperwork, inspection of incoming materials is reduced, and inspection of outbound materials is reduced; four indicators of the </w:t>
          </w:r>
          <w:r w:rsidRPr="00FE71D6">
            <w:t xml:space="preserve">net trade cycle construct: </w:t>
          </w:r>
          <w:r w:rsidRPr="00FE71D6">
            <w:rPr>
              <w:rFonts w:asciiTheme="majorBidi" w:hAnsiTheme="majorBidi" w:cstheme="majorBidi"/>
            </w:rPr>
            <w:t>shortening number of days it takes for a company’s trade debtors to pay their dues, shortening number of days a company ties its funds to inventory, extending number of days a company defers payments to its suppliers and other creditors, and shortening</w:t>
          </w:r>
          <w:r w:rsidRPr="00FE71D6">
            <w:t xml:space="preserve"> number of days of sales that it consumes for a company to transfer resource inputs into cash flows; and </w:t>
          </w:r>
          <w:r w:rsidRPr="00FE71D6">
            <w:rPr>
              <w:rFonts w:asciiTheme="majorBidi" w:hAnsiTheme="majorBidi" w:cstheme="majorBidi"/>
            </w:rPr>
            <w:t xml:space="preserve">four indicators of </w:t>
          </w:r>
          <w:r w:rsidRPr="00FE71D6">
            <w:t xml:space="preserve">the financial performance construct: </w:t>
          </w:r>
          <w:r w:rsidRPr="00FE71D6">
            <w:rPr>
              <w:rFonts w:asciiTheme="majorBidi" w:hAnsiTheme="majorBidi" w:cstheme="majorBidi"/>
            </w:rPr>
            <w:t xml:space="preserve">return on assets, return on equity, operational profit margin, and </w:t>
          </w:r>
          <w:r w:rsidRPr="00FE71D6">
            <w:t>competitive position) in the questionnaire gauging six constructs (the supplier partnership, the customer relationship, the information sharing, the lean system, the net trade cycle and the financial performance)</w:t>
          </w:r>
          <w:r w:rsidR="0016231D" w:rsidRPr="00FE71D6">
            <w:t xml:space="preserve">. </w:t>
          </w:r>
        </w:p>
        <w:p w:rsidR="00070A0A" w:rsidRPr="00FE71D6" w:rsidRDefault="0016231D" w:rsidP="00070A0A">
          <w:pPr>
            <w:pStyle w:val="Paragraph"/>
            <w:spacing w:before="0"/>
            <w:ind w:firstLine="720"/>
            <w:jc w:val="both"/>
          </w:pPr>
          <w:r w:rsidRPr="00FE71D6">
            <w:t xml:space="preserve">Each latent construct is gauged by </w:t>
          </w:r>
          <w:r w:rsidR="00404C72" w:rsidRPr="00FE71D6">
            <w:t>as a minimum of</w:t>
          </w:r>
          <w:r w:rsidRPr="00FE71D6">
            <w:t xml:space="preserve"> four indicators that are as follows: </w:t>
          </w:r>
          <w:r w:rsidR="00057C84" w:rsidRPr="00FE71D6">
            <w:t xml:space="preserve">the </w:t>
          </w:r>
          <w:r w:rsidRPr="00FE71D6">
            <w:t xml:space="preserve">supplier partnership </w:t>
          </w:r>
          <w:r w:rsidR="001E2E24" w:rsidRPr="00FE71D6">
            <w:t xml:space="preserve">construct </w:t>
          </w:r>
          <w:r w:rsidRPr="00FE71D6">
            <w:t>has five indicators</w:t>
          </w:r>
          <w:r w:rsidR="00754B56" w:rsidRPr="00FE71D6">
            <w:t xml:space="preserve"> (</w:t>
          </w:r>
          <w:r w:rsidR="007B2091" w:rsidRPr="00FE71D6">
            <w:rPr>
              <w:rFonts w:asciiTheme="majorBidi" w:hAnsiTheme="majorBidi" w:cstheme="majorBidi"/>
            </w:rPr>
            <w:t>degree of excellence is considered as the number one standard in choosing suppliers</w:t>
          </w:r>
          <w:r w:rsidR="00754B56" w:rsidRPr="00FE71D6">
            <w:rPr>
              <w:rFonts w:asciiTheme="majorBidi" w:hAnsiTheme="majorBidi" w:cstheme="majorBidi"/>
            </w:rPr>
            <w:t xml:space="preserve">; </w:t>
          </w:r>
          <w:r w:rsidR="007B2091" w:rsidRPr="00FE71D6">
            <w:rPr>
              <w:rFonts w:asciiTheme="majorBidi" w:hAnsiTheme="majorBidi" w:cstheme="majorBidi"/>
            </w:rPr>
            <w:t>issues are solved mutually with suppliers</w:t>
          </w:r>
          <w:r w:rsidR="00754B56" w:rsidRPr="00FE71D6">
            <w:rPr>
              <w:rFonts w:asciiTheme="majorBidi" w:hAnsiTheme="majorBidi" w:cstheme="majorBidi"/>
            </w:rPr>
            <w:t xml:space="preserve">; </w:t>
          </w:r>
          <w:r w:rsidR="007B2091" w:rsidRPr="00FE71D6">
            <w:rPr>
              <w:rFonts w:asciiTheme="majorBidi" w:hAnsiTheme="majorBidi" w:cstheme="majorBidi"/>
            </w:rPr>
            <w:t>suppliers are helped to enhance their product degree of excellence</w:t>
          </w:r>
          <w:r w:rsidR="00754B56" w:rsidRPr="00FE71D6">
            <w:rPr>
              <w:rFonts w:asciiTheme="majorBidi" w:hAnsiTheme="majorBidi" w:cstheme="majorBidi"/>
            </w:rPr>
            <w:t xml:space="preserve">; </w:t>
          </w:r>
          <w:r w:rsidR="007B2091" w:rsidRPr="00FE71D6">
            <w:rPr>
              <w:rFonts w:asciiTheme="majorBidi" w:hAnsiTheme="majorBidi" w:cstheme="majorBidi"/>
            </w:rPr>
            <w:t>main suppliers are involved in continuous improvement programs</w:t>
          </w:r>
          <w:r w:rsidR="00754B56" w:rsidRPr="00FE71D6">
            <w:rPr>
              <w:rFonts w:asciiTheme="majorBidi" w:hAnsiTheme="majorBidi" w:cstheme="majorBidi"/>
            </w:rPr>
            <w:t xml:space="preserve">; and </w:t>
          </w:r>
          <w:r w:rsidR="007B2091" w:rsidRPr="00FE71D6">
            <w:rPr>
              <w:rFonts w:asciiTheme="majorBidi" w:hAnsiTheme="majorBidi" w:cstheme="majorBidi"/>
            </w:rPr>
            <w:t>main suppliers are involved in forecasting and setting goal actions</w:t>
          </w:r>
          <w:r w:rsidR="00754B56" w:rsidRPr="00FE71D6">
            <w:rPr>
              <w:rFonts w:asciiTheme="majorBidi" w:hAnsiTheme="majorBidi" w:cstheme="majorBidi"/>
            </w:rPr>
            <w:t>.)</w:t>
          </w:r>
          <w:r w:rsidRPr="00FE71D6">
            <w:t xml:space="preserve">; </w:t>
          </w:r>
          <w:r w:rsidR="00057C84" w:rsidRPr="00FE71D6">
            <w:t xml:space="preserve">the </w:t>
          </w:r>
          <w:r w:rsidRPr="00FE71D6">
            <w:t xml:space="preserve">customer relationship </w:t>
          </w:r>
          <w:r w:rsidR="001E2E24" w:rsidRPr="00FE71D6">
            <w:t xml:space="preserve">construct </w:t>
          </w:r>
          <w:r w:rsidRPr="00FE71D6">
            <w:t>has five indicators</w:t>
          </w:r>
          <w:r w:rsidR="00754B56" w:rsidRPr="00FE71D6">
            <w:t xml:space="preserve"> (</w:t>
          </w:r>
          <w:r w:rsidR="005C6F3A" w:rsidRPr="00FE71D6">
            <w:rPr>
              <w:rFonts w:asciiTheme="majorBidi" w:hAnsiTheme="majorBidi" w:cstheme="majorBidi"/>
            </w:rPr>
            <w:t>customers are contacted to establish dependability, receptiveness, and other criteria</w:t>
          </w:r>
          <w:r w:rsidR="00754B56" w:rsidRPr="00FE71D6">
            <w:rPr>
              <w:rFonts w:asciiTheme="majorBidi" w:hAnsiTheme="majorBidi" w:cstheme="majorBidi"/>
            </w:rPr>
            <w:t xml:space="preserve">; </w:t>
          </w:r>
          <w:r w:rsidR="005C6F3A" w:rsidRPr="00FE71D6">
            <w:rPr>
              <w:rFonts w:asciiTheme="majorBidi" w:hAnsiTheme="majorBidi" w:cstheme="majorBidi"/>
            </w:rPr>
            <w:t>customer gratification is measured and evaluated</w:t>
          </w:r>
          <w:r w:rsidR="00754B56" w:rsidRPr="00FE71D6">
            <w:rPr>
              <w:rFonts w:asciiTheme="majorBidi" w:hAnsiTheme="majorBidi" w:cstheme="majorBidi"/>
            </w:rPr>
            <w:t xml:space="preserve">; </w:t>
          </w:r>
          <w:r w:rsidR="005C6F3A" w:rsidRPr="00FE71D6">
            <w:rPr>
              <w:rFonts w:asciiTheme="majorBidi" w:hAnsiTheme="majorBidi" w:cstheme="majorBidi"/>
            </w:rPr>
            <w:t>future customer anticipations are determined</w:t>
          </w:r>
          <w:r w:rsidR="00754B56" w:rsidRPr="00FE71D6">
            <w:rPr>
              <w:rFonts w:asciiTheme="majorBidi" w:hAnsiTheme="majorBidi" w:cstheme="majorBidi"/>
            </w:rPr>
            <w:t xml:space="preserve">; </w:t>
          </w:r>
          <w:r w:rsidR="005C6F3A" w:rsidRPr="00FE71D6">
            <w:rPr>
              <w:rFonts w:asciiTheme="majorBidi" w:hAnsiTheme="majorBidi" w:cstheme="majorBidi"/>
            </w:rPr>
            <w:t>customers’ capability is facilitated to look for help</w:t>
          </w:r>
          <w:r w:rsidR="00754B56" w:rsidRPr="00FE71D6">
            <w:rPr>
              <w:rFonts w:asciiTheme="majorBidi" w:hAnsiTheme="majorBidi" w:cstheme="majorBidi"/>
            </w:rPr>
            <w:t xml:space="preserve">; </w:t>
          </w:r>
          <w:r w:rsidR="0094682F" w:rsidRPr="00FE71D6">
            <w:rPr>
              <w:rFonts w:asciiTheme="majorBidi" w:hAnsiTheme="majorBidi" w:cstheme="majorBidi"/>
            </w:rPr>
            <w:t xml:space="preserve">and </w:t>
          </w:r>
          <w:r w:rsidR="005C6F3A" w:rsidRPr="00FE71D6">
            <w:rPr>
              <w:rFonts w:asciiTheme="majorBidi" w:hAnsiTheme="majorBidi" w:cstheme="majorBidi"/>
            </w:rPr>
            <w:t>the prominence of relationship with customers is evaluated</w:t>
          </w:r>
          <w:r w:rsidR="00754B56" w:rsidRPr="00FE71D6">
            <w:rPr>
              <w:rFonts w:asciiTheme="majorBidi" w:hAnsiTheme="majorBidi" w:cstheme="majorBidi"/>
            </w:rPr>
            <w:t>.)</w:t>
          </w:r>
          <w:r w:rsidRPr="00FE71D6">
            <w:t xml:space="preserve">; </w:t>
          </w:r>
          <w:r w:rsidR="00057C84" w:rsidRPr="00FE71D6">
            <w:t xml:space="preserve">the </w:t>
          </w:r>
          <w:r w:rsidRPr="00FE71D6">
            <w:t xml:space="preserve">information sharing </w:t>
          </w:r>
          <w:r w:rsidR="001E2E24" w:rsidRPr="00FE71D6">
            <w:t xml:space="preserve">construct </w:t>
          </w:r>
          <w:r w:rsidRPr="00FE71D6">
            <w:t>has four indicators</w:t>
          </w:r>
          <w:r w:rsidR="00754B56" w:rsidRPr="00FE71D6">
            <w:t xml:space="preserve"> (</w:t>
          </w:r>
          <w:r w:rsidR="00971DE9" w:rsidRPr="00FE71D6">
            <w:t>trading partners are informed in advance of altering requirements</w:t>
          </w:r>
          <w:r w:rsidR="0094682F" w:rsidRPr="00FE71D6">
            <w:rPr>
              <w:rFonts w:asciiTheme="majorBidi" w:hAnsiTheme="majorBidi" w:cstheme="majorBidi"/>
            </w:rPr>
            <w:t xml:space="preserve">; </w:t>
          </w:r>
          <w:r w:rsidR="00971DE9" w:rsidRPr="00FE71D6">
            <w:t>trading partners share solid data</w:t>
          </w:r>
          <w:r w:rsidR="0094682F" w:rsidRPr="00FE71D6">
            <w:rPr>
              <w:rFonts w:asciiTheme="majorBidi" w:hAnsiTheme="majorBidi" w:cstheme="majorBidi"/>
            </w:rPr>
            <w:t xml:space="preserve">; </w:t>
          </w:r>
          <w:r w:rsidR="00971DE9" w:rsidRPr="00FE71D6">
            <w:t>trading partners share commercial information of essential commercial procedures</w:t>
          </w:r>
          <w:r w:rsidR="0094682F" w:rsidRPr="00FE71D6">
            <w:rPr>
              <w:rFonts w:asciiTheme="majorBidi" w:hAnsiTheme="majorBidi" w:cstheme="majorBidi"/>
            </w:rPr>
            <w:t xml:space="preserve">; and </w:t>
          </w:r>
          <w:r w:rsidR="00971DE9" w:rsidRPr="00FE71D6">
            <w:t>trading partners are retained completely knowledgeable about problems that impact commerce</w:t>
          </w:r>
          <w:r w:rsidR="0094682F" w:rsidRPr="00FE71D6">
            <w:rPr>
              <w:rFonts w:asciiTheme="majorBidi" w:hAnsiTheme="majorBidi" w:cstheme="majorBidi"/>
            </w:rPr>
            <w:t>.)</w:t>
          </w:r>
          <w:r w:rsidRPr="00FE71D6">
            <w:t xml:space="preserve">; </w:t>
          </w:r>
          <w:r w:rsidR="00057C84" w:rsidRPr="00FE71D6">
            <w:t xml:space="preserve">the </w:t>
          </w:r>
          <w:r w:rsidRPr="00FE71D6">
            <w:t xml:space="preserve">lean system </w:t>
          </w:r>
          <w:r w:rsidR="001E2E24" w:rsidRPr="00FE71D6">
            <w:t xml:space="preserve">construct </w:t>
          </w:r>
          <w:r w:rsidRPr="00FE71D6">
            <w:t>has five indicators</w:t>
          </w:r>
          <w:r w:rsidR="0094682F" w:rsidRPr="00FE71D6">
            <w:t xml:space="preserve"> (</w:t>
          </w:r>
          <w:r w:rsidR="001956A1" w:rsidRPr="00FE71D6">
            <w:t>suppliers are pushed for shorter lead time</w:t>
          </w:r>
          <w:r w:rsidR="00671174" w:rsidRPr="00FE71D6">
            <w:rPr>
              <w:rFonts w:asciiTheme="majorBidi" w:hAnsiTheme="majorBidi" w:cstheme="majorBidi"/>
            </w:rPr>
            <w:t xml:space="preserve">; </w:t>
          </w:r>
          <w:r w:rsidR="001956A1" w:rsidRPr="00FE71D6">
            <w:t>pull production system is used</w:t>
          </w:r>
          <w:r w:rsidR="00671174" w:rsidRPr="00FE71D6">
            <w:rPr>
              <w:rFonts w:asciiTheme="majorBidi" w:hAnsiTheme="majorBidi" w:cstheme="majorBidi"/>
            </w:rPr>
            <w:t xml:space="preserve">; </w:t>
          </w:r>
          <w:r w:rsidR="001956A1" w:rsidRPr="00FE71D6">
            <w:t>suppliers are streamlined for ordering</w:t>
          </w:r>
          <w:r w:rsidR="00671174" w:rsidRPr="00FE71D6">
            <w:rPr>
              <w:rFonts w:asciiTheme="majorBidi" w:hAnsiTheme="majorBidi" w:cstheme="majorBidi"/>
            </w:rPr>
            <w:t xml:space="preserve">, </w:t>
          </w:r>
          <w:r w:rsidR="00EB73BF" w:rsidRPr="00FE71D6">
            <w:t>receiving, and other paperwork</w:t>
          </w:r>
          <w:r w:rsidR="00671174" w:rsidRPr="00FE71D6">
            <w:rPr>
              <w:rFonts w:asciiTheme="majorBidi" w:hAnsiTheme="majorBidi" w:cstheme="majorBidi"/>
            </w:rPr>
            <w:t xml:space="preserve">; </w:t>
          </w:r>
          <w:r w:rsidR="00E23E0D" w:rsidRPr="00FE71D6">
            <w:t>inspection of incoming materials is reduced</w:t>
          </w:r>
          <w:r w:rsidR="00671174" w:rsidRPr="00FE71D6">
            <w:rPr>
              <w:rFonts w:asciiTheme="majorBidi" w:hAnsiTheme="majorBidi" w:cstheme="majorBidi"/>
            </w:rPr>
            <w:t xml:space="preserve">; and </w:t>
          </w:r>
          <w:r w:rsidR="00BF0C7D" w:rsidRPr="00FE71D6">
            <w:t>inspection of outbound materials is reduced</w:t>
          </w:r>
          <w:r w:rsidR="00671174" w:rsidRPr="00FE71D6">
            <w:rPr>
              <w:rFonts w:asciiTheme="majorBidi" w:hAnsiTheme="majorBidi" w:cstheme="majorBidi"/>
            </w:rPr>
            <w:t>.)</w:t>
          </w:r>
          <w:r w:rsidRPr="00FE71D6">
            <w:t xml:space="preserve">; </w:t>
          </w:r>
          <w:r w:rsidR="00057C84" w:rsidRPr="00FE71D6">
            <w:t xml:space="preserve">the </w:t>
          </w:r>
          <w:r w:rsidRPr="00FE71D6">
            <w:t xml:space="preserve">net trade cycle </w:t>
          </w:r>
          <w:r w:rsidR="001E2E24" w:rsidRPr="00FE71D6">
            <w:t xml:space="preserve">construct </w:t>
          </w:r>
          <w:r w:rsidRPr="00FE71D6">
            <w:t>has four indicators</w:t>
          </w:r>
          <w:r w:rsidR="00671174" w:rsidRPr="00FE71D6">
            <w:t xml:space="preserve"> (</w:t>
          </w:r>
          <w:r w:rsidR="00BF0C7D" w:rsidRPr="00FE71D6">
            <w:t>shortening number of days it takes for a company’s trade debtors to pay their dues</w:t>
          </w:r>
          <w:r w:rsidR="00671174" w:rsidRPr="00FE71D6">
            <w:rPr>
              <w:rFonts w:asciiTheme="majorBidi" w:hAnsiTheme="majorBidi" w:cstheme="majorBidi"/>
            </w:rPr>
            <w:t xml:space="preserve">; </w:t>
          </w:r>
          <w:r w:rsidR="00BF0C7D" w:rsidRPr="00FE71D6">
            <w:t>shortening number of days a company ties its funds to inventory</w:t>
          </w:r>
          <w:r w:rsidR="00671174" w:rsidRPr="00FE71D6">
            <w:rPr>
              <w:rFonts w:asciiTheme="majorBidi" w:hAnsiTheme="majorBidi" w:cstheme="majorBidi"/>
            </w:rPr>
            <w:t xml:space="preserve">; </w:t>
          </w:r>
          <w:r w:rsidR="00BF0C7D" w:rsidRPr="00FE71D6">
            <w:t>extending number of days a company defers payments to its suppliers and other creditors</w:t>
          </w:r>
          <w:r w:rsidR="00671174" w:rsidRPr="00FE71D6">
            <w:rPr>
              <w:rFonts w:asciiTheme="majorBidi" w:hAnsiTheme="majorBidi" w:cstheme="majorBidi"/>
            </w:rPr>
            <w:t xml:space="preserve">; and </w:t>
          </w:r>
          <w:r w:rsidR="00BF0C7D" w:rsidRPr="00FE71D6">
            <w:t>shortening number of days of sales that it consumes for a company to transfer resource inputs into cash flows</w:t>
          </w:r>
          <w:r w:rsidR="00671174" w:rsidRPr="00FE71D6">
            <w:t>.)</w:t>
          </w:r>
          <w:r w:rsidRPr="00FE71D6">
            <w:t xml:space="preserve">; and </w:t>
          </w:r>
          <w:r w:rsidR="00057C84" w:rsidRPr="00FE71D6">
            <w:t xml:space="preserve">the </w:t>
          </w:r>
          <w:r w:rsidRPr="00FE71D6">
            <w:t xml:space="preserve">financial performance </w:t>
          </w:r>
          <w:r w:rsidR="001E2E24" w:rsidRPr="00FE71D6">
            <w:t xml:space="preserve">construct </w:t>
          </w:r>
          <w:r w:rsidRPr="00FE71D6">
            <w:t>has four indicators</w:t>
          </w:r>
          <w:r w:rsidR="00825CD6" w:rsidRPr="00FE71D6">
            <w:t xml:space="preserve"> (</w:t>
          </w:r>
          <w:r w:rsidR="00825CD6" w:rsidRPr="00FE71D6">
            <w:rPr>
              <w:rFonts w:asciiTheme="majorBidi" w:hAnsiTheme="majorBidi" w:cstheme="majorBidi"/>
            </w:rPr>
            <w:t>return on assets; return on equity</w:t>
          </w:r>
          <w:r w:rsidR="00825CD6" w:rsidRPr="00FE71D6">
            <w:t xml:space="preserve">; </w:t>
          </w:r>
          <w:r w:rsidR="00825CD6" w:rsidRPr="00FE71D6">
            <w:rPr>
              <w:rFonts w:asciiTheme="majorBidi" w:hAnsiTheme="majorBidi" w:cstheme="majorBidi"/>
            </w:rPr>
            <w:t>operational profit margin</w:t>
          </w:r>
          <w:r w:rsidR="00825CD6" w:rsidRPr="00FE71D6">
            <w:t xml:space="preserve">; and </w:t>
          </w:r>
          <w:r w:rsidR="00825CD6" w:rsidRPr="00FE71D6">
            <w:rPr>
              <w:rFonts w:asciiTheme="majorBidi" w:hAnsiTheme="majorBidi" w:cstheme="majorBidi"/>
            </w:rPr>
            <w:t>competitive position.</w:t>
          </w:r>
          <w:r w:rsidR="00825CD6" w:rsidRPr="00FE71D6">
            <w:t>)</w:t>
          </w:r>
          <w:r w:rsidRPr="00FE71D6">
            <w:t xml:space="preserve">. </w:t>
          </w:r>
        </w:p>
        <w:p w:rsidR="0016231D" w:rsidRPr="00FE71D6" w:rsidRDefault="00BF0C7D" w:rsidP="00C00087">
          <w:pPr>
            <w:pStyle w:val="Paragraph"/>
            <w:spacing w:before="0" w:after="240"/>
            <w:ind w:firstLine="720"/>
            <w:jc w:val="both"/>
          </w:pPr>
          <w:r w:rsidRPr="00FE71D6">
            <w:t>Moreover, it gave indicators with elevated reliability than particular items. Firstly, the conducted questionnaires were sorted on the basis of the company type. Then, the paper questionnaires were encoded in the Microsoft Excel based on the constructs and their associated indicators. Next, they were processed in the Statistical Package for the Social Sciences (SPSS) program. Finally, they were transferred to the Analysis of Moment Structures (AMOS) which is a visual program for the Structural Equation Modelling (SEM)</w:t>
          </w:r>
          <w:r w:rsidR="0016231D" w:rsidRPr="00FE71D6">
            <w:t>.</w:t>
          </w:r>
        </w:p>
        <w:p w:rsidR="00256314" w:rsidRPr="00FE71D6" w:rsidRDefault="00256314" w:rsidP="009A7824">
          <w:pPr>
            <w:pStyle w:val="Caption"/>
            <w:spacing w:after="100"/>
            <w:rPr>
              <w:color w:val="auto"/>
              <w:sz w:val="24"/>
              <w:szCs w:val="24"/>
            </w:rPr>
          </w:pPr>
        </w:p>
        <w:p w:rsidR="00256314" w:rsidRPr="00FE71D6" w:rsidRDefault="00256314" w:rsidP="009A7824">
          <w:pPr>
            <w:pStyle w:val="Caption"/>
            <w:spacing w:after="100"/>
            <w:rPr>
              <w:color w:val="auto"/>
              <w:sz w:val="24"/>
              <w:szCs w:val="24"/>
            </w:rPr>
          </w:pPr>
        </w:p>
        <w:p w:rsidR="00256314" w:rsidRPr="00FE71D6" w:rsidRDefault="00256314" w:rsidP="009A7824">
          <w:pPr>
            <w:pStyle w:val="Caption"/>
            <w:spacing w:after="100"/>
            <w:rPr>
              <w:color w:val="auto"/>
              <w:sz w:val="24"/>
              <w:szCs w:val="24"/>
            </w:rPr>
          </w:pPr>
        </w:p>
        <w:p w:rsidR="00256314" w:rsidRPr="00FE71D6" w:rsidRDefault="00256314" w:rsidP="009A7824">
          <w:pPr>
            <w:pStyle w:val="Caption"/>
            <w:spacing w:after="100"/>
            <w:rPr>
              <w:color w:val="auto"/>
              <w:sz w:val="24"/>
              <w:szCs w:val="24"/>
            </w:rPr>
          </w:pPr>
        </w:p>
        <w:p w:rsidR="00256314" w:rsidRPr="00FE71D6" w:rsidRDefault="00256314" w:rsidP="009A7824">
          <w:pPr>
            <w:pStyle w:val="Caption"/>
            <w:spacing w:after="100"/>
            <w:rPr>
              <w:color w:val="auto"/>
              <w:sz w:val="24"/>
              <w:szCs w:val="24"/>
            </w:rPr>
          </w:pPr>
        </w:p>
        <w:p w:rsidR="00256314" w:rsidRPr="00FE71D6" w:rsidRDefault="00256314" w:rsidP="009A7824">
          <w:pPr>
            <w:pStyle w:val="Caption"/>
            <w:spacing w:after="100"/>
            <w:rPr>
              <w:color w:val="auto"/>
              <w:sz w:val="24"/>
              <w:szCs w:val="24"/>
            </w:rPr>
          </w:pPr>
        </w:p>
        <w:p w:rsidR="00256314" w:rsidRPr="00FE71D6" w:rsidRDefault="00256314" w:rsidP="009A7824">
          <w:pPr>
            <w:pStyle w:val="Caption"/>
            <w:spacing w:after="100"/>
            <w:rPr>
              <w:color w:val="auto"/>
              <w:sz w:val="24"/>
              <w:szCs w:val="24"/>
            </w:rPr>
          </w:pPr>
        </w:p>
        <w:p w:rsidR="00256314" w:rsidRPr="00FE71D6" w:rsidRDefault="00256314" w:rsidP="009A7824">
          <w:pPr>
            <w:pStyle w:val="Caption"/>
            <w:spacing w:after="100"/>
            <w:rPr>
              <w:color w:val="auto"/>
              <w:sz w:val="24"/>
              <w:szCs w:val="24"/>
            </w:rPr>
          </w:pPr>
        </w:p>
        <w:p w:rsidR="00256314" w:rsidRPr="00FE71D6" w:rsidRDefault="00256314" w:rsidP="009A7824">
          <w:pPr>
            <w:pStyle w:val="Caption"/>
            <w:spacing w:after="100"/>
            <w:rPr>
              <w:color w:val="auto"/>
              <w:sz w:val="24"/>
              <w:szCs w:val="24"/>
            </w:rPr>
          </w:pPr>
        </w:p>
        <w:p w:rsidR="00256314" w:rsidRPr="00FE71D6" w:rsidRDefault="00256314" w:rsidP="009A7824">
          <w:pPr>
            <w:pStyle w:val="Caption"/>
            <w:spacing w:after="100"/>
            <w:rPr>
              <w:color w:val="auto"/>
              <w:sz w:val="24"/>
              <w:szCs w:val="24"/>
            </w:rPr>
          </w:pPr>
        </w:p>
        <w:p w:rsidR="00256314" w:rsidRPr="00FE71D6" w:rsidRDefault="00256314" w:rsidP="009A7824">
          <w:pPr>
            <w:pStyle w:val="Caption"/>
            <w:spacing w:after="100"/>
            <w:rPr>
              <w:color w:val="auto"/>
              <w:sz w:val="24"/>
              <w:szCs w:val="24"/>
            </w:rPr>
          </w:pPr>
        </w:p>
        <w:p w:rsidR="00256314" w:rsidRPr="00FE71D6" w:rsidRDefault="00256314" w:rsidP="009A7824">
          <w:pPr>
            <w:pStyle w:val="Caption"/>
            <w:spacing w:after="100"/>
            <w:rPr>
              <w:color w:val="auto"/>
              <w:sz w:val="24"/>
              <w:szCs w:val="24"/>
            </w:rPr>
          </w:pPr>
        </w:p>
        <w:p w:rsidR="00256314" w:rsidRPr="00FE71D6" w:rsidRDefault="00256314" w:rsidP="009A7824">
          <w:pPr>
            <w:pStyle w:val="Caption"/>
            <w:spacing w:after="100"/>
            <w:rPr>
              <w:color w:val="auto"/>
              <w:sz w:val="24"/>
              <w:szCs w:val="24"/>
            </w:rPr>
          </w:pPr>
        </w:p>
        <w:p w:rsidR="00256314" w:rsidRPr="00FE71D6" w:rsidRDefault="00256314" w:rsidP="009A7824">
          <w:pPr>
            <w:pStyle w:val="Caption"/>
            <w:spacing w:after="100"/>
            <w:rPr>
              <w:color w:val="auto"/>
              <w:sz w:val="24"/>
              <w:szCs w:val="24"/>
            </w:rPr>
          </w:pPr>
        </w:p>
        <w:p w:rsidR="00256314" w:rsidRPr="00FE71D6" w:rsidRDefault="00256314" w:rsidP="009A7824">
          <w:pPr>
            <w:pStyle w:val="Caption"/>
            <w:spacing w:after="100"/>
            <w:rPr>
              <w:color w:val="auto"/>
              <w:sz w:val="24"/>
              <w:szCs w:val="24"/>
            </w:rPr>
          </w:pPr>
        </w:p>
        <w:p w:rsidR="000B0485" w:rsidRPr="00FE71D6" w:rsidRDefault="00645926" w:rsidP="00D86636">
          <w:pPr>
            <w:pStyle w:val="Heading1"/>
            <w:rPr>
              <w:rFonts w:cs="Times New Roman"/>
            </w:rPr>
          </w:pPr>
          <w:bookmarkStart w:id="45" w:name="_Toc495527322"/>
          <w:bookmarkStart w:id="46" w:name="_Toc500087481"/>
          <w:r w:rsidRPr="00FE71D6">
            <w:rPr>
              <w:rFonts w:cs="Times New Roman"/>
            </w:rPr>
            <w:t>CHAPTER FIVE</w:t>
          </w:r>
          <w:r w:rsidR="000B0485" w:rsidRPr="00FE71D6">
            <w:rPr>
              <w:rFonts w:cs="Times New Roman"/>
            </w:rPr>
            <w:t>: DATA ANALYSIS</w:t>
          </w:r>
          <w:bookmarkEnd w:id="45"/>
          <w:bookmarkEnd w:id="46"/>
        </w:p>
        <w:p w:rsidR="000B0485" w:rsidRPr="00FE71D6" w:rsidRDefault="008B5730" w:rsidP="00C00087">
          <w:pPr>
            <w:pStyle w:val="Affiliation"/>
            <w:spacing w:before="0" w:after="240" w:line="480" w:lineRule="auto"/>
            <w:jc w:val="both"/>
            <w:rPr>
              <w:i w:val="0"/>
              <w:iCs/>
            </w:rPr>
          </w:pPr>
          <w:r w:rsidRPr="00FE71D6">
            <w:rPr>
              <w:i w:val="0"/>
              <w:iCs/>
            </w:rPr>
            <w:t>This chapter essentially focuses on how the data was analysed. So, it consists of three sections which are validity and reliability, validity analyses, and latent variable model analysis that are elaborated in details below</w:t>
          </w:r>
          <w:r w:rsidR="000B0485" w:rsidRPr="00FE71D6">
            <w:rPr>
              <w:i w:val="0"/>
              <w:iCs/>
            </w:rPr>
            <w:t>.</w:t>
          </w:r>
        </w:p>
        <w:p w:rsidR="000B0485" w:rsidRPr="00FE71D6" w:rsidRDefault="000B0485" w:rsidP="003A6DA6">
          <w:pPr>
            <w:pStyle w:val="Heading2"/>
            <w:contextualSpacing w:val="0"/>
            <w:rPr>
              <w:rFonts w:cs="Times New Roman"/>
              <w:lang w:val="en-US"/>
            </w:rPr>
          </w:pPr>
          <w:bookmarkStart w:id="47" w:name="_Toc495527323"/>
          <w:bookmarkStart w:id="48" w:name="_Toc500087482"/>
          <w:r w:rsidRPr="00FE71D6">
            <w:rPr>
              <w:rFonts w:cs="Times New Roman"/>
              <w:lang w:val="en-US"/>
            </w:rPr>
            <w:t>5.1 Validity and Reliability</w:t>
          </w:r>
          <w:bookmarkEnd w:id="47"/>
          <w:bookmarkEnd w:id="48"/>
        </w:p>
        <w:p w:rsidR="000B0485" w:rsidRPr="00FE71D6" w:rsidRDefault="008B5730" w:rsidP="00C00087">
          <w:pPr>
            <w:pStyle w:val="Paragraph"/>
            <w:spacing w:before="0" w:after="120"/>
            <w:jc w:val="both"/>
          </w:pPr>
          <w:r w:rsidRPr="00FE71D6">
            <w:t>In advance, a latent model analysis is performed; the validity and reliability of the constructs have to be evaluated. The unidimensionality and reliability of the ranges have to be founded prior to their convergent and discriminant validities are evaluated</w:t>
          </w:r>
          <w:r w:rsidR="000B0485" w:rsidRPr="00FE71D6">
            <w:t>.</w:t>
          </w:r>
        </w:p>
        <w:p w:rsidR="000B0485" w:rsidRPr="00FE71D6" w:rsidRDefault="000B0485" w:rsidP="00405FCB">
          <w:pPr>
            <w:pStyle w:val="Heading3"/>
            <w:rPr>
              <w:rFonts w:cs="Times New Roman"/>
              <w:bCs w:val="0"/>
              <w:iCs w:val="0"/>
              <w:lang w:val="en-US"/>
            </w:rPr>
          </w:pPr>
          <w:bookmarkStart w:id="49" w:name="_Toc495527324"/>
          <w:bookmarkStart w:id="50" w:name="_Toc500087483"/>
          <w:r w:rsidRPr="00FE71D6">
            <w:rPr>
              <w:rFonts w:cs="Times New Roman"/>
              <w:bCs w:val="0"/>
              <w:iCs w:val="0"/>
              <w:lang w:val="en-US"/>
            </w:rPr>
            <w:t>5.1.1 Unidimensionality</w:t>
          </w:r>
          <w:bookmarkEnd w:id="49"/>
          <w:bookmarkEnd w:id="50"/>
        </w:p>
        <w:p w:rsidR="00C00087" w:rsidRPr="00FE71D6" w:rsidRDefault="008B5730" w:rsidP="00C00087">
          <w:pPr>
            <w:pStyle w:val="Paragraph"/>
            <w:spacing w:before="0"/>
            <w:jc w:val="both"/>
          </w:pPr>
          <w:r w:rsidRPr="00FE71D6">
            <w:t>It measures the degree to which the indicators in a range gauge completely the identical construct</w:t>
          </w:r>
          <w:r w:rsidR="00057C84" w:rsidRPr="00FE71D6">
            <w:t xml:space="preserve"> </w:t>
          </w:r>
          <w:sdt>
            <w:sdtPr>
              <w:id w:val="-1859962445"/>
              <w:citation/>
            </w:sdtPr>
            <w:sdtEndPr/>
            <w:sdtContent>
              <w:r w:rsidR="00057C84" w:rsidRPr="00FE71D6">
                <w:fldChar w:fldCharType="begin"/>
              </w:r>
              <w:r w:rsidR="00057C84" w:rsidRPr="00FE71D6">
                <w:rPr>
                  <w:lang w:val="en-US"/>
                </w:rPr>
                <w:instrText xml:space="preserve"> CITATION Ven89 \l 1033 </w:instrText>
              </w:r>
              <w:r w:rsidR="00057C84" w:rsidRPr="00FE71D6">
                <w:fldChar w:fldCharType="separate"/>
              </w:r>
              <w:r w:rsidR="00057C84" w:rsidRPr="00FE71D6">
                <w:rPr>
                  <w:noProof/>
                  <w:lang w:val="en-US"/>
                </w:rPr>
                <w:t>(Venkatraman, 1989)</w:t>
              </w:r>
              <w:r w:rsidR="00057C84" w:rsidRPr="00FE71D6">
                <w:fldChar w:fldCharType="end"/>
              </w:r>
            </w:sdtContent>
          </w:sdt>
          <w:r w:rsidR="00057C84" w:rsidRPr="00FE71D6">
            <w:t>.</w:t>
          </w:r>
          <w:r w:rsidR="000B0485" w:rsidRPr="00FE71D6">
            <w:t xml:space="preserve"> </w:t>
          </w:r>
          <w:r w:rsidRPr="00FE71D6">
            <w:t>Confirmatory Factor Analysis (CFA) can be employed to evaluate unidimensionality. A confirmatory factor analysis was performed for every one of the six constructs</w:t>
          </w:r>
          <w:r w:rsidR="000B0485" w:rsidRPr="00FE71D6">
            <w:t xml:space="preserve"> </w:t>
          </w:r>
          <w:r w:rsidR="00003479" w:rsidRPr="00FE71D6">
            <w:t>(</w:t>
          </w:r>
          <w:r w:rsidR="001E2E24" w:rsidRPr="00FE71D6">
            <w:t xml:space="preserve">the </w:t>
          </w:r>
          <w:r w:rsidR="00003479" w:rsidRPr="00FE71D6">
            <w:t>supplier partnership</w:t>
          </w:r>
          <w:r w:rsidR="001E2E24" w:rsidRPr="00FE71D6">
            <w:t xml:space="preserve"> construct</w:t>
          </w:r>
          <w:r w:rsidR="00003479" w:rsidRPr="00FE71D6">
            <w:t xml:space="preserve">, </w:t>
          </w:r>
          <w:r w:rsidR="001E2E24" w:rsidRPr="00FE71D6">
            <w:t xml:space="preserve">the </w:t>
          </w:r>
          <w:r w:rsidR="00003479" w:rsidRPr="00FE71D6">
            <w:t>customer relationship</w:t>
          </w:r>
          <w:r w:rsidR="001E2E24" w:rsidRPr="00FE71D6">
            <w:t xml:space="preserve"> construct</w:t>
          </w:r>
          <w:r w:rsidR="00003479" w:rsidRPr="00FE71D6">
            <w:t xml:space="preserve">, </w:t>
          </w:r>
          <w:r w:rsidR="001E2E24" w:rsidRPr="00FE71D6">
            <w:t xml:space="preserve">the </w:t>
          </w:r>
          <w:r w:rsidR="00003479" w:rsidRPr="00FE71D6">
            <w:t>information sharing</w:t>
          </w:r>
          <w:r w:rsidR="001E2E24" w:rsidRPr="00FE71D6">
            <w:t xml:space="preserve"> construct</w:t>
          </w:r>
          <w:r w:rsidR="00003479" w:rsidRPr="00FE71D6">
            <w:t xml:space="preserve">, </w:t>
          </w:r>
          <w:r w:rsidR="001E2E24" w:rsidRPr="00FE71D6">
            <w:t xml:space="preserve">the </w:t>
          </w:r>
          <w:r w:rsidR="00003479" w:rsidRPr="00FE71D6">
            <w:t>lean system</w:t>
          </w:r>
          <w:r w:rsidR="001E2E24" w:rsidRPr="00FE71D6">
            <w:t xml:space="preserve"> construct</w:t>
          </w:r>
          <w:r w:rsidR="00003479" w:rsidRPr="00FE71D6">
            <w:t xml:space="preserve">, </w:t>
          </w:r>
          <w:r w:rsidR="001E2E24" w:rsidRPr="00FE71D6">
            <w:t xml:space="preserve">the </w:t>
          </w:r>
          <w:r w:rsidR="00003479" w:rsidRPr="00FE71D6">
            <w:t>net trade cycle</w:t>
          </w:r>
          <w:r w:rsidR="001E2E24" w:rsidRPr="00FE71D6">
            <w:t xml:space="preserve"> construct</w:t>
          </w:r>
          <w:r w:rsidR="00003479" w:rsidRPr="00FE71D6">
            <w:t xml:space="preserve">, and </w:t>
          </w:r>
          <w:r w:rsidR="001E2E24" w:rsidRPr="00FE71D6">
            <w:t xml:space="preserve">the </w:t>
          </w:r>
          <w:r w:rsidR="00003479" w:rsidRPr="00FE71D6">
            <w:t>financial performance</w:t>
          </w:r>
          <w:r w:rsidR="001E2E24" w:rsidRPr="00FE71D6">
            <w:t xml:space="preserve"> construct</w:t>
          </w:r>
          <w:r w:rsidR="00003479" w:rsidRPr="00FE71D6">
            <w:t xml:space="preserve">) </w:t>
          </w:r>
          <w:r w:rsidR="000B0485" w:rsidRPr="00FE71D6">
            <w:t xml:space="preserve">to verify the 27 indicators </w:t>
          </w:r>
          <w:r w:rsidR="00003479" w:rsidRPr="00FE71D6">
            <w:t>(</w:t>
          </w:r>
          <w:r w:rsidRPr="00FE71D6">
            <w:t>five indicators of the supplier partnership construct: degree of excellence is considered as the number one standard in choosing suppliers, issues are solved mutually with suppliers, suppliers are helped to enhance their product degree of excellence, main suppliers are involved in continuous improvement programs, and main suppliers are involved in forecasting and setting goal actions; five indicators of the customer relationship construct: customers are contacted to establish dependability, receptiveness, and other criteria, customer gratification is measured and evaluated, future customer anticipations are determined, customers’ capability is facilitated to look for help, and the prominence of relationship with customers is evaluated; four indicators of the information sharing construct: trading partners are informed in advance of altering requirements, trading partners share solid data, trading partners share commercial information of essential commercial procedures, and trading partners are retained completely knowledgeable about problems that impact commerce; five indicators of the lean system construct: suppliers are pushed for shorter lead time, pull production system is used, suppliers are streamlined for ordering, receiving, and other paperwork, inspection of incoming materials is reduced, and inspection of outbound materials is reduced; four indicators of the net trade cycle construct: shortening number of days it takes for a company’s trade debtors to pay their dues, shortening number of days a company ties its funds to inventory, extending number of days a company defers payments to its suppliers and other creditors, and shortening number of days of sales that it consumes for a company to transfer resource inputs into cash flows; and four indicators of the financial performance construct: return on assets, return on equity, operational profit margin, and competitive position</w:t>
          </w:r>
          <w:r w:rsidR="00F03C85" w:rsidRPr="00FE71D6">
            <w:t xml:space="preserve">) </w:t>
          </w:r>
          <w:r w:rsidRPr="00FE71D6">
            <w:t xml:space="preserve">of the gauged construct so that they were allocated sufficiently. </w:t>
          </w:r>
        </w:p>
        <w:p w:rsidR="000B0485" w:rsidRPr="00FE71D6" w:rsidRDefault="008B5730" w:rsidP="00C00087">
          <w:pPr>
            <w:pStyle w:val="Paragraph"/>
            <w:spacing w:before="0" w:after="120"/>
            <w:ind w:firstLine="720"/>
            <w:jc w:val="both"/>
          </w:pPr>
          <w:r w:rsidRPr="00FE71D6">
            <w:t>Maximum likelihood evaluation was used to assess the six confirmatory factor analysis models</w:t>
          </w:r>
          <w:r w:rsidR="00176A04" w:rsidRPr="00FE71D6">
            <w:t xml:space="preserve"> (</w:t>
          </w:r>
          <w:r w:rsidR="001E2E24" w:rsidRPr="00FE71D6">
            <w:t xml:space="preserve">the </w:t>
          </w:r>
          <w:r w:rsidR="00176A04" w:rsidRPr="00FE71D6">
            <w:t>supplier partnership</w:t>
          </w:r>
          <w:r w:rsidR="001E2E24" w:rsidRPr="00FE71D6">
            <w:t xml:space="preserve"> construct</w:t>
          </w:r>
          <w:r w:rsidR="00176A04" w:rsidRPr="00FE71D6">
            <w:t xml:space="preserve">, </w:t>
          </w:r>
          <w:r w:rsidR="001E2E24" w:rsidRPr="00FE71D6">
            <w:t xml:space="preserve">the </w:t>
          </w:r>
          <w:r w:rsidR="00176A04" w:rsidRPr="00FE71D6">
            <w:t>customer relationship</w:t>
          </w:r>
          <w:r w:rsidR="001E2E24" w:rsidRPr="00FE71D6">
            <w:t xml:space="preserve"> construct</w:t>
          </w:r>
          <w:r w:rsidR="00176A04" w:rsidRPr="00FE71D6">
            <w:t xml:space="preserve">, </w:t>
          </w:r>
          <w:r w:rsidR="001E2E24" w:rsidRPr="00FE71D6">
            <w:t xml:space="preserve">the </w:t>
          </w:r>
          <w:r w:rsidR="00176A04" w:rsidRPr="00FE71D6">
            <w:t>information sharing</w:t>
          </w:r>
          <w:r w:rsidR="001E2E24" w:rsidRPr="00FE71D6">
            <w:t xml:space="preserve"> construct</w:t>
          </w:r>
          <w:r w:rsidR="00176A04" w:rsidRPr="00FE71D6">
            <w:t xml:space="preserve">, </w:t>
          </w:r>
          <w:r w:rsidR="001E2E24" w:rsidRPr="00FE71D6">
            <w:t xml:space="preserve">the </w:t>
          </w:r>
          <w:r w:rsidR="00176A04" w:rsidRPr="00FE71D6">
            <w:t>lean system</w:t>
          </w:r>
          <w:r w:rsidR="001E2E24" w:rsidRPr="00FE71D6">
            <w:t xml:space="preserve"> construct</w:t>
          </w:r>
          <w:r w:rsidR="00176A04" w:rsidRPr="00FE71D6">
            <w:t xml:space="preserve">, </w:t>
          </w:r>
          <w:r w:rsidR="001E2E24" w:rsidRPr="00FE71D6">
            <w:t xml:space="preserve">the </w:t>
          </w:r>
          <w:r w:rsidR="00176A04" w:rsidRPr="00FE71D6">
            <w:t>net trade cycle</w:t>
          </w:r>
          <w:r w:rsidR="001E2E24" w:rsidRPr="00FE71D6">
            <w:t xml:space="preserve"> construct</w:t>
          </w:r>
          <w:r w:rsidR="00176A04" w:rsidRPr="00FE71D6">
            <w:t xml:space="preserve">, and </w:t>
          </w:r>
          <w:r w:rsidR="001E2E24" w:rsidRPr="00FE71D6">
            <w:t xml:space="preserve">the </w:t>
          </w:r>
          <w:r w:rsidR="00176A04" w:rsidRPr="00FE71D6">
            <w:t>financial performance</w:t>
          </w:r>
          <w:r w:rsidR="001E2E24" w:rsidRPr="00FE71D6">
            <w:t xml:space="preserve"> construct</w:t>
          </w:r>
          <w:r w:rsidR="00176A04" w:rsidRPr="00FE71D6">
            <w:t>)</w:t>
          </w:r>
          <w:r w:rsidR="000B0485" w:rsidRPr="00FE71D6">
            <w:t xml:space="preserve">. </w:t>
          </w:r>
          <w:r w:rsidR="009B58DA" w:rsidRPr="00FE71D6">
            <w:t>A Structural Equation Modelling (SEM) program was employed through this research to conduct the analyses</w:t>
          </w:r>
          <w:r w:rsidR="000B0485" w:rsidRPr="00FE71D6">
            <w:t>.</w:t>
          </w:r>
        </w:p>
        <w:p w:rsidR="00761C76" w:rsidRPr="00FE71D6" w:rsidRDefault="00761C76" w:rsidP="00761C76">
          <w:pPr>
            <w:pStyle w:val="Caption"/>
            <w:spacing w:after="100"/>
            <w:rPr>
              <w:b w:val="0"/>
              <w:bCs w:val="0"/>
              <w:color w:val="auto"/>
              <w:sz w:val="24"/>
              <w:szCs w:val="24"/>
              <w:lang w:val="en-US"/>
            </w:rPr>
          </w:pPr>
          <w:bookmarkStart w:id="51" w:name="_Toc500087396"/>
          <w:bookmarkStart w:id="52" w:name="_Toc495527325"/>
          <w:r w:rsidRPr="00FE71D6">
            <w:rPr>
              <w:color w:val="auto"/>
              <w:sz w:val="24"/>
              <w:szCs w:val="24"/>
            </w:rPr>
            <w:t xml:space="preserve">Table </w:t>
          </w:r>
          <w:r w:rsidRPr="00FE71D6">
            <w:rPr>
              <w:color w:val="auto"/>
              <w:sz w:val="24"/>
              <w:szCs w:val="24"/>
            </w:rPr>
            <w:fldChar w:fldCharType="begin"/>
          </w:r>
          <w:r w:rsidRPr="00FE71D6">
            <w:rPr>
              <w:color w:val="auto"/>
              <w:sz w:val="24"/>
              <w:szCs w:val="24"/>
            </w:rPr>
            <w:instrText xml:space="preserve"> SEQ Table \* ARABIC </w:instrText>
          </w:r>
          <w:r w:rsidRPr="00FE71D6">
            <w:rPr>
              <w:color w:val="auto"/>
              <w:sz w:val="24"/>
              <w:szCs w:val="24"/>
            </w:rPr>
            <w:fldChar w:fldCharType="separate"/>
          </w:r>
          <w:r w:rsidRPr="00FE71D6">
            <w:rPr>
              <w:noProof/>
              <w:color w:val="auto"/>
              <w:sz w:val="24"/>
              <w:szCs w:val="24"/>
            </w:rPr>
            <w:t>3</w:t>
          </w:r>
          <w:r w:rsidRPr="00FE71D6">
            <w:rPr>
              <w:color w:val="auto"/>
              <w:sz w:val="24"/>
              <w:szCs w:val="24"/>
            </w:rPr>
            <w:fldChar w:fldCharType="end"/>
          </w:r>
          <w:r w:rsidRPr="00FE71D6">
            <w:rPr>
              <w:color w:val="auto"/>
              <w:sz w:val="24"/>
              <w:szCs w:val="24"/>
            </w:rPr>
            <w:t xml:space="preserve">. </w:t>
          </w:r>
          <w:r w:rsidRPr="00FE71D6">
            <w:rPr>
              <w:b w:val="0"/>
              <w:bCs w:val="0"/>
              <w:color w:val="auto"/>
              <w:sz w:val="24"/>
              <w:szCs w:val="24"/>
            </w:rPr>
            <w:t>Goodness-of-Fit Indices for CFA</w:t>
          </w:r>
          <w:bookmarkEnd w:id="51"/>
        </w:p>
        <w:tbl>
          <w:tblPr>
            <w:tblStyle w:val="TableGrid"/>
            <w:tblW w:w="0" w:type="auto"/>
            <w:tblInd w:w="108" w:type="dxa"/>
            <w:tblLook w:val="04A0" w:firstRow="1" w:lastRow="0" w:firstColumn="1" w:lastColumn="0" w:noHBand="0" w:noVBand="1"/>
          </w:tblPr>
          <w:tblGrid>
            <w:gridCol w:w="3137"/>
            <w:gridCol w:w="2027"/>
            <w:gridCol w:w="1143"/>
            <w:gridCol w:w="1281"/>
          </w:tblGrid>
          <w:tr w:rsidR="00FE71D6" w:rsidRPr="00FE71D6" w:rsidTr="00761C76">
            <w:trPr>
              <w:trHeight w:val="346"/>
            </w:trPr>
            <w:tc>
              <w:tcPr>
                <w:tcW w:w="3137" w:type="dxa"/>
                <w:shd w:val="clear" w:color="auto" w:fill="D9D9D9" w:themeFill="background1" w:themeFillShade="D9"/>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b/>
                    <w:bCs/>
                    <w:sz w:val="22"/>
                    <w:szCs w:val="22"/>
                  </w:rPr>
                </w:pPr>
                <w:r w:rsidRPr="00FE71D6">
                  <w:rPr>
                    <w:rFonts w:ascii="Times New Roman" w:hAnsi="Times New Roman" w:cs="Times New Roman"/>
                    <w:b/>
                    <w:bCs/>
                    <w:sz w:val="22"/>
                    <w:szCs w:val="22"/>
                  </w:rPr>
                  <w:t>Factors &amp; Indicators</w:t>
                </w:r>
              </w:p>
            </w:tc>
            <w:tc>
              <w:tcPr>
                <w:tcW w:w="2027" w:type="dxa"/>
                <w:shd w:val="clear" w:color="auto" w:fill="D9D9D9" w:themeFill="background1" w:themeFillShade="D9"/>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Factor Loadings</w:t>
                </w:r>
              </w:p>
            </w:tc>
            <w:tc>
              <w:tcPr>
                <w:tcW w:w="1143" w:type="dxa"/>
                <w:shd w:val="clear" w:color="auto" w:fill="D9D9D9" w:themeFill="background1" w:themeFillShade="D9"/>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b/>
                    <w:bCs/>
                    <w:i/>
                    <w:iCs/>
                    <w:sz w:val="22"/>
                    <w:szCs w:val="22"/>
                  </w:rPr>
                </w:pPr>
                <w:r w:rsidRPr="00FE71D6">
                  <w:rPr>
                    <w:rFonts w:ascii="Times New Roman" w:hAnsi="Times New Roman" w:cs="Times New Roman"/>
                    <w:b/>
                    <w:bCs/>
                    <w:i/>
                    <w:iCs/>
                    <w:sz w:val="22"/>
                    <w:szCs w:val="22"/>
                  </w:rPr>
                  <w:t>R</w:t>
                </w:r>
                <w:r w:rsidRPr="00FE71D6">
                  <w:rPr>
                    <w:rFonts w:ascii="Times New Roman" w:hAnsi="Times New Roman" w:cs="Times New Roman"/>
                    <w:b/>
                    <w:bCs/>
                    <w:i/>
                    <w:iCs/>
                    <w:sz w:val="22"/>
                    <w:szCs w:val="22"/>
                    <w:vertAlign w:val="superscript"/>
                  </w:rPr>
                  <w:t>2</w:t>
                </w:r>
              </w:p>
            </w:tc>
            <w:tc>
              <w:tcPr>
                <w:tcW w:w="1281" w:type="dxa"/>
                <w:shd w:val="clear" w:color="auto" w:fill="D9D9D9" w:themeFill="background1" w:themeFillShade="D9"/>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b/>
                    <w:bCs/>
                    <w:i/>
                    <w:iCs/>
                    <w:sz w:val="22"/>
                    <w:szCs w:val="22"/>
                  </w:rPr>
                </w:pPr>
                <w:r w:rsidRPr="00FE71D6">
                  <w:rPr>
                    <w:rFonts w:ascii="Times New Roman" w:hAnsi="Times New Roman" w:cs="Times New Roman"/>
                    <w:b/>
                    <w:bCs/>
                    <w:i/>
                    <w:iCs/>
                    <w:sz w:val="22"/>
                    <w:szCs w:val="22"/>
                  </w:rPr>
                  <w:t>α</w:t>
                </w:r>
              </w:p>
            </w:tc>
          </w:tr>
          <w:tr w:rsidR="00FE71D6" w:rsidRPr="00FE71D6" w:rsidTr="00761C76">
            <w:trPr>
              <w:trHeight w:val="156"/>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b/>
                    <w:bCs/>
                    <w:i/>
                    <w:iCs/>
                    <w:sz w:val="20"/>
                    <w:szCs w:val="20"/>
                  </w:rPr>
                </w:pPr>
                <w:r w:rsidRPr="00FE71D6">
                  <w:rPr>
                    <w:rFonts w:ascii="Times New Roman" w:hAnsi="Times New Roman" w:cs="Times New Roman"/>
                    <w:b/>
                    <w:bCs/>
                    <w:i/>
                    <w:iCs/>
                    <w:sz w:val="20"/>
                    <w:szCs w:val="20"/>
                  </w:rPr>
                  <w:t>SP (Supplier Partnership)</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b/>
                    <w:bCs/>
                    <w:i/>
                    <w:iCs/>
                    <w:sz w:val="20"/>
                    <w:szCs w:val="20"/>
                  </w:rPr>
                </w:pPr>
                <w:r w:rsidRPr="00FE71D6">
                  <w:rPr>
                    <w:rFonts w:ascii="Times New Roman" w:hAnsi="Times New Roman" w:cs="Times New Roman"/>
                    <w:b/>
                    <w:bCs/>
                    <w:i/>
                    <w:iCs/>
                    <w:sz w:val="20"/>
                    <w:szCs w:val="20"/>
                  </w:rPr>
                  <w:t>.764</w:t>
                </w:r>
              </w:p>
            </w:tc>
          </w:tr>
          <w:tr w:rsidR="00FE71D6" w:rsidRPr="00FE71D6" w:rsidTr="00761C76">
            <w:trPr>
              <w:trHeight w:val="194"/>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SP1</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.748***</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.560</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18"/>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SP2</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.240**</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.058</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56"/>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SP3</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.952***</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.906</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56"/>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SP4</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.190*</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.036</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56"/>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SP5</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.678***</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.460</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94"/>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b/>
                    <w:bCs/>
                    <w:i/>
                    <w:iCs/>
                    <w:sz w:val="20"/>
                    <w:szCs w:val="20"/>
                  </w:rPr>
                </w:pPr>
                <w:r w:rsidRPr="00FE71D6">
                  <w:rPr>
                    <w:rFonts w:ascii="Times New Roman" w:hAnsi="Times New Roman" w:cs="Times New Roman"/>
                    <w:b/>
                    <w:bCs/>
                    <w:i/>
                    <w:iCs/>
                    <w:sz w:val="20"/>
                    <w:szCs w:val="20"/>
                  </w:rPr>
                  <w:t>CR (Customer Relationship)</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b/>
                    <w:bCs/>
                    <w:i/>
                    <w:iCs/>
                    <w:sz w:val="20"/>
                    <w:szCs w:val="20"/>
                  </w:rPr>
                </w:pPr>
                <w:r w:rsidRPr="00FE71D6">
                  <w:rPr>
                    <w:rFonts w:ascii="Times New Roman" w:hAnsi="Times New Roman" w:cs="Times New Roman"/>
                    <w:b/>
                    <w:bCs/>
                    <w:i/>
                    <w:iCs/>
                    <w:sz w:val="20"/>
                    <w:szCs w:val="20"/>
                  </w:rPr>
                  <w:t>.744</w:t>
                </w:r>
              </w:p>
            </w:tc>
          </w:tr>
          <w:tr w:rsidR="00FE71D6" w:rsidRPr="00FE71D6" w:rsidTr="00761C76">
            <w:trPr>
              <w:trHeight w:val="118"/>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CR1</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.537***</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.288</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56"/>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CR2</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.774***</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.599</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94"/>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CR3</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.258**</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.067</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94"/>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CR4</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.556***</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.309</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94"/>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CR5</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.359***</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.129</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211"/>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b/>
                    <w:bCs/>
                    <w:i/>
                    <w:iCs/>
                    <w:sz w:val="20"/>
                    <w:szCs w:val="20"/>
                  </w:rPr>
                </w:pPr>
                <w:r w:rsidRPr="00FE71D6">
                  <w:rPr>
                    <w:rFonts w:ascii="Times New Roman" w:hAnsi="Times New Roman" w:cs="Times New Roman"/>
                    <w:b/>
                    <w:bCs/>
                    <w:i/>
                    <w:iCs/>
                    <w:sz w:val="20"/>
                    <w:szCs w:val="20"/>
                  </w:rPr>
                  <w:t>IS (Information Sharing)</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b/>
                    <w:bCs/>
                    <w:i/>
                    <w:iCs/>
                    <w:sz w:val="20"/>
                    <w:szCs w:val="20"/>
                  </w:rPr>
                </w:pPr>
                <w:r w:rsidRPr="00FE71D6">
                  <w:rPr>
                    <w:rFonts w:ascii="Times New Roman" w:hAnsi="Times New Roman" w:cs="Times New Roman"/>
                    <w:b/>
                    <w:bCs/>
                    <w:i/>
                    <w:iCs/>
                    <w:sz w:val="20"/>
                    <w:szCs w:val="20"/>
                  </w:rPr>
                  <w:t>.880</w:t>
                </w:r>
              </w:p>
            </w:tc>
          </w:tr>
          <w:tr w:rsidR="00FE71D6" w:rsidRPr="00FE71D6" w:rsidTr="00761C76">
            <w:trPr>
              <w:trHeight w:val="156"/>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IS1</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.863***</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.745</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01"/>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IS2</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.235**</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.055</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18"/>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IS3</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.822***</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.676</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18"/>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IS4</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.926***</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.857</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56"/>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b/>
                    <w:bCs/>
                    <w:i/>
                    <w:iCs/>
                    <w:sz w:val="20"/>
                    <w:szCs w:val="20"/>
                  </w:rPr>
                </w:pPr>
                <w:r w:rsidRPr="00FE71D6">
                  <w:rPr>
                    <w:rFonts w:ascii="Times New Roman" w:hAnsi="Times New Roman" w:cs="Times New Roman"/>
                    <w:b/>
                    <w:bCs/>
                    <w:i/>
                    <w:iCs/>
                    <w:sz w:val="20"/>
                    <w:szCs w:val="20"/>
                  </w:rPr>
                  <w:t>LS (Lean System)</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b/>
                    <w:bCs/>
                    <w:i/>
                    <w:iCs/>
                    <w:sz w:val="20"/>
                    <w:szCs w:val="20"/>
                  </w:rPr>
                </w:pPr>
                <w:r w:rsidRPr="00FE71D6">
                  <w:rPr>
                    <w:rFonts w:ascii="Times New Roman" w:hAnsi="Times New Roman" w:cs="Times New Roman"/>
                    <w:b/>
                    <w:bCs/>
                    <w:i/>
                    <w:iCs/>
                    <w:sz w:val="20"/>
                    <w:szCs w:val="20"/>
                  </w:rPr>
                  <w:t>.846</w:t>
                </w:r>
              </w:p>
            </w:tc>
          </w:tr>
          <w:tr w:rsidR="00FE71D6" w:rsidRPr="00FE71D6" w:rsidTr="00761C76">
            <w:trPr>
              <w:trHeight w:val="101"/>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LS1</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.950***</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.903</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248"/>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LS2</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.183*</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.033</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56"/>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LS3</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.761***</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.579</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56"/>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LS4</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.649***</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.421</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56"/>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LS5</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.685***</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.469</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94"/>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b/>
                    <w:bCs/>
                    <w:i/>
                    <w:iCs/>
                    <w:sz w:val="20"/>
                    <w:szCs w:val="20"/>
                  </w:rPr>
                </w:pPr>
                <w:r w:rsidRPr="00FE71D6">
                  <w:rPr>
                    <w:rFonts w:ascii="Times New Roman" w:hAnsi="Times New Roman" w:cs="Times New Roman"/>
                    <w:b/>
                    <w:bCs/>
                    <w:i/>
                    <w:iCs/>
                    <w:sz w:val="20"/>
                    <w:szCs w:val="20"/>
                  </w:rPr>
                  <w:t>NTC (Net Trade Cycle)</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b/>
                    <w:bCs/>
                    <w:i/>
                    <w:iCs/>
                    <w:sz w:val="20"/>
                    <w:szCs w:val="20"/>
                  </w:rPr>
                </w:pPr>
                <w:r w:rsidRPr="00FE71D6">
                  <w:rPr>
                    <w:rFonts w:ascii="Times New Roman" w:hAnsi="Times New Roman" w:cs="Times New Roman"/>
                    <w:b/>
                    <w:bCs/>
                    <w:i/>
                    <w:iCs/>
                    <w:sz w:val="20"/>
                    <w:szCs w:val="20"/>
                  </w:rPr>
                  <w:t>.835</w:t>
                </w:r>
              </w:p>
            </w:tc>
          </w:tr>
          <w:tr w:rsidR="00FE71D6" w:rsidRPr="00FE71D6" w:rsidTr="00761C76">
            <w:trPr>
              <w:trHeight w:val="118"/>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NTC1</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.909***</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.826</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56"/>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NTC2</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.831***</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.691</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01"/>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NTC3</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.805***</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.648</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01"/>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NTC4</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.183*</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.033</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118"/>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b/>
                    <w:bCs/>
                    <w:i/>
                    <w:iCs/>
                    <w:sz w:val="20"/>
                    <w:szCs w:val="20"/>
                  </w:rPr>
                </w:pPr>
                <w:r w:rsidRPr="00FE71D6">
                  <w:rPr>
                    <w:rFonts w:ascii="Times New Roman" w:hAnsi="Times New Roman" w:cs="Times New Roman"/>
                    <w:b/>
                    <w:bCs/>
                    <w:i/>
                    <w:iCs/>
                    <w:sz w:val="20"/>
                    <w:szCs w:val="20"/>
                  </w:rPr>
                  <w:t>FP (Financial Performance)</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b/>
                    <w:bCs/>
                    <w:sz w:val="20"/>
                    <w:szCs w:val="20"/>
                  </w:rPr>
                </w:pP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b/>
                    <w:bCs/>
                    <w:sz w:val="20"/>
                    <w:szCs w:val="20"/>
                  </w:rPr>
                </w:pP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b/>
                    <w:bCs/>
                    <w:i/>
                    <w:iCs/>
                    <w:sz w:val="20"/>
                    <w:szCs w:val="20"/>
                  </w:rPr>
                </w:pPr>
                <w:r w:rsidRPr="00FE71D6">
                  <w:rPr>
                    <w:rFonts w:ascii="Times New Roman" w:hAnsi="Times New Roman" w:cs="Times New Roman"/>
                    <w:b/>
                    <w:bCs/>
                    <w:i/>
                    <w:iCs/>
                    <w:sz w:val="20"/>
                    <w:szCs w:val="20"/>
                  </w:rPr>
                  <w:t>.942</w:t>
                </w:r>
              </w:p>
            </w:tc>
          </w:tr>
          <w:tr w:rsidR="00FE71D6" w:rsidRPr="00FE71D6" w:rsidTr="00761C76">
            <w:trPr>
              <w:trHeight w:val="127"/>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FP1</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.933***</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.870</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82"/>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FP2</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.683***</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.466</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82"/>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FP3</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.932***</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.869</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r w:rsidR="00FE71D6" w:rsidRPr="00FE71D6" w:rsidTr="00761C76">
            <w:trPr>
              <w:trHeight w:val="66"/>
            </w:trPr>
            <w:tc>
              <w:tcPr>
                <w:tcW w:w="3137" w:type="dxa"/>
                <w:vAlign w:val="center"/>
              </w:tcPr>
              <w:p w:rsidR="00761C76" w:rsidRPr="00FE71D6" w:rsidRDefault="00761C76" w:rsidP="00180C22">
                <w:pPr>
                  <w:autoSpaceDE w:val="0"/>
                  <w:autoSpaceDN w:val="0"/>
                  <w:adjustRightInd w:val="0"/>
                  <w:spacing w:line="240" w:lineRule="auto"/>
                  <w:jc w:val="both"/>
                  <w:rPr>
                    <w:rFonts w:ascii="Times New Roman" w:hAnsi="Times New Roman" w:cs="Times New Roman"/>
                    <w:sz w:val="20"/>
                    <w:szCs w:val="20"/>
                  </w:rPr>
                </w:pPr>
                <w:r w:rsidRPr="00FE71D6">
                  <w:rPr>
                    <w:rFonts w:ascii="Times New Roman" w:hAnsi="Times New Roman" w:cs="Times New Roman"/>
                    <w:sz w:val="20"/>
                    <w:szCs w:val="20"/>
                  </w:rPr>
                  <w:t>FP4</w:t>
                </w:r>
              </w:p>
            </w:tc>
            <w:tc>
              <w:tcPr>
                <w:tcW w:w="2027"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.802***</w:t>
                </w:r>
              </w:p>
            </w:tc>
            <w:tc>
              <w:tcPr>
                <w:tcW w:w="1143"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r w:rsidRPr="00FE71D6">
                  <w:rPr>
                    <w:rFonts w:ascii="Times New Roman" w:hAnsi="Times New Roman" w:cs="Times New Roman"/>
                    <w:sz w:val="20"/>
                    <w:szCs w:val="20"/>
                  </w:rPr>
                  <w:t>.643</w:t>
                </w:r>
              </w:p>
            </w:tc>
            <w:tc>
              <w:tcPr>
                <w:tcW w:w="1281" w:type="dxa"/>
                <w:vAlign w:val="center"/>
              </w:tcPr>
              <w:p w:rsidR="00761C76" w:rsidRPr="00FE71D6" w:rsidRDefault="00761C76" w:rsidP="00180C22">
                <w:pPr>
                  <w:autoSpaceDE w:val="0"/>
                  <w:autoSpaceDN w:val="0"/>
                  <w:adjustRightInd w:val="0"/>
                  <w:spacing w:line="240" w:lineRule="auto"/>
                  <w:jc w:val="center"/>
                  <w:rPr>
                    <w:rFonts w:ascii="Times New Roman" w:hAnsi="Times New Roman" w:cs="Times New Roman"/>
                    <w:sz w:val="20"/>
                    <w:szCs w:val="20"/>
                  </w:rPr>
                </w:pPr>
              </w:p>
            </w:tc>
          </w:tr>
        </w:tbl>
        <w:p w:rsidR="00761C76" w:rsidRPr="00FE71D6" w:rsidRDefault="00761C76" w:rsidP="00C00087">
          <w:pPr>
            <w:autoSpaceDE w:val="0"/>
            <w:autoSpaceDN w:val="0"/>
            <w:adjustRightInd w:val="0"/>
            <w:spacing w:after="240"/>
            <w:jc w:val="both"/>
            <w:rPr>
              <w:i/>
              <w:iCs/>
            </w:rPr>
          </w:pPr>
          <w:r w:rsidRPr="00FE71D6">
            <w:rPr>
              <w:b/>
              <w:bCs/>
              <w:i/>
              <w:iCs/>
            </w:rPr>
            <w:t xml:space="preserve">Note: </w:t>
          </w:r>
          <w:r w:rsidRPr="00FE71D6">
            <w:rPr>
              <w:i/>
              <w:iCs/>
            </w:rPr>
            <w:t>*p&lt;.05, **p&lt;.01, ***p&lt;.001</w:t>
          </w:r>
        </w:p>
        <w:p w:rsidR="00A51FCA" w:rsidRPr="00FE71D6" w:rsidRDefault="00E271E3" w:rsidP="00C00087">
          <w:pPr>
            <w:pStyle w:val="Paragraph"/>
            <w:spacing w:before="0" w:after="120"/>
            <w:ind w:firstLine="720"/>
            <w:jc w:val="both"/>
          </w:pPr>
          <w:r w:rsidRPr="00FE71D6">
            <w:t>As with any statistical procedure, the utility of the results obtained in Exploratory Factor Analysis (EFA) is largely determined by the soundness of the design of the study from which the data are collected. If measured variables irrelevant to the domain of interest are included, then spurious common factors might emerge or true common factors might be obscured</w:t>
          </w:r>
          <w:r w:rsidR="00A51FCA" w:rsidRPr="00FE71D6">
            <w:t xml:space="preserve"> </w:t>
          </w:r>
          <w:r w:rsidR="00A51FCA" w:rsidRPr="00FE71D6">
            <w:rPr>
              <w:noProof/>
              <w:lang w:val="en-US"/>
            </w:rPr>
            <w:t>(Fabrigar et al., 1999)</w:t>
          </w:r>
          <w:r w:rsidR="00A51FCA" w:rsidRPr="00FE71D6">
            <w:t xml:space="preserve">. </w:t>
          </w:r>
          <w:r w:rsidRPr="00FE71D6">
            <w:t>Therefore, the domain of interest has been defined and the selection of measured variables has been specified via Confirmatory Factor Analysis (CFA)</w:t>
          </w:r>
          <w:r w:rsidR="00A51FCA" w:rsidRPr="00FE71D6">
            <w:t>.</w:t>
          </w:r>
        </w:p>
        <w:p w:rsidR="000B0485" w:rsidRPr="00FE71D6" w:rsidRDefault="000B0485" w:rsidP="00405FCB">
          <w:pPr>
            <w:pStyle w:val="Heading3"/>
            <w:rPr>
              <w:rFonts w:cs="Times New Roman"/>
              <w:bCs w:val="0"/>
              <w:iCs w:val="0"/>
              <w:lang w:val="en-US"/>
            </w:rPr>
          </w:pPr>
          <w:bookmarkStart w:id="53" w:name="_Toc500087484"/>
          <w:r w:rsidRPr="00FE71D6">
            <w:rPr>
              <w:rFonts w:cs="Times New Roman"/>
              <w:bCs w:val="0"/>
              <w:iCs w:val="0"/>
              <w:lang w:val="en-US"/>
            </w:rPr>
            <w:t>5.1.2 Parameter Estimates</w:t>
          </w:r>
          <w:bookmarkEnd w:id="52"/>
          <w:bookmarkEnd w:id="53"/>
          <w:r w:rsidRPr="00FE71D6">
            <w:rPr>
              <w:rFonts w:cs="Times New Roman"/>
              <w:bCs w:val="0"/>
              <w:iCs w:val="0"/>
              <w:lang w:val="en-US"/>
            </w:rPr>
            <w:t xml:space="preserve"> </w:t>
          </w:r>
        </w:p>
        <w:p w:rsidR="006355BD" w:rsidRPr="00FE71D6" w:rsidRDefault="00E4248B" w:rsidP="00C00087">
          <w:pPr>
            <w:pStyle w:val="Paragraph"/>
            <w:spacing w:before="0"/>
            <w:jc w:val="both"/>
          </w:pPr>
          <w:r w:rsidRPr="00FE71D6">
            <w:rPr>
              <w:lang w:val="en-US"/>
            </w:rPr>
            <w:t>In statistical analysis, parameters are descriptive gauges of an entire population. However, their values are usually unknown because it is impossible to gauge an entire population. Because of this, you can take a random sample from the population to get parameter estimates. One goal of statistical analyses is to get estimates of the population parameters along with the amount of error related with these estimates. A fitted distribution line is a curve based on the parameter estimates instead of the true parameter values</w:t>
          </w:r>
          <w:r w:rsidR="006355BD" w:rsidRPr="00FE71D6">
            <w:rPr>
              <w:lang w:val="en-US"/>
            </w:rPr>
            <w:t>.</w:t>
          </w:r>
        </w:p>
        <w:p w:rsidR="006355BD" w:rsidRPr="00FE71D6" w:rsidRDefault="00DF4069" w:rsidP="00C00087">
          <w:pPr>
            <w:pStyle w:val="Paragraph"/>
            <w:spacing w:before="0"/>
            <w:ind w:firstLine="720"/>
            <w:jc w:val="both"/>
          </w:pPr>
          <w:r w:rsidRPr="00FE71D6">
            <w:t>A</w:t>
          </w:r>
          <w:r w:rsidR="00B731E3" w:rsidRPr="00FE71D6">
            <w:t>ll parameter estimates of the 27 factor loadings or indicators of the six factors or constructs</w:t>
          </w:r>
          <w:r w:rsidR="005D34EA" w:rsidRPr="00FE71D6">
            <w:t xml:space="preserve"> (</w:t>
          </w:r>
          <w:r w:rsidR="00B11434" w:rsidRPr="00FE71D6">
            <w:t>five indicators of the supplier partnership construct: degree of excellence is considered as the number one standard in choosing suppliers, issues are solved mutually with suppliers, suppliers are helped to enhance their product degree of excellence, main suppliers are involved in continuous improvement programs, and main suppliers are involved in forecasting and setting goal actions; five indicators of the customer relationship construct: customers are contacted to establish dependability, receptiveness, and other criteria, customer gratification is measured and evaluated, future customer anticipations are determined, customers’ capability is facilitated to look for help, and the prominence of relationship with customers is evaluated; four indicators of the information sharing construct: trading partners are informed in advance of altering requirements, trading partners share solid data, trading partners share commercial information of essential commercial procedures, and trading partners are retained completely knowledgeable about problems that impact commerce; five indicators of the lean system construct: suppliers are pushed for shorter lead time, pull production system is used, suppliers are streamlined for ordering, receiving, and other paperwork, inspection of incoming materials is reduced, and inspection of outbound materials is reduced; four indicators of the net trade cycle construct: shortening number of days it takes for a company’s trade debtors to pay their dues, shortening number of days a company ties its funds to inventory, extending number of days a company defers payments to its suppliers and other creditors, and shortening number of days of sales that it consumes for a company to transfer resource inputs into cash flows; and four indicators of the financial performance construct: return on assets, return on equity, operational profit margin, and competitive position</w:t>
          </w:r>
          <w:r w:rsidR="005D34EA" w:rsidRPr="00FE71D6">
            <w:t xml:space="preserve">) </w:t>
          </w:r>
          <w:r w:rsidR="004F1C4A" w:rsidRPr="00FE71D6">
            <w:t>are statistically significant and vary from .183 to .952</w:t>
          </w:r>
          <w:r w:rsidRPr="00FE71D6">
            <w:t xml:space="preserve"> that are shown in Table 3</w:t>
          </w:r>
          <w:r w:rsidR="004F1C4A" w:rsidRPr="00FE71D6">
            <w:t xml:space="preserve">. </w:t>
          </w:r>
        </w:p>
        <w:p w:rsidR="000B0485" w:rsidRPr="00FE71D6" w:rsidRDefault="004F1C4A" w:rsidP="00C00087">
          <w:pPr>
            <w:pStyle w:val="Paragraph"/>
            <w:spacing w:before="0" w:after="120"/>
            <w:ind w:firstLine="720"/>
            <w:jc w:val="both"/>
          </w:pPr>
          <w:r w:rsidRPr="00FE71D6">
            <w:t>Details on the basis of these constructs of the four most common supply chain management practice</w:t>
          </w:r>
          <w:r w:rsidR="00565BB1" w:rsidRPr="00FE71D6">
            <w:t xml:space="preserve"> (</w:t>
          </w:r>
          <w:r w:rsidR="00176A04" w:rsidRPr="00FE71D6">
            <w:t xml:space="preserve">the </w:t>
          </w:r>
          <w:r w:rsidR="00565BB1" w:rsidRPr="00FE71D6">
            <w:t>supplier partnership</w:t>
          </w:r>
          <w:r w:rsidR="00D13D9A" w:rsidRPr="00FE71D6">
            <w:t xml:space="preserve"> construct</w:t>
          </w:r>
          <w:r w:rsidR="00565BB1" w:rsidRPr="00FE71D6">
            <w:t xml:space="preserve">, </w:t>
          </w:r>
          <w:r w:rsidR="00176A04" w:rsidRPr="00FE71D6">
            <w:t xml:space="preserve">the </w:t>
          </w:r>
          <w:r w:rsidR="00565BB1" w:rsidRPr="00FE71D6">
            <w:t>customer relationship</w:t>
          </w:r>
          <w:r w:rsidR="00D13D9A" w:rsidRPr="00FE71D6">
            <w:t xml:space="preserve"> construct</w:t>
          </w:r>
          <w:r w:rsidR="00565BB1" w:rsidRPr="00FE71D6">
            <w:t xml:space="preserve">, </w:t>
          </w:r>
          <w:r w:rsidR="00176A04" w:rsidRPr="00FE71D6">
            <w:t xml:space="preserve">the </w:t>
          </w:r>
          <w:r w:rsidR="00565BB1" w:rsidRPr="00FE71D6">
            <w:t>information sharing</w:t>
          </w:r>
          <w:r w:rsidR="00D13D9A" w:rsidRPr="00FE71D6">
            <w:t xml:space="preserve"> construct</w:t>
          </w:r>
          <w:r w:rsidR="00565BB1" w:rsidRPr="00FE71D6">
            <w:t xml:space="preserve">, and </w:t>
          </w:r>
          <w:r w:rsidR="00176A04" w:rsidRPr="00FE71D6">
            <w:t xml:space="preserve">the </w:t>
          </w:r>
          <w:r w:rsidR="00565BB1" w:rsidRPr="00FE71D6">
            <w:t>lean system</w:t>
          </w:r>
          <w:r w:rsidR="00D13D9A" w:rsidRPr="00FE71D6">
            <w:t xml:space="preserve"> construct</w:t>
          </w:r>
          <w:r w:rsidR="00565BB1" w:rsidRPr="00FE71D6">
            <w:t xml:space="preserve">), </w:t>
          </w:r>
          <w:r w:rsidRPr="00FE71D6">
            <w:t>the net trade cycle construct, and the financial performance construct are as follows: the five indicators of the supplier partnership construct</w:t>
          </w:r>
          <w:r w:rsidR="002309BE" w:rsidRPr="00FE71D6">
            <w:t xml:space="preserve"> </w:t>
          </w:r>
          <w:r w:rsidR="00EC2896" w:rsidRPr="00FE71D6">
            <w:t xml:space="preserve">(SP1: </w:t>
          </w:r>
          <w:r w:rsidRPr="00FE71D6">
            <w:t>Degree of excellence is considered as the number one standard in choosing suppliers</w:t>
          </w:r>
          <w:r w:rsidR="00EC2896" w:rsidRPr="00FE71D6">
            <w:rPr>
              <w:rFonts w:asciiTheme="majorBidi" w:hAnsiTheme="majorBidi" w:cstheme="majorBidi"/>
            </w:rPr>
            <w:t xml:space="preserve">; SP2: </w:t>
          </w:r>
          <w:r w:rsidRPr="00FE71D6">
            <w:t>Issues are solved mutually with suppliers</w:t>
          </w:r>
          <w:r w:rsidR="00EC2896" w:rsidRPr="00FE71D6">
            <w:rPr>
              <w:rFonts w:asciiTheme="majorBidi" w:hAnsiTheme="majorBidi" w:cstheme="majorBidi"/>
            </w:rPr>
            <w:t xml:space="preserve">; SP3: </w:t>
          </w:r>
          <w:r w:rsidR="002B3D2D" w:rsidRPr="00FE71D6">
            <w:t>Suppliers are helped to enhance their product degree of excellence</w:t>
          </w:r>
          <w:r w:rsidR="00EC2896" w:rsidRPr="00FE71D6">
            <w:rPr>
              <w:rFonts w:asciiTheme="majorBidi" w:hAnsiTheme="majorBidi" w:cstheme="majorBidi"/>
            </w:rPr>
            <w:t xml:space="preserve">; SP4: </w:t>
          </w:r>
          <w:r w:rsidR="002B3D2D" w:rsidRPr="00FE71D6">
            <w:t>Main suppliers are involved in continuous improvement programs</w:t>
          </w:r>
          <w:r w:rsidR="00EC2896" w:rsidRPr="00FE71D6">
            <w:rPr>
              <w:rFonts w:asciiTheme="majorBidi" w:hAnsiTheme="majorBidi" w:cstheme="majorBidi"/>
            </w:rPr>
            <w:t xml:space="preserve">; and SP5: </w:t>
          </w:r>
          <w:r w:rsidR="002B3D2D" w:rsidRPr="00FE71D6">
            <w:t>Main suppliers are involved in forecasting and setting goal actions</w:t>
          </w:r>
          <w:r w:rsidR="00EC2896" w:rsidRPr="00FE71D6">
            <w:rPr>
              <w:rFonts w:asciiTheme="majorBidi" w:hAnsiTheme="majorBidi" w:cstheme="majorBidi"/>
            </w:rPr>
            <w:t>.</w:t>
          </w:r>
          <w:r w:rsidR="00EC2896" w:rsidRPr="00FE71D6">
            <w:t xml:space="preserve">) </w:t>
          </w:r>
          <w:r w:rsidR="00146239" w:rsidRPr="00FE71D6">
            <w:t>has a range of .190 to .952 which means that at least 19% were explained of the supplier partnership construct from the whole collected data</w:t>
          </w:r>
          <w:r w:rsidR="006C1B27" w:rsidRPr="00FE71D6">
            <w:t xml:space="preserve">; </w:t>
          </w:r>
          <w:r w:rsidR="00EC2896" w:rsidRPr="00FE71D6">
            <w:t xml:space="preserve">the five indicators of the </w:t>
          </w:r>
          <w:r w:rsidR="006C1B27" w:rsidRPr="00FE71D6">
            <w:t>customer relationship</w:t>
          </w:r>
          <w:r w:rsidR="00D13D9A" w:rsidRPr="00FE71D6">
            <w:t xml:space="preserve"> construct</w:t>
          </w:r>
          <w:r w:rsidR="006C1B27" w:rsidRPr="00FE71D6">
            <w:t xml:space="preserve"> </w:t>
          </w:r>
          <w:r w:rsidR="00EC2896" w:rsidRPr="00FE71D6">
            <w:t xml:space="preserve">(CR1: </w:t>
          </w:r>
          <w:r w:rsidR="00146239" w:rsidRPr="00FE71D6">
            <w:t>Customers are contacted to establish dependability, receptiveness, and other criteria</w:t>
          </w:r>
          <w:r w:rsidR="00EC2896" w:rsidRPr="00FE71D6">
            <w:t xml:space="preserve">; CR2: </w:t>
          </w:r>
          <w:r w:rsidR="00146239" w:rsidRPr="00FE71D6">
            <w:t>Customer gratification is measured and evaluated</w:t>
          </w:r>
          <w:r w:rsidR="00EC2896" w:rsidRPr="00FE71D6">
            <w:rPr>
              <w:rFonts w:asciiTheme="majorBidi" w:hAnsiTheme="majorBidi" w:cstheme="majorBidi"/>
            </w:rPr>
            <w:t xml:space="preserve">; CR3: </w:t>
          </w:r>
          <w:r w:rsidR="00534B0C" w:rsidRPr="00FE71D6">
            <w:t>Future customer anticipations are determined</w:t>
          </w:r>
          <w:r w:rsidR="00EC2896" w:rsidRPr="00FE71D6">
            <w:rPr>
              <w:rFonts w:asciiTheme="majorBidi" w:hAnsiTheme="majorBidi" w:cstheme="majorBidi"/>
            </w:rPr>
            <w:t xml:space="preserve">; CR4: </w:t>
          </w:r>
          <w:r w:rsidR="009419CE" w:rsidRPr="00FE71D6">
            <w:t>Customers’ capability is facilitated to look for help</w:t>
          </w:r>
          <w:r w:rsidR="00EC2896" w:rsidRPr="00FE71D6">
            <w:rPr>
              <w:rFonts w:asciiTheme="majorBidi" w:hAnsiTheme="majorBidi" w:cstheme="majorBidi"/>
            </w:rPr>
            <w:t xml:space="preserve">; and CR5: </w:t>
          </w:r>
          <w:r w:rsidR="009419CE" w:rsidRPr="00FE71D6">
            <w:rPr>
              <w:rFonts w:asciiTheme="majorBidi" w:hAnsiTheme="majorBidi" w:cstheme="majorBidi"/>
            </w:rPr>
            <w:t>T</w:t>
          </w:r>
          <w:r w:rsidR="009419CE" w:rsidRPr="00FE71D6">
            <w:t>he prominence of relationship with customers is evaluated</w:t>
          </w:r>
          <w:r w:rsidR="00EC2896" w:rsidRPr="00FE71D6">
            <w:rPr>
              <w:rFonts w:asciiTheme="majorBidi" w:hAnsiTheme="majorBidi" w:cstheme="majorBidi"/>
            </w:rPr>
            <w:t>.</w:t>
          </w:r>
          <w:r w:rsidR="00451296" w:rsidRPr="00FE71D6">
            <w:t xml:space="preserve">) </w:t>
          </w:r>
          <w:r w:rsidR="00D550F2" w:rsidRPr="00FE71D6">
            <w:t>has a range of .258 to .774 which means that at least 26% were explained of the customer relationship construct from the whole collected data</w:t>
          </w:r>
          <w:r w:rsidR="006C1B27" w:rsidRPr="00FE71D6">
            <w:t xml:space="preserve">; </w:t>
          </w:r>
          <w:r w:rsidR="00EC2896" w:rsidRPr="00FE71D6">
            <w:t xml:space="preserve">the four indicators of the </w:t>
          </w:r>
          <w:r w:rsidR="006C1B27" w:rsidRPr="00FE71D6">
            <w:t>information sharing</w:t>
          </w:r>
          <w:r w:rsidR="00D13D9A" w:rsidRPr="00FE71D6">
            <w:t xml:space="preserve"> construct</w:t>
          </w:r>
          <w:r w:rsidR="006C1B27" w:rsidRPr="00FE71D6">
            <w:t xml:space="preserve"> </w:t>
          </w:r>
          <w:r w:rsidR="00EC2896" w:rsidRPr="00FE71D6">
            <w:t>(</w:t>
          </w:r>
          <w:r w:rsidR="002613BC" w:rsidRPr="00FE71D6">
            <w:t xml:space="preserve">IS1: </w:t>
          </w:r>
          <w:r w:rsidR="005C3721" w:rsidRPr="00FE71D6">
            <w:t>Trading partners are informed in advance of altering requirements</w:t>
          </w:r>
          <w:r w:rsidR="002613BC" w:rsidRPr="00FE71D6">
            <w:t xml:space="preserve">; IS2: </w:t>
          </w:r>
          <w:r w:rsidR="00155888" w:rsidRPr="00FE71D6">
            <w:t>Trading partners share solid data</w:t>
          </w:r>
          <w:r w:rsidR="002613BC" w:rsidRPr="00FE71D6">
            <w:rPr>
              <w:rFonts w:asciiTheme="majorBidi" w:hAnsiTheme="majorBidi" w:cstheme="majorBidi"/>
            </w:rPr>
            <w:t xml:space="preserve">; IS3: </w:t>
          </w:r>
          <w:r w:rsidR="00EA59F1" w:rsidRPr="00FE71D6">
            <w:t>Trading partners share commercial information of essential commercial procedures</w:t>
          </w:r>
          <w:r w:rsidR="002613BC" w:rsidRPr="00FE71D6">
            <w:rPr>
              <w:rFonts w:asciiTheme="majorBidi" w:hAnsiTheme="majorBidi" w:cstheme="majorBidi"/>
            </w:rPr>
            <w:t xml:space="preserve">; and IS4: </w:t>
          </w:r>
          <w:r w:rsidR="00EA59F1" w:rsidRPr="00FE71D6">
            <w:t>Trading partners are retained completely knowledgeable about problems that impact commerce</w:t>
          </w:r>
          <w:r w:rsidR="002613BC" w:rsidRPr="00FE71D6">
            <w:rPr>
              <w:rFonts w:asciiTheme="majorBidi" w:hAnsiTheme="majorBidi" w:cstheme="majorBidi"/>
            </w:rPr>
            <w:t>.</w:t>
          </w:r>
          <w:r w:rsidR="00EC2896" w:rsidRPr="00FE71D6">
            <w:t xml:space="preserve">) </w:t>
          </w:r>
          <w:r w:rsidR="009F04ED" w:rsidRPr="00FE71D6">
            <w:t>has a range of .235 to .926 which means that at least 24% were explained of the information sharing construct from the whole collected data</w:t>
          </w:r>
          <w:r w:rsidR="006C1B27" w:rsidRPr="00FE71D6">
            <w:t xml:space="preserve">; </w:t>
          </w:r>
          <w:r w:rsidR="002613BC" w:rsidRPr="00FE71D6">
            <w:t xml:space="preserve">the five indicators of the </w:t>
          </w:r>
          <w:r w:rsidR="006C1B27" w:rsidRPr="00FE71D6">
            <w:t>lean system</w:t>
          </w:r>
          <w:r w:rsidR="00D13D9A" w:rsidRPr="00FE71D6">
            <w:t xml:space="preserve"> construct</w:t>
          </w:r>
          <w:r w:rsidR="002613BC" w:rsidRPr="00FE71D6">
            <w:t xml:space="preserve"> (LS1: </w:t>
          </w:r>
          <w:r w:rsidR="00653D4D" w:rsidRPr="00FE71D6">
            <w:t>Suppliers are pushed for shorter lead time</w:t>
          </w:r>
          <w:r w:rsidR="002613BC" w:rsidRPr="00FE71D6">
            <w:t xml:space="preserve">; LS2: </w:t>
          </w:r>
          <w:r w:rsidR="00653D4D" w:rsidRPr="00FE71D6">
            <w:t>Pull production system is used</w:t>
          </w:r>
          <w:r w:rsidR="002613BC" w:rsidRPr="00FE71D6">
            <w:t xml:space="preserve">; LS3: </w:t>
          </w:r>
          <w:r w:rsidR="00653D4D" w:rsidRPr="00FE71D6">
            <w:t>Suppliers are streamlined for ordering, receiving, and other paperwork</w:t>
          </w:r>
          <w:r w:rsidR="002613BC" w:rsidRPr="00FE71D6">
            <w:rPr>
              <w:rFonts w:asciiTheme="majorBidi" w:hAnsiTheme="majorBidi" w:cstheme="majorBidi"/>
            </w:rPr>
            <w:t xml:space="preserve">; LS4: </w:t>
          </w:r>
          <w:r w:rsidR="00653D4D" w:rsidRPr="00FE71D6">
            <w:t>Inspection of incoming materials is reduced, and inspection of outbound materials is reduced</w:t>
          </w:r>
          <w:r w:rsidR="002613BC" w:rsidRPr="00FE71D6">
            <w:rPr>
              <w:rFonts w:asciiTheme="majorBidi" w:hAnsiTheme="majorBidi" w:cstheme="majorBidi"/>
            </w:rPr>
            <w:t>.</w:t>
          </w:r>
          <w:r w:rsidR="002613BC" w:rsidRPr="00FE71D6">
            <w:t xml:space="preserve">) </w:t>
          </w:r>
          <w:r w:rsidR="00653D4D" w:rsidRPr="00FE71D6">
            <w:t>has a range of .183 to .950 which means that at least 18% were explained of the lean system construct from the whole collected data</w:t>
          </w:r>
          <w:r w:rsidR="006C1B27" w:rsidRPr="00FE71D6">
            <w:t xml:space="preserve">; </w:t>
          </w:r>
          <w:r w:rsidR="002613BC" w:rsidRPr="00FE71D6">
            <w:t xml:space="preserve">the four indicators of the </w:t>
          </w:r>
          <w:r w:rsidR="006C1B27" w:rsidRPr="00FE71D6">
            <w:t>net trade cycle</w:t>
          </w:r>
          <w:r w:rsidR="00D13D9A" w:rsidRPr="00FE71D6">
            <w:t xml:space="preserve"> construct</w:t>
          </w:r>
          <w:r w:rsidR="002613BC" w:rsidRPr="00FE71D6">
            <w:t xml:space="preserve"> (NTC1: </w:t>
          </w:r>
          <w:r w:rsidR="00653D4D" w:rsidRPr="00FE71D6">
            <w:t>Shortening number of days it takes for a company’s trade debtors to pay their dues</w:t>
          </w:r>
          <w:r w:rsidR="002613BC" w:rsidRPr="00FE71D6">
            <w:t xml:space="preserve">; NTC2: </w:t>
          </w:r>
          <w:r w:rsidR="00653D4D" w:rsidRPr="00FE71D6">
            <w:t>Shortening number of days a company ties its funds to inventory</w:t>
          </w:r>
          <w:r w:rsidR="002613BC" w:rsidRPr="00FE71D6">
            <w:t xml:space="preserve">; NTC3: </w:t>
          </w:r>
          <w:r w:rsidR="00653D4D" w:rsidRPr="00FE71D6">
            <w:t>Extending number of days a company defers payments to its suppliers and other creditors</w:t>
          </w:r>
          <w:r w:rsidR="002613BC" w:rsidRPr="00FE71D6">
            <w:rPr>
              <w:rFonts w:asciiTheme="majorBidi" w:hAnsiTheme="majorBidi" w:cstheme="majorBidi"/>
            </w:rPr>
            <w:t xml:space="preserve">; and NTC4: </w:t>
          </w:r>
          <w:r w:rsidR="00653D4D" w:rsidRPr="00FE71D6">
            <w:t>Shortening number of days of sales that it consumes for a company to transfer resource inputs into cash flows</w:t>
          </w:r>
          <w:r w:rsidR="002613BC" w:rsidRPr="00FE71D6">
            <w:t>.)</w:t>
          </w:r>
          <w:r w:rsidR="006C1B27" w:rsidRPr="00FE71D6">
            <w:t xml:space="preserve"> </w:t>
          </w:r>
          <w:r w:rsidR="00653D4D" w:rsidRPr="00FE71D6">
            <w:t>has a range of .183 to .909 which means that at least 18% were explained of the net trade cycle construct from the whole collected data</w:t>
          </w:r>
          <w:r w:rsidR="006C1B27" w:rsidRPr="00FE71D6">
            <w:t xml:space="preserve">; and </w:t>
          </w:r>
          <w:r w:rsidR="002613BC" w:rsidRPr="00FE71D6">
            <w:t xml:space="preserve">the four indicators of </w:t>
          </w:r>
          <w:r w:rsidR="00176A04" w:rsidRPr="00FE71D6">
            <w:t xml:space="preserve">the </w:t>
          </w:r>
          <w:r w:rsidR="006C1B27" w:rsidRPr="00FE71D6">
            <w:t>financial performance</w:t>
          </w:r>
          <w:r w:rsidR="00D13D9A" w:rsidRPr="00FE71D6">
            <w:t xml:space="preserve"> construct</w:t>
          </w:r>
          <w:r w:rsidR="006C1B27" w:rsidRPr="00FE71D6">
            <w:t xml:space="preserve"> </w:t>
          </w:r>
          <w:r w:rsidR="002613BC" w:rsidRPr="00FE71D6">
            <w:t xml:space="preserve">(FP1: </w:t>
          </w:r>
          <w:r w:rsidR="002613BC" w:rsidRPr="00FE71D6">
            <w:rPr>
              <w:rFonts w:asciiTheme="majorBidi" w:hAnsiTheme="majorBidi" w:cstheme="majorBidi"/>
            </w:rPr>
            <w:t>Return on assets</w:t>
          </w:r>
          <w:r w:rsidR="002613BC" w:rsidRPr="00FE71D6">
            <w:t xml:space="preserve">; FP2: </w:t>
          </w:r>
          <w:r w:rsidR="002613BC" w:rsidRPr="00FE71D6">
            <w:rPr>
              <w:rFonts w:asciiTheme="majorBidi" w:hAnsiTheme="majorBidi" w:cstheme="majorBidi"/>
            </w:rPr>
            <w:t>Return on equity; FP3: Operational profit margin; and FP4: Competitive position.)</w:t>
          </w:r>
          <w:r w:rsidR="002613BC" w:rsidRPr="00FE71D6">
            <w:t xml:space="preserve"> </w:t>
          </w:r>
          <w:r w:rsidR="00653D4D" w:rsidRPr="00FE71D6">
            <w:t>has a range of .683 to .933 which means that at least 68% were explained of the financial performance construct from the whole collected data</w:t>
          </w:r>
          <w:r w:rsidR="006C1B27" w:rsidRPr="00FE71D6">
            <w:t>.</w:t>
          </w:r>
        </w:p>
        <w:p w:rsidR="000B0485" w:rsidRPr="00FE71D6" w:rsidRDefault="000B0485" w:rsidP="00405FCB">
          <w:pPr>
            <w:pStyle w:val="Heading3"/>
            <w:rPr>
              <w:rFonts w:cs="Times New Roman"/>
              <w:bCs w:val="0"/>
              <w:iCs w:val="0"/>
              <w:lang w:val="en-US"/>
            </w:rPr>
          </w:pPr>
          <w:bookmarkStart w:id="54" w:name="_Toc495527326"/>
          <w:bookmarkStart w:id="55" w:name="_Toc500087485"/>
          <w:r w:rsidRPr="00FE71D6">
            <w:rPr>
              <w:rFonts w:cs="Times New Roman"/>
              <w:bCs w:val="0"/>
              <w:iCs w:val="0"/>
              <w:lang w:val="en-US"/>
            </w:rPr>
            <w:t>5.1.3 Explained Variance</w:t>
          </w:r>
          <w:bookmarkEnd w:id="54"/>
          <w:bookmarkEnd w:id="55"/>
          <w:r w:rsidRPr="00FE71D6">
            <w:rPr>
              <w:rFonts w:cs="Times New Roman"/>
              <w:bCs w:val="0"/>
              <w:iCs w:val="0"/>
              <w:lang w:val="en-US"/>
            </w:rPr>
            <w:t xml:space="preserve"> </w:t>
          </w:r>
        </w:p>
        <w:p w:rsidR="00B92915" w:rsidRPr="00FE71D6" w:rsidRDefault="00D200D4" w:rsidP="00C00087">
          <w:pPr>
            <w:pStyle w:val="Paragraph"/>
            <w:spacing w:before="0"/>
            <w:jc w:val="both"/>
          </w:pPr>
          <w:r w:rsidRPr="00FE71D6">
            <w:t>Explained variation gauges the proportion to which a mathematical model accounts for the variation of a given data set. Often, variation is quantified as variance; then, the more specific term explained variance can be used</w:t>
          </w:r>
          <w:r w:rsidR="00B92915" w:rsidRPr="00FE71D6">
            <w:t>.</w:t>
          </w:r>
        </w:p>
        <w:p w:rsidR="00B92915" w:rsidRPr="00FE71D6" w:rsidRDefault="00435858" w:rsidP="00C00087">
          <w:pPr>
            <w:pStyle w:val="Paragraph"/>
            <w:spacing w:before="0"/>
            <w:ind w:firstLine="720"/>
            <w:jc w:val="both"/>
          </w:pPr>
          <w:r w:rsidRPr="00FE71D6">
            <w:t>Square factor loadings or indicators (equivalent to R</w:t>
          </w:r>
          <w:r w:rsidRPr="00FE71D6">
            <w:rPr>
              <w:vertAlign w:val="superscript"/>
            </w:rPr>
            <w:t>2</w:t>
          </w:r>
          <w:r w:rsidRPr="00FE71D6">
            <w:t>) point to the percentage of variance in a construct clarified by 27 factor loadings or indicators of the six factors or constructs</w:t>
          </w:r>
          <w:r w:rsidR="00FC1533" w:rsidRPr="00FE71D6">
            <w:t xml:space="preserve"> </w:t>
          </w:r>
          <w:r w:rsidR="005D34EA" w:rsidRPr="00FE71D6">
            <w:t>(</w:t>
          </w:r>
          <w:r w:rsidRPr="00FE71D6">
            <w:t>five indicators of the supplier partnership construct: degree of excellence is considered as the number one standard in choosing suppliers, issues are solved mutually with suppliers, suppliers are helped to enhance their product degree of excellence, main suppliers are involved in continuous improvement programs, and main suppliers are involved in forecasting and setting goal actions; five indicators of the customer relationship construct: customers are contacted to establish dependability, receptiveness, and other criteria, customer gratification is measured and evaluated, future customer anticipations are determined, customers’ capability is facilitated to look for help, and the prominence of relationship with customers is evaluated; four indicators of the information sharing construct: trading partners are informed in advance of altering requirements, trading partners share solid data, trading partners share commercial information of essential commercial procedures, and trading partners are retained completely knowledgeable about problems that impact commerce; five indicators of the lean system construct: suppliers are pushed for shorter lead time, pull production system is used, suppliers are streamlined for ordering, receiving, and other paperwork, inspection of incoming materials is reduced, and inspection of outbound materials is reduced; four indicators of the net trade cycle construct: shortening number of days it takes for a company’s trade debtors to pay their dues, shortening number of days a company ties its funds to inventory, extending number of days a company defers payments to its suppliers and other creditors, and shortening number of days of sales that it consumes for a company to transfer resource inputs into cash flows; and four indicators of the financial performance construct: return on assets, return on equity, operational profit margin, and competitive position</w:t>
          </w:r>
          <w:r w:rsidR="005D34EA" w:rsidRPr="00FE71D6">
            <w:t xml:space="preserve">) </w:t>
          </w:r>
          <w:r w:rsidR="00957808" w:rsidRPr="00FE71D6">
            <w:t>varying from .033 to .906</w:t>
          </w:r>
          <w:r w:rsidR="00A51FCA" w:rsidRPr="00FE71D6">
            <w:t xml:space="preserve"> </w:t>
          </w:r>
          <w:r w:rsidR="00646313" w:rsidRPr="00FE71D6">
            <w:t xml:space="preserve">that </w:t>
          </w:r>
          <w:r w:rsidR="00E95BEE" w:rsidRPr="00FE71D6">
            <w:t>are</w:t>
          </w:r>
          <w:r w:rsidR="00A51FCA" w:rsidRPr="00FE71D6">
            <w:t xml:space="preserve"> shown in Table 3.</w:t>
          </w:r>
        </w:p>
        <w:p w:rsidR="00FF184D" w:rsidRPr="00FE71D6" w:rsidRDefault="00957808" w:rsidP="00C00087">
          <w:pPr>
            <w:pStyle w:val="Paragraph"/>
            <w:spacing w:before="0"/>
            <w:ind w:firstLine="720"/>
            <w:jc w:val="both"/>
          </w:pPr>
          <w:r w:rsidRPr="00FE71D6">
            <w:t>Consequently, on the basis of these indices, the entire six constructs</w:t>
          </w:r>
          <w:r w:rsidR="00984E8E" w:rsidRPr="00FE71D6">
            <w:t xml:space="preserve"> (the supplier partnership construct, the customer relationship construct, the information sharing construct, the lean system construct, the net trade cycle construct, and the financial performance construct)</w:t>
          </w:r>
          <w:r w:rsidR="000B0485" w:rsidRPr="00FE71D6">
            <w:t xml:space="preserve"> </w:t>
          </w:r>
          <w:r w:rsidRPr="00FE71D6">
            <w:t>have fit in the entire unidimensionality. Details on the basis of these constructs of the four most common supply chain management practices</w:t>
          </w:r>
          <w:r w:rsidR="00FF184D" w:rsidRPr="00FE71D6">
            <w:t xml:space="preserve"> (</w:t>
          </w:r>
          <w:r w:rsidR="00146208" w:rsidRPr="00FE71D6">
            <w:t xml:space="preserve">the </w:t>
          </w:r>
          <w:r w:rsidR="00FF184D" w:rsidRPr="00FE71D6">
            <w:t>supplier partnership</w:t>
          </w:r>
          <w:r w:rsidR="00984E8E" w:rsidRPr="00FE71D6">
            <w:t xml:space="preserve"> construct</w:t>
          </w:r>
          <w:r w:rsidR="00FF184D" w:rsidRPr="00FE71D6">
            <w:t xml:space="preserve">, </w:t>
          </w:r>
          <w:r w:rsidR="00146208" w:rsidRPr="00FE71D6">
            <w:t xml:space="preserve">the </w:t>
          </w:r>
          <w:r w:rsidR="00FF184D" w:rsidRPr="00FE71D6">
            <w:t>customer relationship</w:t>
          </w:r>
          <w:r w:rsidR="00984E8E" w:rsidRPr="00FE71D6">
            <w:t xml:space="preserve"> construct</w:t>
          </w:r>
          <w:r w:rsidR="00FF184D" w:rsidRPr="00FE71D6">
            <w:t xml:space="preserve">, </w:t>
          </w:r>
          <w:r w:rsidR="00146208" w:rsidRPr="00FE71D6">
            <w:t xml:space="preserve">the </w:t>
          </w:r>
          <w:r w:rsidR="00FF184D" w:rsidRPr="00FE71D6">
            <w:t>information sharing</w:t>
          </w:r>
          <w:r w:rsidR="00984E8E" w:rsidRPr="00FE71D6">
            <w:t xml:space="preserve"> construct</w:t>
          </w:r>
          <w:r w:rsidR="00FF184D" w:rsidRPr="00FE71D6">
            <w:t xml:space="preserve">, and </w:t>
          </w:r>
          <w:r w:rsidR="00146208" w:rsidRPr="00FE71D6">
            <w:t xml:space="preserve">the </w:t>
          </w:r>
          <w:r w:rsidR="00FF184D" w:rsidRPr="00FE71D6">
            <w:t>lean system</w:t>
          </w:r>
          <w:r w:rsidR="00984E8E" w:rsidRPr="00FE71D6">
            <w:t xml:space="preserve"> construct</w:t>
          </w:r>
          <w:r w:rsidR="00FF184D" w:rsidRPr="00FE71D6">
            <w:t xml:space="preserve">), </w:t>
          </w:r>
          <w:r w:rsidR="00C80003" w:rsidRPr="00FE71D6">
            <w:t>the net trade cycle construct, and the financial performance construct are as follows: the five indicators of the supplier partnership construct</w:t>
          </w:r>
          <w:r w:rsidR="00FF184D" w:rsidRPr="00FE71D6">
            <w:t xml:space="preserve"> </w:t>
          </w:r>
          <w:r w:rsidR="005736D0" w:rsidRPr="00FE71D6">
            <w:t>(</w:t>
          </w:r>
          <w:r w:rsidR="008C3452" w:rsidRPr="00FE71D6">
            <w:t>SP1: Degree of excellence is considered as the number one standard in choosing suppliers; SP2: Issues are solved mutually with suppliers; SP3: Suppliers are helped to enhance their product degree of excellence; SP4: Main suppliers are involved in continuous improvement programs; and SP5: Main suppliers are involved in forecasting and setting goal actions</w:t>
          </w:r>
          <w:r w:rsidR="005736D0" w:rsidRPr="00FE71D6">
            <w:rPr>
              <w:rFonts w:asciiTheme="majorBidi" w:hAnsiTheme="majorBidi" w:cstheme="majorBidi"/>
            </w:rPr>
            <w:t>.)</w:t>
          </w:r>
          <w:r w:rsidR="005736D0" w:rsidRPr="00FE71D6">
            <w:t xml:space="preserve"> </w:t>
          </w:r>
          <w:r w:rsidR="008C3452" w:rsidRPr="00FE71D6">
            <w:t>has a range of .036 to .906 which designates at least 4% of the variance in the financial performance construct that is predictable from the supplier partnership construct; the five indicators of the customer relationship construct</w:t>
          </w:r>
          <w:r w:rsidR="00FF184D" w:rsidRPr="00FE71D6">
            <w:t xml:space="preserve"> </w:t>
          </w:r>
          <w:r w:rsidR="005736D0" w:rsidRPr="00FE71D6">
            <w:t>(</w:t>
          </w:r>
          <w:r w:rsidR="00B21F8A" w:rsidRPr="00FE71D6">
            <w:t>CR1: Customers are contacted to establish dependability, receptiveness, and other criteria; CR2: Customer gratification is measured and evaluated; CR3: Future customer anticipations are determined; CR4: Customers’ capability is facilitated to look for help; and CR5: The prominence of relationship with customers is evaluated</w:t>
          </w:r>
          <w:r w:rsidR="005736D0" w:rsidRPr="00FE71D6">
            <w:rPr>
              <w:rFonts w:asciiTheme="majorBidi" w:hAnsiTheme="majorBidi" w:cstheme="majorBidi"/>
            </w:rPr>
            <w:t>.</w:t>
          </w:r>
          <w:r w:rsidR="005736D0" w:rsidRPr="00FE71D6">
            <w:t xml:space="preserve">) </w:t>
          </w:r>
          <w:r w:rsidR="00B21F8A" w:rsidRPr="00FE71D6">
            <w:t>has a range of .067 to .599 which designates at least 7% of the variance in the financial performance construct that is predictable from the customer relationship construct; the four indicators of the information sharing construct</w:t>
          </w:r>
          <w:r w:rsidR="00FF184D" w:rsidRPr="00FE71D6">
            <w:t xml:space="preserve"> </w:t>
          </w:r>
          <w:r w:rsidR="005736D0" w:rsidRPr="00FE71D6">
            <w:t>(</w:t>
          </w:r>
          <w:r w:rsidR="00B21F8A" w:rsidRPr="00FE71D6">
            <w:t>IS1: Trading partners are informed in advance of altering requirements; IS2: Trading partners share solid data; IS3: Trading partners share commercial information of essential commercial procedures; and IS4: Trading partners are retained completely knowledgeable about problems that impact commerce</w:t>
          </w:r>
          <w:r w:rsidR="006D7750" w:rsidRPr="00FE71D6">
            <w:rPr>
              <w:rFonts w:asciiTheme="majorBidi" w:hAnsiTheme="majorBidi" w:cstheme="majorBidi"/>
            </w:rPr>
            <w:t>.</w:t>
          </w:r>
          <w:r w:rsidR="005736D0" w:rsidRPr="00FE71D6">
            <w:t xml:space="preserve">) </w:t>
          </w:r>
          <w:r w:rsidR="00B21F8A" w:rsidRPr="00FE71D6">
            <w:t>has a range of .055 to .857 which designates at least 6% of the variance in the financial performance construct that is predictable from the information sharing construct; the five indicators of the lean system construct</w:t>
          </w:r>
          <w:r w:rsidR="00FF184D" w:rsidRPr="00FE71D6">
            <w:t xml:space="preserve"> </w:t>
          </w:r>
          <w:r w:rsidR="006D7750" w:rsidRPr="00FE71D6">
            <w:t>(</w:t>
          </w:r>
          <w:r w:rsidR="00B21F8A" w:rsidRPr="00FE71D6">
            <w:t>LS1: Suppliers are pushed for shorter lead time; LS2: Pull production system is used; LS3: Suppliers are streamlined for ordering, receiving, and other paperwork; LS4: Inspection of incoming materials is reduced, and inspection of outbound materials is reduced</w:t>
          </w:r>
          <w:r w:rsidR="00711978" w:rsidRPr="00FE71D6">
            <w:rPr>
              <w:rFonts w:asciiTheme="majorBidi" w:hAnsiTheme="majorBidi" w:cstheme="majorBidi"/>
            </w:rPr>
            <w:t>.</w:t>
          </w:r>
          <w:r w:rsidR="006D7750" w:rsidRPr="00FE71D6">
            <w:t xml:space="preserve">) </w:t>
          </w:r>
          <w:r w:rsidR="00B21F8A" w:rsidRPr="00FE71D6">
            <w:t>has a range of .033 to .903 which designates at least 3% of the variance in the financial performance construct that is predictable from the lean system construct; the four indicators of the net trade cycle construct</w:t>
          </w:r>
          <w:r w:rsidR="00FF184D" w:rsidRPr="00FE71D6">
            <w:t xml:space="preserve"> </w:t>
          </w:r>
          <w:r w:rsidR="00711978" w:rsidRPr="00FE71D6">
            <w:t>(</w:t>
          </w:r>
          <w:r w:rsidR="00B21F8A" w:rsidRPr="00FE71D6">
            <w:t>NTC1: Shortening number of days it takes for a company’s trade debtors to pay their dues; NTC2: Shortening number of days a company ties its funds to inventory; NTC3: Extending number of days a company defers payments to its suppliers and other creditors; and NTC4: Shortening number of days of sales that it consumes for a company to transfer resource inputs into cash flows</w:t>
          </w:r>
          <w:r w:rsidR="00EC2896" w:rsidRPr="00FE71D6">
            <w:t>.</w:t>
          </w:r>
          <w:r w:rsidR="00711978" w:rsidRPr="00FE71D6">
            <w:t xml:space="preserve">) </w:t>
          </w:r>
          <w:r w:rsidR="00B21F8A" w:rsidRPr="00FE71D6">
            <w:t>has a range of .033 to .826 which designates at least 3% of the variance in the financial performance construct that is predictable from the net trade cycle construct; and the four indicators of the financial performance construct</w:t>
          </w:r>
          <w:r w:rsidR="00FF184D" w:rsidRPr="00FE71D6">
            <w:t xml:space="preserve"> </w:t>
          </w:r>
          <w:r w:rsidR="00EC2896" w:rsidRPr="00FE71D6">
            <w:t xml:space="preserve">(FP1: </w:t>
          </w:r>
          <w:r w:rsidR="00EC2896" w:rsidRPr="00FE71D6">
            <w:rPr>
              <w:rFonts w:asciiTheme="majorBidi" w:hAnsiTheme="majorBidi" w:cstheme="majorBidi"/>
            </w:rPr>
            <w:t>Return on assets</w:t>
          </w:r>
          <w:r w:rsidR="00EC2896" w:rsidRPr="00FE71D6">
            <w:t xml:space="preserve">; FP2: </w:t>
          </w:r>
          <w:r w:rsidR="00EC2896" w:rsidRPr="00FE71D6">
            <w:rPr>
              <w:rFonts w:asciiTheme="majorBidi" w:hAnsiTheme="majorBidi" w:cstheme="majorBidi"/>
            </w:rPr>
            <w:t>Return on equity; FP3: Operational profit margin; and FP4: Competitive position.)</w:t>
          </w:r>
          <w:r w:rsidR="00EC2896" w:rsidRPr="00FE71D6">
            <w:t xml:space="preserve"> </w:t>
          </w:r>
          <w:r w:rsidR="00B21F8A" w:rsidRPr="00FE71D6">
            <w:t>has a range of .466 to .870. As a result, the coefficient of determination (R</w:t>
          </w:r>
          <w:r w:rsidR="00B21F8A" w:rsidRPr="00FE71D6">
            <w:rPr>
              <w:vertAlign w:val="superscript"/>
            </w:rPr>
            <w:t>2</w:t>
          </w:r>
          <w:r w:rsidR="00B21F8A" w:rsidRPr="00FE71D6">
            <w:t>) gives a gauge of how well predicted results are reproduced by the model, based on the percentage of total variation of results explained by the model</w:t>
          </w:r>
          <w:r w:rsidR="00662435" w:rsidRPr="00FE71D6">
            <w:t>.</w:t>
          </w:r>
        </w:p>
        <w:p w:rsidR="00B92915" w:rsidRPr="00FE71D6" w:rsidRDefault="00B92915" w:rsidP="00B92915">
          <w:bookmarkStart w:id="56" w:name="_Toc495527327"/>
        </w:p>
        <w:p w:rsidR="000B0485" w:rsidRPr="00FE71D6" w:rsidRDefault="000B0485" w:rsidP="00405FCB">
          <w:pPr>
            <w:pStyle w:val="Heading3"/>
            <w:rPr>
              <w:rFonts w:cs="Times New Roman"/>
              <w:bCs w:val="0"/>
              <w:iCs w:val="0"/>
              <w:lang w:val="en-US"/>
            </w:rPr>
          </w:pPr>
          <w:bookmarkStart w:id="57" w:name="_Toc500087486"/>
          <w:r w:rsidRPr="00FE71D6">
            <w:rPr>
              <w:rFonts w:cs="Times New Roman"/>
              <w:bCs w:val="0"/>
              <w:iCs w:val="0"/>
              <w:lang w:val="en-US"/>
            </w:rPr>
            <w:t>5.1.4 Reliability</w:t>
          </w:r>
          <w:bookmarkEnd w:id="56"/>
          <w:bookmarkEnd w:id="57"/>
        </w:p>
        <w:p w:rsidR="00B92915" w:rsidRPr="00FE71D6" w:rsidRDefault="00642944" w:rsidP="00C00087">
          <w:pPr>
            <w:pStyle w:val="Paragraph"/>
            <w:spacing w:before="0"/>
            <w:jc w:val="both"/>
          </w:pPr>
          <w:r w:rsidRPr="00FE71D6">
            <w:t>The consistency level of a gauge is related to its reliability. The reliability coefficient, Cronbach’s α, is usually employed to examine the reliability level</w:t>
          </w:r>
          <w:r w:rsidR="000B0485" w:rsidRPr="00FE71D6">
            <w:t xml:space="preserve"> </w:t>
          </w:r>
          <w:sdt>
            <w:sdtPr>
              <w:id w:val="472103871"/>
              <w:citation/>
            </w:sdtPr>
            <w:sdtEndPr/>
            <w:sdtContent>
              <w:r w:rsidR="000B0485" w:rsidRPr="00FE71D6">
                <w:fldChar w:fldCharType="begin"/>
              </w:r>
              <w:r w:rsidR="000B0485" w:rsidRPr="00FE71D6">
                <w:rPr>
                  <w:lang w:val="en-US"/>
                </w:rPr>
                <w:instrText xml:space="preserve"> CITATION Cro51 \l 1033 </w:instrText>
              </w:r>
              <w:r w:rsidR="000B0485" w:rsidRPr="00FE71D6">
                <w:fldChar w:fldCharType="separate"/>
              </w:r>
              <w:r w:rsidR="0063081B" w:rsidRPr="00FE71D6">
                <w:rPr>
                  <w:noProof/>
                  <w:lang w:val="en-US"/>
                </w:rPr>
                <w:t>(Cronbach, 1951)</w:t>
              </w:r>
              <w:r w:rsidR="000B0485" w:rsidRPr="00FE71D6">
                <w:fldChar w:fldCharType="end"/>
              </w:r>
            </w:sdtContent>
          </w:sdt>
          <w:r w:rsidR="000B0485" w:rsidRPr="00FE71D6">
            <w:t xml:space="preserve">. </w:t>
          </w:r>
          <w:r w:rsidRPr="00FE71D6">
            <w:t>The Cronbach’s α value of at least .700 is considered to be analytic of an acceptable reliability level</w:t>
          </w:r>
          <w:r w:rsidR="000B0485" w:rsidRPr="00FE71D6">
            <w:t xml:space="preserve"> </w:t>
          </w:r>
          <w:sdt>
            <w:sdtPr>
              <w:id w:val="20101815"/>
              <w:citation/>
            </w:sdtPr>
            <w:sdtEndPr/>
            <w:sdtContent>
              <w:r w:rsidR="000B0485" w:rsidRPr="00FE71D6">
                <w:fldChar w:fldCharType="begin"/>
              </w:r>
              <w:r w:rsidR="000B0485" w:rsidRPr="00FE71D6">
                <w:instrText xml:space="preserve"> CITATION OLe98 \l 1033 </w:instrText>
              </w:r>
              <w:r w:rsidR="000B0485" w:rsidRPr="00FE71D6">
                <w:fldChar w:fldCharType="separate"/>
              </w:r>
              <w:r w:rsidR="0063081B" w:rsidRPr="00FE71D6">
                <w:rPr>
                  <w:noProof/>
                </w:rPr>
                <w:t>(O'Leary-Kelly &amp; Vokurka, 1998)</w:t>
              </w:r>
              <w:r w:rsidR="000B0485" w:rsidRPr="00FE71D6">
                <w:fldChar w:fldCharType="end"/>
              </w:r>
            </w:sdtContent>
          </w:sdt>
          <w:r w:rsidR="000B0485" w:rsidRPr="00FE71D6">
            <w:t xml:space="preserve">. </w:t>
          </w:r>
          <w:r w:rsidRPr="00FE71D6">
            <w:t>Wherefore, each factor or construct has a number of indicators or questions to measure their associated factor or construct through computing their responses average</w:t>
          </w:r>
          <w:r w:rsidR="000B0485" w:rsidRPr="00FE71D6">
            <w:t xml:space="preserve">. </w:t>
          </w:r>
          <w:r w:rsidRPr="00FE71D6">
            <w:t>The Cronbach’s α for the six factors or constructs</w:t>
          </w:r>
          <w:r w:rsidR="00FC1533" w:rsidRPr="00FE71D6">
            <w:t xml:space="preserve"> </w:t>
          </w:r>
          <w:r w:rsidR="00984E8E" w:rsidRPr="00FE71D6">
            <w:t>(the supplier partnership construct, the customer relationship construct, the information sharing construct</w:t>
          </w:r>
          <w:r w:rsidR="000A403A" w:rsidRPr="00FE71D6">
            <w:t xml:space="preserve">, </w:t>
          </w:r>
          <w:r w:rsidR="00A24FB9" w:rsidRPr="00FE71D6">
            <w:t xml:space="preserve">the </w:t>
          </w:r>
          <w:r w:rsidR="000A403A" w:rsidRPr="00FE71D6">
            <w:t>lean system construct</w:t>
          </w:r>
          <w:r w:rsidR="00984E8E" w:rsidRPr="00FE71D6">
            <w:t xml:space="preserve">, the net trade cycle construct, and the financial performance construct) </w:t>
          </w:r>
          <w:r w:rsidR="00A34F53" w:rsidRPr="00FE71D6">
            <w:t xml:space="preserve">vary from .744 to .942, telling that they are all reliable (Table 3). </w:t>
          </w:r>
        </w:p>
        <w:p w:rsidR="000B0485" w:rsidRPr="00FE71D6" w:rsidRDefault="00A34F53" w:rsidP="00C00087">
          <w:pPr>
            <w:pStyle w:val="Paragraph"/>
            <w:spacing w:before="0"/>
            <w:ind w:firstLine="720"/>
            <w:jc w:val="both"/>
          </w:pPr>
          <w:r w:rsidRPr="00FE71D6">
            <w:t>Details on the basis of these constructs are as follows: the five indicators of the supplier partnership construct</w:t>
          </w:r>
          <w:r w:rsidR="00D03217" w:rsidRPr="00FE71D6">
            <w:t xml:space="preserve"> (</w:t>
          </w:r>
          <w:r w:rsidR="00EB7573" w:rsidRPr="00FE71D6">
            <w:t>SP1: Degree of excellence is considered as the number one standard in choosing suppliers; SP2: Issues are solved mutually with suppliers; SP3: Suppliers are helped to enhance their product degree of excellence; SP4: Main suppliers are involved in continuous improvement programs; and SP5: Main suppliers are involved in forecasting and setting goal actions</w:t>
          </w:r>
          <w:r w:rsidR="00D03217" w:rsidRPr="00FE71D6">
            <w:rPr>
              <w:rFonts w:asciiTheme="majorBidi" w:hAnsiTheme="majorBidi" w:cstheme="majorBidi"/>
            </w:rPr>
            <w:t>.)</w:t>
          </w:r>
          <w:r w:rsidR="00D03217" w:rsidRPr="00FE71D6">
            <w:t xml:space="preserve"> </w:t>
          </w:r>
          <w:r w:rsidR="00EB7573" w:rsidRPr="00FE71D6">
            <w:t>has the Cronbach’s α of .764; the five indicators of the customer relationship construct</w:t>
          </w:r>
          <w:r w:rsidR="00D03217" w:rsidRPr="00FE71D6">
            <w:t xml:space="preserve"> (</w:t>
          </w:r>
          <w:r w:rsidR="00EB7573" w:rsidRPr="00FE71D6">
            <w:t>CR1: Customers are contacted to establish dependability, receptiveness, and other criteria; CR2: Customer gratification is measured and evaluated; CR3: Future customer anticipations are determined; CR4: Customers’ capability is facilitated to look for help; and CR5: The prominence of relationship with customers is evaluated</w:t>
          </w:r>
          <w:r w:rsidR="00D03217" w:rsidRPr="00FE71D6">
            <w:rPr>
              <w:rFonts w:asciiTheme="majorBidi" w:hAnsiTheme="majorBidi" w:cstheme="majorBidi"/>
            </w:rPr>
            <w:t>.</w:t>
          </w:r>
          <w:r w:rsidR="00D03217" w:rsidRPr="00FE71D6">
            <w:t xml:space="preserve">) </w:t>
          </w:r>
          <w:r w:rsidR="00EB7573" w:rsidRPr="00FE71D6">
            <w:t>has the Cronbach’s α of .744; the four indicators of the information sharing construct</w:t>
          </w:r>
          <w:r w:rsidR="00D03217" w:rsidRPr="00FE71D6">
            <w:t xml:space="preserve"> (</w:t>
          </w:r>
          <w:r w:rsidR="00EB7573" w:rsidRPr="00FE71D6">
            <w:t>IS1: Trading partners are informed in advance of altering requirements; IS2: Trading partners share solid data; IS3: Trading partners share commercial information of essential commercial procedures; and IS4: Trading partners are retained completely knowledgeable about problems that impact commerce</w:t>
          </w:r>
          <w:r w:rsidR="00D03217" w:rsidRPr="00FE71D6">
            <w:rPr>
              <w:rFonts w:asciiTheme="majorBidi" w:hAnsiTheme="majorBidi" w:cstheme="majorBidi"/>
            </w:rPr>
            <w:t>.</w:t>
          </w:r>
          <w:r w:rsidR="00D03217" w:rsidRPr="00FE71D6">
            <w:t xml:space="preserve">) </w:t>
          </w:r>
          <w:r w:rsidR="00DB7EF2" w:rsidRPr="00FE71D6">
            <w:t>has the Cronbach’s α of .880; the five indicators of the lean system construct</w:t>
          </w:r>
          <w:r w:rsidR="00D03217" w:rsidRPr="00FE71D6">
            <w:t xml:space="preserve"> (</w:t>
          </w:r>
          <w:r w:rsidR="00DB7EF2" w:rsidRPr="00FE71D6">
            <w:t>LS1: Suppliers are pushed for shorter lead time; LS2: Pull production system is used; LS3: Suppliers are streamlined for ordering, receiving, and other paperwork; LS4: Inspection of incoming materials is reduced, and inspection of outbound materials is reduced</w:t>
          </w:r>
          <w:r w:rsidR="00D03217" w:rsidRPr="00FE71D6">
            <w:rPr>
              <w:rFonts w:asciiTheme="majorBidi" w:hAnsiTheme="majorBidi" w:cstheme="majorBidi"/>
            </w:rPr>
            <w:t>.</w:t>
          </w:r>
          <w:r w:rsidR="00D03217" w:rsidRPr="00FE71D6">
            <w:t xml:space="preserve">) </w:t>
          </w:r>
          <w:r w:rsidR="00DB7EF2" w:rsidRPr="00FE71D6">
            <w:t>has the Cronbach’s α of .846; the four indicators of the net trade cycle construct</w:t>
          </w:r>
          <w:r w:rsidR="00D03217" w:rsidRPr="00FE71D6">
            <w:t xml:space="preserve"> (</w:t>
          </w:r>
          <w:r w:rsidR="00DB7EF2" w:rsidRPr="00FE71D6">
            <w:t>NTC1: Shortening number of days it takes for a company’s trade debtors to pay their dues; NTC2: Shortening number of days a company ties its funds to inventory; NTC3: Extending number of days a company defers payments to its suppliers and other creditors; and NTC4: Shortening number of days of sales that it consumes for a company to transfer resource inputs into cash flows</w:t>
          </w:r>
          <w:r w:rsidR="00D03217" w:rsidRPr="00FE71D6">
            <w:t xml:space="preserve">.) </w:t>
          </w:r>
          <w:r w:rsidR="00DB7EF2" w:rsidRPr="00FE71D6">
            <w:t>has the Cronbach’s α of .835; and the four indicators of the financial performance construct</w:t>
          </w:r>
          <w:r w:rsidR="00D03217" w:rsidRPr="00FE71D6">
            <w:t xml:space="preserve"> (FP1: </w:t>
          </w:r>
          <w:r w:rsidR="00D03217" w:rsidRPr="00FE71D6">
            <w:rPr>
              <w:rFonts w:asciiTheme="majorBidi" w:hAnsiTheme="majorBidi" w:cstheme="majorBidi"/>
            </w:rPr>
            <w:t>Return on assets</w:t>
          </w:r>
          <w:r w:rsidR="00D03217" w:rsidRPr="00FE71D6">
            <w:t xml:space="preserve">; FP2: </w:t>
          </w:r>
          <w:r w:rsidR="00D03217" w:rsidRPr="00FE71D6">
            <w:rPr>
              <w:rFonts w:asciiTheme="majorBidi" w:hAnsiTheme="majorBidi" w:cstheme="majorBidi"/>
            </w:rPr>
            <w:t>Return on equity; FP3: Operational profit margin; and FP4: Competitive position.)</w:t>
          </w:r>
          <w:r w:rsidR="00D03217" w:rsidRPr="00FE71D6">
            <w:t xml:space="preserve"> </w:t>
          </w:r>
          <w:r w:rsidR="00DB7EF2" w:rsidRPr="00FE71D6">
            <w:t xml:space="preserve">has the Cronbach’s α of .942. As a result, it </w:t>
          </w:r>
          <w:r w:rsidR="00F9106B" w:rsidRPr="00FE71D6">
            <w:t>indicates</w:t>
          </w:r>
          <w:r w:rsidR="00DB7EF2" w:rsidRPr="00FE71D6">
            <w:t xml:space="preserve"> that there is at least 70% internal consistency in the whole collected data which give a sufficient evidence of the existence of an acceptable reliability in the whole collected data</w:t>
          </w:r>
          <w:r w:rsidR="004215D8" w:rsidRPr="00FE71D6">
            <w:t>.</w:t>
          </w:r>
        </w:p>
        <w:p w:rsidR="00B92915" w:rsidRPr="00FE71D6" w:rsidRDefault="00B92915" w:rsidP="00B92915">
          <w:bookmarkStart w:id="58" w:name="_Toc495527328"/>
        </w:p>
        <w:p w:rsidR="000B0485" w:rsidRPr="00FE71D6" w:rsidRDefault="000B0485" w:rsidP="00405FCB">
          <w:pPr>
            <w:pStyle w:val="Heading3"/>
            <w:rPr>
              <w:rFonts w:cs="Times New Roman"/>
              <w:bCs w:val="0"/>
              <w:iCs w:val="0"/>
              <w:lang w:val="en-US"/>
            </w:rPr>
          </w:pPr>
          <w:bookmarkStart w:id="59" w:name="_Toc500087487"/>
          <w:r w:rsidRPr="00FE71D6">
            <w:rPr>
              <w:rFonts w:cs="Times New Roman"/>
              <w:bCs w:val="0"/>
              <w:iCs w:val="0"/>
              <w:lang w:val="en-US"/>
            </w:rPr>
            <w:t>5.1.5 Descriptive</w:t>
          </w:r>
          <w:bookmarkEnd w:id="58"/>
          <w:bookmarkEnd w:id="59"/>
        </w:p>
        <w:p w:rsidR="00B92915" w:rsidRPr="00FE71D6" w:rsidRDefault="00713D2D" w:rsidP="00C00087">
          <w:pPr>
            <w:pStyle w:val="Paragraph"/>
            <w:spacing w:before="0"/>
            <w:jc w:val="both"/>
          </w:pPr>
          <w:r w:rsidRPr="00FE71D6">
            <w:t>Means of all six factors or constructs</w:t>
          </w:r>
          <w:r w:rsidR="00FC1533" w:rsidRPr="00FE71D6">
            <w:t xml:space="preserve"> </w:t>
          </w:r>
          <w:r w:rsidR="00970BF7" w:rsidRPr="00FE71D6">
            <w:t>(</w:t>
          </w:r>
          <w:r w:rsidR="00D46694" w:rsidRPr="00FE71D6">
            <w:t xml:space="preserve">the </w:t>
          </w:r>
          <w:r w:rsidR="00970BF7" w:rsidRPr="00FE71D6">
            <w:t>supplier partnership</w:t>
          </w:r>
          <w:r w:rsidR="009D4139" w:rsidRPr="00FE71D6">
            <w:t xml:space="preserve"> construct</w:t>
          </w:r>
          <w:r w:rsidR="00970BF7" w:rsidRPr="00FE71D6">
            <w:t xml:space="preserve">, </w:t>
          </w:r>
          <w:r w:rsidR="00D46694" w:rsidRPr="00FE71D6">
            <w:t xml:space="preserve">the </w:t>
          </w:r>
          <w:r w:rsidR="00970BF7" w:rsidRPr="00FE71D6">
            <w:t>customer relationship</w:t>
          </w:r>
          <w:r w:rsidR="009D4139" w:rsidRPr="00FE71D6">
            <w:t xml:space="preserve"> construct</w:t>
          </w:r>
          <w:r w:rsidR="00970BF7" w:rsidRPr="00FE71D6">
            <w:t xml:space="preserve">, </w:t>
          </w:r>
          <w:r w:rsidR="00D46694" w:rsidRPr="00FE71D6">
            <w:t xml:space="preserve">the </w:t>
          </w:r>
          <w:r w:rsidR="00970BF7" w:rsidRPr="00FE71D6">
            <w:t>information sharing</w:t>
          </w:r>
          <w:r w:rsidR="009D4139" w:rsidRPr="00FE71D6">
            <w:t xml:space="preserve"> construct</w:t>
          </w:r>
          <w:r w:rsidR="00970BF7" w:rsidRPr="00FE71D6">
            <w:t xml:space="preserve">, </w:t>
          </w:r>
          <w:r w:rsidR="00D46694" w:rsidRPr="00FE71D6">
            <w:t xml:space="preserve">the </w:t>
          </w:r>
          <w:r w:rsidR="00970BF7" w:rsidRPr="00FE71D6">
            <w:t>lean system</w:t>
          </w:r>
          <w:r w:rsidR="009D4139" w:rsidRPr="00FE71D6">
            <w:t xml:space="preserve"> construct</w:t>
          </w:r>
          <w:r w:rsidR="00970BF7" w:rsidRPr="00FE71D6">
            <w:t xml:space="preserve">, </w:t>
          </w:r>
          <w:r w:rsidR="00D46694" w:rsidRPr="00FE71D6">
            <w:t xml:space="preserve">the </w:t>
          </w:r>
          <w:r w:rsidR="00970BF7" w:rsidRPr="00FE71D6">
            <w:t>net trade cycle</w:t>
          </w:r>
          <w:r w:rsidR="009D4139" w:rsidRPr="00FE71D6">
            <w:t xml:space="preserve"> construct</w:t>
          </w:r>
          <w:r w:rsidR="00970BF7" w:rsidRPr="00FE71D6">
            <w:t xml:space="preserve">, and </w:t>
          </w:r>
          <w:r w:rsidR="00D46694" w:rsidRPr="00FE71D6">
            <w:t xml:space="preserve">the </w:t>
          </w:r>
          <w:r w:rsidR="00970BF7" w:rsidRPr="00FE71D6">
            <w:t>financial performance</w:t>
          </w:r>
          <w:r w:rsidR="009D4139" w:rsidRPr="00FE71D6">
            <w:t xml:space="preserve"> construct</w:t>
          </w:r>
          <w:r w:rsidR="00970BF7" w:rsidRPr="00FE71D6">
            <w:t xml:space="preserve">) </w:t>
          </w:r>
          <w:r w:rsidRPr="00FE71D6">
            <w:t>are four points out of five points that tell that the majority of the respondents agree with the 27 investigated indicators</w:t>
          </w:r>
          <w:r w:rsidR="00D37EB7" w:rsidRPr="00FE71D6">
            <w:t xml:space="preserve"> (</w:t>
          </w:r>
          <w:r w:rsidR="00615DA7" w:rsidRPr="00FE71D6">
            <w:t>five indicators of the supplier partnership construct: degree of excellence is considered as the number one standard in choosing suppliers, issues are solved mutually with suppliers, suppliers are helped to enhance their product degree of excellence, main suppliers are involved in continuous improvement programs, and main suppliers are involved in forecasting and setting goal actions; five indicators of the customer relationship construct: customers are contacted to establish dependability, receptiveness, and other criteria, customer gratification is measured and evaluated, future customer anticipations are determined, customers’ capability is facilitated to look for help, and the prominence of relationship with customers is evaluated; four indicators of the information sharing construct: trading partners are informed in advance of altering requirements, trading partners share solid data, trading partners share commercial information of essential commercial procedures, and trading partners are retained completely knowledgeable about problems that impact commerce; five indicators of the lean system construct: suppliers are pushed for shorter lead time, pull production system is used, suppliers are streamlined for ordering, receiving, and other paperwork, inspection of incoming materials is reduced, and inspection of outbound materials is reduced; four indicators of the net trade cycle construct: shortening number of days it takes for a company’s trade debtors to pay their dues, shortening number of days a company ties its funds to inventory, extending number of days a company defers payments to its suppliers and other creditors, and shortening number of days of sales that it consumes for a company to transfer resource inputs into cash flows; and four indicators of the financial performance construct: return on assets, return on equity, operational profit margin, and competitive position</w:t>
          </w:r>
          <w:r w:rsidR="00D37EB7" w:rsidRPr="00FE71D6">
            <w:rPr>
              <w:rFonts w:asciiTheme="majorBidi" w:hAnsiTheme="majorBidi" w:cstheme="majorBidi"/>
            </w:rPr>
            <w:t>)</w:t>
          </w:r>
          <w:r w:rsidR="000B0485" w:rsidRPr="00FE71D6">
            <w:rPr>
              <w:rFonts w:asciiTheme="majorBidi" w:hAnsiTheme="majorBidi" w:cstheme="majorBidi"/>
            </w:rPr>
            <w:t>.</w:t>
          </w:r>
          <w:r w:rsidR="0093234E" w:rsidRPr="00FE71D6">
            <w:t xml:space="preserve"> </w:t>
          </w:r>
          <w:r w:rsidR="00C9372C" w:rsidRPr="00FE71D6">
            <w:t>Moreover, the means have a range of 3.985 to 4.087 (Table 4) that state that the majority of respondents are satisfied with the factors under investigation. This may also signify that the investigated factors are fit with the study</w:t>
          </w:r>
          <w:r w:rsidR="006C79C5" w:rsidRPr="00FE71D6">
            <w:t xml:space="preserve">. </w:t>
          </w:r>
        </w:p>
        <w:p w:rsidR="000B0485" w:rsidRPr="00FE71D6" w:rsidRDefault="00180C22" w:rsidP="00C00087">
          <w:pPr>
            <w:pStyle w:val="Paragraph"/>
            <w:spacing w:before="0" w:after="120"/>
            <w:ind w:firstLine="720"/>
            <w:jc w:val="both"/>
          </w:pPr>
          <w:r w:rsidRPr="00FE71D6">
            <w:t>S</w:t>
          </w:r>
          <w:r w:rsidR="004E5A27" w:rsidRPr="00FE71D6">
            <w:t>tandard deviations of all the six factors or constructs</w:t>
          </w:r>
          <w:r w:rsidR="00FC1533" w:rsidRPr="00FE71D6">
            <w:t xml:space="preserve"> </w:t>
          </w:r>
          <w:r w:rsidR="00970BF7" w:rsidRPr="00FE71D6">
            <w:t>(</w:t>
          </w:r>
          <w:r w:rsidR="00D46694" w:rsidRPr="00FE71D6">
            <w:t xml:space="preserve">the </w:t>
          </w:r>
          <w:r w:rsidR="00970BF7" w:rsidRPr="00FE71D6">
            <w:t>supplier partnership</w:t>
          </w:r>
          <w:r w:rsidR="00FC1533" w:rsidRPr="00FE71D6">
            <w:t xml:space="preserve"> construct</w:t>
          </w:r>
          <w:r w:rsidR="00970BF7" w:rsidRPr="00FE71D6">
            <w:t xml:space="preserve">, </w:t>
          </w:r>
          <w:r w:rsidR="00D46694" w:rsidRPr="00FE71D6">
            <w:t xml:space="preserve">the </w:t>
          </w:r>
          <w:r w:rsidR="00970BF7" w:rsidRPr="00FE71D6">
            <w:t>customer relationship</w:t>
          </w:r>
          <w:r w:rsidR="00FC1533" w:rsidRPr="00FE71D6">
            <w:t xml:space="preserve"> construct</w:t>
          </w:r>
          <w:r w:rsidR="00970BF7" w:rsidRPr="00FE71D6">
            <w:t xml:space="preserve">, </w:t>
          </w:r>
          <w:r w:rsidR="00D46694" w:rsidRPr="00FE71D6">
            <w:t xml:space="preserve">the </w:t>
          </w:r>
          <w:r w:rsidR="00970BF7" w:rsidRPr="00FE71D6">
            <w:t>information sharing</w:t>
          </w:r>
          <w:r w:rsidR="00FC1533" w:rsidRPr="00FE71D6">
            <w:t xml:space="preserve"> construct</w:t>
          </w:r>
          <w:r w:rsidR="00970BF7" w:rsidRPr="00FE71D6">
            <w:t xml:space="preserve">, </w:t>
          </w:r>
          <w:r w:rsidR="00D46694" w:rsidRPr="00FE71D6">
            <w:t xml:space="preserve">the </w:t>
          </w:r>
          <w:r w:rsidR="00970BF7" w:rsidRPr="00FE71D6">
            <w:t>lean system</w:t>
          </w:r>
          <w:r w:rsidR="00FC1533" w:rsidRPr="00FE71D6">
            <w:t xml:space="preserve"> construct</w:t>
          </w:r>
          <w:r w:rsidR="00970BF7" w:rsidRPr="00FE71D6">
            <w:t xml:space="preserve">, </w:t>
          </w:r>
          <w:r w:rsidR="00D46694" w:rsidRPr="00FE71D6">
            <w:t xml:space="preserve">the </w:t>
          </w:r>
          <w:r w:rsidR="00970BF7" w:rsidRPr="00FE71D6">
            <w:t>net trade cycle</w:t>
          </w:r>
          <w:r w:rsidR="00FC1533" w:rsidRPr="00FE71D6">
            <w:t xml:space="preserve"> construct</w:t>
          </w:r>
          <w:r w:rsidR="00970BF7" w:rsidRPr="00FE71D6">
            <w:t xml:space="preserve">, and </w:t>
          </w:r>
          <w:r w:rsidR="00D46694" w:rsidRPr="00FE71D6">
            <w:t xml:space="preserve">the </w:t>
          </w:r>
          <w:r w:rsidR="00970BF7" w:rsidRPr="00FE71D6">
            <w:t>financial performance</w:t>
          </w:r>
          <w:r w:rsidR="00FC1533" w:rsidRPr="00FE71D6">
            <w:t xml:space="preserve"> construct</w:t>
          </w:r>
          <w:r w:rsidR="00970BF7" w:rsidRPr="00FE71D6">
            <w:t xml:space="preserve">) </w:t>
          </w:r>
          <w:r w:rsidR="004E5A27" w:rsidRPr="00FE71D6">
            <w:t xml:space="preserve">should be less than the third of their means which are shown in much less than 33% (the supplier partnership: .5197 is divided by 4.087 = 13%; the customer relationship: .5315 is divided by 4.000 = 13%; the information sharing: .6229 is divided by 3.985 = 16%; the lean system: .5843 is divided by 4.052 = 14%; the net trade cycle: .5779 is divided by 4.080 = 14%; and the financial performance: .6981 is divided by 4.022 = 17%) that tell that they mostly cumulate around the centre, and so, this indicates that there is no material dispersion in the collected data. </w:t>
          </w:r>
          <w:r w:rsidR="004F585F" w:rsidRPr="00FE71D6">
            <w:t>Since, there are low standard deviations which show that the data are clustered closely around their means indicate that the collected data are more reliable</w:t>
          </w:r>
          <w:r w:rsidR="00B733FF" w:rsidRPr="00FE71D6">
            <w:rPr>
              <w:rStyle w:val="st1"/>
            </w:rPr>
            <w:t xml:space="preserve">. </w:t>
          </w:r>
          <w:r w:rsidR="004E5A27" w:rsidRPr="00FE71D6">
            <w:t>Furthermore, the standard deviations have a range of .5197 to .6981 (Table 4)</w:t>
          </w:r>
          <w:r w:rsidR="000B0485" w:rsidRPr="00FE71D6">
            <w:t>.</w:t>
          </w:r>
        </w:p>
        <w:p w:rsidR="000B0485" w:rsidRPr="00FE71D6" w:rsidRDefault="009A7824" w:rsidP="009A7824">
          <w:pPr>
            <w:pStyle w:val="Caption"/>
            <w:spacing w:after="100"/>
            <w:rPr>
              <w:b w:val="0"/>
              <w:bCs w:val="0"/>
              <w:color w:val="auto"/>
              <w:sz w:val="24"/>
              <w:szCs w:val="24"/>
            </w:rPr>
          </w:pPr>
          <w:bookmarkStart w:id="60" w:name="_Toc500087397"/>
          <w:r w:rsidRPr="00FE71D6">
            <w:rPr>
              <w:color w:val="auto"/>
              <w:sz w:val="24"/>
              <w:szCs w:val="24"/>
            </w:rPr>
            <w:t xml:space="preserve">Table </w:t>
          </w:r>
          <w:r w:rsidRPr="00FE71D6">
            <w:rPr>
              <w:color w:val="auto"/>
              <w:sz w:val="24"/>
              <w:szCs w:val="24"/>
            </w:rPr>
            <w:fldChar w:fldCharType="begin"/>
          </w:r>
          <w:r w:rsidRPr="00FE71D6">
            <w:rPr>
              <w:color w:val="auto"/>
              <w:sz w:val="24"/>
              <w:szCs w:val="24"/>
            </w:rPr>
            <w:instrText xml:space="preserve"> SEQ Table \* ARABIC </w:instrText>
          </w:r>
          <w:r w:rsidRPr="00FE71D6">
            <w:rPr>
              <w:color w:val="auto"/>
              <w:sz w:val="24"/>
              <w:szCs w:val="24"/>
            </w:rPr>
            <w:fldChar w:fldCharType="separate"/>
          </w:r>
          <w:r w:rsidR="00670049" w:rsidRPr="00FE71D6">
            <w:rPr>
              <w:noProof/>
              <w:color w:val="auto"/>
              <w:sz w:val="24"/>
              <w:szCs w:val="24"/>
            </w:rPr>
            <w:t>4</w:t>
          </w:r>
          <w:r w:rsidRPr="00FE71D6">
            <w:rPr>
              <w:color w:val="auto"/>
              <w:sz w:val="24"/>
              <w:szCs w:val="24"/>
            </w:rPr>
            <w:fldChar w:fldCharType="end"/>
          </w:r>
          <w:r w:rsidRPr="00FE71D6">
            <w:rPr>
              <w:color w:val="auto"/>
              <w:sz w:val="24"/>
              <w:szCs w:val="24"/>
            </w:rPr>
            <w:t xml:space="preserve">. </w:t>
          </w:r>
          <w:r w:rsidR="000B0485" w:rsidRPr="00FE71D6">
            <w:rPr>
              <w:b w:val="0"/>
              <w:bCs w:val="0"/>
              <w:color w:val="auto"/>
              <w:sz w:val="24"/>
              <w:szCs w:val="24"/>
            </w:rPr>
            <w:t>Descriptive Statistics</w:t>
          </w:r>
          <w:bookmarkEnd w:id="60"/>
        </w:p>
        <w:tbl>
          <w:tblPr>
            <w:tblStyle w:val="TableGrid"/>
            <w:tblW w:w="0" w:type="auto"/>
            <w:tblInd w:w="108" w:type="dxa"/>
            <w:tblLayout w:type="fixed"/>
            <w:tblLook w:val="04A0" w:firstRow="1" w:lastRow="0" w:firstColumn="1" w:lastColumn="0" w:noHBand="0" w:noVBand="1"/>
          </w:tblPr>
          <w:tblGrid>
            <w:gridCol w:w="3541"/>
            <w:gridCol w:w="1449"/>
            <w:gridCol w:w="2575"/>
          </w:tblGrid>
          <w:tr w:rsidR="00FE71D6" w:rsidRPr="00FE71D6" w:rsidTr="00127BEA">
            <w:trPr>
              <w:trHeight w:val="632"/>
            </w:trPr>
            <w:tc>
              <w:tcPr>
                <w:tcW w:w="3541" w:type="dxa"/>
                <w:shd w:val="clear" w:color="auto" w:fill="D9D9D9" w:themeFill="background1" w:themeFillShade="D9"/>
                <w:vAlign w:val="center"/>
              </w:tcPr>
              <w:p w:rsidR="000B0485" w:rsidRPr="00FE71D6" w:rsidRDefault="000B0485" w:rsidP="009A7824">
                <w:pPr>
                  <w:spacing w:after="120" w:line="240" w:lineRule="auto"/>
                  <w:rPr>
                    <w:rFonts w:ascii="Times New Roman" w:hAnsi="Times New Roman" w:cs="Times New Roman"/>
                    <w:b/>
                    <w:bCs/>
                    <w:sz w:val="22"/>
                    <w:szCs w:val="22"/>
                  </w:rPr>
                </w:pPr>
                <w:r w:rsidRPr="00FE71D6">
                  <w:rPr>
                    <w:rFonts w:ascii="Times New Roman" w:hAnsi="Times New Roman" w:cs="Times New Roman"/>
                    <w:b/>
                    <w:bCs/>
                    <w:sz w:val="22"/>
                    <w:szCs w:val="22"/>
                  </w:rPr>
                  <w:t>Factor</w:t>
                </w:r>
              </w:p>
            </w:tc>
            <w:tc>
              <w:tcPr>
                <w:tcW w:w="1449" w:type="dxa"/>
                <w:shd w:val="clear" w:color="auto" w:fill="D9D9D9" w:themeFill="background1" w:themeFillShade="D9"/>
                <w:vAlign w:val="center"/>
              </w:tcPr>
              <w:p w:rsidR="000B0485" w:rsidRPr="00FE71D6" w:rsidRDefault="000B0485" w:rsidP="009A7824">
                <w:pPr>
                  <w:spacing w:after="120"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Mean</w:t>
                </w:r>
              </w:p>
            </w:tc>
            <w:tc>
              <w:tcPr>
                <w:tcW w:w="2575" w:type="dxa"/>
                <w:shd w:val="clear" w:color="auto" w:fill="D9D9D9" w:themeFill="background1" w:themeFillShade="D9"/>
                <w:vAlign w:val="center"/>
              </w:tcPr>
              <w:p w:rsidR="000B0485" w:rsidRPr="00FE71D6" w:rsidRDefault="000B0485" w:rsidP="009A7824">
                <w:pPr>
                  <w:spacing w:after="120"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Standard Deviation</w:t>
                </w:r>
              </w:p>
            </w:tc>
          </w:tr>
          <w:tr w:rsidR="00FE71D6" w:rsidRPr="00FE71D6" w:rsidTr="00127BEA">
            <w:trPr>
              <w:trHeight w:val="385"/>
            </w:trPr>
            <w:tc>
              <w:tcPr>
                <w:tcW w:w="3541" w:type="dxa"/>
                <w:vAlign w:val="center"/>
              </w:tcPr>
              <w:p w:rsidR="000B0485" w:rsidRPr="00FE71D6" w:rsidRDefault="000B0485" w:rsidP="001209FB">
                <w:pPr>
                  <w:spacing w:after="120" w:line="240" w:lineRule="auto"/>
                  <w:rPr>
                    <w:rFonts w:ascii="Times New Roman" w:hAnsi="Times New Roman" w:cs="Times New Roman"/>
                    <w:sz w:val="22"/>
                    <w:szCs w:val="22"/>
                  </w:rPr>
                </w:pPr>
                <w:r w:rsidRPr="00FE71D6">
                  <w:rPr>
                    <w:rFonts w:ascii="Times New Roman" w:hAnsi="Times New Roman" w:cs="Times New Roman"/>
                    <w:sz w:val="22"/>
                    <w:szCs w:val="22"/>
                  </w:rPr>
                  <w:t>SP (Supplier Partnership)</w:t>
                </w:r>
              </w:p>
            </w:tc>
            <w:tc>
              <w:tcPr>
                <w:tcW w:w="1449" w:type="dxa"/>
                <w:vAlign w:val="center"/>
              </w:tcPr>
              <w:p w:rsidR="000B0485" w:rsidRPr="00FE71D6" w:rsidRDefault="00EF107B" w:rsidP="001209FB">
                <w:pPr>
                  <w:spacing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4.087</w:t>
                </w:r>
              </w:p>
            </w:tc>
            <w:tc>
              <w:tcPr>
                <w:tcW w:w="2575" w:type="dxa"/>
                <w:vAlign w:val="center"/>
              </w:tcPr>
              <w:p w:rsidR="000B0485" w:rsidRPr="00FE71D6" w:rsidRDefault="00B5565D" w:rsidP="001209FB">
                <w:pPr>
                  <w:spacing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.5197</w:t>
                </w:r>
              </w:p>
            </w:tc>
          </w:tr>
          <w:tr w:rsidR="00FE71D6" w:rsidRPr="00FE71D6" w:rsidTr="00127BEA">
            <w:trPr>
              <w:trHeight w:val="395"/>
            </w:trPr>
            <w:tc>
              <w:tcPr>
                <w:tcW w:w="3541" w:type="dxa"/>
                <w:vAlign w:val="center"/>
              </w:tcPr>
              <w:p w:rsidR="000B0485" w:rsidRPr="00FE71D6" w:rsidRDefault="000B0485" w:rsidP="001209FB">
                <w:pPr>
                  <w:spacing w:after="120" w:line="240" w:lineRule="auto"/>
                  <w:rPr>
                    <w:rFonts w:ascii="Times New Roman" w:hAnsi="Times New Roman" w:cs="Times New Roman"/>
                    <w:sz w:val="22"/>
                    <w:szCs w:val="22"/>
                  </w:rPr>
                </w:pPr>
                <w:r w:rsidRPr="00FE71D6">
                  <w:rPr>
                    <w:rFonts w:ascii="Times New Roman" w:hAnsi="Times New Roman" w:cs="Times New Roman"/>
                    <w:sz w:val="22"/>
                    <w:szCs w:val="22"/>
                  </w:rPr>
                  <w:t>CR (Customer Relationship)</w:t>
                </w:r>
              </w:p>
            </w:tc>
            <w:tc>
              <w:tcPr>
                <w:tcW w:w="1449" w:type="dxa"/>
                <w:vAlign w:val="center"/>
              </w:tcPr>
              <w:p w:rsidR="000B0485" w:rsidRPr="00FE71D6" w:rsidRDefault="00EF107B" w:rsidP="001209FB">
                <w:pPr>
                  <w:spacing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4.000</w:t>
                </w:r>
              </w:p>
            </w:tc>
            <w:tc>
              <w:tcPr>
                <w:tcW w:w="2575" w:type="dxa"/>
                <w:vAlign w:val="center"/>
              </w:tcPr>
              <w:p w:rsidR="000B0485" w:rsidRPr="00FE71D6" w:rsidRDefault="00B5565D" w:rsidP="001209FB">
                <w:pPr>
                  <w:spacing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.5315</w:t>
                </w:r>
              </w:p>
            </w:tc>
          </w:tr>
          <w:tr w:rsidR="00FE71D6" w:rsidRPr="00FE71D6" w:rsidTr="00127BEA">
            <w:trPr>
              <w:trHeight w:val="385"/>
            </w:trPr>
            <w:tc>
              <w:tcPr>
                <w:tcW w:w="3541" w:type="dxa"/>
                <w:vAlign w:val="center"/>
              </w:tcPr>
              <w:p w:rsidR="000B0485" w:rsidRPr="00FE71D6" w:rsidRDefault="000B0485" w:rsidP="001209FB">
                <w:pPr>
                  <w:spacing w:after="120" w:line="240" w:lineRule="auto"/>
                  <w:rPr>
                    <w:rFonts w:ascii="Times New Roman" w:hAnsi="Times New Roman" w:cs="Times New Roman"/>
                    <w:sz w:val="22"/>
                    <w:szCs w:val="22"/>
                  </w:rPr>
                </w:pPr>
                <w:r w:rsidRPr="00FE71D6">
                  <w:rPr>
                    <w:rFonts w:ascii="Times New Roman" w:hAnsi="Times New Roman" w:cs="Times New Roman"/>
                    <w:sz w:val="22"/>
                    <w:szCs w:val="22"/>
                  </w:rPr>
                  <w:t>IS (Information Sharing)</w:t>
                </w:r>
              </w:p>
            </w:tc>
            <w:tc>
              <w:tcPr>
                <w:tcW w:w="1449" w:type="dxa"/>
                <w:vAlign w:val="center"/>
              </w:tcPr>
              <w:p w:rsidR="000B0485" w:rsidRPr="00FE71D6" w:rsidRDefault="00EF107B" w:rsidP="001209FB">
                <w:pPr>
                  <w:spacing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3.985</w:t>
                </w:r>
              </w:p>
            </w:tc>
            <w:tc>
              <w:tcPr>
                <w:tcW w:w="2575" w:type="dxa"/>
                <w:vAlign w:val="center"/>
              </w:tcPr>
              <w:p w:rsidR="000B0485" w:rsidRPr="00FE71D6" w:rsidRDefault="000B0485" w:rsidP="001209FB">
                <w:pPr>
                  <w:spacing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w:t>
                </w:r>
                <w:r w:rsidR="00B5565D" w:rsidRPr="00FE71D6">
                  <w:rPr>
                    <w:rFonts w:ascii="Times New Roman" w:hAnsi="Times New Roman" w:cs="Times New Roman"/>
                    <w:sz w:val="22"/>
                    <w:szCs w:val="22"/>
                  </w:rPr>
                  <w:t>6229</w:t>
                </w:r>
              </w:p>
            </w:tc>
          </w:tr>
          <w:tr w:rsidR="00FE71D6" w:rsidRPr="00FE71D6" w:rsidTr="00127BEA">
            <w:trPr>
              <w:trHeight w:val="395"/>
            </w:trPr>
            <w:tc>
              <w:tcPr>
                <w:tcW w:w="3541" w:type="dxa"/>
                <w:vAlign w:val="center"/>
              </w:tcPr>
              <w:p w:rsidR="000B0485" w:rsidRPr="00FE71D6" w:rsidRDefault="000B0485" w:rsidP="001209FB">
                <w:pPr>
                  <w:spacing w:after="120" w:line="240" w:lineRule="auto"/>
                  <w:rPr>
                    <w:rFonts w:ascii="Times New Roman" w:hAnsi="Times New Roman" w:cs="Times New Roman"/>
                    <w:sz w:val="22"/>
                    <w:szCs w:val="22"/>
                  </w:rPr>
                </w:pPr>
                <w:r w:rsidRPr="00FE71D6">
                  <w:rPr>
                    <w:rFonts w:ascii="Times New Roman" w:hAnsi="Times New Roman" w:cs="Times New Roman"/>
                    <w:sz w:val="22"/>
                    <w:szCs w:val="22"/>
                  </w:rPr>
                  <w:t>LS (Lean System)</w:t>
                </w:r>
              </w:p>
            </w:tc>
            <w:tc>
              <w:tcPr>
                <w:tcW w:w="1449" w:type="dxa"/>
                <w:vAlign w:val="center"/>
              </w:tcPr>
              <w:p w:rsidR="000B0485" w:rsidRPr="00FE71D6" w:rsidRDefault="00EF107B" w:rsidP="001209FB">
                <w:pPr>
                  <w:spacing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4.052</w:t>
                </w:r>
              </w:p>
            </w:tc>
            <w:tc>
              <w:tcPr>
                <w:tcW w:w="2575" w:type="dxa"/>
                <w:vAlign w:val="center"/>
              </w:tcPr>
              <w:p w:rsidR="000B0485" w:rsidRPr="00FE71D6" w:rsidRDefault="00B5565D" w:rsidP="001209FB">
                <w:pPr>
                  <w:spacing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.5843</w:t>
                </w:r>
              </w:p>
            </w:tc>
          </w:tr>
          <w:tr w:rsidR="00FE71D6" w:rsidRPr="00FE71D6" w:rsidTr="00127BEA">
            <w:trPr>
              <w:trHeight w:val="385"/>
            </w:trPr>
            <w:tc>
              <w:tcPr>
                <w:tcW w:w="3541" w:type="dxa"/>
                <w:vAlign w:val="center"/>
              </w:tcPr>
              <w:p w:rsidR="000B0485" w:rsidRPr="00FE71D6" w:rsidRDefault="000B0485" w:rsidP="001209FB">
                <w:pPr>
                  <w:spacing w:after="120" w:line="240" w:lineRule="auto"/>
                  <w:rPr>
                    <w:rFonts w:ascii="Times New Roman" w:hAnsi="Times New Roman" w:cs="Times New Roman"/>
                    <w:sz w:val="22"/>
                    <w:szCs w:val="22"/>
                  </w:rPr>
                </w:pPr>
                <w:r w:rsidRPr="00FE71D6">
                  <w:rPr>
                    <w:rFonts w:ascii="Times New Roman" w:hAnsi="Times New Roman" w:cs="Times New Roman"/>
                    <w:sz w:val="22"/>
                    <w:szCs w:val="22"/>
                  </w:rPr>
                  <w:t>NTC (Net Trade Cycle)</w:t>
                </w:r>
              </w:p>
            </w:tc>
            <w:tc>
              <w:tcPr>
                <w:tcW w:w="1449" w:type="dxa"/>
                <w:vAlign w:val="center"/>
              </w:tcPr>
              <w:p w:rsidR="000B0485" w:rsidRPr="00FE71D6" w:rsidRDefault="000B0485" w:rsidP="001209FB">
                <w:pPr>
                  <w:spacing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4.080</w:t>
                </w:r>
              </w:p>
            </w:tc>
            <w:tc>
              <w:tcPr>
                <w:tcW w:w="2575" w:type="dxa"/>
                <w:vAlign w:val="center"/>
              </w:tcPr>
              <w:p w:rsidR="000B0485" w:rsidRPr="00FE71D6" w:rsidRDefault="000B0485" w:rsidP="001209FB">
                <w:pPr>
                  <w:spacing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.5779</w:t>
                </w:r>
              </w:p>
            </w:tc>
          </w:tr>
          <w:tr w:rsidR="00FE71D6" w:rsidRPr="00FE71D6" w:rsidTr="00127BEA">
            <w:trPr>
              <w:trHeight w:val="405"/>
            </w:trPr>
            <w:tc>
              <w:tcPr>
                <w:tcW w:w="3541" w:type="dxa"/>
                <w:vAlign w:val="center"/>
              </w:tcPr>
              <w:p w:rsidR="000B0485" w:rsidRPr="00FE71D6" w:rsidRDefault="000B0485" w:rsidP="001209FB">
                <w:pPr>
                  <w:spacing w:after="120" w:line="240" w:lineRule="auto"/>
                  <w:rPr>
                    <w:rFonts w:ascii="Times New Roman" w:hAnsi="Times New Roman" w:cs="Times New Roman"/>
                    <w:sz w:val="22"/>
                    <w:szCs w:val="22"/>
                  </w:rPr>
                </w:pPr>
                <w:r w:rsidRPr="00FE71D6">
                  <w:rPr>
                    <w:rFonts w:ascii="Times New Roman" w:hAnsi="Times New Roman" w:cs="Times New Roman"/>
                    <w:sz w:val="22"/>
                    <w:szCs w:val="22"/>
                  </w:rPr>
                  <w:t>FP (Financial Performance)</w:t>
                </w:r>
              </w:p>
            </w:tc>
            <w:tc>
              <w:tcPr>
                <w:tcW w:w="1449" w:type="dxa"/>
                <w:vAlign w:val="center"/>
              </w:tcPr>
              <w:p w:rsidR="000B0485" w:rsidRPr="00FE71D6" w:rsidRDefault="000B0485" w:rsidP="001209FB">
                <w:pPr>
                  <w:spacing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4.022</w:t>
                </w:r>
              </w:p>
            </w:tc>
            <w:tc>
              <w:tcPr>
                <w:tcW w:w="2575" w:type="dxa"/>
                <w:vAlign w:val="center"/>
              </w:tcPr>
              <w:p w:rsidR="000B0485" w:rsidRPr="00FE71D6" w:rsidRDefault="000B0485" w:rsidP="001209FB">
                <w:pPr>
                  <w:spacing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.6981</w:t>
                </w:r>
              </w:p>
            </w:tc>
          </w:tr>
        </w:tbl>
        <w:p w:rsidR="000B0485" w:rsidRPr="00FE71D6" w:rsidRDefault="000B0485" w:rsidP="000B0485">
          <w:pPr>
            <w:pStyle w:val="Heading2"/>
            <w:rPr>
              <w:rFonts w:cs="Times New Roman"/>
              <w:sz w:val="2"/>
              <w:szCs w:val="2"/>
            </w:rPr>
          </w:pPr>
        </w:p>
        <w:p w:rsidR="000B0485" w:rsidRPr="00FE71D6" w:rsidRDefault="000B0485" w:rsidP="000B0485">
          <w:pPr>
            <w:pStyle w:val="Heading2"/>
            <w:rPr>
              <w:rFonts w:cs="Times New Roman"/>
              <w:sz w:val="2"/>
              <w:szCs w:val="2"/>
            </w:rPr>
          </w:pPr>
        </w:p>
        <w:p w:rsidR="00C00087" w:rsidRPr="00FE71D6" w:rsidRDefault="00C00087" w:rsidP="003A6DA6">
          <w:pPr>
            <w:pStyle w:val="Heading2"/>
            <w:contextualSpacing w:val="0"/>
            <w:rPr>
              <w:rFonts w:cs="Times New Roman"/>
              <w:lang w:val="en-US"/>
            </w:rPr>
          </w:pPr>
          <w:bookmarkStart w:id="61" w:name="_Toc495527329"/>
        </w:p>
        <w:p w:rsidR="000B0485" w:rsidRPr="00FE71D6" w:rsidRDefault="000B0485" w:rsidP="003A6DA6">
          <w:pPr>
            <w:pStyle w:val="Heading2"/>
            <w:contextualSpacing w:val="0"/>
            <w:rPr>
              <w:rFonts w:cs="Times New Roman"/>
              <w:lang w:val="en-US"/>
            </w:rPr>
          </w:pPr>
          <w:bookmarkStart w:id="62" w:name="_Toc500087488"/>
          <w:r w:rsidRPr="00FE71D6">
            <w:rPr>
              <w:rFonts w:cs="Times New Roman"/>
              <w:lang w:val="en-US"/>
            </w:rPr>
            <w:t>5.2 Construct Validity</w:t>
          </w:r>
          <w:bookmarkEnd w:id="61"/>
          <w:bookmarkEnd w:id="62"/>
        </w:p>
        <w:p w:rsidR="000B0485" w:rsidRPr="00FE71D6" w:rsidRDefault="000B0485" w:rsidP="00405FCB">
          <w:pPr>
            <w:pStyle w:val="Heading3"/>
            <w:rPr>
              <w:rFonts w:cs="Times New Roman"/>
              <w:bCs w:val="0"/>
              <w:iCs w:val="0"/>
              <w:lang w:val="en-US"/>
            </w:rPr>
          </w:pPr>
          <w:bookmarkStart w:id="63" w:name="_Toc495527330"/>
          <w:bookmarkStart w:id="64" w:name="_Toc500087489"/>
          <w:r w:rsidRPr="00FE71D6">
            <w:rPr>
              <w:rFonts w:cs="Times New Roman"/>
              <w:bCs w:val="0"/>
              <w:iCs w:val="0"/>
              <w:lang w:val="en-US"/>
            </w:rPr>
            <w:t>5.2.1 Content Validity</w:t>
          </w:r>
          <w:bookmarkEnd w:id="63"/>
          <w:bookmarkEnd w:id="64"/>
          <w:r w:rsidRPr="00FE71D6">
            <w:rPr>
              <w:rFonts w:cs="Times New Roman"/>
              <w:bCs w:val="0"/>
              <w:iCs w:val="0"/>
              <w:lang w:val="en-US"/>
            </w:rPr>
            <w:t xml:space="preserve"> </w:t>
          </w:r>
        </w:p>
        <w:p w:rsidR="000B0485" w:rsidRPr="00FE71D6" w:rsidRDefault="001C5299" w:rsidP="005A44DB">
          <w:pPr>
            <w:pStyle w:val="Paragraph"/>
            <w:spacing w:before="0" w:after="120"/>
            <w:jc w:val="both"/>
          </w:pPr>
          <w:r w:rsidRPr="00FE71D6">
            <w:t>It relies on how suitable the researcher has produced dimension indicators employing the applicable literature to encompass the substance area of the variable that is gauged</w:t>
          </w:r>
          <w:r w:rsidR="000B0485" w:rsidRPr="00FE71D6">
            <w:t xml:space="preserve"> </w:t>
          </w:r>
          <w:sdt>
            <w:sdtPr>
              <w:id w:val="1825926989"/>
              <w:citation/>
            </w:sdtPr>
            <w:sdtEndPr/>
            <w:sdtContent>
              <w:r w:rsidR="000B0485" w:rsidRPr="00FE71D6">
                <w:fldChar w:fldCharType="begin"/>
              </w:r>
              <w:r w:rsidR="000B0485" w:rsidRPr="00FE71D6">
                <w:instrText xml:space="preserve"> CITATION Boh83 \l 1033 </w:instrText>
              </w:r>
              <w:r w:rsidR="000B0485" w:rsidRPr="00FE71D6">
                <w:fldChar w:fldCharType="separate"/>
              </w:r>
              <w:r w:rsidR="0063081B" w:rsidRPr="00FE71D6">
                <w:rPr>
                  <w:noProof/>
                </w:rPr>
                <w:t>(Bohrnstedt, 1983)</w:t>
              </w:r>
              <w:r w:rsidR="000B0485" w:rsidRPr="00FE71D6">
                <w:fldChar w:fldCharType="end"/>
              </w:r>
            </w:sdtContent>
          </w:sdt>
          <w:r w:rsidR="000B0485" w:rsidRPr="00FE71D6">
            <w:t xml:space="preserve">. </w:t>
          </w:r>
          <w:r w:rsidRPr="00FE71D6">
            <w:t>It also denotes the degree to which a gauge signifies all facets of a given construct. For instance, a net trade cycle construct may lack content validity if it only assesses the affective component of net trade cycle construct but fails to take into account the receivable collection period component. A portion of partiality occurs in relation to influential content validity, which necessitates an amount of agreement about what a specific collection policy, for instance, aggressive collection policy embodies. A deviation about a collection policy will inhibit the benefit of a high content validity. Moreover, the collection of the indicators in the current research was on the basis of an expansion of the literature review, providing a good content validity to the gauged variables</w:t>
          </w:r>
          <w:r w:rsidR="000B0485" w:rsidRPr="00FE71D6">
            <w:t>.</w:t>
          </w:r>
        </w:p>
        <w:p w:rsidR="00180C22" w:rsidRPr="00FE71D6" w:rsidRDefault="00180C22" w:rsidP="00180C22">
          <w:bookmarkStart w:id="65" w:name="_Toc495527331"/>
        </w:p>
        <w:p w:rsidR="000B0485" w:rsidRPr="00FE71D6" w:rsidRDefault="000B0485" w:rsidP="00405FCB">
          <w:pPr>
            <w:pStyle w:val="Heading3"/>
            <w:rPr>
              <w:rFonts w:cs="Times New Roman"/>
              <w:bCs w:val="0"/>
              <w:iCs w:val="0"/>
              <w:lang w:val="en-US"/>
            </w:rPr>
          </w:pPr>
          <w:bookmarkStart w:id="66" w:name="_Toc500087490"/>
          <w:r w:rsidRPr="00FE71D6">
            <w:rPr>
              <w:rFonts w:cs="Times New Roman"/>
              <w:bCs w:val="0"/>
              <w:iCs w:val="0"/>
              <w:lang w:val="en-US"/>
            </w:rPr>
            <w:t>5.2.2 Convergent Validity</w:t>
          </w:r>
          <w:bookmarkEnd w:id="65"/>
          <w:bookmarkEnd w:id="66"/>
          <w:r w:rsidRPr="00FE71D6">
            <w:rPr>
              <w:rFonts w:cs="Times New Roman"/>
              <w:bCs w:val="0"/>
              <w:iCs w:val="0"/>
              <w:lang w:val="en-US"/>
            </w:rPr>
            <w:t xml:space="preserve"> </w:t>
          </w:r>
        </w:p>
        <w:p w:rsidR="00E55E99" w:rsidRPr="00FE71D6" w:rsidRDefault="00685FF0" w:rsidP="005A44DB">
          <w:pPr>
            <w:pStyle w:val="Paragraph"/>
            <w:spacing w:before="0"/>
            <w:jc w:val="both"/>
          </w:pPr>
          <w:r w:rsidRPr="00FE71D6">
            <w:t xml:space="preserve">The Normed Fit Index (NFI) designates that the model of interest improves the fit by percentage related to the null or independence model. The normed fit index has a range of 0 to 1, where 0 is no model fit and 1 is the ideal. It is taken from the confirmatory factor analysis which can be employed to evaluate convergent validity. This index gauges the degree from diverse advances to gauging a construct creating the identical outcomes. </w:t>
          </w:r>
          <w:r w:rsidR="00E55E99" w:rsidRPr="00FE71D6">
            <w:t xml:space="preserve">It measures factors that should be conceptually associated with each other and are observed to be associated with each other. Similarly, scores on the gauge are related to other gauge of the same factor. </w:t>
          </w:r>
        </w:p>
        <w:p w:rsidR="00E55E99" w:rsidRPr="00FE71D6" w:rsidRDefault="00685FF0" w:rsidP="005A44DB">
          <w:pPr>
            <w:pStyle w:val="Paragraph"/>
            <w:spacing w:before="0" w:after="120"/>
            <w:ind w:firstLine="720"/>
            <w:jc w:val="both"/>
          </w:pPr>
          <w:r w:rsidRPr="00FE71D6">
            <w:t>Regarding threshold, normed fit index value of .900 points to an acceptable model fit</w:t>
          </w:r>
          <w:r w:rsidR="00302801" w:rsidRPr="00FE71D6">
            <w:t xml:space="preserve"> (Bentler, 1995). </w:t>
          </w:r>
          <w:r w:rsidRPr="00FE71D6">
            <w:t>Table 5 exhibits that the normed fit index value of the model of .876 is slightly smaller than .900 pointing to have an acceptable convergent validity. This may be due to having collected small sample of 112 respondents (less than 200 respondents) which is generally known that the Normed Fit Index is often underestimated with small sample size</w:t>
          </w:r>
          <w:r w:rsidR="009C309F" w:rsidRPr="00FE71D6">
            <w:t xml:space="preserve"> </w:t>
          </w:r>
          <w:sdt>
            <w:sdtPr>
              <w:rPr>
                <w:lang w:val="en"/>
              </w:rPr>
              <w:id w:val="287640717"/>
              <w:citation/>
            </w:sdtPr>
            <w:sdtEndPr/>
            <w:sdtContent>
              <w:r w:rsidR="0063081B" w:rsidRPr="00FE71D6">
                <w:rPr>
                  <w:lang w:val="en"/>
                </w:rPr>
                <w:fldChar w:fldCharType="begin"/>
              </w:r>
              <w:r w:rsidR="0063081B" w:rsidRPr="00FE71D6">
                <w:rPr>
                  <w:lang w:val="en-US"/>
                </w:rPr>
                <w:instrText xml:space="preserve"> CITATION Ull01 \l 1033 </w:instrText>
              </w:r>
              <w:r w:rsidR="0063081B" w:rsidRPr="00FE71D6">
                <w:rPr>
                  <w:lang w:val="en"/>
                </w:rPr>
                <w:fldChar w:fldCharType="separate"/>
              </w:r>
              <w:r w:rsidR="0063081B" w:rsidRPr="00FE71D6">
                <w:rPr>
                  <w:noProof/>
                  <w:lang w:val="en-US"/>
                </w:rPr>
                <w:t>(Ullman, 2001)</w:t>
              </w:r>
              <w:r w:rsidR="0063081B" w:rsidRPr="00FE71D6">
                <w:rPr>
                  <w:lang w:val="en"/>
                </w:rPr>
                <w:fldChar w:fldCharType="end"/>
              </w:r>
            </w:sdtContent>
          </w:sdt>
          <w:r w:rsidR="0063081B" w:rsidRPr="00FE71D6">
            <w:rPr>
              <w:lang w:val="en"/>
            </w:rPr>
            <w:t>.</w:t>
          </w:r>
          <w:r w:rsidR="00E55E99" w:rsidRPr="00FE71D6">
            <w:rPr>
              <w:lang w:val="en"/>
            </w:rPr>
            <w:t xml:space="preserve"> </w:t>
          </w:r>
        </w:p>
        <w:p w:rsidR="000B0485" w:rsidRPr="00FE71D6" w:rsidRDefault="000B0485" w:rsidP="00405FCB">
          <w:pPr>
            <w:pStyle w:val="Heading3"/>
            <w:rPr>
              <w:rFonts w:cs="Times New Roman"/>
              <w:bCs w:val="0"/>
              <w:iCs w:val="0"/>
              <w:lang w:val="en-US"/>
            </w:rPr>
          </w:pPr>
          <w:bookmarkStart w:id="67" w:name="_Toc495527332"/>
          <w:bookmarkStart w:id="68" w:name="_Toc500087491"/>
          <w:r w:rsidRPr="00FE71D6">
            <w:rPr>
              <w:rFonts w:cs="Times New Roman"/>
              <w:bCs w:val="0"/>
              <w:iCs w:val="0"/>
              <w:lang w:val="en-US"/>
            </w:rPr>
            <w:t>5.2.3 Discriminant Validity</w:t>
          </w:r>
          <w:bookmarkEnd w:id="67"/>
          <w:bookmarkEnd w:id="68"/>
          <w:r w:rsidRPr="00FE71D6">
            <w:rPr>
              <w:rFonts w:cs="Times New Roman"/>
              <w:bCs w:val="0"/>
              <w:iCs w:val="0"/>
              <w:lang w:val="en-US"/>
            </w:rPr>
            <w:t xml:space="preserve"> </w:t>
          </w:r>
        </w:p>
        <w:p w:rsidR="00FA154A" w:rsidRPr="00FE71D6" w:rsidRDefault="00070454" w:rsidP="005A44DB">
          <w:pPr>
            <w:pStyle w:val="Paragraph"/>
            <w:spacing w:before="0"/>
            <w:jc w:val="both"/>
          </w:pPr>
          <w:r w:rsidRPr="00FE71D6">
            <w:t>It gauges the level to which a construct and its indicators or questions are dissimilar from another construct and its indicators or questions</w:t>
          </w:r>
          <w:r w:rsidR="009D4139" w:rsidRPr="00FE71D6">
            <w:t xml:space="preserve"> </w:t>
          </w:r>
          <w:r w:rsidR="000B0485" w:rsidRPr="00FE71D6">
            <w:t>(</w:t>
          </w:r>
          <w:r w:rsidR="000B0485" w:rsidRPr="00FE71D6">
            <w:rPr>
              <w:noProof/>
              <w:lang w:val="en-US"/>
            </w:rPr>
            <w:t>Bagozzi et al., 1991)</w:t>
          </w:r>
          <w:r w:rsidR="000B0485" w:rsidRPr="00FE71D6">
            <w:t xml:space="preserve">. </w:t>
          </w:r>
          <w:r w:rsidRPr="00FE71D6">
            <w:t>It has a proof of discriminant validity if the Cronbach’s α value which is adequately greater than the average of its correlations with these variables</w:t>
          </w:r>
          <w:r w:rsidR="000B0485" w:rsidRPr="00FE71D6">
            <w:t xml:space="preserve"> (</w:t>
          </w:r>
          <w:r w:rsidR="00E81D74" w:rsidRPr="00FE71D6">
            <w:t>Ghiselli</w:t>
          </w:r>
          <w:r w:rsidR="00302801" w:rsidRPr="00FE71D6">
            <w:t xml:space="preserve"> et al., 1981). </w:t>
          </w:r>
          <w:r w:rsidR="00FA154A" w:rsidRPr="00FE71D6">
            <w:t>It measures factors that should not be conceptually associated with each other and have no observed association with each other. Likewise, scores on the gauge are not related to other gauges that are theoretically different.</w:t>
          </w:r>
        </w:p>
        <w:p w:rsidR="000B0485" w:rsidRPr="00FE71D6" w:rsidRDefault="007429C8" w:rsidP="005A44DB">
          <w:pPr>
            <w:pStyle w:val="Paragraph"/>
            <w:spacing w:before="0" w:after="120"/>
            <w:ind w:firstLine="720"/>
            <w:jc w:val="both"/>
          </w:pPr>
          <w:r w:rsidRPr="00FE71D6">
            <w:t>Table 5 demonstrates that the distinction between the Cronbach’s α value of every degree and the average correlation of every degree with the other levels is sufficiently big, giving confirmation for discriminant validity. The discriminant validity has a range of .105 to .247</w:t>
          </w:r>
          <w:r w:rsidR="0096060E" w:rsidRPr="00FE71D6">
            <w:t>.</w:t>
          </w:r>
        </w:p>
        <w:p w:rsidR="000B0485" w:rsidRPr="00FE71D6" w:rsidRDefault="000B0485" w:rsidP="00405FCB">
          <w:pPr>
            <w:pStyle w:val="Heading3"/>
            <w:rPr>
              <w:rFonts w:cs="Times New Roman"/>
              <w:bCs w:val="0"/>
              <w:iCs w:val="0"/>
              <w:lang w:val="en-US"/>
            </w:rPr>
          </w:pPr>
          <w:bookmarkStart w:id="69" w:name="_Toc495527333"/>
          <w:bookmarkStart w:id="70" w:name="_Toc500087492"/>
          <w:r w:rsidRPr="00FE71D6">
            <w:rPr>
              <w:rFonts w:cs="Times New Roman"/>
              <w:bCs w:val="0"/>
              <w:iCs w:val="0"/>
              <w:lang w:val="en-US"/>
            </w:rPr>
            <w:t>5.2.4 Predictive Validity</w:t>
          </w:r>
          <w:bookmarkEnd w:id="69"/>
          <w:bookmarkEnd w:id="70"/>
        </w:p>
        <w:p w:rsidR="00FA154A" w:rsidRPr="00FE71D6" w:rsidRDefault="00D86C2A" w:rsidP="005A44DB">
          <w:pPr>
            <w:pStyle w:val="Paragraph"/>
            <w:spacing w:before="0"/>
            <w:jc w:val="both"/>
          </w:pPr>
          <w:r w:rsidRPr="00FE71D6">
            <w:t>It is a gauge of how the degrees in a questionnaire technique are linked with an independent measurement of the applicable standard</w:t>
          </w:r>
          <w:r w:rsidR="000B0485" w:rsidRPr="00FE71D6">
            <w:t xml:space="preserve"> </w:t>
          </w:r>
          <w:sdt>
            <w:sdtPr>
              <w:id w:val="97450661"/>
              <w:citation/>
            </w:sdtPr>
            <w:sdtEndPr/>
            <w:sdtContent>
              <w:r w:rsidR="000B0485" w:rsidRPr="00FE71D6">
                <w:fldChar w:fldCharType="begin"/>
              </w:r>
              <w:r w:rsidR="000B0485" w:rsidRPr="00FE71D6">
                <w:rPr>
                  <w:lang w:val="en-US"/>
                </w:rPr>
                <w:instrText xml:space="preserve"> CITATION Nun78 \l 1033 </w:instrText>
              </w:r>
              <w:r w:rsidR="000B0485" w:rsidRPr="00FE71D6">
                <w:fldChar w:fldCharType="separate"/>
              </w:r>
              <w:r w:rsidR="0063081B" w:rsidRPr="00FE71D6">
                <w:rPr>
                  <w:noProof/>
                  <w:lang w:val="en-US"/>
                </w:rPr>
                <w:t>(Nunnally, 1978)</w:t>
              </w:r>
              <w:r w:rsidR="000B0485" w:rsidRPr="00FE71D6">
                <w:fldChar w:fldCharType="end"/>
              </w:r>
            </w:sdtContent>
          </w:sdt>
          <w:r w:rsidR="000B0485" w:rsidRPr="00FE71D6">
            <w:t xml:space="preserve">. </w:t>
          </w:r>
          <w:r w:rsidRPr="00FE71D6">
            <w:t>Therefore, the five factors or constructs</w:t>
          </w:r>
          <w:r w:rsidR="00D36871" w:rsidRPr="00FE71D6">
            <w:t xml:space="preserve"> </w:t>
          </w:r>
          <w:r w:rsidR="00E952C1" w:rsidRPr="00FE71D6">
            <w:t xml:space="preserve">(the supplier partnership construct, the customer relationship construct, the information sharing construct, the lean system construct, and the net trade cycle construct) </w:t>
          </w:r>
          <w:r w:rsidRPr="00FE71D6">
            <w:t xml:space="preserve">in the model get predictive validity when they are positively correlated with the financial performance factor or construct. </w:t>
          </w:r>
          <w:r w:rsidR="00FA154A" w:rsidRPr="00FE71D6">
            <w:t xml:space="preserve">It states the degree to which the operationalization can predict other gauges of the same factor that are gauged at some time in the future. Equally, scores on the gauge predict performance on a criterion gauged at a time in the future. </w:t>
          </w:r>
        </w:p>
        <w:p w:rsidR="000B0485" w:rsidRPr="00FE71D6" w:rsidRDefault="00D86C2A" w:rsidP="005A44DB">
          <w:pPr>
            <w:pStyle w:val="Paragraph"/>
            <w:spacing w:before="0" w:after="120"/>
            <w:ind w:firstLine="720"/>
            <w:jc w:val="both"/>
          </w:pPr>
          <w:r w:rsidRPr="00FE71D6">
            <w:t>Table 5, the bivariate correlation amid each of the five factors or constructs</w:t>
          </w:r>
          <w:r w:rsidR="00D36871" w:rsidRPr="00FE71D6">
            <w:t xml:space="preserve"> </w:t>
          </w:r>
          <w:r w:rsidR="00E952C1" w:rsidRPr="00FE71D6">
            <w:t xml:space="preserve">(the supplier partnership construct, the customer relationship construct, the information sharing construct, the lean system construct, and the net trade cycle construct) </w:t>
          </w:r>
          <w:r w:rsidRPr="00FE71D6">
            <w:t>and the financial performance factor or construct almost all go beyond the good enough entry of .200 and so point to rational predictive validity. The predictive validity has a range of .004 to .315. It is also shown that the customer relationship is a more complex area or less predictable than the other factors</w:t>
          </w:r>
          <w:r w:rsidR="00F435FA" w:rsidRPr="00FE71D6">
            <w:t>.</w:t>
          </w:r>
        </w:p>
        <w:p w:rsidR="000B0485" w:rsidRPr="00FE71D6" w:rsidRDefault="009A7824" w:rsidP="009A7824">
          <w:pPr>
            <w:pStyle w:val="Caption"/>
            <w:spacing w:after="100"/>
            <w:rPr>
              <w:b w:val="0"/>
              <w:bCs w:val="0"/>
              <w:color w:val="auto"/>
              <w:sz w:val="24"/>
              <w:szCs w:val="24"/>
            </w:rPr>
          </w:pPr>
          <w:bookmarkStart w:id="71" w:name="_Toc500087398"/>
          <w:r w:rsidRPr="00FE71D6">
            <w:rPr>
              <w:color w:val="auto"/>
              <w:sz w:val="24"/>
              <w:szCs w:val="24"/>
            </w:rPr>
            <w:t xml:space="preserve">Table </w:t>
          </w:r>
          <w:r w:rsidRPr="00FE71D6">
            <w:rPr>
              <w:color w:val="auto"/>
              <w:sz w:val="24"/>
              <w:szCs w:val="24"/>
            </w:rPr>
            <w:fldChar w:fldCharType="begin"/>
          </w:r>
          <w:r w:rsidRPr="00FE71D6">
            <w:rPr>
              <w:color w:val="auto"/>
              <w:sz w:val="24"/>
              <w:szCs w:val="24"/>
            </w:rPr>
            <w:instrText xml:space="preserve"> SEQ Table \* ARABIC </w:instrText>
          </w:r>
          <w:r w:rsidRPr="00FE71D6">
            <w:rPr>
              <w:color w:val="auto"/>
              <w:sz w:val="24"/>
              <w:szCs w:val="24"/>
            </w:rPr>
            <w:fldChar w:fldCharType="separate"/>
          </w:r>
          <w:r w:rsidR="00670049" w:rsidRPr="00FE71D6">
            <w:rPr>
              <w:noProof/>
              <w:color w:val="auto"/>
              <w:sz w:val="24"/>
              <w:szCs w:val="24"/>
            </w:rPr>
            <w:t>5</w:t>
          </w:r>
          <w:r w:rsidRPr="00FE71D6">
            <w:rPr>
              <w:color w:val="auto"/>
              <w:sz w:val="24"/>
              <w:szCs w:val="24"/>
            </w:rPr>
            <w:fldChar w:fldCharType="end"/>
          </w:r>
          <w:r w:rsidRPr="00FE71D6">
            <w:rPr>
              <w:color w:val="auto"/>
              <w:sz w:val="24"/>
              <w:szCs w:val="24"/>
            </w:rPr>
            <w:t xml:space="preserve">. </w:t>
          </w:r>
          <w:r w:rsidR="000B0485" w:rsidRPr="00FE71D6">
            <w:rPr>
              <w:b w:val="0"/>
              <w:bCs w:val="0"/>
              <w:color w:val="auto"/>
              <w:sz w:val="24"/>
              <w:szCs w:val="24"/>
            </w:rPr>
            <w:t>Scale Validity Analyses</w:t>
          </w:r>
          <w:bookmarkEnd w:id="71"/>
        </w:p>
        <w:tbl>
          <w:tblPr>
            <w:tblStyle w:val="TableGrid"/>
            <w:tblW w:w="0" w:type="auto"/>
            <w:tblInd w:w="108" w:type="dxa"/>
            <w:tblLook w:val="04A0" w:firstRow="1" w:lastRow="0" w:firstColumn="1" w:lastColumn="0" w:noHBand="0" w:noVBand="1"/>
          </w:tblPr>
          <w:tblGrid>
            <w:gridCol w:w="1233"/>
            <w:gridCol w:w="2113"/>
            <w:gridCol w:w="2157"/>
            <w:gridCol w:w="2063"/>
          </w:tblGrid>
          <w:tr w:rsidR="00FE71D6" w:rsidRPr="00FE71D6" w:rsidTr="00127BEA">
            <w:trPr>
              <w:trHeight w:val="454"/>
            </w:trPr>
            <w:tc>
              <w:tcPr>
                <w:tcW w:w="1233" w:type="dxa"/>
                <w:shd w:val="clear" w:color="auto" w:fill="D9D9D9" w:themeFill="background1" w:themeFillShade="D9"/>
                <w:vAlign w:val="center"/>
              </w:tcPr>
              <w:p w:rsidR="000B0485" w:rsidRPr="00FE71D6" w:rsidRDefault="000B0485" w:rsidP="00003530">
                <w:pPr>
                  <w:autoSpaceDE w:val="0"/>
                  <w:autoSpaceDN w:val="0"/>
                  <w:adjustRightInd w:val="0"/>
                  <w:spacing w:line="240" w:lineRule="auto"/>
                  <w:rPr>
                    <w:rFonts w:ascii="Times New Roman" w:hAnsi="Times New Roman" w:cs="Times New Roman"/>
                    <w:b/>
                    <w:bCs/>
                    <w:sz w:val="22"/>
                    <w:szCs w:val="22"/>
                  </w:rPr>
                </w:pPr>
                <w:r w:rsidRPr="00FE71D6">
                  <w:rPr>
                    <w:rFonts w:ascii="Times New Roman" w:hAnsi="Times New Roman" w:cs="Times New Roman"/>
                    <w:b/>
                    <w:bCs/>
                    <w:sz w:val="22"/>
                    <w:szCs w:val="22"/>
                  </w:rPr>
                  <w:t>Factor</w:t>
                </w:r>
              </w:p>
            </w:tc>
            <w:tc>
              <w:tcPr>
                <w:tcW w:w="2113" w:type="dxa"/>
                <w:shd w:val="clear" w:color="auto" w:fill="D9D9D9" w:themeFill="background1" w:themeFillShade="D9"/>
                <w:vAlign w:val="center"/>
              </w:tcPr>
              <w:p w:rsidR="000B0485" w:rsidRPr="00FE71D6" w:rsidRDefault="000B0485" w:rsidP="00003530">
                <w:pPr>
                  <w:autoSpaceDE w:val="0"/>
                  <w:autoSpaceDN w:val="0"/>
                  <w:adjustRightInd w:val="0"/>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Convergent Validity</w:t>
                </w:r>
              </w:p>
              <w:p w:rsidR="000B0485" w:rsidRPr="00FE71D6" w:rsidRDefault="000B0485" w:rsidP="00003530">
                <w:pPr>
                  <w:autoSpaceDE w:val="0"/>
                  <w:autoSpaceDN w:val="0"/>
                  <w:adjustRightInd w:val="0"/>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NFI</w:t>
                </w:r>
              </w:p>
            </w:tc>
            <w:tc>
              <w:tcPr>
                <w:tcW w:w="2157" w:type="dxa"/>
                <w:shd w:val="clear" w:color="auto" w:fill="D9D9D9" w:themeFill="background1" w:themeFillShade="D9"/>
                <w:vAlign w:val="center"/>
              </w:tcPr>
              <w:p w:rsidR="000B0485" w:rsidRPr="00FE71D6" w:rsidRDefault="000B0485" w:rsidP="00003530">
                <w:pPr>
                  <w:autoSpaceDE w:val="0"/>
                  <w:autoSpaceDN w:val="0"/>
                  <w:adjustRightInd w:val="0"/>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 xml:space="preserve">Discriminant Validity </w:t>
                </w:r>
              </w:p>
              <w:p w:rsidR="000B0485" w:rsidRPr="00FE71D6" w:rsidRDefault="000B0485" w:rsidP="00003530">
                <w:pPr>
                  <w:autoSpaceDE w:val="0"/>
                  <w:autoSpaceDN w:val="0"/>
                  <w:adjustRightInd w:val="0"/>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α – Avg. r</w:t>
                </w:r>
              </w:p>
            </w:tc>
            <w:tc>
              <w:tcPr>
                <w:tcW w:w="2063" w:type="dxa"/>
                <w:shd w:val="clear" w:color="auto" w:fill="D9D9D9" w:themeFill="background1" w:themeFillShade="D9"/>
                <w:vAlign w:val="center"/>
              </w:tcPr>
              <w:p w:rsidR="000B0485" w:rsidRPr="00FE71D6" w:rsidRDefault="000B0485" w:rsidP="00003530">
                <w:pPr>
                  <w:autoSpaceDE w:val="0"/>
                  <w:autoSpaceDN w:val="0"/>
                  <w:adjustRightInd w:val="0"/>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 xml:space="preserve">Predictive Validity </w:t>
                </w:r>
              </w:p>
              <w:p w:rsidR="000B0485" w:rsidRPr="00FE71D6" w:rsidRDefault="000B0485" w:rsidP="00003530">
                <w:pPr>
                  <w:autoSpaceDE w:val="0"/>
                  <w:autoSpaceDN w:val="0"/>
                  <w:adjustRightInd w:val="0"/>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 xml:space="preserve">r between each </w:t>
                </w:r>
              </w:p>
              <w:p w:rsidR="000B0485" w:rsidRPr="00FE71D6" w:rsidRDefault="000B0485" w:rsidP="00003530">
                <w:pPr>
                  <w:autoSpaceDE w:val="0"/>
                  <w:autoSpaceDN w:val="0"/>
                  <w:adjustRightInd w:val="0"/>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Factor and FP</w:t>
                </w:r>
              </w:p>
            </w:tc>
          </w:tr>
          <w:tr w:rsidR="00FE71D6" w:rsidRPr="00FE71D6" w:rsidTr="00127BEA">
            <w:trPr>
              <w:trHeight w:val="56"/>
            </w:trPr>
            <w:tc>
              <w:tcPr>
                <w:tcW w:w="1233" w:type="dxa"/>
                <w:vAlign w:val="center"/>
              </w:tcPr>
              <w:p w:rsidR="000B0485" w:rsidRPr="00FE71D6" w:rsidRDefault="000B0485" w:rsidP="001209FB">
                <w:pPr>
                  <w:autoSpaceDE w:val="0"/>
                  <w:autoSpaceDN w:val="0"/>
                  <w:adjustRightInd w:val="0"/>
                  <w:spacing w:line="240" w:lineRule="auto"/>
                  <w:jc w:val="both"/>
                  <w:rPr>
                    <w:rFonts w:ascii="Times New Roman" w:hAnsi="Times New Roman" w:cs="Times New Roman"/>
                    <w:sz w:val="22"/>
                    <w:szCs w:val="22"/>
                  </w:rPr>
                </w:pPr>
                <w:r w:rsidRPr="00FE71D6">
                  <w:rPr>
                    <w:rFonts w:ascii="Times New Roman" w:hAnsi="Times New Roman" w:cs="Times New Roman"/>
                    <w:sz w:val="22"/>
                    <w:szCs w:val="22"/>
                  </w:rPr>
                  <w:t>SP</w:t>
                </w:r>
              </w:p>
            </w:tc>
            <w:tc>
              <w:tcPr>
                <w:tcW w:w="2113" w:type="dxa"/>
                <w:vMerge w:val="restart"/>
                <w:vAlign w:val="center"/>
              </w:tcPr>
              <w:p w:rsidR="000B0485" w:rsidRPr="00FE71D6" w:rsidRDefault="00B5565D"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eastAsia="Times New Roman" w:hAnsi="Times New Roman" w:cs="Times New Roman"/>
                    <w:sz w:val="22"/>
                    <w:szCs w:val="22"/>
                    <w:lang w:eastAsia="en-GB"/>
                  </w:rPr>
                  <w:t>.876</w:t>
                </w:r>
              </w:p>
            </w:tc>
            <w:tc>
              <w:tcPr>
                <w:tcW w:w="2157" w:type="dxa"/>
                <w:vAlign w:val="center"/>
              </w:tcPr>
              <w:p w:rsidR="000B0485" w:rsidRPr="00FE71D6" w:rsidRDefault="007A2824"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hAnsi="Times New Roman" w:cs="Times New Roman"/>
                    <w:sz w:val="22"/>
                    <w:szCs w:val="22"/>
                  </w:rPr>
                  <w:t>.202</w:t>
                </w:r>
              </w:p>
            </w:tc>
            <w:tc>
              <w:tcPr>
                <w:tcW w:w="2063" w:type="dxa"/>
              </w:tcPr>
              <w:p w:rsidR="000B0485" w:rsidRPr="00FE71D6" w:rsidRDefault="006A4F8B"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hAnsi="Times New Roman" w:cs="Times New Roman"/>
                    <w:sz w:val="22"/>
                    <w:szCs w:val="22"/>
                  </w:rPr>
                  <w:t>.251</w:t>
                </w:r>
                <w:r w:rsidR="000B0485" w:rsidRPr="00FE71D6">
                  <w:rPr>
                    <w:rFonts w:ascii="Times New Roman" w:hAnsi="Times New Roman" w:cs="Times New Roman"/>
                    <w:sz w:val="22"/>
                    <w:szCs w:val="22"/>
                  </w:rPr>
                  <w:t>*</w:t>
                </w:r>
              </w:p>
            </w:tc>
          </w:tr>
          <w:tr w:rsidR="00FE71D6" w:rsidRPr="00FE71D6" w:rsidTr="00127BEA">
            <w:trPr>
              <w:trHeight w:val="94"/>
            </w:trPr>
            <w:tc>
              <w:tcPr>
                <w:tcW w:w="1233" w:type="dxa"/>
                <w:vAlign w:val="center"/>
              </w:tcPr>
              <w:p w:rsidR="000B0485" w:rsidRPr="00FE71D6" w:rsidRDefault="000B0485" w:rsidP="001209FB">
                <w:pPr>
                  <w:autoSpaceDE w:val="0"/>
                  <w:autoSpaceDN w:val="0"/>
                  <w:adjustRightInd w:val="0"/>
                  <w:spacing w:line="240" w:lineRule="auto"/>
                  <w:jc w:val="both"/>
                  <w:rPr>
                    <w:rFonts w:ascii="Times New Roman" w:hAnsi="Times New Roman" w:cs="Times New Roman"/>
                    <w:sz w:val="22"/>
                    <w:szCs w:val="22"/>
                  </w:rPr>
                </w:pPr>
                <w:r w:rsidRPr="00FE71D6">
                  <w:rPr>
                    <w:rFonts w:ascii="Times New Roman" w:hAnsi="Times New Roman" w:cs="Times New Roman"/>
                    <w:sz w:val="22"/>
                    <w:szCs w:val="22"/>
                  </w:rPr>
                  <w:t>CR</w:t>
                </w:r>
              </w:p>
            </w:tc>
            <w:tc>
              <w:tcPr>
                <w:tcW w:w="2113" w:type="dxa"/>
                <w:vMerge/>
                <w:vAlign w:val="center"/>
              </w:tcPr>
              <w:p w:rsidR="000B0485" w:rsidRPr="00FE71D6" w:rsidRDefault="000B0485" w:rsidP="001209FB">
                <w:pPr>
                  <w:autoSpaceDE w:val="0"/>
                  <w:autoSpaceDN w:val="0"/>
                  <w:adjustRightInd w:val="0"/>
                  <w:spacing w:line="240" w:lineRule="auto"/>
                  <w:jc w:val="center"/>
                  <w:rPr>
                    <w:rFonts w:ascii="Times New Roman" w:hAnsi="Times New Roman" w:cs="Times New Roman"/>
                    <w:b/>
                    <w:bCs/>
                    <w:sz w:val="22"/>
                    <w:szCs w:val="22"/>
                  </w:rPr>
                </w:pPr>
              </w:p>
            </w:tc>
            <w:tc>
              <w:tcPr>
                <w:tcW w:w="2157" w:type="dxa"/>
                <w:vAlign w:val="center"/>
              </w:tcPr>
              <w:p w:rsidR="000B0485" w:rsidRPr="00FE71D6" w:rsidRDefault="007A2824"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hAnsi="Times New Roman" w:cs="Times New Roman"/>
                    <w:sz w:val="22"/>
                    <w:szCs w:val="22"/>
                  </w:rPr>
                  <w:t>.247</w:t>
                </w:r>
              </w:p>
            </w:tc>
            <w:tc>
              <w:tcPr>
                <w:tcW w:w="2063" w:type="dxa"/>
              </w:tcPr>
              <w:p w:rsidR="000B0485" w:rsidRPr="00FE71D6" w:rsidRDefault="006A4F8B"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hAnsi="Times New Roman" w:cs="Times New Roman"/>
                    <w:sz w:val="22"/>
                    <w:szCs w:val="22"/>
                  </w:rPr>
                  <w:t>.004</w:t>
                </w:r>
              </w:p>
            </w:tc>
          </w:tr>
          <w:tr w:rsidR="00FE71D6" w:rsidRPr="00FE71D6" w:rsidTr="00127BEA">
            <w:trPr>
              <w:trHeight w:val="207"/>
            </w:trPr>
            <w:tc>
              <w:tcPr>
                <w:tcW w:w="1233" w:type="dxa"/>
                <w:vAlign w:val="center"/>
              </w:tcPr>
              <w:p w:rsidR="000B0485" w:rsidRPr="00FE71D6" w:rsidRDefault="000B0485" w:rsidP="001209FB">
                <w:pPr>
                  <w:autoSpaceDE w:val="0"/>
                  <w:autoSpaceDN w:val="0"/>
                  <w:adjustRightInd w:val="0"/>
                  <w:spacing w:line="240" w:lineRule="auto"/>
                  <w:jc w:val="both"/>
                  <w:rPr>
                    <w:rFonts w:ascii="Times New Roman" w:hAnsi="Times New Roman" w:cs="Times New Roman"/>
                    <w:sz w:val="22"/>
                    <w:szCs w:val="22"/>
                  </w:rPr>
                </w:pPr>
                <w:r w:rsidRPr="00FE71D6">
                  <w:rPr>
                    <w:rFonts w:ascii="Times New Roman" w:hAnsi="Times New Roman" w:cs="Times New Roman"/>
                    <w:sz w:val="22"/>
                    <w:szCs w:val="22"/>
                  </w:rPr>
                  <w:t>IS</w:t>
                </w:r>
              </w:p>
            </w:tc>
            <w:tc>
              <w:tcPr>
                <w:tcW w:w="2113" w:type="dxa"/>
                <w:vMerge/>
                <w:vAlign w:val="center"/>
              </w:tcPr>
              <w:p w:rsidR="000B0485" w:rsidRPr="00FE71D6" w:rsidRDefault="000B0485" w:rsidP="001209FB">
                <w:pPr>
                  <w:autoSpaceDE w:val="0"/>
                  <w:autoSpaceDN w:val="0"/>
                  <w:adjustRightInd w:val="0"/>
                  <w:spacing w:line="240" w:lineRule="auto"/>
                  <w:jc w:val="center"/>
                  <w:rPr>
                    <w:rFonts w:ascii="Times New Roman" w:hAnsi="Times New Roman" w:cs="Times New Roman"/>
                    <w:b/>
                    <w:bCs/>
                    <w:sz w:val="22"/>
                    <w:szCs w:val="22"/>
                  </w:rPr>
                </w:pPr>
              </w:p>
            </w:tc>
            <w:tc>
              <w:tcPr>
                <w:tcW w:w="2157" w:type="dxa"/>
                <w:vAlign w:val="center"/>
              </w:tcPr>
              <w:p w:rsidR="000B0485" w:rsidRPr="00FE71D6" w:rsidRDefault="007A2824"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hAnsi="Times New Roman" w:cs="Times New Roman"/>
                    <w:sz w:val="22"/>
                    <w:szCs w:val="22"/>
                  </w:rPr>
                  <w:t>.</w:t>
                </w:r>
                <w:r w:rsidR="006A4F8B" w:rsidRPr="00FE71D6">
                  <w:rPr>
                    <w:rFonts w:ascii="Times New Roman" w:hAnsi="Times New Roman" w:cs="Times New Roman"/>
                    <w:sz w:val="22"/>
                    <w:szCs w:val="22"/>
                  </w:rPr>
                  <w:t>169</w:t>
                </w:r>
              </w:p>
            </w:tc>
            <w:tc>
              <w:tcPr>
                <w:tcW w:w="2063" w:type="dxa"/>
              </w:tcPr>
              <w:p w:rsidR="000B0485" w:rsidRPr="00FE71D6" w:rsidRDefault="006F5AD6"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hAnsi="Times New Roman" w:cs="Times New Roman"/>
                    <w:sz w:val="22"/>
                    <w:szCs w:val="22"/>
                  </w:rPr>
                  <w:t>.312</w:t>
                </w:r>
                <w:r w:rsidR="000B0485" w:rsidRPr="00FE71D6">
                  <w:rPr>
                    <w:rFonts w:ascii="Times New Roman" w:hAnsi="Times New Roman" w:cs="Times New Roman"/>
                    <w:sz w:val="22"/>
                    <w:szCs w:val="22"/>
                  </w:rPr>
                  <w:t>*</w:t>
                </w:r>
              </w:p>
            </w:tc>
          </w:tr>
          <w:tr w:rsidR="00FE71D6" w:rsidRPr="00FE71D6" w:rsidTr="00127BEA">
            <w:trPr>
              <w:trHeight w:val="151"/>
            </w:trPr>
            <w:tc>
              <w:tcPr>
                <w:tcW w:w="1233" w:type="dxa"/>
                <w:vAlign w:val="center"/>
              </w:tcPr>
              <w:p w:rsidR="000B0485" w:rsidRPr="00FE71D6" w:rsidRDefault="000B0485" w:rsidP="001209FB">
                <w:pPr>
                  <w:autoSpaceDE w:val="0"/>
                  <w:autoSpaceDN w:val="0"/>
                  <w:adjustRightInd w:val="0"/>
                  <w:spacing w:line="240" w:lineRule="auto"/>
                  <w:jc w:val="both"/>
                  <w:rPr>
                    <w:rFonts w:ascii="Times New Roman" w:hAnsi="Times New Roman" w:cs="Times New Roman"/>
                    <w:sz w:val="22"/>
                    <w:szCs w:val="22"/>
                  </w:rPr>
                </w:pPr>
                <w:r w:rsidRPr="00FE71D6">
                  <w:rPr>
                    <w:rFonts w:ascii="Times New Roman" w:hAnsi="Times New Roman" w:cs="Times New Roman"/>
                    <w:sz w:val="22"/>
                    <w:szCs w:val="22"/>
                  </w:rPr>
                  <w:t>LS</w:t>
                </w:r>
              </w:p>
            </w:tc>
            <w:tc>
              <w:tcPr>
                <w:tcW w:w="2113" w:type="dxa"/>
                <w:vMerge/>
                <w:vAlign w:val="center"/>
              </w:tcPr>
              <w:p w:rsidR="000B0485" w:rsidRPr="00FE71D6" w:rsidRDefault="000B0485" w:rsidP="001209FB">
                <w:pPr>
                  <w:autoSpaceDE w:val="0"/>
                  <w:autoSpaceDN w:val="0"/>
                  <w:adjustRightInd w:val="0"/>
                  <w:spacing w:line="240" w:lineRule="auto"/>
                  <w:jc w:val="center"/>
                  <w:rPr>
                    <w:rFonts w:ascii="Times New Roman" w:hAnsi="Times New Roman" w:cs="Times New Roman"/>
                    <w:b/>
                    <w:bCs/>
                    <w:sz w:val="22"/>
                    <w:szCs w:val="22"/>
                  </w:rPr>
                </w:pPr>
              </w:p>
            </w:tc>
            <w:tc>
              <w:tcPr>
                <w:tcW w:w="2157" w:type="dxa"/>
                <w:vAlign w:val="center"/>
              </w:tcPr>
              <w:p w:rsidR="000B0485" w:rsidRPr="00FE71D6" w:rsidRDefault="006A4F8B"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hAnsi="Times New Roman" w:cs="Times New Roman"/>
                    <w:sz w:val="22"/>
                    <w:szCs w:val="22"/>
                  </w:rPr>
                  <w:t>.200</w:t>
                </w:r>
              </w:p>
            </w:tc>
            <w:tc>
              <w:tcPr>
                <w:tcW w:w="2063" w:type="dxa"/>
              </w:tcPr>
              <w:p w:rsidR="000B0485" w:rsidRPr="00FE71D6" w:rsidRDefault="006A4F8B"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hAnsi="Times New Roman" w:cs="Times New Roman"/>
                    <w:sz w:val="22"/>
                    <w:szCs w:val="22"/>
                  </w:rPr>
                  <w:t>.146</w:t>
                </w:r>
                <w:r w:rsidR="000B0485" w:rsidRPr="00FE71D6">
                  <w:rPr>
                    <w:rFonts w:ascii="Times New Roman" w:hAnsi="Times New Roman" w:cs="Times New Roman"/>
                    <w:sz w:val="22"/>
                    <w:szCs w:val="22"/>
                  </w:rPr>
                  <w:t>*</w:t>
                </w:r>
              </w:p>
            </w:tc>
          </w:tr>
          <w:tr w:rsidR="00FE71D6" w:rsidRPr="00FE71D6" w:rsidTr="00127BEA">
            <w:trPr>
              <w:trHeight w:val="188"/>
            </w:trPr>
            <w:tc>
              <w:tcPr>
                <w:tcW w:w="1233" w:type="dxa"/>
                <w:vAlign w:val="center"/>
              </w:tcPr>
              <w:p w:rsidR="000B0485" w:rsidRPr="00FE71D6" w:rsidRDefault="000B0485" w:rsidP="001209FB">
                <w:pPr>
                  <w:autoSpaceDE w:val="0"/>
                  <w:autoSpaceDN w:val="0"/>
                  <w:adjustRightInd w:val="0"/>
                  <w:spacing w:line="240" w:lineRule="auto"/>
                  <w:jc w:val="both"/>
                  <w:rPr>
                    <w:rFonts w:ascii="Times New Roman" w:hAnsi="Times New Roman" w:cs="Times New Roman"/>
                    <w:sz w:val="22"/>
                    <w:szCs w:val="22"/>
                  </w:rPr>
                </w:pPr>
                <w:r w:rsidRPr="00FE71D6">
                  <w:rPr>
                    <w:rFonts w:ascii="Times New Roman" w:hAnsi="Times New Roman" w:cs="Times New Roman"/>
                    <w:sz w:val="22"/>
                    <w:szCs w:val="22"/>
                  </w:rPr>
                  <w:t>NTC</w:t>
                </w:r>
              </w:p>
            </w:tc>
            <w:tc>
              <w:tcPr>
                <w:tcW w:w="2113" w:type="dxa"/>
                <w:vMerge/>
                <w:vAlign w:val="center"/>
              </w:tcPr>
              <w:p w:rsidR="000B0485" w:rsidRPr="00FE71D6" w:rsidRDefault="000B0485" w:rsidP="001209FB">
                <w:pPr>
                  <w:autoSpaceDE w:val="0"/>
                  <w:autoSpaceDN w:val="0"/>
                  <w:adjustRightInd w:val="0"/>
                  <w:spacing w:line="240" w:lineRule="auto"/>
                  <w:jc w:val="center"/>
                  <w:rPr>
                    <w:rFonts w:ascii="Times New Roman" w:hAnsi="Times New Roman" w:cs="Times New Roman"/>
                    <w:b/>
                    <w:bCs/>
                    <w:sz w:val="22"/>
                    <w:szCs w:val="22"/>
                  </w:rPr>
                </w:pPr>
              </w:p>
            </w:tc>
            <w:tc>
              <w:tcPr>
                <w:tcW w:w="2157" w:type="dxa"/>
                <w:vAlign w:val="center"/>
              </w:tcPr>
              <w:p w:rsidR="000B0485" w:rsidRPr="00FE71D6" w:rsidRDefault="006A4F8B"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hAnsi="Times New Roman" w:cs="Times New Roman"/>
                    <w:sz w:val="22"/>
                    <w:szCs w:val="22"/>
                  </w:rPr>
                  <w:t>.153</w:t>
                </w:r>
              </w:p>
            </w:tc>
            <w:tc>
              <w:tcPr>
                <w:tcW w:w="2063" w:type="dxa"/>
              </w:tcPr>
              <w:p w:rsidR="000B0485" w:rsidRPr="00FE71D6" w:rsidRDefault="006A4F8B"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hAnsi="Times New Roman" w:cs="Times New Roman"/>
                    <w:sz w:val="22"/>
                    <w:szCs w:val="22"/>
                  </w:rPr>
                  <w:t>.278</w:t>
                </w:r>
                <w:r w:rsidR="000B0485" w:rsidRPr="00FE71D6">
                  <w:rPr>
                    <w:rFonts w:ascii="Times New Roman" w:hAnsi="Times New Roman" w:cs="Times New Roman"/>
                    <w:sz w:val="22"/>
                    <w:szCs w:val="22"/>
                  </w:rPr>
                  <w:t>**</w:t>
                </w:r>
              </w:p>
            </w:tc>
          </w:tr>
          <w:tr w:rsidR="00FE71D6" w:rsidRPr="00FE71D6" w:rsidTr="00127BEA">
            <w:trPr>
              <w:trHeight w:val="301"/>
            </w:trPr>
            <w:tc>
              <w:tcPr>
                <w:tcW w:w="1233" w:type="dxa"/>
                <w:vAlign w:val="center"/>
              </w:tcPr>
              <w:p w:rsidR="000B0485" w:rsidRPr="00FE71D6" w:rsidRDefault="000B0485" w:rsidP="001209FB">
                <w:pPr>
                  <w:autoSpaceDE w:val="0"/>
                  <w:autoSpaceDN w:val="0"/>
                  <w:adjustRightInd w:val="0"/>
                  <w:spacing w:line="240" w:lineRule="auto"/>
                  <w:jc w:val="both"/>
                  <w:rPr>
                    <w:rFonts w:ascii="Times New Roman" w:hAnsi="Times New Roman" w:cs="Times New Roman"/>
                    <w:sz w:val="22"/>
                    <w:szCs w:val="22"/>
                  </w:rPr>
                </w:pPr>
                <w:r w:rsidRPr="00FE71D6">
                  <w:rPr>
                    <w:rFonts w:ascii="Times New Roman" w:hAnsi="Times New Roman" w:cs="Times New Roman"/>
                    <w:sz w:val="22"/>
                    <w:szCs w:val="22"/>
                  </w:rPr>
                  <w:t>FP</w:t>
                </w:r>
              </w:p>
            </w:tc>
            <w:tc>
              <w:tcPr>
                <w:tcW w:w="2113" w:type="dxa"/>
                <w:vMerge/>
                <w:vAlign w:val="center"/>
              </w:tcPr>
              <w:p w:rsidR="000B0485" w:rsidRPr="00FE71D6" w:rsidRDefault="000B0485" w:rsidP="001209FB">
                <w:pPr>
                  <w:autoSpaceDE w:val="0"/>
                  <w:autoSpaceDN w:val="0"/>
                  <w:adjustRightInd w:val="0"/>
                  <w:spacing w:line="240" w:lineRule="auto"/>
                  <w:jc w:val="center"/>
                  <w:rPr>
                    <w:rFonts w:ascii="Times New Roman" w:hAnsi="Times New Roman" w:cs="Times New Roman"/>
                    <w:b/>
                    <w:bCs/>
                    <w:sz w:val="22"/>
                    <w:szCs w:val="22"/>
                  </w:rPr>
                </w:pPr>
              </w:p>
            </w:tc>
            <w:tc>
              <w:tcPr>
                <w:tcW w:w="2157" w:type="dxa"/>
                <w:vAlign w:val="center"/>
              </w:tcPr>
              <w:p w:rsidR="000B0485" w:rsidRPr="00FE71D6" w:rsidRDefault="006A4F8B"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hAnsi="Times New Roman" w:cs="Times New Roman"/>
                    <w:sz w:val="22"/>
                    <w:szCs w:val="22"/>
                  </w:rPr>
                  <w:t>.105</w:t>
                </w:r>
              </w:p>
            </w:tc>
            <w:tc>
              <w:tcPr>
                <w:tcW w:w="2063" w:type="dxa"/>
              </w:tcPr>
              <w:p w:rsidR="000B0485" w:rsidRPr="00FE71D6" w:rsidRDefault="000B0485" w:rsidP="001209FB">
                <w:pPr>
                  <w:autoSpaceDE w:val="0"/>
                  <w:autoSpaceDN w:val="0"/>
                  <w:adjustRightInd w:val="0"/>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w:t>
                </w:r>
              </w:p>
            </w:tc>
          </w:tr>
        </w:tbl>
        <w:p w:rsidR="00BB38C3" w:rsidRPr="00FE71D6" w:rsidRDefault="00451296" w:rsidP="00BB38C3">
          <w:pPr>
            <w:pStyle w:val="Paragraph"/>
            <w:spacing w:before="0" w:line="240" w:lineRule="auto"/>
          </w:pPr>
          <w:r w:rsidRPr="00FE71D6">
            <w:rPr>
              <w:b/>
              <w:bCs/>
              <w:i/>
              <w:iCs/>
            </w:rPr>
            <w:t>Note:</w:t>
          </w:r>
          <w:r w:rsidR="00BB38C3" w:rsidRPr="00FE71D6">
            <w:rPr>
              <w:i/>
              <w:iCs/>
            </w:rPr>
            <w:t xml:space="preserve"> *p&lt;.05, **p&lt;.01</w:t>
          </w:r>
        </w:p>
        <w:p w:rsidR="000855B6" w:rsidRPr="00FE71D6" w:rsidRDefault="000855B6" w:rsidP="005A44DB">
          <w:pPr>
            <w:pStyle w:val="Paragraph"/>
            <w:spacing w:before="0" w:after="480" w:line="240" w:lineRule="auto"/>
            <w:jc w:val="both"/>
            <w:rPr>
              <w:sz w:val="22"/>
              <w:szCs w:val="22"/>
            </w:rPr>
          </w:pPr>
          <w:r w:rsidRPr="00FE71D6">
            <w:rPr>
              <w:b/>
              <w:bCs/>
              <w:i/>
              <w:iCs/>
            </w:rPr>
            <w:t xml:space="preserve">Note: </w:t>
          </w:r>
          <w:r w:rsidRPr="00FE71D6">
            <w:rPr>
              <w:sz w:val="22"/>
              <w:szCs w:val="22"/>
            </w:rPr>
            <w:t xml:space="preserve">SP (Supplier </w:t>
          </w:r>
          <w:r w:rsidR="00BB117F" w:rsidRPr="00FE71D6">
            <w:rPr>
              <w:sz w:val="22"/>
              <w:szCs w:val="22"/>
            </w:rPr>
            <w:t>Partnership),</w:t>
          </w:r>
          <w:r w:rsidRPr="00FE71D6">
            <w:rPr>
              <w:sz w:val="22"/>
              <w:szCs w:val="22"/>
            </w:rPr>
            <w:t xml:space="preserve"> CR (Customer Relations</w:t>
          </w:r>
          <w:r w:rsidR="00BB117F" w:rsidRPr="00FE71D6">
            <w:rPr>
              <w:sz w:val="22"/>
              <w:szCs w:val="22"/>
            </w:rPr>
            <w:t>hip), IS (Information Sharing),</w:t>
          </w:r>
          <w:r w:rsidR="00127BEA" w:rsidRPr="00FE71D6">
            <w:rPr>
              <w:sz w:val="22"/>
              <w:szCs w:val="22"/>
            </w:rPr>
            <w:t xml:space="preserve"> </w:t>
          </w:r>
          <w:r w:rsidR="00BB117F" w:rsidRPr="00FE71D6">
            <w:rPr>
              <w:sz w:val="22"/>
              <w:szCs w:val="22"/>
            </w:rPr>
            <w:t>LS (Lean System), NTC (Net Trade Cycle),</w:t>
          </w:r>
          <w:r w:rsidRPr="00FE71D6">
            <w:rPr>
              <w:sz w:val="22"/>
              <w:szCs w:val="22"/>
            </w:rPr>
            <w:t xml:space="preserve"> FP (Financial Performance)</w:t>
          </w:r>
          <w:r w:rsidR="00BB117F" w:rsidRPr="00FE71D6">
            <w:rPr>
              <w:sz w:val="22"/>
              <w:szCs w:val="22"/>
            </w:rPr>
            <w:t>,</w:t>
          </w:r>
          <w:r w:rsidR="001C636A" w:rsidRPr="00FE71D6">
            <w:rPr>
              <w:sz w:val="22"/>
              <w:szCs w:val="22"/>
            </w:rPr>
            <w:t xml:space="preserve"> </w:t>
          </w:r>
          <w:r w:rsidR="00127BEA" w:rsidRPr="00FE71D6">
            <w:rPr>
              <w:sz w:val="22"/>
              <w:szCs w:val="22"/>
            </w:rPr>
            <w:t xml:space="preserve">and </w:t>
          </w:r>
          <w:r w:rsidR="001C636A" w:rsidRPr="00FE71D6">
            <w:rPr>
              <w:sz w:val="22"/>
              <w:szCs w:val="22"/>
            </w:rPr>
            <w:t>NFI (Normed Fit Index).</w:t>
          </w:r>
        </w:p>
        <w:p w:rsidR="000B0485" w:rsidRPr="00FE71D6" w:rsidRDefault="00FB7D27" w:rsidP="005A44DB">
          <w:pPr>
            <w:pStyle w:val="Paragraph"/>
            <w:spacing w:before="0" w:after="240"/>
            <w:ind w:firstLine="720"/>
            <w:jc w:val="both"/>
          </w:pPr>
          <w:r w:rsidRPr="00FE71D6">
            <w:t>Continuing the validity and reliability, the latent variable model investigation was performed to test the theorized relationships amongst the six factors or constructs</w:t>
          </w:r>
          <w:r w:rsidR="000D79F4" w:rsidRPr="00FE71D6">
            <w:t xml:space="preserve"> (the supplier partnership construct, the customer relationship construct, the information sharing construct, the lean system construct, the net trade cycle construct, and the financial performance construct)</w:t>
          </w:r>
          <w:r w:rsidR="000B0485" w:rsidRPr="00FE71D6">
            <w:t>.</w:t>
          </w:r>
        </w:p>
        <w:p w:rsidR="000B0485" w:rsidRPr="00FE71D6" w:rsidRDefault="000B0485" w:rsidP="003A6DA6">
          <w:pPr>
            <w:pStyle w:val="Heading2"/>
            <w:contextualSpacing w:val="0"/>
            <w:rPr>
              <w:rFonts w:cs="Times New Roman"/>
              <w:lang w:val="en-US"/>
            </w:rPr>
          </w:pPr>
          <w:bookmarkStart w:id="72" w:name="_Toc495527334"/>
          <w:bookmarkStart w:id="73" w:name="_Toc500087493"/>
          <w:r w:rsidRPr="00FE71D6">
            <w:rPr>
              <w:rFonts w:cs="Times New Roman"/>
              <w:lang w:val="en-US"/>
            </w:rPr>
            <w:t>5.3 Latent Variable Model Analysis</w:t>
          </w:r>
          <w:bookmarkEnd w:id="72"/>
          <w:bookmarkEnd w:id="73"/>
        </w:p>
        <w:p w:rsidR="000B0485" w:rsidRPr="00FE71D6" w:rsidRDefault="004E7379" w:rsidP="005A44DB">
          <w:pPr>
            <w:pStyle w:val="Paragraph"/>
            <w:spacing w:before="0"/>
            <w:jc w:val="both"/>
          </w:pPr>
          <w:r w:rsidRPr="00FE71D6">
            <w:t>The Structural Equation Modelling (SEM) was engaged to test the relationships amongst the six factors or constructs</w:t>
          </w:r>
          <w:r w:rsidR="000D79F4" w:rsidRPr="00FE71D6">
            <w:t xml:space="preserve"> (the supplier partnership construct, the customer relationship construct, the information sharing construct, the lean system construct, the net trade cycle construct, and the financial performance construct)</w:t>
          </w:r>
          <w:r w:rsidR="000B0485" w:rsidRPr="00FE71D6">
            <w:t xml:space="preserve">. </w:t>
          </w:r>
          <w:r w:rsidRPr="00FE71D6">
            <w:t>The latent variable model in Figure 1 was an examined data taken from the 112 respondents of senior employees at the three manufacturing companies in the Kingdom of Bahrain. The goodness-of-fit indices for this model are shown in Table 6</w:t>
          </w:r>
          <w:r w:rsidR="000B0485" w:rsidRPr="00FE71D6">
            <w:t xml:space="preserve">. </w:t>
          </w:r>
        </w:p>
        <w:p w:rsidR="0016130A" w:rsidRPr="00FE71D6" w:rsidRDefault="004E7379" w:rsidP="005A44DB">
          <w:pPr>
            <w:pStyle w:val="Newparagraph"/>
            <w:jc w:val="both"/>
          </w:pPr>
          <w:r w:rsidRPr="00FE71D6">
            <w:t xml:space="preserve">The chi-square for the model is also known as the discrepancy function. If the chi-square is not significant, the model is stared as acceptable. To be exact, the observed covariance matrix is comparable to the anticipated covariance matrix that is, the matrix anticipated by the model. If the chi-square is significant, the model is stared, at least sometimes, as unacceptable. However, many researchers neglect this index if other indices designate the model as acceptable. The chi-square of 358.225, its degrees of freedom of 309, and its p-value of .028 is smaller than the level of significance of .050; which is meant that the model is not that fit. To solve this issue, normed chi-square is computed by dividing the chi-square over its degrees of freedom. The normed chi-square is with less than 3 considered as an acceptable model fit and with less than 2 considered as a good model fit (The normed chi-square =  358.225 is divided by 309 that is equal 1.159). The normed chi-square is equal to 1.159 which is less than 2, so there is a good model fit. </w:t>
          </w:r>
        </w:p>
        <w:p w:rsidR="006E6B90" w:rsidRPr="00FE71D6" w:rsidRDefault="004E7379" w:rsidP="005A44DB">
          <w:pPr>
            <w:pStyle w:val="Newparagraph"/>
            <w:jc w:val="both"/>
          </w:pPr>
          <w:r w:rsidRPr="00FE71D6">
            <w:t>Moreover, the model fit is accepted by two other important measurements which are the comparative fit index and the root mean square error of approximation. The Comparative Fit Index (CFI) contrasts an anticipated model with the null model. The comparative fit index has a range of 0 to 1, where 0 is no model fit and 1 is the ideal</w:t>
          </w:r>
          <w:r w:rsidR="00514DA6" w:rsidRPr="00FE71D6">
            <w:t xml:space="preserve">. </w:t>
          </w:r>
          <w:r w:rsidRPr="00FE71D6">
            <w:t>A comparative fit index value is more than .900 points to a suitable fit to the data</w:t>
          </w:r>
          <w:r w:rsidR="000B0485" w:rsidRPr="00FE71D6">
            <w:t xml:space="preserve"> (Bentler, 1992). </w:t>
          </w:r>
          <w:r w:rsidRPr="00FE71D6">
            <w:t>The table discloses that the comparative fit index value of the model is .981, which proposes a good model fit. The Root Mean Square Error of Approximation (RMSEA) is employed to assess the residuals. The root mean square error of approximation must be no more than .080 for an acceptable model fit</w:t>
          </w:r>
          <w:r w:rsidR="000B0485" w:rsidRPr="00FE71D6">
            <w:t xml:space="preserve"> </w:t>
          </w:r>
          <w:sdt>
            <w:sdtPr>
              <w:id w:val="20101813"/>
              <w:citation/>
            </w:sdtPr>
            <w:sdtEndPr/>
            <w:sdtContent>
              <w:r w:rsidR="000B0485" w:rsidRPr="00FE71D6">
                <w:fldChar w:fldCharType="begin"/>
              </w:r>
              <w:r w:rsidR="000B0485" w:rsidRPr="00FE71D6">
                <w:instrText xml:space="preserve"> CITATION HuL99 \l 1033 </w:instrText>
              </w:r>
              <w:r w:rsidR="000B0485" w:rsidRPr="00FE71D6">
                <w:fldChar w:fldCharType="separate"/>
              </w:r>
              <w:r w:rsidR="0063081B" w:rsidRPr="00FE71D6">
                <w:rPr>
                  <w:noProof/>
                </w:rPr>
                <w:t>(Hu &amp; Bentler, 1999)</w:t>
              </w:r>
              <w:r w:rsidR="000B0485" w:rsidRPr="00FE71D6">
                <w:fldChar w:fldCharType="end"/>
              </w:r>
            </w:sdtContent>
          </w:sdt>
          <w:r w:rsidR="000B0485" w:rsidRPr="00FE71D6">
            <w:t xml:space="preserve">. </w:t>
          </w:r>
          <w:r w:rsidRPr="00FE71D6">
            <w:t xml:space="preserve">The table demonstrates that the root mean square error of approximation value of the model is .038 and points to adequate model fit. </w:t>
          </w:r>
        </w:p>
        <w:p w:rsidR="000B0485" w:rsidRPr="00FE71D6" w:rsidRDefault="004E7379" w:rsidP="005A44DB">
          <w:pPr>
            <w:pStyle w:val="Newparagraph"/>
            <w:spacing w:after="120"/>
            <w:jc w:val="both"/>
          </w:pPr>
          <w:r w:rsidRPr="00FE71D6">
            <w:t>All the 27 factor loadings or indicators</w:t>
          </w:r>
          <w:r w:rsidR="00D36871" w:rsidRPr="00FE71D6">
            <w:t xml:space="preserve"> </w:t>
          </w:r>
          <w:r w:rsidR="009D4139" w:rsidRPr="00FE71D6">
            <w:t>(</w:t>
          </w:r>
          <w:r w:rsidRPr="00FE71D6">
            <w:t>five indicators of the supplier partnership construct: degree of excellence is considered as the number one standard in choosing suppliers, issues are solved mutually with suppliers, suppliers are helped to enhance their product degree of excellence, main suppliers are involved in continuous improvement programs, and main suppliers are involved in forecasting and setting goal actions; five indicators of the customer relationship construct: customers are contacted to establish dependability, receptiveness, and other criteria, customer gratification is measured and evaluated, future customer anticipations are determined, customers’ capability is facilitated to look for help, and the prominence of relationship with customers is evaluated; four indicators of the information sharing construct: trading partners are informed in advance of altering requirements, trading partners share solid data, trading partners share commercial information of essential commercial procedures, and trading partners are retained completely knowledgeable about problems that impact commerce; five indicators of the lean system construct: suppliers are pushed for shorter lead time, pull production system is used, suppliers are streamlined for ordering, receiving, and other paperwork, inspection of incoming materials is reduced, and inspection of outbound materials is reduced; four indicators of the net trade cycle construct: shortening number of days it takes for a company’s trade debtors to pay their dues, shortening number of days a company ties its funds to inventory, extending number of days a company defers payments to its suppliers and other creditors, and shortening number of days of sales that it consumes for a company to transfer resource inputs into cash flows; and four indicators of the financial performance construct: return on assets, return on equity, operational profit margin, and competitive position</w:t>
          </w:r>
          <w:r w:rsidR="009D4139" w:rsidRPr="00FE71D6">
            <w:t xml:space="preserve">) </w:t>
          </w:r>
          <w:r w:rsidRPr="00FE71D6">
            <w:t>are significantly on their related factors or constructs (Table 6)</w:t>
          </w:r>
          <w:r w:rsidR="000B0485" w:rsidRPr="00FE71D6">
            <w:t>.</w:t>
          </w:r>
        </w:p>
        <w:p w:rsidR="000B0485" w:rsidRPr="00FE71D6" w:rsidRDefault="009A7824" w:rsidP="009A7824">
          <w:pPr>
            <w:pStyle w:val="Caption"/>
            <w:spacing w:after="100"/>
            <w:rPr>
              <w:b w:val="0"/>
              <w:bCs w:val="0"/>
              <w:color w:val="auto"/>
              <w:sz w:val="24"/>
              <w:szCs w:val="24"/>
            </w:rPr>
          </w:pPr>
          <w:bookmarkStart w:id="74" w:name="_Toc500087399"/>
          <w:r w:rsidRPr="00FE71D6">
            <w:rPr>
              <w:color w:val="auto"/>
              <w:sz w:val="24"/>
              <w:szCs w:val="24"/>
            </w:rPr>
            <w:t xml:space="preserve">Table </w:t>
          </w:r>
          <w:r w:rsidRPr="00FE71D6">
            <w:rPr>
              <w:color w:val="auto"/>
              <w:sz w:val="24"/>
              <w:szCs w:val="24"/>
            </w:rPr>
            <w:fldChar w:fldCharType="begin"/>
          </w:r>
          <w:r w:rsidRPr="00FE71D6">
            <w:rPr>
              <w:color w:val="auto"/>
              <w:sz w:val="24"/>
              <w:szCs w:val="24"/>
            </w:rPr>
            <w:instrText xml:space="preserve"> SEQ Table \* ARABIC </w:instrText>
          </w:r>
          <w:r w:rsidRPr="00FE71D6">
            <w:rPr>
              <w:color w:val="auto"/>
              <w:sz w:val="24"/>
              <w:szCs w:val="24"/>
            </w:rPr>
            <w:fldChar w:fldCharType="separate"/>
          </w:r>
          <w:r w:rsidR="00670049" w:rsidRPr="00FE71D6">
            <w:rPr>
              <w:noProof/>
              <w:color w:val="auto"/>
              <w:sz w:val="24"/>
              <w:szCs w:val="24"/>
            </w:rPr>
            <w:t>6</w:t>
          </w:r>
          <w:r w:rsidRPr="00FE71D6">
            <w:rPr>
              <w:color w:val="auto"/>
              <w:sz w:val="24"/>
              <w:szCs w:val="24"/>
            </w:rPr>
            <w:fldChar w:fldCharType="end"/>
          </w:r>
          <w:r w:rsidRPr="00FE71D6">
            <w:rPr>
              <w:color w:val="auto"/>
              <w:sz w:val="24"/>
              <w:szCs w:val="24"/>
            </w:rPr>
            <w:t xml:space="preserve">. </w:t>
          </w:r>
          <w:r w:rsidR="000B0485" w:rsidRPr="00FE71D6">
            <w:rPr>
              <w:b w:val="0"/>
              <w:bCs w:val="0"/>
              <w:color w:val="auto"/>
              <w:sz w:val="24"/>
              <w:szCs w:val="24"/>
            </w:rPr>
            <w:t>Goodness-of-Fit Indices for the Latent Variable Model</w:t>
          </w:r>
          <w:bookmarkEnd w:id="74"/>
        </w:p>
        <w:tbl>
          <w:tblPr>
            <w:tblStyle w:val="TableGrid"/>
            <w:tblW w:w="0" w:type="auto"/>
            <w:tblInd w:w="108" w:type="dxa"/>
            <w:tblLook w:val="04A0" w:firstRow="1" w:lastRow="0" w:firstColumn="1" w:lastColumn="0" w:noHBand="0" w:noVBand="1"/>
          </w:tblPr>
          <w:tblGrid>
            <w:gridCol w:w="3611"/>
            <w:gridCol w:w="3955"/>
          </w:tblGrid>
          <w:tr w:rsidR="00FE71D6" w:rsidRPr="00FE71D6" w:rsidTr="00127BEA">
            <w:trPr>
              <w:trHeight w:val="482"/>
            </w:trPr>
            <w:tc>
              <w:tcPr>
                <w:tcW w:w="3611" w:type="dxa"/>
                <w:shd w:val="clear" w:color="auto" w:fill="D9D9D9" w:themeFill="background1" w:themeFillShade="D9"/>
                <w:vAlign w:val="center"/>
              </w:tcPr>
              <w:p w:rsidR="000B0485" w:rsidRPr="00FE71D6" w:rsidRDefault="000B0485" w:rsidP="00003530">
                <w:pPr>
                  <w:autoSpaceDE w:val="0"/>
                  <w:autoSpaceDN w:val="0"/>
                  <w:adjustRightInd w:val="0"/>
                  <w:spacing w:line="240" w:lineRule="auto"/>
                  <w:rPr>
                    <w:rFonts w:ascii="Times New Roman" w:hAnsi="Times New Roman" w:cs="Times New Roman"/>
                    <w:b/>
                    <w:bCs/>
                    <w:sz w:val="22"/>
                    <w:szCs w:val="22"/>
                  </w:rPr>
                </w:pPr>
                <w:r w:rsidRPr="00FE71D6">
                  <w:rPr>
                    <w:rFonts w:ascii="Times New Roman" w:hAnsi="Times New Roman" w:cs="Times New Roman"/>
                    <w:b/>
                    <w:bCs/>
                    <w:sz w:val="22"/>
                    <w:szCs w:val="22"/>
                  </w:rPr>
                  <w:t>Fit Index</w:t>
                </w:r>
              </w:p>
            </w:tc>
            <w:tc>
              <w:tcPr>
                <w:tcW w:w="3955" w:type="dxa"/>
                <w:shd w:val="clear" w:color="auto" w:fill="D9D9D9" w:themeFill="background1" w:themeFillShade="D9"/>
                <w:vAlign w:val="center"/>
              </w:tcPr>
              <w:p w:rsidR="000B0485" w:rsidRPr="00FE71D6" w:rsidRDefault="000B0485" w:rsidP="00003530">
                <w:pPr>
                  <w:autoSpaceDE w:val="0"/>
                  <w:autoSpaceDN w:val="0"/>
                  <w:adjustRightInd w:val="0"/>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Value</w:t>
                </w:r>
              </w:p>
            </w:tc>
          </w:tr>
          <w:tr w:rsidR="00FE71D6" w:rsidRPr="00FE71D6" w:rsidTr="00127BEA">
            <w:trPr>
              <w:trHeight w:val="482"/>
            </w:trPr>
            <w:tc>
              <w:tcPr>
                <w:tcW w:w="3611" w:type="dxa"/>
                <w:vAlign w:val="center"/>
              </w:tcPr>
              <w:p w:rsidR="000B0485" w:rsidRPr="00FE71D6" w:rsidRDefault="000B0485" w:rsidP="001209FB">
                <w:pPr>
                  <w:autoSpaceDE w:val="0"/>
                  <w:autoSpaceDN w:val="0"/>
                  <w:adjustRightInd w:val="0"/>
                  <w:spacing w:line="240" w:lineRule="auto"/>
                  <w:jc w:val="both"/>
                  <w:rPr>
                    <w:rFonts w:ascii="Times New Roman" w:hAnsi="Times New Roman" w:cs="Times New Roman"/>
                    <w:sz w:val="22"/>
                    <w:szCs w:val="22"/>
                  </w:rPr>
                </w:pPr>
                <w:r w:rsidRPr="00FE71D6">
                  <w:rPr>
                    <w:rFonts w:ascii="Times New Roman" w:hAnsi="Times New Roman" w:cs="Times New Roman"/>
                    <w:sz w:val="22"/>
                    <w:szCs w:val="22"/>
                  </w:rPr>
                  <w:t>Chi-square</w:t>
                </w:r>
              </w:p>
            </w:tc>
            <w:tc>
              <w:tcPr>
                <w:tcW w:w="3955" w:type="dxa"/>
                <w:vAlign w:val="bottom"/>
              </w:tcPr>
              <w:p w:rsidR="000B0485" w:rsidRPr="00FE71D6" w:rsidRDefault="006A4F8B"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eastAsia="Times New Roman" w:hAnsi="Times New Roman" w:cs="Times New Roman"/>
                    <w:sz w:val="22"/>
                    <w:szCs w:val="22"/>
                  </w:rPr>
                  <w:t>358.225</w:t>
                </w:r>
              </w:p>
            </w:tc>
          </w:tr>
          <w:tr w:rsidR="00FE71D6" w:rsidRPr="00FE71D6" w:rsidTr="00127BEA">
            <w:trPr>
              <w:trHeight w:val="482"/>
            </w:trPr>
            <w:tc>
              <w:tcPr>
                <w:tcW w:w="3611" w:type="dxa"/>
                <w:vAlign w:val="bottom"/>
              </w:tcPr>
              <w:p w:rsidR="000B0485" w:rsidRPr="00FE71D6" w:rsidRDefault="000B0485" w:rsidP="001209FB">
                <w:pPr>
                  <w:autoSpaceDE w:val="0"/>
                  <w:autoSpaceDN w:val="0"/>
                  <w:adjustRightInd w:val="0"/>
                  <w:spacing w:line="240" w:lineRule="auto"/>
                  <w:jc w:val="both"/>
                  <w:rPr>
                    <w:rFonts w:ascii="Times New Roman" w:hAnsi="Times New Roman" w:cs="Times New Roman"/>
                    <w:i/>
                    <w:iCs/>
                    <w:sz w:val="22"/>
                    <w:szCs w:val="22"/>
                  </w:rPr>
                </w:pPr>
                <w:r w:rsidRPr="00FE71D6">
                  <w:rPr>
                    <w:rFonts w:ascii="Times New Roman" w:hAnsi="Times New Roman" w:cs="Times New Roman"/>
                    <w:i/>
                    <w:iCs/>
                    <w:sz w:val="22"/>
                    <w:szCs w:val="22"/>
                  </w:rPr>
                  <w:t>df</w:t>
                </w:r>
              </w:p>
            </w:tc>
            <w:tc>
              <w:tcPr>
                <w:tcW w:w="3955" w:type="dxa"/>
                <w:vAlign w:val="bottom"/>
              </w:tcPr>
              <w:p w:rsidR="000B0485" w:rsidRPr="00FE71D6" w:rsidRDefault="000B0485" w:rsidP="001209FB">
                <w:pPr>
                  <w:autoSpaceDE w:val="0"/>
                  <w:autoSpaceDN w:val="0"/>
                  <w:adjustRightInd w:val="0"/>
                  <w:spacing w:line="240" w:lineRule="auto"/>
                  <w:jc w:val="center"/>
                  <w:rPr>
                    <w:rFonts w:ascii="Times New Roman" w:hAnsi="Times New Roman" w:cs="Times New Roman"/>
                    <w:b/>
                    <w:bCs/>
                    <w:sz w:val="22"/>
                    <w:szCs w:val="22"/>
                  </w:rPr>
                </w:pPr>
                <w:r w:rsidRPr="00FE71D6">
                  <w:rPr>
                    <w:rFonts w:ascii="Times New Roman" w:eastAsia="Times New Roman" w:hAnsi="Times New Roman" w:cs="Times New Roman"/>
                    <w:sz w:val="22"/>
                    <w:szCs w:val="22"/>
                  </w:rPr>
                  <w:t>309</w:t>
                </w:r>
              </w:p>
            </w:tc>
          </w:tr>
          <w:tr w:rsidR="00FE71D6" w:rsidRPr="00FE71D6" w:rsidTr="00127BEA">
            <w:trPr>
              <w:trHeight w:val="482"/>
            </w:trPr>
            <w:tc>
              <w:tcPr>
                <w:tcW w:w="3611" w:type="dxa"/>
                <w:vAlign w:val="bottom"/>
              </w:tcPr>
              <w:p w:rsidR="000B0485" w:rsidRPr="00FE71D6" w:rsidRDefault="000B0485" w:rsidP="001209FB">
                <w:pPr>
                  <w:autoSpaceDE w:val="0"/>
                  <w:autoSpaceDN w:val="0"/>
                  <w:adjustRightInd w:val="0"/>
                  <w:spacing w:line="240" w:lineRule="auto"/>
                  <w:jc w:val="both"/>
                  <w:rPr>
                    <w:rFonts w:ascii="Times New Roman" w:hAnsi="Times New Roman" w:cs="Times New Roman"/>
                    <w:i/>
                    <w:iCs/>
                    <w:sz w:val="22"/>
                    <w:szCs w:val="22"/>
                  </w:rPr>
                </w:pPr>
                <w:r w:rsidRPr="00FE71D6">
                  <w:rPr>
                    <w:rFonts w:ascii="Times New Roman" w:hAnsi="Times New Roman" w:cs="Times New Roman"/>
                    <w:i/>
                    <w:iCs/>
                    <w:sz w:val="22"/>
                    <w:szCs w:val="22"/>
                  </w:rPr>
                  <w:t>p-value</w:t>
                </w:r>
              </w:p>
            </w:tc>
            <w:tc>
              <w:tcPr>
                <w:tcW w:w="3955" w:type="dxa"/>
                <w:vAlign w:val="bottom"/>
              </w:tcPr>
              <w:p w:rsidR="000B0485" w:rsidRPr="00FE71D6" w:rsidRDefault="006A4F8B"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eastAsia="Times New Roman" w:hAnsi="Times New Roman" w:cs="Times New Roman"/>
                    <w:sz w:val="22"/>
                    <w:szCs w:val="22"/>
                  </w:rPr>
                  <w:t>.028</w:t>
                </w:r>
              </w:p>
            </w:tc>
          </w:tr>
          <w:tr w:rsidR="00FE71D6" w:rsidRPr="00FE71D6" w:rsidTr="00127BEA">
            <w:trPr>
              <w:trHeight w:val="471"/>
            </w:trPr>
            <w:tc>
              <w:tcPr>
                <w:tcW w:w="3611" w:type="dxa"/>
                <w:vAlign w:val="bottom"/>
              </w:tcPr>
              <w:p w:rsidR="000B0485" w:rsidRPr="00FE71D6" w:rsidRDefault="000B0485" w:rsidP="001209FB">
                <w:pPr>
                  <w:autoSpaceDE w:val="0"/>
                  <w:autoSpaceDN w:val="0"/>
                  <w:adjustRightInd w:val="0"/>
                  <w:spacing w:line="240" w:lineRule="auto"/>
                  <w:jc w:val="both"/>
                  <w:rPr>
                    <w:rFonts w:ascii="Times New Roman" w:hAnsi="Times New Roman" w:cs="Times New Roman"/>
                    <w:sz w:val="22"/>
                    <w:szCs w:val="22"/>
                  </w:rPr>
                </w:pPr>
                <w:r w:rsidRPr="00FE71D6">
                  <w:rPr>
                    <w:rFonts w:ascii="Times New Roman" w:hAnsi="Times New Roman" w:cs="Times New Roman"/>
                    <w:sz w:val="22"/>
                    <w:szCs w:val="22"/>
                  </w:rPr>
                  <w:t>CFI</w:t>
                </w:r>
              </w:p>
            </w:tc>
            <w:tc>
              <w:tcPr>
                <w:tcW w:w="3955" w:type="dxa"/>
                <w:vAlign w:val="bottom"/>
              </w:tcPr>
              <w:p w:rsidR="000B0485" w:rsidRPr="00FE71D6" w:rsidRDefault="006A4F8B"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eastAsia="Times New Roman" w:hAnsi="Times New Roman" w:cs="Times New Roman"/>
                    <w:sz w:val="22"/>
                    <w:szCs w:val="22"/>
                  </w:rPr>
                  <w:t>.981</w:t>
                </w:r>
              </w:p>
            </w:tc>
          </w:tr>
          <w:tr w:rsidR="00FE71D6" w:rsidRPr="00FE71D6" w:rsidTr="00127BEA">
            <w:trPr>
              <w:trHeight w:val="505"/>
            </w:trPr>
            <w:tc>
              <w:tcPr>
                <w:tcW w:w="3611" w:type="dxa"/>
                <w:vAlign w:val="bottom"/>
              </w:tcPr>
              <w:p w:rsidR="000B0485" w:rsidRPr="00FE71D6" w:rsidRDefault="000B0485" w:rsidP="001209FB">
                <w:pPr>
                  <w:autoSpaceDE w:val="0"/>
                  <w:autoSpaceDN w:val="0"/>
                  <w:adjustRightInd w:val="0"/>
                  <w:spacing w:line="240" w:lineRule="auto"/>
                  <w:jc w:val="both"/>
                  <w:rPr>
                    <w:rFonts w:ascii="Times New Roman" w:hAnsi="Times New Roman" w:cs="Times New Roman"/>
                    <w:sz w:val="22"/>
                    <w:szCs w:val="22"/>
                  </w:rPr>
                </w:pPr>
                <w:r w:rsidRPr="00FE71D6">
                  <w:rPr>
                    <w:rFonts w:ascii="Times New Roman" w:hAnsi="Times New Roman" w:cs="Times New Roman"/>
                    <w:sz w:val="22"/>
                    <w:szCs w:val="22"/>
                  </w:rPr>
                  <w:t>RMSEA</w:t>
                </w:r>
              </w:p>
            </w:tc>
            <w:tc>
              <w:tcPr>
                <w:tcW w:w="3955" w:type="dxa"/>
                <w:vAlign w:val="bottom"/>
              </w:tcPr>
              <w:p w:rsidR="000B0485" w:rsidRPr="00FE71D6" w:rsidRDefault="00C93CC8"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eastAsia="Times New Roman" w:hAnsi="Times New Roman" w:cs="Times New Roman"/>
                    <w:sz w:val="22"/>
                    <w:szCs w:val="22"/>
                  </w:rPr>
                  <w:t>.038</w:t>
                </w:r>
              </w:p>
            </w:tc>
          </w:tr>
        </w:tbl>
        <w:p w:rsidR="000B0485" w:rsidRPr="00FE71D6" w:rsidRDefault="006D33A8" w:rsidP="005A44DB">
          <w:pPr>
            <w:pStyle w:val="Paragraph"/>
            <w:spacing w:before="0" w:after="480" w:line="240" w:lineRule="auto"/>
            <w:jc w:val="both"/>
            <w:rPr>
              <w:sz w:val="22"/>
              <w:szCs w:val="22"/>
            </w:rPr>
          </w:pPr>
          <w:r w:rsidRPr="00FE71D6">
            <w:rPr>
              <w:b/>
              <w:bCs/>
              <w:i/>
              <w:iCs/>
            </w:rPr>
            <w:t>Note:</w:t>
          </w:r>
          <w:r w:rsidRPr="00FE71D6">
            <w:t xml:space="preserve"> </w:t>
          </w:r>
          <w:r w:rsidR="00BB117F" w:rsidRPr="00FE71D6">
            <w:rPr>
              <w:sz w:val="22"/>
              <w:szCs w:val="22"/>
            </w:rPr>
            <w:t>CFI (Comparative Fit Index)</w:t>
          </w:r>
          <w:r w:rsidRPr="00FE71D6">
            <w:rPr>
              <w:sz w:val="22"/>
              <w:szCs w:val="22"/>
            </w:rPr>
            <w:t xml:space="preserve"> and RMEAS (Root Mean Square Error of Approximation).</w:t>
          </w:r>
        </w:p>
        <w:p w:rsidR="0016130A" w:rsidRPr="00FE71D6" w:rsidRDefault="00180C22" w:rsidP="005A44DB">
          <w:pPr>
            <w:pStyle w:val="Paragraph"/>
            <w:spacing w:before="0"/>
            <w:ind w:firstLine="720"/>
            <w:jc w:val="both"/>
          </w:pPr>
          <w:r w:rsidRPr="00FE71D6">
            <w:t>S</w:t>
          </w:r>
          <w:r w:rsidR="00E3515B" w:rsidRPr="00FE71D6">
            <w:t xml:space="preserve">even of the nine hypothesized paths are significant as revealed in Table 7 and Table 8. The only two insignificant hypotheses that have no indirect significant influence </w:t>
          </w:r>
          <w:r w:rsidR="006E41F0" w:rsidRPr="00FE71D6">
            <w:t>of</w:t>
          </w:r>
          <w:r w:rsidR="00E3515B" w:rsidRPr="00FE71D6">
            <w:t xml:space="preserve"> the customer relationship construct on the financial performance construct </w:t>
          </w:r>
          <w:r w:rsidR="006E41F0" w:rsidRPr="00FE71D6">
            <w:t>that is</w:t>
          </w:r>
          <w:r w:rsidR="00894788" w:rsidRPr="00FE71D6">
            <w:t xml:space="preserve"> </w:t>
          </w:r>
          <w:r w:rsidR="009B1140" w:rsidRPr="00FE71D6">
            <w:t>explained</w:t>
          </w:r>
          <w:r w:rsidR="006E41F0" w:rsidRPr="00FE71D6">
            <w:t xml:space="preserve"> </w:t>
          </w:r>
          <w:r w:rsidR="00894788" w:rsidRPr="00FE71D6">
            <w:t>through the medi</w:t>
          </w:r>
          <w:r w:rsidR="00E3515B" w:rsidRPr="00FE71D6">
            <w:t xml:space="preserve">ation of the net trade cycle construct as its p-value of .757 is greater than the level of significance of .050 (H3) and no direct significant influence of the customer relationship construct on the financial performance construct as its p-value of .964 is greater than the level of significance of .050 (H4) are not supported by the literature. It is shown that the customer relationship is a more complex area or less predictable than the other factors. This may be due to the existence of high customers’ demand of uncertainty and/or customers are so price sensitive. </w:t>
          </w:r>
        </w:p>
        <w:p w:rsidR="00E95BEE" w:rsidRPr="00FE71D6" w:rsidRDefault="00425FD5" w:rsidP="00D678A8">
          <w:pPr>
            <w:pStyle w:val="Paragraph"/>
            <w:spacing w:before="0"/>
            <w:ind w:firstLine="720"/>
            <w:jc w:val="both"/>
          </w:pPr>
          <w:r w:rsidRPr="00FE71D6">
            <w:t xml:space="preserve">Moreover, it showed that the indirect relationships are mediated by the net trade cycle </w:t>
          </w:r>
          <w:r w:rsidR="00D678A8" w:rsidRPr="00FE71D6">
            <w:t>those</w:t>
          </w:r>
          <w:r w:rsidRPr="00FE71D6">
            <w:t xml:space="preserve"> have greater level of significance than the direct relationships with the financial performance. This clearly proves the significant effects of the net trade cycle to explain the relationship between the supply chain management practices and the financial performance for the following hypotheses</w:t>
          </w:r>
          <w:r w:rsidR="00C275D7" w:rsidRPr="00FE71D6">
            <w:t>.</w:t>
          </w:r>
          <w:r w:rsidR="00E3515B" w:rsidRPr="00FE71D6">
            <w:t xml:space="preserve"> H1 (an indirect significant influence of the supplier partnership construct on the financial performance construct tha</w:t>
          </w:r>
          <w:r w:rsidR="00894788" w:rsidRPr="00FE71D6">
            <w:t xml:space="preserve">t is </w:t>
          </w:r>
          <w:r w:rsidR="009B1140" w:rsidRPr="00FE71D6">
            <w:t>explained</w:t>
          </w:r>
          <w:r w:rsidR="006E41F0" w:rsidRPr="00FE71D6">
            <w:t xml:space="preserve"> </w:t>
          </w:r>
          <w:r w:rsidR="00894788" w:rsidRPr="00FE71D6">
            <w:t>through the medi</w:t>
          </w:r>
          <w:r w:rsidR="00E3515B" w:rsidRPr="00FE71D6">
            <w:t>ation of the net trade cycle construct as its p-value of .000 is smaller than the level of significance of .001), H5 (an indirect significant influence of the information sharing construct on the financial performance construct tha</w:t>
          </w:r>
          <w:r w:rsidR="00894788" w:rsidRPr="00FE71D6">
            <w:t xml:space="preserve">t is </w:t>
          </w:r>
          <w:r w:rsidR="009B1140" w:rsidRPr="00FE71D6">
            <w:t>explained</w:t>
          </w:r>
          <w:r w:rsidR="006E41F0" w:rsidRPr="00FE71D6">
            <w:t xml:space="preserve"> </w:t>
          </w:r>
          <w:r w:rsidR="00894788" w:rsidRPr="00FE71D6">
            <w:t>through the medi</w:t>
          </w:r>
          <w:r w:rsidR="00E3515B" w:rsidRPr="00FE71D6">
            <w:t>ation of the net trade cycle construct as its p-value of .029 is smaller than the level of significance of .050), H7 (an indirect significant influence of the lean system construct on the financial performance construct tha</w:t>
          </w:r>
          <w:r w:rsidR="00894788" w:rsidRPr="00FE71D6">
            <w:t xml:space="preserve">t is </w:t>
          </w:r>
          <w:r w:rsidR="009B1140" w:rsidRPr="00FE71D6">
            <w:t>explained</w:t>
          </w:r>
          <w:r w:rsidR="006E41F0" w:rsidRPr="00FE71D6">
            <w:t xml:space="preserve"> </w:t>
          </w:r>
          <w:r w:rsidR="00894788" w:rsidRPr="00FE71D6">
            <w:t>through the medi</w:t>
          </w:r>
          <w:r w:rsidR="00E3515B" w:rsidRPr="00FE71D6">
            <w:t>ation of the net trade cycle construct as its p-value of .002 is smaller than the level of significance of .010), and H9 (a significant influence of the net trade cycle construct on the financial performance construct as its p-value of .008 is smaller than the level of significance of .010) those are supported by the literature. The net tra</w:t>
          </w:r>
          <w:r w:rsidR="00894788" w:rsidRPr="00FE71D6">
            <w:t>de cycle construct works as a medi</w:t>
          </w:r>
          <w:r w:rsidR="00515748" w:rsidRPr="00FE71D6">
            <w:t>ator</w:t>
          </w:r>
          <w:r w:rsidR="00E3515B" w:rsidRPr="00FE71D6">
            <w:t xml:space="preserve"> variable; so, there are still significant direct effects of supply chain management practices on financial performance construct for the following hypotheses: H2 (a direct significant influence of the supplier partnership construct on the financial performance construct as its p-value of .034 is smaller than the level of significance of .050), H6 (a direct significant influence of the information sharing construct on the financial performance construct as its p-value of .031 is smaller than the level of significance of .050), and H8 (a direct significant influence of the lean system construct on the financial performance construct as its p-value of .049 is smaller than the level of significance of .050) those are also supported by the literature</w:t>
          </w:r>
          <w:r w:rsidR="000B0485" w:rsidRPr="00FE71D6">
            <w:t xml:space="preserve"> (Kim, 2006; Kumar &amp; Nambirajan, 2013). </w:t>
          </w:r>
        </w:p>
        <w:p w:rsidR="000B0485" w:rsidRPr="00FE71D6" w:rsidRDefault="00E56507" w:rsidP="005A44DB">
          <w:pPr>
            <w:pStyle w:val="Paragraph"/>
            <w:spacing w:before="0" w:after="120"/>
            <w:ind w:firstLine="720"/>
            <w:jc w:val="both"/>
          </w:pPr>
          <w:r w:rsidRPr="00FE71D6">
            <w:t>The standardized coefficient paths and the 27 factor loadings or indicators on their six factors or constructs</w:t>
          </w:r>
          <w:r w:rsidR="00D36871" w:rsidRPr="00FE71D6">
            <w:t xml:space="preserve"> </w:t>
          </w:r>
          <w:r w:rsidR="00D72451" w:rsidRPr="00FE71D6">
            <w:t>(</w:t>
          </w:r>
          <w:r w:rsidRPr="00FE71D6">
            <w:t>five indicators of the supplier partnership construct: degree of excellence is considered as the number one standard in choosing suppliers, issues are solved mutually with suppliers, suppliers are helped to enhance their product degree of excellence, main suppliers are involved in continuous improvement programs, and main suppliers are involved in forecasting and setting goal actions; five indicators of the customer relationship construct: customers are contacted to establish dependability, receptiveness, and other criteria, customer gratification is measured and evaluated, future customer anticipations are determined, customers’ capability is facilitated to look for help, and the prominence of relationship with customers is evaluated; four indicators of the information sharing construct: trading partners are informed in advance of altering requirements, trading partners share solid data, trading partners share commercial information of essential commercial procedures, and trading partners are retained completely knowledgeable about problems that impact commerce; five indicators of the lean system construct: suppliers are pushed for shorter lead time, pull production system is used, suppliers are streamlined for ordering, receiving, and other paperwork, inspection of incoming materials is reduced, and inspection of outbound materials is reduced; four indicators of the net trade cycle construct: shortening number of days it takes for a company’s trade debtors to pay their dues, shortening number of days a company ties its funds to inventory, extending number of days a company defers payments to its suppliers and other creditors, and shortening number of days of sales that it consumes for a company to transfer resource inputs into cash flows; and four indicators of the financial performance construct: return on assets, return on equity, operational profit margin, and competitive position</w:t>
          </w:r>
          <w:r w:rsidR="00D72451" w:rsidRPr="00FE71D6">
            <w:rPr>
              <w:rFonts w:asciiTheme="majorBidi" w:hAnsiTheme="majorBidi" w:cstheme="majorBidi"/>
            </w:rPr>
            <w:t>)</w:t>
          </w:r>
          <w:r w:rsidR="00D72451" w:rsidRPr="00FE71D6">
            <w:t xml:space="preserve"> </w:t>
          </w:r>
          <w:r w:rsidRPr="00FE71D6">
            <w:t>are revealed in Figure 2</w:t>
          </w:r>
          <w:r w:rsidR="000B0485" w:rsidRPr="00FE71D6">
            <w:t>.</w:t>
          </w:r>
        </w:p>
        <w:p w:rsidR="000B0485" w:rsidRPr="00FE71D6" w:rsidRDefault="009A7824" w:rsidP="00072004">
          <w:pPr>
            <w:pStyle w:val="Caption"/>
            <w:spacing w:after="100"/>
            <w:rPr>
              <w:b w:val="0"/>
              <w:bCs w:val="0"/>
              <w:color w:val="auto"/>
              <w:sz w:val="24"/>
              <w:szCs w:val="24"/>
            </w:rPr>
          </w:pPr>
          <w:bookmarkStart w:id="75" w:name="_Toc500087400"/>
          <w:r w:rsidRPr="00FE71D6">
            <w:rPr>
              <w:color w:val="auto"/>
              <w:sz w:val="24"/>
              <w:szCs w:val="24"/>
            </w:rPr>
            <w:t xml:space="preserve">Table </w:t>
          </w:r>
          <w:r w:rsidRPr="00FE71D6">
            <w:rPr>
              <w:color w:val="auto"/>
              <w:sz w:val="24"/>
              <w:szCs w:val="24"/>
            </w:rPr>
            <w:fldChar w:fldCharType="begin"/>
          </w:r>
          <w:r w:rsidRPr="00FE71D6">
            <w:rPr>
              <w:color w:val="auto"/>
              <w:sz w:val="24"/>
              <w:szCs w:val="24"/>
            </w:rPr>
            <w:instrText xml:space="preserve"> SEQ Table \* ARABIC </w:instrText>
          </w:r>
          <w:r w:rsidRPr="00FE71D6">
            <w:rPr>
              <w:color w:val="auto"/>
              <w:sz w:val="24"/>
              <w:szCs w:val="24"/>
            </w:rPr>
            <w:fldChar w:fldCharType="separate"/>
          </w:r>
          <w:r w:rsidR="00670049" w:rsidRPr="00FE71D6">
            <w:rPr>
              <w:noProof/>
              <w:color w:val="auto"/>
              <w:sz w:val="24"/>
              <w:szCs w:val="24"/>
            </w:rPr>
            <w:t>7</w:t>
          </w:r>
          <w:r w:rsidRPr="00FE71D6">
            <w:rPr>
              <w:color w:val="auto"/>
              <w:sz w:val="24"/>
              <w:szCs w:val="24"/>
            </w:rPr>
            <w:fldChar w:fldCharType="end"/>
          </w:r>
          <w:r w:rsidRPr="00FE71D6">
            <w:rPr>
              <w:color w:val="auto"/>
              <w:sz w:val="24"/>
              <w:szCs w:val="24"/>
            </w:rPr>
            <w:t xml:space="preserve">. </w:t>
          </w:r>
          <w:r w:rsidR="000B0485" w:rsidRPr="00FE71D6">
            <w:rPr>
              <w:b w:val="0"/>
              <w:bCs w:val="0"/>
              <w:color w:val="auto"/>
              <w:sz w:val="24"/>
              <w:szCs w:val="24"/>
            </w:rPr>
            <w:t xml:space="preserve">Statistical Relationship of </w:t>
          </w:r>
          <w:r w:rsidR="00AE5766" w:rsidRPr="00FE71D6">
            <w:rPr>
              <w:b w:val="0"/>
              <w:bCs w:val="0"/>
              <w:color w:val="auto"/>
              <w:sz w:val="24"/>
              <w:szCs w:val="24"/>
            </w:rPr>
            <w:t>P-Value</w:t>
          </w:r>
          <w:r w:rsidR="00D13521" w:rsidRPr="00FE71D6">
            <w:rPr>
              <w:b w:val="0"/>
              <w:bCs w:val="0"/>
              <w:color w:val="auto"/>
              <w:sz w:val="24"/>
              <w:szCs w:val="24"/>
            </w:rPr>
            <w:t>s</w:t>
          </w:r>
          <w:r w:rsidR="004E25D8" w:rsidRPr="00FE71D6">
            <w:rPr>
              <w:b w:val="0"/>
              <w:bCs w:val="0"/>
              <w:color w:val="auto"/>
              <w:sz w:val="24"/>
              <w:szCs w:val="24"/>
            </w:rPr>
            <w:t xml:space="preserve"> for the Model</w:t>
          </w:r>
          <w:bookmarkEnd w:id="75"/>
        </w:p>
        <w:tbl>
          <w:tblPr>
            <w:tblStyle w:val="TableGrid"/>
            <w:tblW w:w="7583" w:type="dxa"/>
            <w:tblInd w:w="108" w:type="dxa"/>
            <w:tblLook w:val="04A0" w:firstRow="1" w:lastRow="0" w:firstColumn="1" w:lastColumn="0" w:noHBand="0" w:noVBand="1"/>
          </w:tblPr>
          <w:tblGrid>
            <w:gridCol w:w="5958"/>
            <w:gridCol w:w="1625"/>
          </w:tblGrid>
          <w:tr w:rsidR="00FE71D6" w:rsidRPr="00FE71D6" w:rsidTr="001D33EE">
            <w:trPr>
              <w:trHeight w:val="397"/>
            </w:trPr>
            <w:tc>
              <w:tcPr>
                <w:tcW w:w="5958" w:type="dxa"/>
                <w:shd w:val="clear" w:color="auto" w:fill="D9D9D9" w:themeFill="background1" w:themeFillShade="D9"/>
                <w:vAlign w:val="center"/>
              </w:tcPr>
              <w:p w:rsidR="00AE5766" w:rsidRPr="00FE71D6" w:rsidRDefault="00AE5766" w:rsidP="00796002">
                <w:pPr>
                  <w:autoSpaceDE w:val="0"/>
                  <w:autoSpaceDN w:val="0"/>
                  <w:adjustRightInd w:val="0"/>
                  <w:spacing w:line="240" w:lineRule="auto"/>
                  <w:rPr>
                    <w:rFonts w:ascii="Times New Roman" w:hAnsi="Times New Roman" w:cs="Times New Roman"/>
                    <w:b/>
                    <w:bCs/>
                  </w:rPr>
                </w:pPr>
                <w:r w:rsidRPr="00FE71D6">
                  <w:rPr>
                    <w:rFonts w:ascii="Times New Roman" w:hAnsi="Times New Roman" w:cs="Times New Roman"/>
                    <w:b/>
                    <w:bCs/>
                  </w:rPr>
                  <w:t>Path</w:t>
                </w:r>
              </w:p>
            </w:tc>
            <w:tc>
              <w:tcPr>
                <w:tcW w:w="1625" w:type="dxa"/>
                <w:shd w:val="clear" w:color="auto" w:fill="D9D9D9" w:themeFill="background1" w:themeFillShade="D9"/>
                <w:vAlign w:val="center"/>
              </w:tcPr>
              <w:p w:rsidR="00AE5766" w:rsidRPr="00FE71D6" w:rsidRDefault="00AE5766" w:rsidP="00796002">
                <w:pPr>
                  <w:autoSpaceDE w:val="0"/>
                  <w:autoSpaceDN w:val="0"/>
                  <w:adjustRightInd w:val="0"/>
                  <w:spacing w:line="240" w:lineRule="auto"/>
                  <w:rPr>
                    <w:rFonts w:ascii="Times New Roman" w:hAnsi="Times New Roman" w:cs="Times New Roman"/>
                    <w:b/>
                    <w:bCs/>
                  </w:rPr>
                </w:pPr>
                <w:r w:rsidRPr="00FE71D6">
                  <w:rPr>
                    <w:rFonts w:ascii="Times New Roman" w:hAnsi="Times New Roman" w:cs="Times New Roman"/>
                    <w:b/>
                    <w:bCs/>
                  </w:rPr>
                  <w:t>P-Value</w:t>
                </w:r>
              </w:p>
            </w:tc>
          </w:tr>
          <w:tr w:rsidR="00FE71D6" w:rsidRPr="00FE71D6" w:rsidTr="001D33EE">
            <w:trPr>
              <w:trHeight w:val="456"/>
            </w:trPr>
            <w:tc>
              <w:tcPr>
                <w:tcW w:w="595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i/>
                    <w:iCs/>
                    <w:noProof/>
                  </w:rPr>
                  <mc:AlternateContent>
                    <mc:Choice Requires="wps">
                      <w:drawing>
                        <wp:anchor distT="0" distB="0" distL="114300" distR="114300" simplePos="0" relativeHeight="251692032" behindDoc="0" locked="0" layoutInCell="1" allowOverlap="1" wp14:anchorId="1154BC4B" wp14:editId="7AC8561F">
                          <wp:simplePos x="0" y="0"/>
                          <wp:positionH relativeFrom="column">
                            <wp:posOffset>1677035</wp:posOffset>
                          </wp:positionH>
                          <wp:positionV relativeFrom="paragraph">
                            <wp:posOffset>99695</wp:posOffset>
                          </wp:positionV>
                          <wp:extent cx="405765" cy="0"/>
                          <wp:effectExtent l="6350" t="61595" r="16510" b="5270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D3AE69" id="_x0000_t32" coordsize="21600,21600" o:spt="32" o:oned="t" path="m,l21600,21600e" filled="f">
                          <v:path arrowok="t" fillok="f" o:connecttype="none"/>
                          <o:lock v:ext="edit" shapetype="t"/>
                        </v:shapetype>
                        <v:shape id="Straight Arrow Connector 2" o:spid="_x0000_s1026" type="#_x0000_t32" style="position:absolute;margin-left:132.05pt;margin-top:7.85pt;width:31.9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">
                          <v:stroke endarrow="block"/>
                        </v:shape>
                      </w:pict>
                    </mc:Fallback>
                  </mc:AlternateContent>
                </w:r>
                <w:r w:rsidRPr="00FE71D6">
                  <w:rPr>
                    <w:rFonts w:ascii="Times New Roman" w:hAnsi="Times New Roman" w:cs="Times New Roman"/>
                    <w:b/>
                    <w:bCs/>
                    <w:i/>
                    <w:iCs/>
                  </w:rPr>
                  <w:t>H1</w:t>
                </w:r>
                <w:r w:rsidRPr="00FE71D6">
                  <w:rPr>
                    <w:rFonts w:ascii="Times New Roman" w:hAnsi="Times New Roman" w:cs="Times New Roman"/>
                  </w:rPr>
                  <w:t>. Supplier Partnership                  Net Trade Cycle</w:t>
                </w:r>
              </w:p>
            </w:tc>
            <w:tc>
              <w:tcPr>
                <w:tcW w:w="1625" w:type="dxa"/>
                <w:vAlign w:val="bottom"/>
              </w:tcPr>
              <w:p w:rsidR="00AE5766" w:rsidRPr="00FE71D6" w:rsidRDefault="0058497F"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.000</w:t>
                </w:r>
                <w:r w:rsidR="00AE5766" w:rsidRPr="00FE71D6">
                  <w:rPr>
                    <w:rFonts w:ascii="Times New Roman" w:hAnsi="Times New Roman" w:cs="Times New Roman"/>
                  </w:rPr>
                  <w:t>***</w:t>
                </w:r>
              </w:p>
            </w:tc>
          </w:tr>
          <w:tr w:rsidR="00FE71D6" w:rsidRPr="00FE71D6" w:rsidTr="001D33EE">
            <w:trPr>
              <w:trHeight w:val="378"/>
            </w:trPr>
            <w:tc>
              <w:tcPr>
                <w:tcW w:w="595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noProof/>
                  </w:rPr>
                  <mc:AlternateContent>
                    <mc:Choice Requires="wps">
                      <w:drawing>
                        <wp:anchor distT="0" distB="0" distL="114300" distR="114300" simplePos="0" relativeHeight="251693056" behindDoc="0" locked="0" layoutInCell="1" allowOverlap="1" wp14:anchorId="729CCB09" wp14:editId="04260824">
                          <wp:simplePos x="0" y="0"/>
                          <wp:positionH relativeFrom="column">
                            <wp:posOffset>1653540</wp:posOffset>
                          </wp:positionH>
                          <wp:positionV relativeFrom="paragraph">
                            <wp:posOffset>86995</wp:posOffset>
                          </wp:positionV>
                          <wp:extent cx="405765" cy="0"/>
                          <wp:effectExtent l="11430" t="61595" r="20955" b="5270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D4BE6E" id="Straight Arrow Connector 3" o:spid="_x0000_s1026" type="#_x0000_t32" style="position:absolute;margin-left:130.2pt;margin-top:6.85pt;width:31.9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">
                          <v:stroke endarrow="block"/>
                        </v:shape>
                      </w:pict>
                    </mc:Fallback>
                  </mc:AlternateContent>
                </w:r>
                <w:r w:rsidRPr="00FE71D6">
                  <w:rPr>
                    <w:rFonts w:ascii="Times New Roman" w:hAnsi="Times New Roman" w:cs="Times New Roman"/>
                    <w:b/>
                    <w:bCs/>
                    <w:i/>
                    <w:iCs/>
                  </w:rPr>
                  <w:t>H2</w:t>
                </w:r>
                <w:r w:rsidRPr="00FE71D6">
                  <w:rPr>
                    <w:rFonts w:ascii="Times New Roman" w:hAnsi="Times New Roman" w:cs="Times New Roman"/>
                  </w:rPr>
                  <w:t>. Supplier Partnership                 Financial Performance</w:t>
                </w:r>
              </w:p>
            </w:tc>
            <w:tc>
              <w:tcPr>
                <w:tcW w:w="1625" w:type="dxa"/>
                <w:vAlign w:val="bottom"/>
              </w:tcPr>
              <w:p w:rsidR="00AE5766" w:rsidRPr="00FE71D6" w:rsidRDefault="0058497F"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.034</w:t>
                </w:r>
                <w:r w:rsidR="00AE5766" w:rsidRPr="00FE71D6">
                  <w:rPr>
                    <w:rFonts w:ascii="Times New Roman" w:hAnsi="Times New Roman" w:cs="Times New Roman"/>
                  </w:rPr>
                  <w:t>*</w:t>
                </w:r>
              </w:p>
            </w:tc>
          </w:tr>
          <w:tr w:rsidR="00FE71D6" w:rsidRPr="00FE71D6" w:rsidTr="001D33EE">
            <w:trPr>
              <w:trHeight w:val="475"/>
            </w:trPr>
            <w:tc>
              <w:tcPr>
                <w:tcW w:w="595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i/>
                    <w:iCs/>
                    <w:noProof/>
                  </w:rPr>
                  <mc:AlternateContent>
                    <mc:Choice Requires="wps">
                      <w:drawing>
                        <wp:anchor distT="0" distB="0" distL="114300" distR="114300" simplePos="0" relativeHeight="251694080" behindDoc="0" locked="0" layoutInCell="1" allowOverlap="1" wp14:anchorId="421307E6" wp14:editId="6F22CC95">
                          <wp:simplePos x="0" y="0"/>
                          <wp:positionH relativeFrom="column">
                            <wp:posOffset>1740535</wp:posOffset>
                          </wp:positionH>
                          <wp:positionV relativeFrom="paragraph">
                            <wp:posOffset>85725</wp:posOffset>
                          </wp:positionV>
                          <wp:extent cx="405765" cy="0"/>
                          <wp:effectExtent l="0" t="76200" r="13335" b="952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A7600A" id="Straight Arrow Connector 4" o:spid="_x0000_s1026" type="#_x0000_t32" style="position:absolute;margin-left:137.05pt;margin-top:6.75pt;width:31.9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">
                          <v:stroke endarrow="block"/>
                        </v:shape>
                      </w:pict>
                    </mc:Fallback>
                  </mc:AlternateContent>
                </w:r>
                <w:r w:rsidRPr="00FE71D6">
                  <w:rPr>
                    <w:rFonts w:ascii="Times New Roman" w:hAnsi="Times New Roman" w:cs="Times New Roman"/>
                    <w:b/>
                    <w:bCs/>
                    <w:i/>
                    <w:iCs/>
                  </w:rPr>
                  <w:t>H3</w:t>
                </w:r>
                <w:r w:rsidRPr="00FE71D6">
                  <w:rPr>
                    <w:rFonts w:ascii="Times New Roman" w:hAnsi="Times New Roman" w:cs="Times New Roman"/>
                  </w:rPr>
                  <w:t>. Customer Relationship              Net Trade C</w:t>
                </w:r>
                <w:r w:rsidR="00CC0CF9" w:rsidRPr="00FE71D6">
                  <w:rPr>
                    <w:rFonts w:ascii="Times New Roman" w:hAnsi="Times New Roman" w:cs="Times New Roman"/>
                  </w:rPr>
                  <w:t>ycle</w:t>
                </w:r>
              </w:p>
            </w:tc>
            <w:tc>
              <w:tcPr>
                <w:tcW w:w="1625" w:type="dxa"/>
                <w:vAlign w:val="bottom"/>
              </w:tcPr>
              <w:p w:rsidR="00AE5766" w:rsidRPr="00FE71D6" w:rsidRDefault="0058497F"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.757</w:t>
                </w:r>
              </w:p>
            </w:tc>
          </w:tr>
          <w:tr w:rsidR="00FE71D6" w:rsidRPr="00FE71D6" w:rsidTr="001D33EE">
            <w:trPr>
              <w:trHeight w:val="475"/>
            </w:trPr>
            <w:tc>
              <w:tcPr>
                <w:tcW w:w="595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noProof/>
                  </w:rPr>
                  <mc:AlternateContent>
                    <mc:Choice Requires="wps">
                      <w:drawing>
                        <wp:anchor distT="0" distB="0" distL="114300" distR="114300" simplePos="0" relativeHeight="251696128" behindDoc="0" locked="0" layoutInCell="1" allowOverlap="1" wp14:anchorId="250F5BA7" wp14:editId="593BE252">
                          <wp:simplePos x="0" y="0"/>
                          <wp:positionH relativeFrom="column">
                            <wp:posOffset>1743075</wp:posOffset>
                          </wp:positionH>
                          <wp:positionV relativeFrom="paragraph">
                            <wp:posOffset>84455</wp:posOffset>
                          </wp:positionV>
                          <wp:extent cx="405765" cy="0"/>
                          <wp:effectExtent l="0" t="76200" r="13335" b="952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E82C22" id="Straight Arrow Connector 5" o:spid="_x0000_s1026" type="#_x0000_t32" style="position:absolute;margin-left:137.25pt;margin-top:6.65pt;width:31.9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">
                          <v:stroke endarrow="block"/>
                        </v:shape>
                      </w:pict>
                    </mc:Fallback>
                  </mc:AlternateContent>
                </w:r>
                <w:r w:rsidRPr="00FE71D6">
                  <w:rPr>
                    <w:rFonts w:ascii="Times New Roman" w:hAnsi="Times New Roman" w:cs="Times New Roman"/>
                    <w:b/>
                    <w:bCs/>
                    <w:i/>
                    <w:iCs/>
                  </w:rPr>
                  <w:t>H4</w:t>
                </w:r>
                <w:r w:rsidRPr="00FE71D6">
                  <w:rPr>
                    <w:rFonts w:ascii="Times New Roman" w:hAnsi="Times New Roman" w:cs="Times New Roman"/>
                  </w:rPr>
                  <w:t>. Customer Relationship               Financial Performance</w:t>
                </w:r>
              </w:p>
            </w:tc>
            <w:tc>
              <w:tcPr>
                <w:tcW w:w="1625" w:type="dxa"/>
                <w:vAlign w:val="bottom"/>
              </w:tcPr>
              <w:p w:rsidR="00AE5766" w:rsidRPr="00FE71D6" w:rsidRDefault="0058497F"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.964</w:t>
                </w:r>
              </w:p>
            </w:tc>
          </w:tr>
          <w:tr w:rsidR="00FE71D6" w:rsidRPr="00FE71D6" w:rsidTr="001D33EE">
            <w:trPr>
              <w:trHeight w:val="465"/>
            </w:trPr>
            <w:tc>
              <w:tcPr>
                <w:tcW w:w="595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i/>
                    <w:iCs/>
                    <w:noProof/>
                  </w:rPr>
                  <mc:AlternateContent>
                    <mc:Choice Requires="wps">
                      <w:drawing>
                        <wp:anchor distT="0" distB="0" distL="114300" distR="114300" simplePos="0" relativeHeight="251695104" behindDoc="0" locked="0" layoutInCell="1" allowOverlap="1" wp14:anchorId="696636A8" wp14:editId="114BC731">
                          <wp:simplePos x="0" y="0"/>
                          <wp:positionH relativeFrom="column">
                            <wp:posOffset>1576705</wp:posOffset>
                          </wp:positionH>
                          <wp:positionV relativeFrom="paragraph">
                            <wp:posOffset>99695</wp:posOffset>
                          </wp:positionV>
                          <wp:extent cx="405765" cy="0"/>
                          <wp:effectExtent l="0" t="76200" r="13335" b="952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1BBE83" id="Straight Arrow Connector 6" o:spid="_x0000_s1026" type="#_x0000_t32" style="position:absolute;margin-left:124.15pt;margin-top:7.85pt;width:31.9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">
                          <v:stroke endarrow="block"/>
                        </v:shape>
                      </w:pict>
                    </mc:Fallback>
                  </mc:AlternateContent>
                </w:r>
                <w:r w:rsidRPr="00FE71D6">
                  <w:rPr>
                    <w:rFonts w:ascii="Times New Roman" w:hAnsi="Times New Roman" w:cs="Times New Roman"/>
                    <w:b/>
                    <w:bCs/>
                    <w:i/>
                    <w:iCs/>
                  </w:rPr>
                  <w:t>H5</w:t>
                </w:r>
                <w:r w:rsidRPr="00FE71D6">
                  <w:rPr>
                    <w:rFonts w:ascii="Times New Roman" w:hAnsi="Times New Roman" w:cs="Times New Roman"/>
                  </w:rPr>
                  <w:t>. Information Sharing              Net Trade Cycle</w:t>
                </w:r>
              </w:p>
            </w:tc>
            <w:tc>
              <w:tcPr>
                <w:tcW w:w="1625" w:type="dxa"/>
                <w:vAlign w:val="bottom"/>
              </w:tcPr>
              <w:p w:rsidR="00AE5766" w:rsidRPr="00FE71D6" w:rsidRDefault="0058497F"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.029</w:t>
                </w:r>
                <w:r w:rsidR="00AE5766" w:rsidRPr="00FE71D6">
                  <w:rPr>
                    <w:rFonts w:ascii="Times New Roman" w:hAnsi="Times New Roman" w:cs="Times New Roman"/>
                  </w:rPr>
                  <w:t>*</w:t>
                </w:r>
              </w:p>
            </w:tc>
          </w:tr>
          <w:tr w:rsidR="00FE71D6" w:rsidRPr="00FE71D6" w:rsidTr="001D33EE">
            <w:trPr>
              <w:trHeight w:val="485"/>
            </w:trPr>
            <w:tc>
              <w:tcPr>
                <w:tcW w:w="595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noProof/>
                  </w:rPr>
                  <mc:AlternateContent>
                    <mc:Choice Requires="wps">
                      <w:drawing>
                        <wp:anchor distT="0" distB="0" distL="114300" distR="114300" simplePos="0" relativeHeight="251698176" behindDoc="0" locked="0" layoutInCell="1" allowOverlap="1" wp14:anchorId="23255574" wp14:editId="6A4C14E3">
                          <wp:simplePos x="0" y="0"/>
                          <wp:positionH relativeFrom="column">
                            <wp:posOffset>1582420</wp:posOffset>
                          </wp:positionH>
                          <wp:positionV relativeFrom="paragraph">
                            <wp:posOffset>88265</wp:posOffset>
                          </wp:positionV>
                          <wp:extent cx="405765" cy="0"/>
                          <wp:effectExtent l="0" t="76200" r="13335" b="952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FF25B" id="Straight Arrow Connector 7" o:spid="_x0000_s1026" type="#_x0000_t32" style="position:absolute;margin-left:124.6pt;margin-top:6.95pt;width:31.9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">
                          <v:stroke endarrow="block"/>
                        </v:shape>
                      </w:pict>
                    </mc:Fallback>
                  </mc:AlternateContent>
                </w:r>
                <w:r w:rsidRPr="00FE71D6">
                  <w:rPr>
                    <w:rFonts w:ascii="Times New Roman" w:hAnsi="Times New Roman" w:cs="Times New Roman"/>
                    <w:b/>
                    <w:bCs/>
                    <w:i/>
                    <w:iCs/>
                  </w:rPr>
                  <w:t>H6</w:t>
                </w:r>
                <w:r w:rsidRPr="00FE71D6">
                  <w:rPr>
                    <w:rFonts w:ascii="Times New Roman" w:hAnsi="Times New Roman" w:cs="Times New Roman"/>
                  </w:rPr>
                  <w:t>. Information Sharing              Financial Performance</w:t>
                </w:r>
              </w:p>
            </w:tc>
            <w:tc>
              <w:tcPr>
                <w:tcW w:w="1625" w:type="dxa"/>
                <w:vAlign w:val="bottom"/>
              </w:tcPr>
              <w:p w:rsidR="00AE5766" w:rsidRPr="00FE71D6" w:rsidRDefault="0058497F"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.031</w:t>
                </w:r>
                <w:r w:rsidR="00AE5766" w:rsidRPr="00FE71D6">
                  <w:rPr>
                    <w:rFonts w:ascii="Times New Roman" w:hAnsi="Times New Roman" w:cs="Times New Roman"/>
                  </w:rPr>
                  <w:t>*</w:t>
                </w:r>
              </w:p>
            </w:tc>
          </w:tr>
          <w:tr w:rsidR="00FE71D6" w:rsidRPr="00FE71D6" w:rsidTr="001D33EE">
            <w:trPr>
              <w:trHeight w:val="475"/>
            </w:trPr>
            <w:tc>
              <w:tcPr>
                <w:tcW w:w="595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noProof/>
                  </w:rPr>
                  <mc:AlternateContent>
                    <mc:Choice Requires="wps">
                      <w:drawing>
                        <wp:anchor distT="0" distB="0" distL="114300" distR="114300" simplePos="0" relativeHeight="251697152" behindDoc="0" locked="0" layoutInCell="1" allowOverlap="1" wp14:anchorId="03CA28D4" wp14:editId="7D8CF0C1">
                          <wp:simplePos x="0" y="0"/>
                          <wp:positionH relativeFrom="column">
                            <wp:posOffset>1126490</wp:posOffset>
                          </wp:positionH>
                          <wp:positionV relativeFrom="paragraph">
                            <wp:posOffset>93980</wp:posOffset>
                          </wp:positionV>
                          <wp:extent cx="405765" cy="0"/>
                          <wp:effectExtent l="8255" t="60960" r="14605" b="5334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DEA8A5" id="Straight Arrow Connector 8" o:spid="_x0000_s1026" type="#_x0000_t32" style="position:absolute;margin-left:88.7pt;margin-top:7.4pt;width:31.9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">
                          <v:stroke endarrow="block"/>
                        </v:shape>
                      </w:pict>
                    </mc:Fallback>
                  </mc:AlternateContent>
                </w:r>
                <w:r w:rsidRPr="00FE71D6">
                  <w:rPr>
                    <w:rFonts w:ascii="Times New Roman" w:hAnsi="Times New Roman" w:cs="Times New Roman"/>
                    <w:b/>
                    <w:bCs/>
                    <w:i/>
                    <w:iCs/>
                  </w:rPr>
                  <w:t>H7</w:t>
                </w:r>
                <w:r w:rsidRPr="00FE71D6">
                  <w:rPr>
                    <w:rFonts w:ascii="Times New Roman" w:hAnsi="Times New Roman" w:cs="Times New Roman"/>
                  </w:rPr>
                  <w:t>. Lean System              Net Trade Cycle</w:t>
                </w:r>
              </w:p>
            </w:tc>
            <w:tc>
              <w:tcPr>
                <w:tcW w:w="1625" w:type="dxa"/>
                <w:vAlign w:val="bottom"/>
              </w:tcPr>
              <w:p w:rsidR="00AE5766" w:rsidRPr="00FE71D6" w:rsidRDefault="0058497F"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.002</w:t>
                </w:r>
                <w:r w:rsidR="00AE5766" w:rsidRPr="00FE71D6">
                  <w:rPr>
                    <w:rFonts w:ascii="Times New Roman" w:hAnsi="Times New Roman" w:cs="Times New Roman"/>
                  </w:rPr>
                  <w:t>**</w:t>
                </w:r>
              </w:p>
            </w:tc>
          </w:tr>
          <w:tr w:rsidR="00FE71D6" w:rsidRPr="00FE71D6" w:rsidTr="001D33EE">
            <w:trPr>
              <w:trHeight w:val="475"/>
            </w:trPr>
            <w:tc>
              <w:tcPr>
                <w:tcW w:w="595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noProof/>
                  </w:rPr>
                  <mc:AlternateContent>
                    <mc:Choice Requires="wps">
                      <w:drawing>
                        <wp:anchor distT="0" distB="0" distL="114300" distR="114300" simplePos="0" relativeHeight="251700224" behindDoc="0" locked="0" layoutInCell="1" allowOverlap="1" wp14:anchorId="22FD0E9B" wp14:editId="612618C3">
                          <wp:simplePos x="0" y="0"/>
                          <wp:positionH relativeFrom="column">
                            <wp:posOffset>1125855</wp:posOffset>
                          </wp:positionH>
                          <wp:positionV relativeFrom="paragraph">
                            <wp:posOffset>92075</wp:posOffset>
                          </wp:positionV>
                          <wp:extent cx="405765" cy="0"/>
                          <wp:effectExtent l="0" t="76200" r="13335" b="952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5CE0C" id="Straight Arrow Connector 9" o:spid="_x0000_s1026" type="#_x0000_t32" style="position:absolute;margin-left:88.65pt;margin-top:7.25pt;width:31.9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">
                          <v:stroke endarrow="block"/>
                        </v:shape>
                      </w:pict>
                    </mc:Fallback>
                  </mc:AlternateContent>
                </w:r>
                <w:r w:rsidRPr="00FE71D6">
                  <w:rPr>
                    <w:rFonts w:ascii="Times New Roman" w:hAnsi="Times New Roman" w:cs="Times New Roman"/>
                    <w:b/>
                    <w:bCs/>
                    <w:i/>
                    <w:iCs/>
                  </w:rPr>
                  <w:t>H8</w:t>
                </w:r>
                <w:r w:rsidRPr="00FE71D6">
                  <w:rPr>
                    <w:rFonts w:ascii="Times New Roman" w:hAnsi="Times New Roman" w:cs="Times New Roman"/>
                  </w:rPr>
                  <w:t>. Lean System               Financial Performance</w:t>
                </w:r>
              </w:p>
            </w:tc>
            <w:tc>
              <w:tcPr>
                <w:tcW w:w="1625" w:type="dxa"/>
                <w:vAlign w:val="bottom"/>
              </w:tcPr>
              <w:p w:rsidR="00AE5766" w:rsidRPr="00FE71D6" w:rsidRDefault="0058497F"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.049</w:t>
                </w:r>
                <w:r w:rsidR="00AE5766" w:rsidRPr="00FE71D6">
                  <w:rPr>
                    <w:rFonts w:ascii="Times New Roman" w:hAnsi="Times New Roman" w:cs="Times New Roman"/>
                  </w:rPr>
                  <w:t>*</w:t>
                </w:r>
              </w:p>
            </w:tc>
          </w:tr>
          <w:tr w:rsidR="00FE71D6" w:rsidRPr="00FE71D6" w:rsidTr="001D33EE">
            <w:trPr>
              <w:trHeight w:val="465"/>
            </w:trPr>
            <w:tc>
              <w:tcPr>
                <w:tcW w:w="595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noProof/>
                  </w:rPr>
                  <mc:AlternateContent>
                    <mc:Choice Requires="wps">
                      <w:drawing>
                        <wp:anchor distT="0" distB="0" distL="114300" distR="114300" simplePos="0" relativeHeight="251699200" behindDoc="0" locked="0" layoutInCell="1" allowOverlap="1" wp14:anchorId="0D90E37C" wp14:editId="0A73BC14">
                          <wp:simplePos x="0" y="0"/>
                          <wp:positionH relativeFrom="column">
                            <wp:posOffset>1342390</wp:posOffset>
                          </wp:positionH>
                          <wp:positionV relativeFrom="paragraph">
                            <wp:posOffset>100330</wp:posOffset>
                          </wp:positionV>
                          <wp:extent cx="405765" cy="0"/>
                          <wp:effectExtent l="0" t="76200" r="13335" b="952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DAD85D" id="Straight Arrow Connector 10" o:spid="_x0000_s1026" type="#_x0000_t32" style="position:absolute;margin-left:105.7pt;margin-top:7.9pt;width:31.9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">
                          <v:stroke endarrow="block"/>
                        </v:shape>
                      </w:pict>
                    </mc:Fallback>
                  </mc:AlternateContent>
                </w:r>
                <w:r w:rsidRPr="00FE71D6">
                  <w:rPr>
                    <w:rFonts w:ascii="Times New Roman" w:hAnsi="Times New Roman" w:cs="Times New Roman"/>
                    <w:b/>
                    <w:bCs/>
                    <w:i/>
                    <w:iCs/>
                  </w:rPr>
                  <w:t>H9</w:t>
                </w:r>
                <w:r w:rsidRPr="00FE71D6">
                  <w:rPr>
                    <w:rFonts w:ascii="Times New Roman" w:hAnsi="Times New Roman" w:cs="Times New Roman"/>
                  </w:rPr>
                  <w:t>. Net Trade Cycle              Financial Performance</w:t>
                </w:r>
              </w:p>
            </w:tc>
            <w:tc>
              <w:tcPr>
                <w:tcW w:w="1625" w:type="dxa"/>
                <w:vAlign w:val="bottom"/>
              </w:tcPr>
              <w:p w:rsidR="00AE5766" w:rsidRPr="00FE71D6" w:rsidRDefault="0058497F"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.008</w:t>
                </w:r>
                <w:r w:rsidR="00AE5766" w:rsidRPr="00FE71D6">
                  <w:rPr>
                    <w:rFonts w:ascii="Times New Roman" w:hAnsi="Times New Roman" w:cs="Times New Roman"/>
                  </w:rPr>
                  <w:t>**</w:t>
                </w:r>
              </w:p>
            </w:tc>
          </w:tr>
        </w:tbl>
        <w:p w:rsidR="000B0485" w:rsidRPr="00FE71D6" w:rsidRDefault="000B0485" w:rsidP="009A062C">
          <w:pPr>
            <w:autoSpaceDE w:val="0"/>
            <w:autoSpaceDN w:val="0"/>
            <w:adjustRightInd w:val="0"/>
            <w:spacing w:line="240" w:lineRule="auto"/>
            <w:jc w:val="both"/>
            <w:rPr>
              <w:i/>
              <w:iCs/>
            </w:rPr>
          </w:pPr>
          <w:r w:rsidRPr="00FE71D6">
            <w:rPr>
              <w:b/>
              <w:bCs/>
              <w:i/>
              <w:iCs/>
            </w:rPr>
            <w:t xml:space="preserve">Note: </w:t>
          </w:r>
          <w:r w:rsidRPr="00FE71D6">
            <w:rPr>
              <w:i/>
              <w:iCs/>
            </w:rPr>
            <w:t>*p&lt;.05, **p&lt;.01, ***p&lt;.001</w:t>
          </w:r>
        </w:p>
        <w:p w:rsidR="000B0485" w:rsidRPr="00FE71D6" w:rsidRDefault="000B0485" w:rsidP="000B0485">
          <w:pPr>
            <w:autoSpaceDE w:val="0"/>
            <w:autoSpaceDN w:val="0"/>
            <w:adjustRightInd w:val="0"/>
            <w:spacing w:line="240" w:lineRule="auto"/>
            <w:jc w:val="both"/>
            <w:rPr>
              <w:i/>
              <w:iCs/>
            </w:rPr>
          </w:pPr>
        </w:p>
        <w:p w:rsidR="00B92915" w:rsidRPr="00FE71D6" w:rsidRDefault="00B92915" w:rsidP="0090052C">
          <w:pPr>
            <w:pStyle w:val="Caption"/>
            <w:spacing w:after="100"/>
            <w:rPr>
              <w:color w:val="auto"/>
              <w:sz w:val="24"/>
              <w:szCs w:val="24"/>
            </w:rPr>
          </w:pPr>
        </w:p>
        <w:p w:rsidR="00B92915" w:rsidRPr="00FE71D6" w:rsidRDefault="00B92915" w:rsidP="0090052C">
          <w:pPr>
            <w:pStyle w:val="Caption"/>
            <w:spacing w:after="100"/>
            <w:rPr>
              <w:color w:val="auto"/>
              <w:sz w:val="24"/>
              <w:szCs w:val="24"/>
            </w:rPr>
          </w:pPr>
        </w:p>
        <w:p w:rsidR="00B92915" w:rsidRPr="00FE71D6" w:rsidRDefault="00B92915" w:rsidP="0090052C">
          <w:pPr>
            <w:pStyle w:val="Caption"/>
            <w:spacing w:after="100"/>
            <w:rPr>
              <w:color w:val="auto"/>
              <w:sz w:val="24"/>
              <w:szCs w:val="24"/>
            </w:rPr>
          </w:pPr>
        </w:p>
        <w:p w:rsidR="00B92915" w:rsidRPr="00FE71D6" w:rsidRDefault="00B92915" w:rsidP="0090052C">
          <w:pPr>
            <w:pStyle w:val="Caption"/>
            <w:spacing w:after="100"/>
            <w:rPr>
              <w:color w:val="auto"/>
              <w:sz w:val="24"/>
              <w:szCs w:val="24"/>
            </w:rPr>
          </w:pPr>
        </w:p>
        <w:p w:rsidR="00B92915" w:rsidRPr="00FE71D6" w:rsidRDefault="00B92915" w:rsidP="0090052C">
          <w:pPr>
            <w:pStyle w:val="Caption"/>
            <w:spacing w:after="100"/>
            <w:rPr>
              <w:color w:val="auto"/>
              <w:sz w:val="24"/>
              <w:szCs w:val="24"/>
            </w:rPr>
          </w:pPr>
        </w:p>
        <w:p w:rsidR="004E25D8" w:rsidRPr="00FE71D6" w:rsidRDefault="00AE5766" w:rsidP="0090052C">
          <w:pPr>
            <w:pStyle w:val="Caption"/>
            <w:spacing w:after="100"/>
            <w:rPr>
              <w:b w:val="0"/>
              <w:bCs w:val="0"/>
              <w:color w:val="auto"/>
              <w:sz w:val="24"/>
              <w:szCs w:val="24"/>
            </w:rPr>
          </w:pPr>
          <w:bookmarkStart w:id="76" w:name="_Toc500087401"/>
          <w:r w:rsidRPr="00FE71D6">
            <w:rPr>
              <w:color w:val="auto"/>
              <w:sz w:val="24"/>
              <w:szCs w:val="24"/>
            </w:rPr>
            <w:t xml:space="preserve">Table </w:t>
          </w:r>
          <w:r w:rsidRPr="00FE71D6">
            <w:rPr>
              <w:color w:val="auto"/>
              <w:sz w:val="24"/>
              <w:szCs w:val="24"/>
            </w:rPr>
            <w:fldChar w:fldCharType="begin"/>
          </w:r>
          <w:r w:rsidRPr="00FE71D6">
            <w:rPr>
              <w:color w:val="auto"/>
              <w:sz w:val="24"/>
              <w:szCs w:val="24"/>
            </w:rPr>
            <w:instrText xml:space="preserve"> SEQ Table \* ARABIC </w:instrText>
          </w:r>
          <w:r w:rsidRPr="00FE71D6">
            <w:rPr>
              <w:color w:val="auto"/>
              <w:sz w:val="24"/>
              <w:szCs w:val="24"/>
            </w:rPr>
            <w:fldChar w:fldCharType="separate"/>
          </w:r>
          <w:r w:rsidR="00670049" w:rsidRPr="00FE71D6">
            <w:rPr>
              <w:noProof/>
              <w:color w:val="auto"/>
              <w:sz w:val="24"/>
              <w:szCs w:val="24"/>
            </w:rPr>
            <w:t>8</w:t>
          </w:r>
          <w:r w:rsidRPr="00FE71D6">
            <w:rPr>
              <w:color w:val="auto"/>
              <w:sz w:val="24"/>
              <w:szCs w:val="24"/>
            </w:rPr>
            <w:fldChar w:fldCharType="end"/>
          </w:r>
          <w:r w:rsidRPr="00FE71D6">
            <w:rPr>
              <w:color w:val="auto"/>
              <w:sz w:val="24"/>
              <w:szCs w:val="24"/>
            </w:rPr>
            <w:t xml:space="preserve">. </w:t>
          </w:r>
          <w:r w:rsidRPr="00FE71D6">
            <w:rPr>
              <w:b w:val="0"/>
              <w:bCs w:val="0"/>
              <w:color w:val="auto"/>
              <w:sz w:val="24"/>
              <w:szCs w:val="24"/>
            </w:rPr>
            <w:t>Statistical Relationship of Path Coefficients</w:t>
          </w:r>
          <w:r w:rsidR="004E25D8" w:rsidRPr="00FE71D6">
            <w:rPr>
              <w:b w:val="0"/>
              <w:bCs w:val="0"/>
              <w:color w:val="auto"/>
              <w:sz w:val="24"/>
              <w:szCs w:val="24"/>
            </w:rPr>
            <w:t xml:space="preserve"> for the Model</w:t>
          </w:r>
          <w:bookmarkEnd w:id="76"/>
        </w:p>
        <w:tbl>
          <w:tblPr>
            <w:tblStyle w:val="TableGrid"/>
            <w:tblW w:w="7567" w:type="dxa"/>
            <w:tblInd w:w="108" w:type="dxa"/>
            <w:tblLook w:val="04A0" w:firstRow="1" w:lastRow="0" w:firstColumn="1" w:lastColumn="0" w:noHBand="0" w:noVBand="1"/>
          </w:tblPr>
          <w:tblGrid>
            <w:gridCol w:w="5937"/>
            <w:gridCol w:w="1630"/>
          </w:tblGrid>
          <w:tr w:rsidR="00FE71D6" w:rsidRPr="00FE71D6" w:rsidTr="001D33EE">
            <w:trPr>
              <w:trHeight w:val="565"/>
            </w:trPr>
            <w:tc>
              <w:tcPr>
                <w:tcW w:w="5938" w:type="dxa"/>
                <w:shd w:val="clear" w:color="auto" w:fill="D9D9D9" w:themeFill="background1" w:themeFillShade="D9"/>
                <w:vAlign w:val="center"/>
              </w:tcPr>
              <w:p w:rsidR="00AE5766" w:rsidRPr="00FE71D6" w:rsidRDefault="00AE5766" w:rsidP="00796002">
                <w:pPr>
                  <w:autoSpaceDE w:val="0"/>
                  <w:autoSpaceDN w:val="0"/>
                  <w:adjustRightInd w:val="0"/>
                  <w:spacing w:line="240" w:lineRule="auto"/>
                  <w:rPr>
                    <w:rFonts w:ascii="Times New Roman" w:hAnsi="Times New Roman" w:cs="Times New Roman"/>
                    <w:b/>
                    <w:bCs/>
                  </w:rPr>
                </w:pPr>
                <w:r w:rsidRPr="00FE71D6">
                  <w:rPr>
                    <w:rFonts w:ascii="Times New Roman" w:hAnsi="Times New Roman" w:cs="Times New Roman"/>
                    <w:b/>
                    <w:bCs/>
                  </w:rPr>
                  <w:t>Path</w:t>
                </w:r>
              </w:p>
            </w:tc>
            <w:tc>
              <w:tcPr>
                <w:tcW w:w="1629" w:type="dxa"/>
                <w:shd w:val="clear" w:color="auto" w:fill="D9D9D9" w:themeFill="background1" w:themeFillShade="D9"/>
                <w:vAlign w:val="center"/>
              </w:tcPr>
              <w:p w:rsidR="00AE5766" w:rsidRPr="00FE71D6" w:rsidRDefault="00AE5766" w:rsidP="00796002">
                <w:pPr>
                  <w:autoSpaceDE w:val="0"/>
                  <w:autoSpaceDN w:val="0"/>
                  <w:adjustRightInd w:val="0"/>
                  <w:spacing w:line="240" w:lineRule="auto"/>
                  <w:rPr>
                    <w:rFonts w:ascii="Times New Roman" w:hAnsi="Times New Roman" w:cs="Times New Roman"/>
                    <w:b/>
                    <w:bCs/>
                  </w:rPr>
                </w:pPr>
                <w:r w:rsidRPr="00FE71D6">
                  <w:rPr>
                    <w:rFonts w:ascii="Times New Roman" w:hAnsi="Times New Roman" w:cs="Times New Roman"/>
                    <w:b/>
                    <w:bCs/>
                  </w:rPr>
                  <w:t>Path Significance</w:t>
                </w:r>
              </w:p>
            </w:tc>
          </w:tr>
          <w:tr w:rsidR="00FE71D6" w:rsidRPr="00FE71D6" w:rsidTr="001D33EE">
            <w:trPr>
              <w:trHeight w:val="401"/>
            </w:trPr>
            <w:tc>
              <w:tcPr>
                <w:tcW w:w="593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i/>
                    <w:iCs/>
                    <w:noProof/>
                  </w:rPr>
                  <mc:AlternateContent>
                    <mc:Choice Requires="wps">
                      <w:drawing>
                        <wp:anchor distT="0" distB="0" distL="114300" distR="114300" simplePos="0" relativeHeight="251681792" behindDoc="0" locked="0" layoutInCell="1" allowOverlap="1" wp14:anchorId="15030F4E" wp14:editId="316ED41E">
                          <wp:simplePos x="0" y="0"/>
                          <wp:positionH relativeFrom="column">
                            <wp:posOffset>1677035</wp:posOffset>
                          </wp:positionH>
                          <wp:positionV relativeFrom="paragraph">
                            <wp:posOffset>99695</wp:posOffset>
                          </wp:positionV>
                          <wp:extent cx="405765" cy="0"/>
                          <wp:effectExtent l="6350" t="61595" r="16510" b="5270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9A724" id="Straight Arrow Connector 29" o:spid="_x0000_s1026" type="#_x0000_t32" style="position:absolute;margin-left:132.05pt;margin-top:7.85pt;width:31.9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">
                          <v:stroke endarrow="block"/>
                        </v:shape>
                      </w:pict>
                    </mc:Fallback>
                  </mc:AlternateContent>
                </w:r>
                <w:r w:rsidRPr="00FE71D6">
                  <w:rPr>
                    <w:rFonts w:ascii="Times New Roman" w:hAnsi="Times New Roman" w:cs="Times New Roman"/>
                    <w:b/>
                    <w:bCs/>
                    <w:i/>
                    <w:iCs/>
                  </w:rPr>
                  <w:t>H1</w:t>
                </w:r>
                <w:r w:rsidRPr="00FE71D6">
                  <w:rPr>
                    <w:rFonts w:ascii="Times New Roman" w:hAnsi="Times New Roman" w:cs="Times New Roman"/>
                  </w:rPr>
                  <w:t>. Supplier Partnership                  Net Trade Cycle</w:t>
                </w:r>
              </w:p>
            </w:tc>
            <w:tc>
              <w:tcPr>
                <w:tcW w:w="1629"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Significant***</w:t>
                </w:r>
              </w:p>
            </w:tc>
          </w:tr>
          <w:tr w:rsidR="00FE71D6" w:rsidRPr="00FE71D6" w:rsidTr="001D33EE">
            <w:trPr>
              <w:trHeight w:val="381"/>
            </w:trPr>
            <w:tc>
              <w:tcPr>
                <w:tcW w:w="593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noProof/>
                  </w:rPr>
                  <mc:AlternateContent>
                    <mc:Choice Requires="wps">
                      <w:drawing>
                        <wp:anchor distT="0" distB="0" distL="114300" distR="114300" simplePos="0" relativeHeight="251682816" behindDoc="0" locked="0" layoutInCell="1" allowOverlap="1" wp14:anchorId="03CC3FE5" wp14:editId="4DBBE21F">
                          <wp:simplePos x="0" y="0"/>
                          <wp:positionH relativeFrom="column">
                            <wp:posOffset>1653540</wp:posOffset>
                          </wp:positionH>
                          <wp:positionV relativeFrom="paragraph">
                            <wp:posOffset>86995</wp:posOffset>
                          </wp:positionV>
                          <wp:extent cx="405765" cy="0"/>
                          <wp:effectExtent l="11430" t="61595" r="20955" b="5270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C4203D" id="Straight Arrow Connector 28" o:spid="_x0000_s1026" type="#_x0000_t32" style="position:absolute;margin-left:130.2pt;margin-top:6.85pt;width:31.9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">
                          <v:stroke endarrow="block"/>
                        </v:shape>
                      </w:pict>
                    </mc:Fallback>
                  </mc:AlternateContent>
                </w:r>
                <w:r w:rsidRPr="00FE71D6">
                  <w:rPr>
                    <w:rFonts w:ascii="Times New Roman" w:hAnsi="Times New Roman" w:cs="Times New Roman"/>
                    <w:b/>
                    <w:bCs/>
                    <w:i/>
                    <w:iCs/>
                  </w:rPr>
                  <w:t>H2</w:t>
                </w:r>
                <w:r w:rsidRPr="00FE71D6">
                  <w:rPr>
                    <w:rFonts w:ascii="Times New Roman" w:hAnsi="Times New Roman" w:cs="Times New Roman"/>
                  </w:rPr>
                  <w:t>. Supplier Partnership                 Financial Performance</w:t>
                </w:r>
              </w:p>
            </w:tc>
            <w:tc>
              <w:tcPr>
                <w:tcW w:w="1629"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Significant*</w:t>
                </w:r>
              </w:p>
            </w:tc>
          </w:tr>
          <w:tr w:rsidR="00FE71D6" w:rsidRPr="00FE71D6" w:rsidTr="001D33EE">
            <w:trPr>
              <w:trHeight w:val="381"/>
            </w:trPr>
            <w:tc>
              <w:tcPr>
                <w:tcW w:w="593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i/>
                    <w:iCs/>
                    <w:noProof/>
                  </w:rPr>
                  <mc:AlternateContent>
                    <mc:Choice Requires="wps">
                      <w:drawing>
                        <wp:anchor distT="0" distB="0" distL="114300" distR="114300" simplePos="0" relativeHeight="251683840" behindDoc="0" locked="0" layoutInCell="1" allowOverlap="1" wp14:anchorId="3BDEA65D" wp14:editId="67A11539">
                          <wp:simplePos x="0" y="0"/>
                          <wp:positionH relativeFrom="column">
                            <wp:posOffset>1740535</wp:posOffset>
                          </wp:positionH>
                          <wp:positionV relativeFrom="paragraph">
                            <wp:posOffset>85725</wp:posOffset>
                          </wp:positionV>
                          <wp:extent cx="405765" cy="0"/>
                          <wp:effectExtent l="0" t="76200" r="13335" b="952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EEAD80" id="Straight Arrow Connector 27" o:spid="_x0000_s1026" type="#_x0000_t32" style="position:absolute;margin-left:137.05pt;margin-top:6.75pt;width:31.9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">
                          <v:stroke endarrow="block"/>
                        </v:shape>
                      </w:pict>
                    </mc:Fallback>
                  </mc:AlternateContent>
                </w:r>
                <w:r w:rsidRPr="00FE71D6">
                  <w:rPr>
                    <w:rFonts w:ascii="Times New Roman" w:hAnsi="Times New Roman" w:cs="Times New Roman"/>
                    <w:b/>
                    <w:bCs/>
                    <w:i/>
                    <w:iCs/>
                  </w:rPr>
                  <w:t>H3</w:t>
                </w:r>
                <w:r w:rsidRPr="00FE71D6">
                  <w:rPr>
                    <w:rFonts w:ascii="Times New Roman" w:hAnsi="Times New Roman" w:cs="Times New Roman"/>
                  </w:rPr>
                  <w:t>. Customer Relationship              Net Trade C</w:t>
                </w:r>
                <w:r w:rsidR="00CC0CF9" w:rsidRPr="00FE71D6">
                  <w:rPr>
                    <w:rFonts w:ascii="Times New Roman" w:hAnsi="Times New Roman" w:cs="Times New Roman"/>
                  </w:rPr>
                  <w:t>ycle</w:t>
                </w:r>
              </w:p>
            </w:tc>
            <w:tc>
              <w:tcPr>
                <w:tcW w:w="1629"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Insignificant</w:t>
                </w:r>
              </w:p>
            </w:tc>
          </w:tr>
          <w:tr w:rsidR="00FE71D6" w:rsidRPr="00FE71D6" w:rsidTr="001D33EE">
            <w:trPr>
              <w:trHeight w:val="479"/>
            </w:trPr>
            <w:tc>
              <w:tcPr>
                <w:tcW w:w="593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noProof/>
                  </w:rPr>
                  <mc:AlternateContent>
                    <mc:Choice Requires="wps">
                      <w:drawing>
                        <wp:anchor distT="0" distB="0" distL="114300" distR="114300" simplePos="0" relativeHeight="251685888" behindDoc="0" locked="0" layoutInCell="1" allowOverlap="1" wp14:anchorId="29B82AF0" wp14:editId="1953FD00">
                          <wp:simplePos x="0" y="0"/>
                          <wp:positionH relativeFrom="column">
                            <wp:posOffset>1743075</wp:posOffset>
                          </wp:positionH>
                          <wp:positionV relativeFrom="paragraph">
                            <wp:posOffset>84455</wp:posOffset>
                          </wp:positionV>
                          <wp:extent cx="405765" cy="0"/>
                          <wp:effectExtent l="0" t="76200" r="13335" b="952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22F5D" id="Straight Arrow Connector 26" o:spid="_x0000_s1026" type="#_x0000_t32" style="position:absolute;margin-left:137.25pt;margin-top:6.65pt;width:31.9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">
                          <v:stroke endarrow="block"/>
                        </v:shape>
                      </w:pict>
                    </mc:Fallback>
                  </mc:AlternateContent>
                </w:r>
                <w:r w:rsidRPr="00FE71D6">
                  <w:rPr>
                    <w:rFonts w:ascii="Times New Roman" w:hAnsi="Times New Roman" w:cs="Times New Roman"/>
                    <w:b/>
                    <w:bCs/>
                    <w:i/>
                    <w:iCs/>
                  </w:rPr>
                  <w:t>H4</w:t>
                </w:r>
                <w:r w:rsidRPr="00FE71D6">
                  <w:rPr>
                    <w:rFonts w:ascii="Times New Roman" w:hAnsi="Times New Roman" w:cs="Times New Roman"/>
                  </w:rPr>
                  <w:t>. Customer Relationship               Financial Performance</w:t>
                </w:r>
              </w:p>
            </w:tc>
            <w:tc>
              <w:tcPr>
                <w:tcW w:w="1629"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Insignificant</w:t>
                </w:r>
              </w:p>
            </w:tc>
          </w:tr>
          <w:tr w:rsidR="00FE71D6" w:rsidRPr="00FE71D6" w:rsidTr="001D33EE">
            <w:trPr>
              <w:trHeight w:val="479"/>
            </w:trPr>
            <w:tc>
              <w:tcPr>
                <w:tcW w:w="593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i/>
                    <w:iCs/>
                    <w:noProof/>
                  </w:rPr>
                  <mc:AlternateContent>
                    <mc:Choice Requires="wps">
                      <w:drawing>
                        <wp:anchor distT="0" distB="0" distL="114300" distR="114300" simplePos="0" relativeHeight="251684864" behindDoc="0" locked="0" layoutInCell="1" allowOverlap="1" wp14:anchorId="461DAB3D" wp14:editId="7B3F0C83">
                          <wp:simplePos x="0" y="0"/>
                          <wp:positionH relativeFrom="column">
                            <wp:posOffset>1576705</wp:posOffset>
                          </wp:positionH>
                          <wp:positionV relativeFrom="paragraph">
                            <wp:posOffset>99695</wp:posOffset>
                          </wp:positionV>
                          <wp:extent cx="405765" cy="0"/>
                          <wp:effectExtent l="0" t="76200" r="13335" b="952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94B959" id="Straight Arrow Connector 25" o:spid="_x0000_s1026" type="#_x0000_t32" style="position:absolute;margin-left:124.15pt;margin-top:7.85pt;width:31.9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">
                          <v:stroke endarrow="block"/>
                        </v:shape>
                      </w:pict>
                    </mc:Fallback>
                  </mc:AlternateContent>
                </w:r>
                <w:r w:rsidRPr="00FE71D6">
                  <w:rPr>
                    <w:rFonts w:ascii="Times New Roman" w:hAnsi="Times New Roman" w:cs="Times New Roman"/>
                    <w:b/>
                    <w:bCs/>
                    <w:i/>
                    <w:iCs/>
                  </w:rPr>
                  <w:t>H5</w:t>
                </w:r>
                <w:r w:rsidRPr="00FE71D6">
                  <w:rPr>
                    <w:rFonts w:ascii="Times New Roman" w:hAnsi="Times New Roman" w:cs="Times New Roman"/>
                  </w:rPr>
                  <w:t>. Information Sharing              Net Trade Cycle</w:t>
                </w:r>
              </w:p>
            </w:tc>
            <w:tc>
              <w:tcPr>
                <w:tcW w:w="1629"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Significant*</w:t>
                </w:r>
              </w:p>
            </w:tc>
          </w:tr>
          <w:tr w:rsidR="00FE71D6" w:rsidRPr="00FE71D6" w:rsidTr="001D33EE">
            <w:trPr>
              <w:trHeight w:val="479"/>
            </w:trPr>
            <w:tc>
              <w:tcPr>
                <w:tcW w:w="593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noProof/>
                  </w:rPr>
                  <mc:AlternateContent>
                    <mc:Choice Requires="wps">
                      <w:drawing>
                        <wp:anchor distT="0" distB="0" distL="114300" distR="114300" simplePos="0" relativeHeight="251687936" behindDoc="0" locked="0" layoutInCell="1" allowOverlap="1" wp14:anchorId="3CCFF720" wp14:editId="11485215">
                          <wp:simplePos x="0" y="0"/>
                          <wp:positionH relativeFrom="column">
                            <wp:posOffset>1582420</wp:posOffset>
                          </wp:positionH>
                          <wp:positionV relativeFrom="paragraph">
                            <wp:posOffset>88265</wp:posOffset>
                          </wp:positionV>
                          <wp:extent cx="405765" cy="0"/>
                          <wp:effectExtent l="0" t="76200" r="13335" b="952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77137D" id="Straight Arrow Connector 24" o:spid="_x0000_s1026" type="#_x0000_t32" style="position:absolute;margin-left:124.6pt;margin-top:6.95pt;width:31.9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">
                          <v:stroke endarrow="block"/>
                        </v:shape>
                      </w:pict>
                    </mc:Fallback>
                  </mc:AlternateContent>
                </w:r>
                <w:r w:rsidRPr="00FE71D6">
                  <w:rPr>
                    <w:rFonts w:ascii="Times New Roman" w:hAnsi="Times New Roman" w:cs="Times New Roman"/>
                    <w:b/>
                    <w:bCs/>
                    <w:i/>
                    <w:iCs/>
                  </w:rPr>
                  <w:t>H6</w:t>
                </w:r>
                <w:r w:rsidRPr="00FE71D6">
                  <w:rPr>
                    <w:rFonts w:ascii="Times New Roman" w:hAnsi="Times New Roman" w:cs="Times New Roman"/>
                  </w:rPr>
                  <w:t>. Information Sharing              Financial Performance</w:t>
                </w:r>
              </w:p>
            </w:tc>
            <w:tc>
              <w:tcPr>
                <w:tcW w:w="1629"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Significant*</w:t>
                </w:r>
              </w:p>
            </w:tc>
          </w:tr>
          <w:tr w:rsidR="00FE71D6" w:rsidRPr="00FE71D6" w:rsidTr="001D33EE">
            <w:trPr>
              <w:trHeight w:val="489"/>
            </w:trPr>
            <w:tc>
              <w:tcPr>
                <w:tcW w:w="593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noProof/>
                  </w:rPr>
                  <mc:AlternateContent>
                    <mc:Choice Requires="wps">
                      <w:drawing>
                        <wp:anchor distT="0" distB="0" distL="114300" distR="114300" simplePos="0" relativeHeight="251686912" behindDoc="0" locked="0" layoutInCell="1" allowOverlap="1" wp14:anchorId="1E819FBC" wp14:editId="6DD9BA4C">
                          <wp:simplePos x="0" y="0"/>
                          <wp:positionH relativeFrom="column">
                            <wp:posOffset>1126490</wp:posOffset>
                          </wp:positionH>
                          <wp:positionV relativeFrom="paragraph">
                            <wp:posOffset>93980</wp:posOffset>
                          </wp:positionV>
                          <wp:extent cx="405765" cy="0"/>
                          <wp:effectExtent l="8255" t="60960" r="14605" b="5334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231EC2" id="Straight Arrow Connector 23" o:spid="_x0000_s1026" type="#_x0000_t32" style="position:absolute;margin-left:88.7pt;margin-top:7.4pt;width:31.9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">
                          <v:stroke endarrow="block"/>
                        </v:shape>
                      </w:pict>
                    </mc:Fallback>
                  </mc:AlternateContent>
                </w:r>
                <w:r w:rsidRPr="00FE71D6">
                  <w:rPr>
                    <w:rFonts w:ascii="Times New Roman" w:hAnsi="Times New Roman" w:cs="Times New Roman"/>
                    <w:b/>
                    <w:bCs/>
                    <w:i/>
                    <w:iCs/>
                  </w:rPr>
                  <w:t>H7</w:t>
                </w:r>
                <w:r w:rsidRPr="00FE71D6">
                  <w:rPr>
                    <w:rFonts w:ascii="Times New Roman" w:hAnsi="Times New Roman" w:cs="Times New Roman"/>
                  </w:rPr>
                  <w:t>. Lean System              Net Trade Cycle</w:t>
                </w:r>
              </w:p>
            </w:tc>
            <w:tc>
              <w:tcPr>
                <w:tcW w:w="1629"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Significant**</w:t>
                </w:r>
              </w:p>
            </w:tc>
          </w:tr>
          <w:tr w:rsidR="00FE71D6" w:rsidRPr="00FE71D6" w:rsidTr="001D33EE">
            <w:trPr>
              <w:trHeight w:val="479"/>
            </w:trPr>
            <w:tc>
              <w:tcPr>
                <w:tcW w:w="593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noProof/>
                  </w:rPr>
                  <mc:AlternateContent>
                    <mc:Choice Requires="wps">
                      <w:drawing>
                        <wp:anchor distT="0" distB="0" distL="114300" distR="114300" simplePos="0" relativeHeight="251689984" behindDoc="0" locked="0" layoutInCell="1" allowOverlap="1" wp14:anchorId="54CCEEFE" wp14:editId="54F96A01">
                          <wp:simplePos x="0" y="0"/>
                          <wp:positionH relativeFrom="column">
                            <wp:posOffset>1125855</wp:posOffset>
                          </wp:positionH>
                          <wp:positionV relativeFrom="paragraph">
                            <wp:posOffset>92075</wp:posOffset>
                          </wp:positionV>
                          <wp:extent cx="405765" cy="0"/>
                          <wp:effectExtent l="0" t="76200" r="13335" b="952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CAA1AC" id="Straight Arrow Connector 22" o:spid="_x0000_s1026" type="#_x0000_t32" style="position:absolute;margin-left:88.65pt;margin-top:7.25pt;width:31.9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">
                          <v:stroke endarrow="block"/>
                        </v:shape>
                      </w:pict>
                    </mc:Fallback>
                  </mc:AlternateContent>
                </w:r>
                <w:r w:rsidRPr="00FE71D6">
                  <w:rPr>
                    <w:rFonts w:ascii="Times New Roman" w:hAnsi="Times New Roman" w:cs="Times New Roman"/>
                    <w:b/>
                    <w:bCs/>
                    <w:i/>
                    <w:iCs/>
                  </w:rPr>
                  <w:t>H8</w:t>
                </w:r>
                <w:r w:rsidRPr="00FE71D6">
                  <w:rPr>
                    <w:rFonts w:ascii="Times New Roman" w:hAnsi="Times New Roman" w:cs="Times New Roman"/>
                  </w:rPr>
                  <w:t>. Lean System               Financial Performance</w:t>
                </w:r>
              </w:p>
            </w:tc>
            <w:tc>
              <w:tcPr>
                <w:tcW w:w="1629"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Significant*</w:t>
                </w:r>
              </w:p>
            </w:tc>
          </w:tr>
          <w:tr w:rsidR="00FE71D6" w:rsidRPr="00FE71D6" w:rsidTr="001D33EE">
            <w:trPr>
              <w:trHeight w:val="371"/>
            </w:trPr>
            <w:tc>
              <w:tcPr>
                <w:tcW w:w="5938"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b/>
                    <w:bCs/>
                    <w:noProof/>
                  </w:rPr>
                  <mc:AlternateContent>
                    <mc:Choice Requires="wps">
                      <w:drawing>
                        <wp:anchor distT="0" distB="0" distL="114300" distR="114300" simplePos="0" relativeHeight="251688960" behindDoc="0" locked="0" layoutInCell="1" allowOverlap="1" wp14:anchorId="7F647922" wp14:editId="4C880636">
                          <wp:simplePos x="0" y="0"/>
                          <wp:positionH relativeFrom="column">
                            <wp:posOffset>1342390</wp:posOffset>
                          </wp:positionH>
                          <wp:positionV relativeFrom="paragraph">
                            <wp:posOffset>100330</wp:posOffset>
                          </wp:positionV>
                          <wp:extent cx="405765" cy="0"/>
                          <wp:effectExtent l="0" t="76200" r="13335" b="952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44BB1" id="Straight Arrow Connector 21" o:spid="_x0000_s1026" type="#_x0000_t32" style="position:absolute;margin-left:105.7pt;margin-top:7.9pt;width:31.9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">
                          <v:stroke endarrow="block"/>
                        </v:shape>
                      </w:pict>
                    </mc:Fallback>
                  </mc:AlternateContent>
                </w:r>
                <w:r w:rsidRPr="00FE71D6">
                  <w:rPr>
                    <w:rFonts w:ascii="Times New Roman" w:hAnsi="Times New Roman" w:cs="Times New Roman"/>
                    <w:b/>
                    <w:bCs/>
                    <w:i/>
                    <w:iCs/>
                  </w:rPr>
                  <w:t>H9</w:t>
                </w:r>
                <w:r w:rsidRPr="00FE71D6">
                  <w:rPr>
                    <w:rFonts w:ascii="Times New Roman" w:hAnsi="Times New Roman" w:cs="Times New Roman"/>
                  </w:rPr>
                  <w:t>. Net Trade Cycle              Financial Performance</w:t>
                </w:r>
              </w:p>
            </w:tc>
            <w:tc>
              <w:tcPr>
                <w:tcW w:w="1629" w:type="dxa"/>
                <w:vAlign w:val="bottom"/>
              </w:tcPr>
              <w:p w:rsidR="00AE5766" w:rsidRPr="00FE71D6" w:rsidRDefault="00AE5766" w:rsidP="002B119A">
                <w:pPr>
                  <w:autoSpaceDE w:val="0"/>
                  <w:autoSpaceDN w:val="0"/>
                  <w:adjustRightInd w:val="0"/>
                  <w:spacing w:line="240" w:lineRule="auto"/>
                  <w:rPr>
                    <w:rFonts w:ascii="Times New Roman" w:hAnsi="Times New Roman" w:cs="Times New Roman"/>
                  </w:rPr>
                </w:pPr>
                <w:r w:rsidRPr="00FE71D6">
                  <w:rPr>
                    <w:rFonts w:ascii="Times New Roman" w:hAnsi="Times New Roman" w:cs="Times New Roman"/>
                  </w:rPr>
                  <w:t>Significant**</w:t>
                </w:r>
              </w:p>
            </w:tc>
          </w:tr>
        </w:tbl>
        <w:p w:rsidR="00AE5766" w:rsidRPr="00FE71D6" w:rsidRDefault="00AE5766" w:rsidP="005A44DB">
          <w:pPr>
            <w:autoSpaceDE w:val="0"/>
            <w:autoSpaceDN w:val="0"/>
            <w:adjustRightInd w:val="0"/>
            <w:spacing w:after="480" w:line="240" w:lineRule="auto"/>
            <w:jc w:val="both"/>
            <w:rPr>
              <w:i/>
              <w:iCs/>
            </w:rPr>
          </w:pPr>
          <w:r w:rsidRPr="00FE71D6">
            <w:rPr>
              <w:b/>
              <w:bCs/>
              <w:i/>
              <w:iCs/>
            </w:rPr>
            <w:t xml:space="preserve">Note: </w:t>
          </w:r>
          <w:r w:rsidRPr="00FE71D6">
            <w:rPr>
              <w:i/>
              <w:iCs/>
            </w:rPr>
            <w:t>*p&lt;.05, **p&lt;.01, ***p&lt;.001</w:t>
          </w:r>
        </w:p>
        <w:p w:rsidR="00896DB7" w:rsidRPr="00FE71D6" w:rsidRDefault="0059352B" w:rsidP="00896DB7">
          <w:pPr>
            <w:pStyle w:val="Caption"/>
            <w:spacing w:after="0"/>
            <w:jc w:val="center"/>
            <w:rPr>
              <w:color w:val="auto"/>
              <w:sz w:val="24"/>
              <w:szCs w:val="24"/>
            </w:rPr>
          </w:pPr>
          <w:r w:rsidRPr="00FE71D6">
            <w:rPr>
              <w:noProof/>
              <w:color w:val="auto"/>
              <w:lang w:val="en-US" w:eastAsia="en-US"/>
            </w:rPr>
            <w:drawing>
              <wp:inline distT="0" distB="0" distL="0" distR="0" wp14:anchorId="19631F02" wp14:editId="0AA95DF5">
                <wp:extent cx="4800600" cy="36437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move the Two Negative Signals (final).jpg"/>
                        <pic:cNvPicPr/>
                      </pic:nvPicPr>
                      <pic:blipFill>
                        <a:blip r:embed="rId19">
                          <a:extLst>
                            <a:ext uri="{28A0092B-C50C-407E-A947-70E740481C1C}">
                              <a14:useLocalDpi xmlns:a14="http://schemas.microsoft.com/office/drawing/2010/main" val="0"/>
                            </a:ext>
                          </a:extLst>
                        </a:blip>
                        <a:stretch>
                          <a:fillRect/>
                        </a:stretch>
                      </pic:blipFill>
                      <pic:spPr>
                        <a:xfrm>
                          <a:off x="0" y="0"/>
                          <a:ext cx="4801062" cy="3644096"/>
                        </a:xfrm>
                        <a:prstGeom prst="rect">
                          <a:avLst/>
                        </a:prstGeom>
                      </pic:spPr>
                    </pic:pic>
                  </a:graphicData>
                </a:graphic>
              </wp:inline>
            </w:drawing>
          </w:r>
        </w:p>
        <w:p w:rsidR="00CB1C16" w:rsidRPr="00FE71D6" w:rsidRDefault="00CB1C16" w:rsidP="0055227E">
          <w:pPr>
            <w:pStyle w:val="Caption"/>
            <w:spacing w:after="120"/>
            <w:jc w:val="center"/>
            <w:rPr>
              <w:b w:val="0"/>
              <w:bCs w:val="0"/>
              <w:color w:val="auto"/>
              <w:sz w:val="24"/>
              <w:szCs w:val="24"/>
            </w:rPr>
          </w:pPr>
          <w:bookmarkStart w:id="77" w:name="_Toc500087407"/>
          <w:r w:rsidRPr="00FE71D6">
            <w:rPr>
              <w:color w:val="auto"/>
              <w:sz w:val="24"/>
              <w:szCs w:val="24"/>
            </w:rPr>
            <w:t xml:space="preserve">Figure </w:t>
          </w:r>
          <w:r w:rsidRPr="00FE71D6">
            <w:rPr>
              <w:color w:val="auto"/>
              <w:sz w:val="24"/>
              <w:szCs w:val="24"/>
            </w:rPr>
            <w:fldChar w:fldCharType="begin"/>
          </w:r>
          <w:r w:rsidRPr="00FE71D6">
            <w:rPr>
              <w:color w:val="auto"/>
              <w:sz w:val="24"/>
              <w:szCs w:val="24"/>
            </w:rPr>
            <w:instrText xml:space="preserve"> SEQ Figure \* ARABIC </w:instrText>
          </w:r>
          <w:r w:rsidRPr="00FE71D6">
            <w:rPr>
              <w:color w:val="auto"/>
              <w:sz w:val="24"/>
              <w:szCs w:val="24"/>
            </w:rPr>
            <w:fldChar w:fldCharType="separate"/>
          </w:r>
          <w:r w:rsidRPr="00FE71D6">
            <w:rPr>
              <w:noProof/>
              <w:color w:val="auto"/>
              <w:sz w:val="24"/>
              <w:szCs w:val="24"/>
            </w:rPr>
            <w:t>2</w:t>
          </w:r>
          <w:r w:rsidRPr="00FE71D6">
            <w:rPr>
              <w:color w:val="auto"/>
              <w:sz w:val="24"/>
              <w:szCs w:val="24"/>
            </w:rPr>
            <w:fldChar w:fldCharType="end"/>
          </w:r>
          <w:r w:rsidRPr="00FE71D6">
            <w:rPr>
              <w:color w:val="auto"/>
              <w:sz w:val="24"/>
              <w:szCs w:val="24"/>
            </w:rPr>
            <w:t xml:space="preserve">. </w:t>
          </w:r>
          <w:r w:rsidRPr="00FE71D6">
            <w:rPr>
              <w:b w:val="0"/>
              <w:bCs w:val="0"/>
              <w:color w:val="auto"/>
              <w:sz w:val="24"/>
              <w:szCs w:val="24"/>
            </w:rPr>
            <w:t>Result</w:t>
          </w:r>
          <w:r w:rsidR="00D678A8" w:rsidRPr="00FE71D6">
            <w:rPr>
              <w:b w:val="0"/>
              <w:bCs w:val="0"/>
              <w:color w:val="auto"/>
              <w:sz w:val="24"/>
              <w:szCs w:val="24"/>
            </w:rPr>
            <w:t>s</w:t>
          </w:r>
          <w:r w:rsidRPr="00FE71D6">
            <w:rPr>
              <w:b w:val="0"/>
              <w:bCs w:val="0"/>
              <w:color w:val="auto"/>
              <w:sz w:val="24"/>
              <w:szCs w:val="24"/>
            </w:rPr>
            <w:t xml:space="preserve"> of the Latent Variable Model Test</w:t>
          </w:r>
          <w:bookmarkEnd w:id="77"/>
        </w:p>
        <w:p w:rsidR="000855B6" w:rsidRPr="00FE71D6" w:rsidRDefault="000855B6" w:rsidP="005A44DB">
          <w:pPr>
            <w:pStyle w:val="Caption"/>
            <w:spacing w:after="480"/>
            <w:jc w:val="both"/>
            <w:rPr>
              <w:b w:val="0"/>
              <w:bCs w:val="0"/>
              <w:color w:val="auto"/>
              <w:sz w:val="22"/>
              <w:szCs w:val="22"/>
            </w:rPr>
          </w:pPr>
          <w:r w:rsidRPr="00FE71D6">
            <w:rPr>
              <w:i/>
              <w:iCs/>
              <w:color w:val="auto"/>
              <w:sz w:val="24"/>
              <w:szCs w:val="24"/>
            </w:rPr>
            <w:t>Note:</w:t>
          </w:r>
          <w:r w:rsidRPr="00FE71D6">
            <w:rPr>
              <w:b w:val="0"/>
              <w:bCs w:val="0"/>
              <w:i/>
              <w:iCs/>
              <w:color w:val="auto"/>
              <w:sz w:val="24"/>
              <w:szCs w:val="24"/>
            </w:rPr>
            <w:t xml:space="preserve"> </w:t>
          </w:r>
          <w:r w:rsidRPr="00FE71D6">
            <w:rPr>
              <w:b w:val="0"/>
              <w:bCs w:val="0"/>
              <w:color w:val="auto"/>
              <w:sz w:val="22"/>
              <w:szCs w:val="22"/>
            </w:rPr>
            <w:t xml:space="preserve">SP </w:t>
          </w:r>
          <w:r w:rsidR="00BB117F" w:rsidRPr="00FE71D6">
            <w:rPr>
              <w:b w:val="0"/>
              <w:bCs w:val="0"/>
              <w:color w:val="auto"/>
              <w:sz w:val="22"/>
              <w:szCs w:val="22"/>
            </w:rPr>
            <w:t>(Supplier Partnership), CR (Customer Relationship), I</w:t>
          </w:r>
          <w:r w:rsidR="00796002" w:rsidRPr="00FE71D6">
            <w:rPr>
              <w:b w:val="0"/>
              <w:bCs w:val="0"/>
              <w:color w:val="auto"/>
              <w:sz w:val="22"/>
              <w:szCs w:val="22"/>
            </w:rPr>
            <w:t xml:space="preserve">S (Information Sharing), </w:t>
          </w:r>
          <w:r w:rsidR="00BB117F" w:rsidRPr="00FE71D6">
            <w:rPr>
              <w:b w:val="0"/>
              <w:bCs w:val="0"/>
              <w:color w:val="auto"/>
              <w:sz w:val="22"/>
              <w:szCs w:val="22"/>
            </w:rPr>
            <w:t>LS (Lean System), NTC (Net Trade Cycle),</w:t>
          </w:r>
          <w:r w:rsidRPr="00FE71D6">
            <w:rPr>
              <w:b w:val="0"/>
              <w:bCs w:val="0"/>
              <w:color w:val="auto"/>
              <w:sz w:val="22"/>
              <w:szCs w:val="22"/>
            </w:rPr>
            <w:t xml:space="preserve"> and FP (Financial Performance).</w:t>
          </w:r>
        </w:p>
        <w:p w:rsidR="00A1521F" w:rsidRPr="00FE71D6" w:rsidRDefault="008E072F" w:rsidP="005A44DB">
          <w:pPr>
            <w:pStyle w:val="Paragraph"/>
            <w:spacing w:before="0"/>
            <w:ind w:firstLine="720"/>
            <w:jc w:val="both"/>
          </w:pPr>
          <w:r w:rsidRPr="00FE71D6">
            <w:t>Moreover, the R</w:t>
          </w:r>
          <w:r w:rsidRPr="00FE71D6">
            <w:rPr>
              <w:vertAlign w:val="superscript"/>
            </w:rPr>
            <w:t>2</w:t>
          </w:r>
          <w:r w:rsidRPr="00FE71D6">
            <w:t xml:space="preserve"> for the dependent factor or construct from .033 to .906 represent a big proportion of the variance in the dependent factor or construct</w:t>
          </w:r>
          <w:r w:rsidR="00CB3F43" w:rsidRPr="00FE71D6">
            <w:t xml:space="preserve"> (the </w:t>
          </w:r>
          <w:r w:rsidR="000D79F4" w:rsidRPr="00FE71D6">
            <w:t xml:space="preserve">four indicators of the </w:t>
          </w:r>
          <w:r w:rsidR="00CB3F43" w:rsidRPr="00FE71D6">
            <w:t xml:space="preserve">financial performance </w:t>
          </w:r>
          <w:r w:rsidR="00D36871" w:rsidRPr="00FE71D6">
            <w:t>construct</w:t>
          </w:r>
          <w:r w:rsidR="00CB3F43" w:rsidRPr="00FE71D6">
            <w:t xml:space="preserve">: </w:t>
          </w:r>
          <w:r w:rsidR="00CB3F43" w:rsidRPr="00FE71D6">
            <w:rPr>
              <w:rFonts w:asciiTheme="majorBidi" w:hAnsiTheme="majorBidi" w:cstheme="majorBidi"/>
            </w:rPr>
            <w:t>return on assets, return on equity, operational profit margin, and competitive position)</w:t>
          </w:r>
          <w:r w:rsidR="000B0485" w:rsidRPr="00FE71D6">
            <w:t xml:space="preserve"> </w:t>
          </w:r>
          <w:r w:rsidRPr="00FE71D6">
            <w:t>which is explained by the independent factors or constructs</w:t>
          </w:r>
          <w:r w:rsidR="00CB3F43" w:rsidRPr="00FE71D6">
            <w:t xml:space="preserve"> (</w:t>
          </w:r>
          <w:r w:rsidR="009229C9" w:rsidRPr="00FE71D6">
            <w:t xml:space="preserve">the </w:t>
          </w:r>
          <w:r w:rsidRPr="00FE71D6">
            <w:t xml:space="preserve">five indicators of the supplier partnership construct: degree of excellence is considered as the number one standard in choosing suppliers, issues are solved mutually with suppliers, suppliers are helped to enhance their product degree of excellence, main suppliers are involved in continuous improvement programs, and main suppliers are involved in forecasting and setting goal actions; </w:t>
          </w:r>
          <w:r w:rsidR="009229C9" w:rsidRPr="00FE71D6">
            <w:t xml:space="preserve">the </w:t>
          </w:r>
          <w:r w:rsidRPr="00FE71D6">
            <w:t xml:space="preserve">five indicators of the customer relationship construct: customers are contacted to establish dependability, receptiveness, and other criteria, customer gratification is measured and evaluated, future customer anticipations are determined, customers’ capability is facilitated to look for help, and the prominence of relationship with customers is evaluated; </w:t>
          </w:r>
          <w:r w:rsidR="009229C9" w:rsidRPr="00FE71D6">
            <w:t xml:space="preserve">the </w:t>
          </w:r>
          <w:r w:rsidRPr="00FE71D6">
            <w:t xml:space="preserve">four indicators of the information sharing construct: trading partners are informed in advance of altering requirements, trading partners share solid data, trading partners share commercial information of essential commercial procedures, and trading partners are retained completely knowledgeable about problems that impact commerce; </w:t>
          </w:r>
          <w:r w:rsidR="009229C9" w:rsidRPr="00FE71D6">
            <w:t xml:space="preserve">the </w:t>
          </w:r>
          <w:r w:rsidRPr="00FE71D6">
            <w:t xml:space="preserve">five indicators of the lean system construct: suppliers are pushed for shorter lead time, pull production system is used, suppliers are streamlined for ordering, receiving, and other paperwork, inspection of incoming materials is reduced, and inspection of outbound materials is reduced; and </w:t>
          </w:r>
          <w:r w:rsidR="009229C9" w:rsidRPr="00FE71D6">
            <w:t xml:space="preserve">the </w:t>
          </w:r>
          <w:r w:rsidRPr="00FE71D6">
            <w:t>four indicators of the net trade cycle construct: shortening number of days it takes for a company’s trade debtors to pay their dues, shortening number of days a company ties its funds to inventory, extending number of days a company defers payments to its suppliers and other creditors, and shortening number of days of sales that it consumes for a company to transfer resource inputs into cash flows</w:t>
          </w:r>
          <w:r w:rsidR="00E55263" w:rsidRPr="00FE71D6">
            <w:t>)</w:t>
          </w:r>
          <w:r w:rsidR="000B0485" w:rsidRPr="00FE71D6">
            <w:t xml:space="preserve">. </w:t>
          </w:r>
          <w:r w:rsidR="00C16070" w:rsidRPr="00FE71D6">
            <w:t>In other words, it indicates that the model explains well all the variability of the response data around its mean</w:t>
          </w:r>
          <w:r w:rsidR="007C452B" w:rsidRPr="00FE71D6">
            <w:rPr>
              <w:rStyle w:val="tgc"/>
            </w:rPr>
            <w:t>.</w:t>
          </w:r>
        </w:p>
        <w:p w:rsidR="000B0485" w:rsidRPr="00FE71D6" w:rsidRDefault="00A75C24" w:rsidP="005A44DB">
          <w:pPr>
            <w:pStyle w:val="Paragraph"/>
            <w:spacing w:before="0" w:after="120"/>
            <w:ind w:firstLine="720"/>
            <w:jc w:val="both"/>
          </w:pPr>
          <w:r w:rsidRPr="00FE71D6">
            <w:t>Although only the significant direct effects are shown in Figure 2, the decomposition of significant direct, indirect, and total effects among the six factors or constructs</w:t>
          </w:r>
          <w:r w:rsidR="00D36871" w:rsidRPr="00FE71D6">
            <w:t xml:space="preserve"> (the supplier partnership construct, the customer relationship construct, the information sharing construct</w:t>
          </w:r>
          <w:r w:rsidR="0075713C" w:rsidRPr="00FE71D6">
            <w:t>, the lean system construct, the net trade cycle construct, and the financial performance construct)</w:t>
          </w:r>
          <w:r w:rsidR="00D36871" w:rsidRPr="00FE71D6">
            <w:t xml:space="preserve"> </w:t>
          </w:r>
          <w:r w:rsidR="00324DCB" w:rsidRPr="00FE71D6">
            <w:t>is presented in Table 9. An analysis of Table 9 displays that, to the extent, the significant direct effects of a factor or construct on other factors or constructs are apprehensive, the supplier partnership construct has an indirect effect of .428 (as its p-value of .000 is smaller than the level of significance of .001) which is a greater significance than a direct one of .251 (as its p-value of .034 is smaller than the level of significance of .050); the information sharing construct has an indirect effect of .312 (as its p-value of .029 is smaller than the level of significance of .050) which is a greater significance than a direct one of .315 (as its p-value of .031 is smaller than the level of significance of .050); the lean system construct has an indirect effect of .257 (as its p-value of .002 is smaller than the level of significance of .010) which is a greater significance than a direct one of .146 (as its p-value of .049 is smaller than the level of significance of .050). However, the customer relationship construct has an insignificant indirect effect of .028 (as its p-value of .757 is greater than the level of significance of .050) but it is still greater than an insignificant direct one of .004 (as its p-value of .964 is greater than the level of significance of .050). Moreover, the net trade cycle construct has merely a direct effect of .278 (as its p-value of .008 is smaller than the level of significa</w:t>
          </w:r>
          <w:r w:rsidR="00894788" w:rsidRPr="00FE71D6">
            <w:t>nce of .010) as it works as a medi</w:t>
          </w:r>
          <w:r w:rsidR="00515748" w:rsidRPr="00FE71D6">
            <w:t>ator</w:t>
          </w:r>
          <w:r w:rsidR="00324DCB" w:rsidRPr="00FE71D6">
            <w:t xml:space="preserve"> variable that </w:t>
          </w:r>
          <w:r w:rsidR="00515748" w:rsidRPr="00FE71D6">
            <w:t>is</w:t>
          </w:r>
          <w:r w:rsidR="00324DCB" w:rsidRPr="00FE71D6">
            <w:t xml:space="preserve"> the bases of the mainstream of these effects</w:t>
          </w:r>
          <w:r w:rsidR="003F44B1" w:rsidRPr="00FE71D6">
            <w:t xml:space="preserve">. </w:t>
          </w:r>
          <w:r w:rsidR="00324DCB" w:rsidRPr="00FE71D6">
            <w:t>This gives a solid evidence of the important role of the n</w:t>
          </w:r>
          <w:r w:rsidR="00894788" w:rsidRPr="00FE71D6">
            <w:t>et trade cycle construct as a medi</w:t>
          </w:r>
          <w:r w:rsidR="00515748" w:rsidRPr="00FE71D6">
            <w:t>ator</w:t>
          </w:r>
          <w:r w:rsidR="00324DCB" w:rsidRPr="00FE71D6">
            <w:t xml:space="preserve"> variable to </w:t>
          </w:r>
          <w:r w:rsidR="00515748" w:rsidRPr="00FE71D6">
            <w:t>explain</w:t>
          </w:r>
          <w:r w:rsidR="00324DCB" w:rsidRPr="00FE71D6">
            <w:t xml:space="preserve"> the relationships between these four most common supply chain management practices</w:t>
          </w:r>
          <w:r w:rsidR="000D79F4" w:rsidRPr="00FE71D6">
            <w:t xml:space="preserve"> </w:t>
          </w:r>
          <w:r w:rsidR="003F44B1" w:rsidRPr="00FE71D6">
            <w:t>(</w:t>
          </w:r>
          <w:r w:rsidR="000D79F4" w:rsidRPr="00FE71D6">
            <w:t xml:space="preserve">the </w:t>
          </w:r>
          <w:r w:rsidR="003F44B1" w:rsidRPr="00FE71D6">
            <w:t>suppler partnership</w:t>
          </w:r>
          <w:r w:rsidR="000D79F4" w:rsidRPr="00FE71D6">
            <w:t xml:space="preserve"> construct</w:t>
          </w:r>
          <w:r w:rsidR="003F44B1" w:rsidRPr="00FE71D6">
            <w:t xml:space="preserve">, </w:t>
          </w:r>
          <w:r w:rsidR="00283FC8" w:rsidRPr="00FE71D6">
            <w:t xml:space="preserve">the customer relationship construct, </w:t>
          </w:r>
          <w:r w:rsidR="000D79F4" w:rsidRPr="00FE71D6">
            <w:t xml:space="preserve">the </w:t>
          </w:r>
          <w:r w:rsidR="003F44B1" w:rsidRPr="00FE71D6">
            <w:t>information sharing</w:t>
          </w:r>
          <w:r w:rsidR="000D79F4" w:rsidRPr="00FE71D6">
            <w:t xml:space="preserve"> construct</w:t>
          </w:r>
          <w:r w:rsidR="003F44B1" w:rsidRPr="00FE71D6">
            <w:t xml:space="preserve">, and </w:t>
          </w:r>
          <w:r w:rsidR="000D79F4" w:rsidRPr="00FE71D6">
            <w:t xml:space="preserve">the </w:t>
          </w:r>
          <w:r w:rsidR="003F44B1" w:rsidRPr="00FE71D6">
            <w:t>lean system</w:t>
          </w:r>
          <w:r w:rsidR="000D79F4" w:rsidRPr="00FE71D6">
            <w:t xml:space="preserve"> construct</w:t>
          </w:r>
          <w:r w:rsidR="003F44B1" w:rsidRPr="00FE71D6">
            <w:t xml:space="preserve">) </w:t>
          </w:r>
          <w:r w:rsidR="00324DCB" w:rsidRPr="00FE71D6">
            <w:t>and the financial performance construct</w:t>
          </w:r>
          <w:r w:rsidR="003F44B1" w:rsidRPr="00FE71D6">
            <w:t>.</w:t>
          </w:r>
        </w:p>
        <w:p w:rsidR="000B0485" w:rsidRPr="00FE71D6" w:rsidRDefault="005C3725" w:rsidP="00340875">
          <w:pPr>
            <w:pStyle w:val="Caption"/>
            <w:spacing w:after="100"/>
            <w:rPr>
              <w:b w:val="0"/>
              <w:bCs w:val="0"/>
              <w:color w:val="auto"/>
              <w:sz w:val="24"/>
              <w:szCs w:val="24"/>
            </w:rPr>
          </w:pPr>
          <w:bookmarkStart w:id="78" w:name="_Toc500087402"/>
          <w:r w:rsidRPr="00FE71D6">
            <w:rPr>
              <w:color w:val="auto"/>
              <w:sz w:val="24"/>
              <w:szCs w:val="24"/>
            </w:rPr>
            <w:t xml:space="preserve">Table </w:t>
          </w:r>
          <w:r w:rsidRPr="00FE71D6">
            <w:rPr>
              <w:color w:val="auto"/>
              <w:sz w:val="24"/>
              <w:szCs w:val="24"/>
            </w:rPr>
            <w:fldChar w:fldCharType="begin"/>
          </w:r>
          <w:r w:rsidRPr="00FE71D6">
            <w:rPr>
              <w:color w:val="auto"/>
              <w:sz w:val="24"/>
              <w:szCs w:val="24"/>
            </w:rPr>
            <w:instrText xml:space="preserve"> SEQ Table \* ARABIC </w:instrText>
          </w:r>
          <w:r w:rsidRPr="00FE71D6">
            <w:rPr>
              <w:color w:val="auto"/>
              <w:sz w:val="24"/>
              <w:szCs w:val="24"/>
            </w:rPr>
            <w:fldChar w:fldCharType="separate"/>
          </w:r>
          <w:r w:rsidR="00670049" w:rsidRPr="00FE71D6">
            <w:rPr>
              <w:noProof/>
              <w:color w:val="auto"/>
              <w:sz w:val="24"/>
              <w:szCs w:val="24"/>
            </w:rPr>
            <w:t>9</w:t>
          </w:r>
          <w:r w:rsidRPr="00FE71D6">
            <w:rPr>
              <w:color w:val="auto"/>
              <w:sz w:val="24"/>
              <w:szCs w:val="24"/>
            </w:rPr>
            <w:fldChar w:fldCharType="end"/>
          </w:r>
          <w:r w:rsidRPr="00FE71D6">
            <w:rPr>
              <w:color w:val="auto"/>
              <w:sz w:val="24"/>
              <w:szCs w:val="24"/>
            </w:rPr>
            <w:t xml:space="preserve">. </w:t>
          </w:r>
          <w:r w:rsidR="000B0485" w:rsidRPr="00FE71D6">
            <w:rPr>
              <w:b w:val="0"/>
              <w:bCs w:val="0"/>
              <w:color w:val="auto"/>
              <w:sz w:val="24"/>
              <w:szCs w:val="24"/>
            </w:rPr>
            <w:t>Decomposition of Effects among Factors</w:t>
          </w:r>
          <w:bookmarkEnd w:id="78"/>
        </w:p>
        <w:tbl>
          <w:tblPr>
            <w:tblStyle w:val="TableGrid"/>
            <w:tblW w:w="0" w:type="auto"/>
            <w:tblInd w:w="108" w:type="dxa"/>
            <w:tblLook w:val="04A0" w:firstRow="1" w:lastRow="0" w:firstColumn="1" w:lastColumn="0" w:noHBand="0" w:noVBand="1"/>
          </w:tblPr>
          <w:tblGrid>
            <w:gridCol w:w="1440"/>
            <w:gridCol w:w="1260"/>
            <w:gridCol w:w="1620"/>
            <w:gridCol w:w="1692"/>
            <w:gridCol w:w="1556"/>
          </w:tblGrid>
          <w:tr w:rsidR="00FE71D6" w:rsidRPr="00FE71D6" w:rsidTr="00796002">
            <w:trPr>
              <w:trHeight w:val="684"/>
            </w:trPr>
            <w:tc>
              <w:tcPr>
                <w:tcW w:w="1440" w:type="dxa"/>
                <w:shd w:val="clear" w:color="auto" w:fill="D9D9D9" w:themeFill="background1" w:themeFillShade="D9"/>
                <w:vAlign w:val="center"/>
              </w:tcPr>
              <w:p w:rsidR="000B0485" w:rsidRPr="00FE71D6" w:rsidRDefault="000B0485" w:rsidP="001209FB">
                <w:pPr>
                  <w:pStyle w:val="Paragraph"/>
                  <w:spacing w:before="0" w:after="120" w:line="240" w:lineRule="auto"/>
                  <w:rPr>
                    <w:rFonts w:ascii="Times New Roman" w:hAnsi="Times New Roman" w:cs="Times New Roman"/>
                    <w:b/>
                    <w:bCs/>
                    <w:sz w:val="22"/>
                    <w:szCs w:val="22"/>
                  </w:rPr>
                </w:pPr>
                <w:r w:rsidRPr="00FE71D6">
                  <w:rPr>
                    <w:rFonts w:ascii="Times New Roman" w:hAnsi="Times New Roman" w:cs="Times New Roman"/>
                    <w:b/>
                    <w:bCs/>
                    <w:sz w:val="22"/>
                    <w:szCs w:val="22"/>
                  </w:rPr>
                  <w:t>Effect from</w:t>
                </w:r>
              </w:p>
            </w:tc>
            <w:tc>
              <w:tcPr>
                <w:tcW w:w="1260" w:type="dxa"/>
                <w:shd w:val="clear" w:color="auto" w:fill="D9D9D9" w:themeFill="background1" w:themeFillShade="D9"/>
                <w:vAlign w:val="center"/>
              </w:tcPr>
              <w:p w:rsidR="000B0485" w:rsidRPr="00FE71D6" w:rsidRDefault="000B0485" w:rsidP="001209FB">
                <w:pPr>
                  <w:pStyle w:val="Paragraph"/>
                  <w:spacing w:before="0" w:after="120"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Effect to</w:t>
                </w:r>
              </w:p>
            </w:tc>
            <w:tc>
              <w:tcPr>
                <w:tcW w:w="1620" w:type="dxa"/>
                <w:shd w:val="clear" w:color="auto" w:fill="D9D9D9" w:themeFill="background1" w:themeFillShade="D9"/>
                <w:vAlign w:val="center"/>
              </w:tcPr>
              <w:p w:rsidR="000B0485" w:rsidRPr="00FE71D6" w:rsidRDefault="000B0485" w:rsidP="001209FB">
                <w:pPr>
                  <w:pStyle w:val="Paragraph"/>
                  <w:spacing w:before="0" w:after="120"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Direct Effect</w:t>
                </w:r>
              </w:p>
            </w:tc>
            <w:tc>
              <w:tcPr>
                <w:tcW w:w="1692" w:type="dxa"/>
                <w:shd w:val="clear" w:color="auto" w:fill="D9D9D9" w:themeFill="background1" w:themeFillShade="D9"/>
                <w:vAlign w:val="center"/>
              </w:tcPr>
              <w:p w:rsidR="000B0485" w:rsidRPr="00FE71D6" w:rsidRDefault="000B0485" w:rsidP="001209FB">
                <w:pPr>
                  <w:pStyle w:val="Paragraph"/>
                  <w:spacing w:before="0" w:after="120" w:line="240" w:lineRule="auto"/>
                  <w:rPr>
                    <w:rFonts w:ascii="Times New Roman" w:hAnsi="Times New Roman" w:cs="Times New Roman"/>
                    <w:b/>
                    <w:bCs/>
                    <w:sz w:val="22"/>
                    <w:szCs w:val="22"/>
                  </w:rPr>
                </w:pPr>
                <w:r w:rsidRPr="00FE71D6">
                  <w:rPr>
                    <w:rFonts w:ascii="Times New Roman" w:hAnsi="Times New Roman" w:cs="Times New Roman"/>
                    <w:b/>
                    <w:bCs/>
                    <w:sz w:val="22"/>
                    <w:szCs w:val="22"/>
                  </w:rPr>
                  <w:t>Indirect Effect</w:t>
                </w:r>
              </w:p>
            </w:tc>
            <w:tc>
              <w:tcPr>
                <w:tcW w:w="1556" w:type="dxa"/>
                <w:shd w:val="clear" w:color="auto" w:fill="D9D9D9" w:themeFill="background1" w:themeFillShade="D9"/>
                <w:vAlign w:val="center"/>
              </w:tcPr>
              <w:p w:rsidR="000B0485" w:rsidRPr="00FE71D6" w:rsidRDefault="000B0485" w:rsidP="001209FB">
                <w:pPr>
                  <w:pStyle w:val="Paragraph"/>
                  <w:spacing w:before="0" w:after="120" w:line="240" w:lineRule="auto"/>
                  <w:rPr>
                    <w:rFonts w:ascii="Times New Roman" w:hAnsi="Times New Roman" w:cs="Times New Roman"/>
                    <w:b/>
                    <w:bCs/>
                    <w:sz w:val="22"/>
                    <w:szCs w:val="22"/>
                  </w:rPr>
                </w:pPr>
                <w:r w:rsidRPr="00FE71D6">
                  <w:rPr>
                    <w:rFonts w:ascii="Times New Roman" w:hAnsi="Times New Roman" w:cs="Times New Roman"/>
                    <w:b/>
                    <w:bCs/>
                    <w:sz w:val="22"/>
                    <w:szCs w:val="22"/>
                  </w:rPr>
                  <w:t>Total Effect</w:t>
                </w:r>
              </w:p>
            </w:tc>
          </w:tr>
          <w:tr w:rsidR="00FE71D6" w:rsidRPr="00FE71D6" w:rsidTr="00796002">
            <w:trPr>
              <w:trHeight w:val="382"/>
            </w:trPr>
            <w:tc>
              <w:tcPr>
                <w:tcW w:w="1440" w:type="dxa"/>
                <w:vAlign w:val="bottom"/>
              </w:tcPr>
              <w:p w:rsidR="000B0485" w:rsidRPr="00FE71D6" w:rsidRDefault="000B0485" w:rsidP="005F17A4">
                <w:pPr>
                  <w:pStyle w:val="Paragraph"/>
                  <w:spacing w:before="0" w:after="120" w:line="240" w:lineRule="auto"/>
                  <w:rPr>
                    <w:rFonts w:ascii="Times New Roman" w:hAnsi="Times New Roman" w:cs="Times New Roman"/>
                    <w:sz w:val="22"/>
                    <w:szCs w:val="22"/>
                  </w:rPr>
                </w:pPr>
                <w:r w:rsidRPr="00FE71D6">
                  <w:rPr>
                    <w:rFonts w:ascii="Times New Roman" w:hAnsi="Times New Roman" w:cs="Times New Roman"/>
                    <w:sz w:val="22"/>
                    <w:szCs w:val="22"/>
                  </w:rPr>
                  <w:t>SP</w:t>
                </w:r>
              </w:p>
            </w:tc>
            <w:tc>
              <w:tcPr>
                <w:tcW w:w="1260" w:type="dxa"/>
                <w:vAlign w:val="bottom"/>
              </w:tcPr>
              <w:p w:rsidR="000B0485" w:rsidRPr="00FE71D6" w:rsidRDefault="000B0485" w:rsidP="001209FB">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FP</w:t>
                </w:r>
              </w:p>
            </w:tc>
            <w:tc>
              <w:tcPr>
                <w:tcW w:w="1620" w:type="dxa"/>
                <w:vAlign w:val="bottom"/>
              </w:tcPr>
              <w:p w:rsidR="000B0485" w:rsidRPr="00FE71D6" w:rsidRDefault="00C93CC8" w:rsidP="001209FB">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.251</w:t>
                </w:r>
                <w:r w:rsidR="000B0485" w:rsidRPr="00FE71D6">
                  <w:rPr>
                    <w:rFonts w:ascii="Times New Roman" w:hAnsi="Times New Roman" w:cs="Times New Roman"/>
                    <w:sz w:val="22"/>
                    <w:szCs w:val="22"/>
                  </w:rPr>
                  <w:t>*</w:t>
                </w:r>
              </w:p>
            </w:tc>
            <w:tc>
              <w:tcPr>
                <w:tcW w:w="1692" w:type="dxa"/>
                <w:vAlign w:val="bottom"/>
              </w:tcPr>
              <w:p w:rsidR="000B0485" w:rsidRPr="00FE71D6" w:rsidRDefault="00C93CC8" w:rsidP="001209FB">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.428</w:t>
                </w:r>
                <w:r w:rsidR="000B0485" w:rsidRPr="00FE71D6">
                  <w:rPr>
                    <w:rFonts w:ascii="Times New Roman" w:hAnsi="Times New Roman" w:cs="Times New Roman"/>
                    <w:sz w:val="22"/>
                    <w:szCs w:val="22"/>
                  </w:rPr>
                  <w:t>***</w:t>
                </w:r>
              </w:p>
            </w:tc>
            <w:tc>
              <w:tcPr>
                <w:tcW w:w="1556" w:type="dxa"/>
                <w:vAlign w:val="bottom"/>
              </w:tcPr>
              <w:p w:rsidR="000B0485" w:rsidRPr="00FE71D6" w:rsidRDefault="00C93CC8" w:rsidP="001209FB">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.679</w:t>
                </w:r>
                <w:r w:rsidR="000B0485" w:rsidRPr="00FE71D6">
                  <w:rPr>
                    <w:rFonts w:ascii="Times New Roman" w:hAnsi="Times New Roman" w:cs="Times New Roman"/>
                    <w:sz w:val="22"/>
                    <w:szCs w:val="22"/>
                  </w:rPr>
                  <w:t>***</w:t>
                </w:r>
              </w:p>
            </w:tc>
          </w:tr>
          <w:tr w:rsidR="00FE71D6" w:rsidRPr="00FE71D6" w:rsidTr="00796002">
            <w:trPr>
              <w:trHeight w:val="382"/>
            </w:trPr>
            <w:tc>
              <w:tcPr>
                <w:tcW w:w="1440" w:type="dxa"/>
                <w:vAlign w:val="bottom"/>
              </w:tcPr>
              <w:p w:rsidR="00151938" w:rsidRPr="00FE71D6" w:rsidRDefault="00151938" w:rsidP="005F17A4">
                <w:pPr>
                  <w:pStyle w:val="Paragraph"/>
                  <w:spacing w:before="0" w:after="120" w:line="240" w:lineRule="auto"/>
                  <w:rPr>
                    <w:rFonts w:ascii="Times New Roman" w:hAnsi="Times New Roman" w:cs="Times New Roman"/>
                    <w:sz w:val="22"/>
                    <w:szCs w:val="22"/>
                  </w:rPr>
                </w:pPr>
                <w:r w:rsidRPr="00FE71D6">
                  <w:rPr>
                    <w:rFonts w:ascii="Times New Roman" w:hAnsi="Times New Roman" w:cs="Times New Roman"/>
                    <w:sz w:val="22"/>
                    <w:szCs w:val="22"/>
                  </w:rPr>
                  <w:t>CR</w:t>
                </w:r>
              </w:p>
            </w:tc>
            <w:tc>
              <w:tcPr>
                <w:tcW w:w="1260" w:type="dxa"/>
                <w:vAlign w:val="bottom"/>
              </w:tcPr>
              <w:p w:rsidR="00151938" w:rsidRPr="00FE71D6" w:rsidRDefault="00151938" w:rsidP="00151938">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FP</w:t>
                </w:r>
              </w:p>
            </w:tc>
            <w:tc>
              <w:tcPr>
                <w:tcW w:w="1620" w:type="dxa"/>
              </w:tcPr>
              <w:p w:rsidR="00151938" w:rsidRPr="00FE71D6" w:rsidRDefault="00153B10" w:rsidP="005F17A4">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.004</w:t>
                </w:r>
              </w:p>
            </w:tc>
            <w:tc>
              <w:tcPr>
                <w:tcW w:w="1692" w:type="dxa"/>
                <w:vAlign w:val="bottom"/>
              </w:tcPr>
              <w:p w:rsidR="00151938" w:rsidRPr="00FE71D6" w:rsidRDefault="00153B10" w:rsidP="005F17A4">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.028</w:t>
                </w:r>
              </w:p>
            </w:tc>
            <w:tc>
              <w:tcPr>
                <w:tcW w:w="1556" w:type="dxa"/>
                <w:vAlign w:val="bottom"/>
              </w:tcPr>
              <w:p w:rsidR="00151938" w:rsidRPr="00FE71D6" w:rsidRDefault="00EB3B48" w:rsidP="005F17A4">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.032</w:t>
                </w:r>
              </w:p>
            </w:tc>
          </w:tr>
          <w:tr w:rsidR="00FE71D6" w:rsidRPr="00FE71D6" w:rsidTr="00796002">
            <w:trPr>
              <w:trHeight w:val="382"/>
            </w:trPr>
            <w:tc>
              <w:tcPr>
                <w:tcW w:w="1440" w:type="dxa"/>
                <w:vAlign w:val="bottom"/>
              </w:tcPr>
              <w:p w:rsidR="000B0485" w:rsidRPr="00FE71D6" w:rsidRDefault="000B0485" w:rsidP="005F17A4">
                <w:pPr>
                  <w:pStyle w:val="Paragraph"/>
                  <w:spacing w:before="0" w:after="120" w:line="240" w:lineRule="auto"/>
                  <w:rPr>
                    <w:rFonts w:ascii="Times New Roman" w:hAnsi="Times New Roman" w:cs="Times New Roman"/>
                    <w:sz w:val="22"/>
                    <w:szCs w:val="22"/>
                  </w:rPr>
                </w:pPr>
                <w:r w:rsidRPr="00FE71D6">
                  <w:rPr>
                    <w:rFonts w:ascii="Times New Roman" w:hAnsi="Times New Roman" w:cs="Times New Roman"/>
                    <w:sz w:val="22"/>
                    <w:szCs w:val="22"/>
                  </w:rPr>
                  <w:t>IS</w:t>
                </w:r>
              </w:p>
            </w:tc>
            <w:tc>
              <w:tcPr>
                <w:tcW w:w="1260" w:type="dxa"/>
                <w:vAlign w:val="bottom"/>
              </w:tcPr>
              <w:p w:rsidR="000B0485" w:rsidRPr="00FE71D6" w:rsidRDefault="000B0485" w:rsidP="005F17A4">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FP</w:t>
                </w:r>
              </w:p>
            </w:tc>
            <w:tc>
              <w:tcPr>
                <w:tcW w:w="1620" w:type="dxa"/>
              </w:tcPr>
              <w:p w:rsidR="000B0485" w:rsidRPr="00FE71D6" w:rsidRDefault="006F5AD6"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hAnsi="Times New Roman" w:cs="Times New Roman"/>
                    <w:sz w:val="22"/>
                    <w:szCs w:val="22"/>
                  </w:rPr>
                  <w:t>.312</w:t>
                </w:r>
                <w:r w:rsidR="000B0485" w:rsidRPr="00FE71D6">
                  <w:rPr>
                    <w:rFonts w:ascii="Times New Roman" w:hAnsi="Times New Roman" w:cs="Times New Roman"/>
                    <w:sz w:val="22"/>
                    <w:szCs w:val="22"/>
                  </w:rPr>
                  <w:t>*</w:t>
                </w:r>
              </w:p>
            </w:tc>
            <w:tc>
              <w:tcPr>
                <w:tcW w:w="1692" w:type="dxa"/>
                <w:vAlign w:val="bottom"/>
              </w:tcPr>
              <w:p w:rsidR="000B0485" w:rsidRPr="00FE71D6" w:rsidRDefault="006F5AD6" w:rsidP="001209FB">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.315</w:t>
                </w:r>
                <w:r w:rsidR="000B0485" w:rsidRPr="00FE71D6">
                  <w:rPr>
                    <w:rFonts w:ascii="Times New Roman" w:hAnsi="Times New Roman" w:cs="Times New Roman"/>
                    <w:sz w:val="22"/>
                    <w:szCs w:val="22"/>
                  </w:rPr>
                  <w:t>*</w:t>
                </w:r>
              </w:p>
            </w:tc>
            <w:tc>
              <w:tcPr>
                <w:tcW w:w="1556" w:type="dxa"/>
                <w:vAlign w:val="bottom"/>
              </w:tcPr>
              <w:p w:rsidR="000B0485" w:rsidRPr="00FE71D6" w:rsidRDefault="00C93CC8" w:rsidP="001209FB">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.627</w:t>
                </w:r>
                <w:r w:rsidR="000B0485" w:rsidRPr="00FE71D6">
                  <w:rPr>
                    <w:rFonts w:ascii="Times New Roman" w:hAnsi="Times New Roman" w:cs="Times New Roman"/>
                    <w:sz w:val="22"/>
                    <w:szCs w:val="22"/>
                  </w:rPr>
                  <w:t>**</w:t>
                </w:r>
              </w:p>
            </w:tc>
          </w:tr>
          <w:tr w:rsidR="00FE71D6" w:rsidRPr="00FE71D6" w:rsidTr="00796002">
            <w:trPr>
              <w:trHeight w:val="382"/>
            </w:trPr>
            <w:tc>
              <w:tcPr>
                <w:tcW w:w="1440" w:type="dxa"/>
                <w:vAlign w:val="bottom"/>
              </w:tcPr>
              <w:p w:rsidR="000B0485" w:rsidRPr="00FE71D6" w:rsidRDefault="000B0485" w:rsidP="005F17A4">
                <w:pPr>
                  <w:pStyle w:val="Paragraph"/>
                  <w:spacing w:before="0" w:after="120" w:line="240" w:lineRule="auto"/>
                  <w:rPr>
                    <w:rFonts w:ascii="Times New Roman" w:hAnsi="Times New Roman" w:cs="Times New Roman"/>
                    <w:sz w:val="22"/>
                    <w:szCs w:val="22"/>
                  </w:rPr>
                </w:pPr>
                <w:r w:rsidRPr="00FE71D6">
                  <w:rPr>
                    <w:rFonts w:ascii="Times New Roman" w:hAnsi="Times New Roman" w:cs="Times New Roman"/>
                    <w:sz w:val="22"/>
                    <w:szCs w:val="22"/>
                  </w:rPr>
                  <w:t>LS</w:t>
                </w:r>
              </w:p>
            </w:tc>
            <w:tc>
              <w:tcPr>
                <w:tcW w:w="1260" w:type="dxa"/>
                <w:vAlign w:val="bottom"/>
              </w:tcPr>
              <w:p w:rsidR="000B0485" w:rsidRPr="00FE71D6" w:rsidRDefault="000B0485" w:rsidP="005F17A4">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FP</w:t>
                </w:r>
              </w:p>
            </w:tc>
            <w:tc>
              <w:tcPr>
                <w:tcW w:w="1620" w:type="dxa"/>
              </w:tcPr>
              <w:p w:rsidR="000B0485" w:rsidRPr="00FE71D6" w:rsidRDefault="00C93CC8"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hAnsi="Times New Roman" w:cs="Times New Roman"/>
                    <w:sz w:val="22"/>
                    <w:szCs w:val="22"/>
                  </w:rPr>
                  <w:t>.146</w:t>
                </w:r>
                <w:r w:rsidR="000B0485" w:rsidRPr="00FE71D6">
                  <w:rPr>
                    <w:rFonts w:ascii="Times New Roman" w:hAnsi="Times New Roman" w:cs="Times New Roman"/>
                    <w:sz w:val="22"/>
                    <w:szCs w:val="22"/>
                  </w:rPr>
                  <w:t>*</w:t>
                </w:r>
              </w:p>
            </w:tc>
            <w:tc>
              <w:tcPr>
                <w:tcW w:w="1692" w:type="dxa"/>
                <w:vAlign w:val="bottom"/>
              </w:tcPr>
              <w:p w:rsidR="000B0485" w:rsidRPr="00FE71D6" w:rsidRDefault="00C93CC8" w:rsidP="001209FB">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.257**</w:t>
                </w:r>
              </w:p>
            </w:tc>
            <w:tc>
              <w:tcPr>
                <w:tcW w:w="1556" w:type="dxa"/>
                <w:vAlign w:val="bottom"/>
              </w:tcPr>
              <w:p w:rsidR="000B0485" w:rsidRPr="00FE71D6" w:rsidRDefault="00C93CC8" w:rsidP="001209FB">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.403</w:t>
                </w:r>
                <w:r w:rsidR="000B0485" w:rsidRPr="00FE71D6">
                  <w:rPr>
                    <w:rFonts w:ascii="Times New Roman" w:hAnsi="Times New Roman" w:cs="Times New Roman"/>
                    <w:sz w:val="22"/>
                    <w:szCs w:val="22"/>
                  </w:rPr>
                  <w:t>***</w:t>
                </w:r>
              </w:p>
            </w:tc>
          </w:tr>
          <w:tr w:rsidR="00FE71D6" w:rsidRPr="00FE71D6" w:rsidTr="00796002">
            <w:trPr>
              <w:trHeight w:val="405"/>
            </w:trPr>
            <w:tc>
              <w:tcPr>
                <w:tcW w:w="1440" w:type="dxa"/>
                <w:vAlign w:val="bottom"/>
              </w:tcPr>
              <w:p w:rsidR="000B0485" w:rsidRPr="00FE71D6" w:rsidRDefault="000B0485" w:rsidP="005F17A4">
                <w:pPr>
                  <w:pStyle w:val="Paragraph"/>
                  <w:spacing w:before="0" w:after="120" w:line="240" w:lineRule="auto"/>
                  <w:rPr>
                    <w:rFonts w:ascii="Times New Roman" w:hAnsi="Times New Roman" w:cs="Times New Roman"/>
                    <w:sz w:val="22"/>
                    <w:szCs w:val="22"/>
                  </w:rPr>
                </w:pPr>
                <w:r w:rsidRPr="00FE71D6">
                  <w:rPr>
                    <w:rFonts w:ascii="Times New Roman" w:hAnsi="Times New Roman" w:cs="Times New Roman"/>
                    <w:sz w:val="22"/>
                    <w:szCs w:val="22"/>
                  </w:rPr>
                  <w:t>NTC</w:t>
                </w:r>
              </w:p>
            </w:tc>
            <w:tc>
              <w:tcPr>
                <w:tcW w:w="1260" w:type="dxa"/>
                <w:vAlign w:val="bottom"/>
              </w:tcPr>
              <w:p w:rsidR="000B0485" w:rsidRPr="00FE71D6" w:rsidRDefault="000B0485" w:rsidP="005F17A4">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FP</w:t>
                </w:r>
              </w:p>
            </w:tc>
            <w:tc>
              <w:tcPr>
                <w:tcW w:w="1620" w:type="dxa"/>
              </w:tcPr>
              <w:p w:rsidR="000B0485" w:rsidRPr="00FE71D6" w:rsidRDefault="00C93CC8" w:rsidP="001209FB">
                <w:pPr>
                  <w:autoSpaceDE w:val="0"/>
                  <w:autoSpaceDN w:val="0"/>
                  <w:adjustRightInd w:val="0"/>
                  <w:spacing w:line="240" w:lineRule="auto"/>
                  <w:jc w:val="center"/>
                  <w:rPr>
                    <w:rFonts w:ascii="Times New Roman" w:hAnsi="Times New Roman" w:cs="Times New Roman"/>
                    <w:sz w:val="22"/>
                    <w:szCs w:val="22"/>
                  </w:rPr>
                </w:pPr>
                <w:r w:rsidRPr="00FE71D6">
                  <w:rPr>
                    <w:rFonts w:ascii="Times New Roman" w:hAnsi="Times New Roman" w:cs="Times New Roman"/>
                    <w:sz w:val="22"/>
                    <w:szCs w:val="22"/>
                  </w:rPr>
                  <w:t>.278</w:t>
                </w:r>
                <w:r w:rsidR="000B0485" w:rsidRPr="00FE71D6">
                  <w:rPr>
                    <w:rFonts w:ascii="Times New Roman" w:hAnsi="Times New Roman" w:cs="Times New Roman"/>
                    <w:sz w:val="22"/>
                    <w:szCs w:val="22"/>
                  </w:rPr>
                  <w:t>**</w:t>
                </w:r>
              </w:p>
            </w:tc>
            <w:tc>
              <w:tcPr>
                <w:tcW w:w="1692" w:type="dxa"/>
                <w:vAlign w:val="bottom"/>
              </w:tcPr>
              <w:p w:rsidR="000B0485" w:rsidRPr="00FE71D6" w:rsidRDefault="000B0485" w:rsidP="001209FB">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b/>
                    <w:bCs/>
                    <w:sz w:val="22"/>
                    <w:szCs w:val="22"/>
                  </w:rPr>
                  <w:t>---</w:t>
                </w:r>
              </w:p>
            </w:tc>
            <w:tc>
              <w:tcPr>
                <w:tcW w:w="1556" w:type="dxa"/>
                <w:vAlign w:val="bottom"/>
              </w:tcPr>
              <w:p w:rsidR="000B0485" w:rsidRPr="00FE71D6" w:rsidRDefault="00C93CC8" w:rsidP="001209FB">
                <w:pPr>
                  <w:pStyle w:val="Paragraph"/>
                  <w:spacing w:before="0" w:after="120" w:line="240" w:lineRule="auto"/>
                  <w:jc w:val="center"/>
                  <w:rPr>
                    <w:rFonts w:ascii="Times New Roman" w:hAnsi="Times New Roman" w:cs="Times New Roman"/>
                    <w:sz w:val="22"/>
                    <w:szCs w:val="22"/>
                  </w:rPr>
                </w:pPr>
                <w:r w:rsidRPr="00FE71D6">
                  <w:rPr>
                    <w:rFonts w:ascii="Times New Roman" w:hAnsi="Times New Roman" w:cs="Times New Roman"/>
                    <w:sz w:val="22"/>
                    <w:szCs w:val="22"/>
                  </w:rPr>
                  <w:t>.278</w:t>
                </w:r>
                <w:r w:rsidR="000B0485" w:rsidRPr="00FE71D6">
                  <w:rPr>
                    <w:rFonts w:ascii="Times New Roman" w:hAnsi="Times New Roman" w:cs="Times New Roman"/>
                    <w:sz w:val="22"/>
                    <w:szCs w:val="22"/>
                  </w:rPr>
                  <w:t>**</w:t>
                </w:r>
              </w:p>
            </w:tc>
          </w:tr>
        </w:tbl>
        <w:p w:rsidR="000A3FCC" w:rsidRPr="00FE71D6" w:rsidRDefault="000A3FCC" w:rsidP="000A3FCC">
          <w:pPr>
            <w:autoSpaceDE w:val="0"/>
            <w:autoSpaceDN w:val="0"/>
            <w:adjustRightInd w:val="0"/>
            <w:spacing w:line="240" w:lineRule="auto"/>
            <w:jc w:val="both"/>
            <w:rPr>
              <w:i/>
              <w:iCs/>
            </w:rPr>
          </w:pPr>
          <w:r w:rsidRPr="00FE71D6">
            <w:rPr>
              <w:b/>
              <w:bCs/>
              <w:i/>
              <w:iCs/>
            </w:rPr>
            <w:t xml:space="preserve">Note: </w:t>
          </w:r>
          <w:r w:rsidRPr="00FE71D6">
            <w:rPr>
              <w:i/>
              <w:iCs/>
            </w:rPr>
            <w:t>*p&lt;.05, **p&lt;.01, ***p&lt;.001</w:t>
          </w:r>
        </w:p>
        <w:p w:rsidR="000855B6" w:rsidRPr="00FE71D6" w:rsidRDefault="000855B6" w:rsidP="005A44DB">
          <w:pPr>
            <w:autoSpaceDE w:val="0"/>
            <w:autoSpaceDN w:val="0"/>
            <w:adjustRightInd w:val="0"/>
            <w:spacing w:after="480" w:line="240" w:lineRule="auto"/>
            <w:jc w:val="both"/>
            <w:rPr>
              <w:b/>
              <w:bCs/>
              <w:i/>
              <w:iCs/>
            </w:rPr>
          </w:pPr>
          <w:r w:rsidRPr="00FE71D6">
            <w:rPr>
              <w:b/>
              <w:bCs/>
              <w:i/>
              <w:iCs/>
            </w:rPr>
            <w:t xml:space="preserve">Note: </w:t>
          </w:r>
          <w:r w:rsidR="00BB117F" w:rsidRPr="00FE71D6">
            <w:rPr>
              <w:sz w:val="22"/>
              <w:szCs w:val="22"/>
            </w:rPr>
            <w:t>SP (Supplier Partnership), CR (Customer Relationship), IS (Information Sharing),</w:t>
          </w:r>
          <w:r w:rsidR="00796002" w:rsidRPr="00FE71D6">
            <w:rPr>
              <w:sz w:val="22"/>
              <w:szCs w:val="22"/>
            </w:rPr>
            <w:t xml:space="preserve"> </w:t>
          </w:r>
          <w:r w:rsidR="00BB117F" w:rsidRPr="00FE71D6">
            <w:rPr>
              <w:sz w:val="22"/>
              <w:szCs w:val="22"/>
            </w:rPr>
            <w:t>LS (Lean System), NTC (Net Trade Cycle),</w:t>
          </w:r>
          <w:r w:rsidRPr="00FE71D6">
            <w:rPr>
              <w:sz w:val="22"/>
              <w:szCs w:val="22"/>
            </w:rPr>
            <w:t xml:space="preserve"> and FP (Financial Performance).</w:t>
          </w:r>
        </w:p>
        <w:p w:rsidR="007C452B" w:rsidRPr="00FE71D6" w:rsidRDefault="007C452B" w:rsidP="006C7969">
          <w:pPr>
            <w:pStyle w:val="Paragraph"/>
            <w:spacing w:before="0" w:after="120"/>
            <w:ind w:firstLine="720"/>
            <w:jc w:val="both"/>
          </w:pPr>
        </w:p>
        <w:p w:rsidR="007C452B" w:rsidRPr="00FE71D6" w:rsidRDefault="007C452B" w:rsidP="006C7969">
          <w:pPr>
            <w:pStyle w:val="Paragraph"/>
            <w:spacing w:before="0" w:after="120"/>
            <w:ind w:firstLine="720"/>
            <w:jc w:val="both"/>
          </w:pPr>
        </w:p>
        <w:p w:rsidR="000B0485" w:rsidRPr="00FE71D6" w:rsidRDefault="00302801" w:rsidP="005A44DB">
          <w:pPr>
            <w:pStyle w:val="Paragraph"/>
            <w:spacing w:before="0" w:after="120"/>
            <w:ind w:firstLine="720"/>
            <w:jc w:val="both"/>
          </w:pPr>
          <w:r w:rsidRPr="00FE71D6">
            <w:t xml:space="preserve">Finally, </w:t>
          </w:r>
          <w:r w:rsidR="007177B2" w:rsidRPr="00FE71D6">
            <w:t>the one-way analysis of variance (ANOVA) is used to determine whether there are any statistically significant differences between the means of three or more independent groups</w:t>
          </w:r>
          <w:r w:rsidR="007A221F" w:rsidRPr="00FE71D6">
            <w:t xml:space="preserve">. </w:t>
          </w:r>
          <w:r w:rsidR="006C7969" w:rsidRPr="00FE71D6">
            <w:t>Table 10 establishes the fact that there is no significant difference among the three manufacturing companies of those four most common supply chain management practices</w:t>
          </w:r>
          <w:r w:rsidR="00D72451" w:rsidRPr="00FE71D6">
            <w:t xml:space="preserve"> (the supplier partnership construct, the customer relationship construct, the information sharing construct, and the lean system construct) </w:t>
          </w:r>
          <w:r w:rsidR="006C7969" w:rsidRPr="00FE71D6">
            <w:t>and the net trade cycle construct on the financial performance construct as the p-value of .879 is greater than level of significance of .050, which gives evidence that there is no bias in financial performance construct results based on a company type</w:t>
          </w:r>
          <w:r w:rsidR="000B0485" w:rsidRPr="00FE71D6">
            <w:t>.</w:t>
          </w:r>
        </w:p>
        <w:p w:rsidR="000B0485" w:rsidRPr="00FE71D6" w:rsidRDefault="00340875" w:rsidP="00340875">
          <w:pPr>
            <w:pStyle w:val="Caption"/>
            <w:spacing w:after="100"/>
            <w:rPr>
              <w:b w:val="0"/>
              <w:bCs w:val="0"/>
              <w:color w:val="auto"/>
              <w:sz w:val="24"/>
              <w:szCs w:val="24"/>
            </w:rPr>
          </w:pPr>
          <w:bookmarkStart w:id="79" w:name="_Toc500087403"/>
          <w:r w:rsidRPr="00FE71D6">
            <w:rPr>
              <w:color w:val="auto"/>
              <w:sz w:val="24"/>
              <w:szCs w:val="24"/>
            </w:rPr>
            <w:t xml:space="preserve">Table </w:t>
          </w:r>
          <w:r w:rsidRPr="00FE71D6">
            <w:rPr>
              <w:color w:val="auto"/>
              <w:sz w:val="24"/>
              <w:szCs w:val="24"/>
            </w:rPr>
            <w:fldChar w:fldCharType="begin"/>
          </w:r>
          <w:r w:rsidRPr="00FE71D6">
            <w:rPr>
              <w:color w:val="auto"/>
              <w:sz w:val="24"/>
              <w:szCs w:val="24"/>
            </w:rPr>
            <w:instrText xml:space="preserve"> SEQ Table \* ARABIC </w:instrText>
          </w:r>
          <w:r w:rsidRPr="00FE71D6">
            <w:rPr>
              <w:color w:val="auto"/>
              <w:sz w:val="24"/>
              <w:szCs w:val="24"/>
            </w:rPr>
            <w:fldChar w:fldCharType="separate"/>
          </w:r>
          <w:r w:rsidR="00670049" w:rsidRPr="00FE71D6">
            <w:rPr>
              <w:noProof/>
              <w:color w:val="auto"/>
              <w:sz w:val="24"/>
              <w:szCs w:val="24"/>
            </w:rPr>
            <w:t>10</w:t>
          </w:r>
          <w:r w:rsidRPr="00FE71D6">
            <w:rPr>
              <w:color w:val="auto"/>
              <w:sz w:val="24"/>
              <w:szCs w:val="24"/>
            </w:rPr>
            <w:fldChar w:fldCharType="end"/>
          </w:r>
          <w:r w:rsidRPr="00FE71D6">
            <w:rPr>
              <w:color w:val="auto"/>
              <w:sz w:val="24"/>
              <w:szCs w:val="24"/>
            </w:rPr>
            <w:t xml:space="preserve">. </w:t>
          </w:r>
          <w:r w:rsidR="000B0485" w:rsidRPr="00FE71D6">
            <w:rPr>
              <w:b w:val="0"/>
              <w:bCs w:val="0"/>
              <w:color w:val="auto"/>
              <w:sz w:val="24"/>
              <w:szCs w:val="24"/>
            </w:rPr>
            <w:t>ANOVA on Financial Performance</w:t>
          </w:r>
          <w:bookmarkEnd w:id="79"/>
        </w:p>
        <w:tbl>
          <w:tblPr>
            <w:tblStyle w:val="TableGrid"/>
            <w:tblW w:w="0" w:type="auto"/>
            <w:tblInd w:w="108" w:type="dxa"/>
            <w:tblLook w:val="04A0" w:firstRow="1" w:lastRow="0" w:firstColumn="1" w:lastColumn="0" w:noHBand="0" w:noVBand="1"/>
          </w:tblPr>
          <w:tblGrid>
            <w:gridCol w:w="1995"/>
            <w:gridCol w:w="1380"/>
            <w:gridCol w:w="923"/>
            <w:gridCol w:w="1371"/>
            <w:gridCol w:w="908"/>
            <w:gridCol w:w="991"/>
          </w:tblGrid>
          <w:tr w:rsidR="00FE71D6" w:rsidRPr="00FE71D6" w:rsidTr="00796002">
            <w:trPr>
              <w:trHeight w:val="871"/>
            </w:trPr>
            <w:tc>
              <w:tcPr>
                <w:tcW w:w="1995" w:type="dxa"/>
                <w:shd w:val="clear" w:color="auto" w:fill="D9D9D9" w:themeFill="background1" w:themeFillShade="D9"/>
              </w:tcPr>
              <w:p w:rsidR="000B0485" w:rsidRPr="00FE71D6" w:rsidRDefault="000B0485" w:rsidP="001209FB">
                <w:pPr>
                  <w:autoSpaceDE w:val="0"/>
                  <w:autoSpaceDN w:val="0"/>
                  <w:adjustRightInd w:val="0"/>
                  <w:spacing w:line="240" w:lineRule="auto"/>
                  <w:jc w:val="both"/>
                  <w:rPr>
                    <w:rFonts w:ascii="Times New Roman" w:eastAsia="CourierNewPSMT" w:hAnsi="Times New Roman" w:cs="Times New Roman"/>
                    <w:sz w:val="22"/>
                    <w:szCs w:val="22"/>
                  </w:rPr>
                </w:pPr>
              </w:p>
            </w:tc>
            <w:tc>
              <w:tcPr>
                <w:tcW w:w="1380" w:type="dxa"/>
                <w:shd w:val="clear" w:color="auto" w:fill="D9D9D9" w:themeFill="background1" w:themeFillShade="D9"/>
                <w:vAlign w:val="center"/>
              </w:tcPr>
              <w:p w:rsidR="000B0485" w:rsidRPr="00FE71D6" w:rsidRDefault="000B0485" w:rsidP="001209FB">
                <w:pPr>
                  <w:autoSpaceDE w:val="0"/>
                  <w:autoSpaceDN w:val="0"/>
                  <w:adjustRightInd w:val="0"/>
                  <w:spacing w:line="240" w:lineRule="auto"/>
                  <w:jc w:val="center"/>
                  <w:rPr>
                    <w:rFonts w:ascii="Times New Roman" w:eastAsia="CourierNewPSMT" w:hAnsi="Times New Roman" w:cs="Times New Roman"/>
                    <w:b/>
                    <w:bCs/>
                    <w:sz w:val="22"/>
                    <w:szCs w:val="22"/>
                  </w:rPr>
                </w:pPr>
                <w:r w:rsidRPr="00FE71D6">
                  <w:rPr>
                    <w:rFonts w:ascii="Times New Roman" w:hAnsi="Times New Roman" w:cs="Times New Roman"/>
                    <w:b/>
                    <w:bCs/>
                    <w:sz w:val="22"/>
                    <w:szCs w:val="22"/>
                  </w:rPr>
                  <w:t>Sum of Squares</w:t>
                </w:r>
              </w:p>
            </w:tc>
            <w:tc>
              <w:tcPr>
                <w:tcW w:w="923" w:type="dxa"/>
                <w:shd w:val="clear" w:color="auto" w:fill="D9D9D9" w:themeFill="background1" w:themeFillShade="D9"/>
                <w:vAlign w:val="center"/>
              </w:tcPr>
              <w:p w:rsidR="000B0485" w:rsidRPr="00FE71D6" w:rsidRDefault="000B0485" w:rsidP="001209FB">
                <w:pPr>
                  <w:autoSpaceDE w:val="0"/>
                  <w:autoSpaceDN w:val="0"/>
                  <w:adjustRightInd w:val="0"/>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df</w:t>
                </w:r>
              </w:p>
            </w:tc>
            <w:tc>
              <w:tcPr>
                <w:tcW w:w="1371" w:type="dxa"/>
                <w:shd w:val="clear" w:color="auto" w:fill="D9D9D9" w:themeFill="background1" w:themeFillShade="D9"/>
                <w:vAlign w:val="center"/>
              </w:tcPr>
              <w:p w:rsidR="000B0485" w:rsidRPr="00FE71D6" w:rsidRDefault="000B0485" w:rsidP="001209FB">
                <w:pPr>
                  <w:autoSpaceDE w:val="0"/>
                  <w:autoSpaceDN w:val="0"/>
                  <w:adjustRightInd w:val="0"/>
                  <w:spacing w:line="240" w:lineRule="auto"/>
                  <w:ind w:left="60"/>
                  <w:jc w:val="center"/>
                  <w:rPr>
                    <w:rFonts w:ascii="Times New Roman" w:hAnsi="Times New Roman" w:cs="Times New Roman"/>
                    <w:b/>
                    <w:bCs/>
                    <w:sz w:val="22"/>
                    <w:szCs w:val="22"/>
                  </w:rPr>
                </w:pPr>
                <w:r w:rsidRPr="00FE71D6">
                  <w:rPr>
                    <w:rFonts w:ascii="Times New Roman" w:hAnsi="Times New Roman" w:cs="Times New Roman"/>
                    <w:b/>
                    <w:bCs/>
                    <w:sz w:val="22"/>
                    <w:szCs w:val="22"/>
                  </w:rPr>
                  <w:t>Mean Square</w:t>
                </w:r>
              </w:p>
            </w:tc>
            <w:tc>
              <w:tcPr>
                <w:tcW w:w="908" w:type="dxa"/>
                <w:shd w:val="clear" w:color="auto" w:fill="D9D9D9" w:themeFill="background1" w:themeFillShade="D9"/>
                <w:vAlign w:val="center"/>
              </w:tcPr>
              <w:p w:rsidR="000B0485" w:rsidRPr="00FE71D6" w:rsidRDefault="000B0485" w:rsidP="001209FB">
                <w:pPr>
                  <w:autoSpaceDE w:val="0"/>
                  <w:autoSpaceDN w:val="0"/>
                  <w:adjustRightInd w:val="0"/>
                  <w:spacing w:line="240" w:lineRule="auto"/>
                  <w:ind w:left="60"/>
                  <w:jc w:val="center"/>
                  <w:rPr>
                    <w:rFonts w:ascii="Times New Roman" w:hAnsi="Times New Roman" w:cs="Times New Roman"/>
                    <w:b/>
                    <w:bCs/>
                    <w:sz w:val="22"/>
                    <w:szCs w:val="22"/>
                  </w:rPr>
                </w:pPr>
                <w:r w:rsidRPr="00FE71D6">
                  <w:rPr>
                    <w:rFonts w:ascii="Times New Roman" w:hAnsi="Times New Roman" w:cs="Times New Roman"/>
                    <w:b/>
                    <w:bCs/>
                    <w:sz w:val="22"/>
                    <w:szCs w:val="22"/>
                  </w:rPr>
                  <w:t>F</w:t>
                </w:r>
              </w:p>
            </w:tc>
            <w:tc>
              <w:tcPr>
                <w:tcW w:w="991" w:type="dxa"/>
                <w:shd w:val="clear" w:color="auto" w:fill="D9D9D9" w:themeFill="background1" w:themeFillShade="D9"/>
                <w:vAlign w:val="center"/>
              </w:tcPr>
              <w:p w:rsidR="000B0485" w:rsidRPr="00FE71D6" w:rsidRDefault="000B0485" w:rsidP="001209FB">
                <w:pPr>
                  <w:autoSpaceDE w:val="0"/>
                  <w:autoSpaceDN w:val="0"/>
                  <w:adjustRightInd w:val="0"/>
                  <w:spacing w:line="240" w:lineRule="auto"/>
                  <w:ind w:left="60"/>
                  <w:jc w:val="center"/>
                  <w:rPr>
                    <w:rFonts w:ascii="Times New Roman" w:hAnsi="Times New Roman" w:cs="Times New Roman"/>
                    <w:b/>
                    <w:bCs/>
                    <w:sz w:val="22"/>
                    <w:szCs w:val="22"/>
                  </w:rPr>
                </w:pPr>
                <w:r w:rsidRPr="00FE71D6">
                  <w:rPr>
                    <w:rFonts w:ascii="Times New Roman" w:hAnsi="Times New Roman" w:cs="Times New Roman"/>
                    <w:b/>
                    <w:bCs/>
                    <w:sz w:val="22"/>
                    <w:szCs w:val="22"/>
                  </w:rPr>
                  <w:t>Sig.</w:t>
                </w:r>
              </w:p>
            </w:tc>
          </w:tr>
          <w:tr w:rsidR="00FE71D6" w:rsidRPr="00FE71D6" w:rsidTr="00796002">
            <w:trPr>
              <w:trHeight w:val="334"/>
            </w:trPr>
            <w:tc>
              <w:tcPr>
                <w:tcW w:w="1995" w:type="dxa"/>
                <w:vAlign w:val="bottom"/>
              </w:tcPr>
              <w:p w:rsidR="000B0485" w:rsidRPr="00FE71D6" w:rsidRDefault="000B0485" w:rsidP="001209FB">
                <w:pPr>
                  <w:autoSpaceDE w:val="0"/>
                  <w:autoSpaceDN w:val="0"/>
                  <w:adjustRightInd w:val="0"/>
                  <w:spacing w:line="240" w:lineRule="auto"/>
                  <w:ind w:left="60" w:right="60"/>
                  <w:rPr>
                    <w:rFonts w:ascii="Times New Roman" w:hAnsi="Times New Roman" w:cs="Times New Roman"/>
                    <w:sz w:val="22"/>
                    <w:szCs w:val="22"/>
                  </w:rPr>
                </w:pPr>
                <w:r w:rsidRPr="00FE71D6">
                  <w:rPr>
                    <w:rFonts w:ascii="Times New Roman" w:hAnsi="Times New Roman" w:cs="Times New Roman"/>
                    <w:sz w:val="22"/>
                    <w:szCs w:val="22"/>
                  </w:rPr>
                  <w:t>Between Groups</w:t>
                </w:r>
              </w:p>
            </w:tc>
            <w:tc>
              <w:tcPr>
                <w:tcW w:w="1380" w:type="dxa"/>
                <w:vAlign w:val="bottom"/>
              </w:tcPr>
              <w:p w:rsidR="000B0485" w:rsidRPr="00FE71D6" w:rsidRDefault="000B0485" w:rsidP="001209FB">
                <w:pPr>
                  <w:autoSpaceDE w:val="0"/>
                  <w:autoSpaceDN w:val="0"/>
                  <w:adjustRightInd w:val="0"/>
                  <w:spacing w:line="240" w:lineRule="auto"/>
                  <w:ind w:left="60" w:right="60"/>
                  <w:jc w:val="center"/>
                  <w:rPr>
                    <w:rFonts w:ascii="Times New Roman" w:hAnsi="Times New Roman" w:cs="Times New Roman"/>
                    <w:sz w:val="22"/>
                    <w:szCs w:val="22"/>
                  </w:rPr>
                </w:pPr>
                <w:r w:rsidRPr="00FE71D6">
                  <w:rPr>
                    <w:rFonts w:ascii="Times New Roman" w:hAnsi="Times New Roman" w:cs="Times New Roman"/>
                    <w:sz w:val="22"/>
                    <w:szCs w:val="22"/>
                  </w:rPr>
                  <w:t>.128</w:t>
                </w:r>
              </w:p>
            </w:tc>
            <w:tc>
              <w:tcPr>
                <w:tcW w:w="923" w:type="dxa"/>
                <w:vAlign w:val="bottom"/>
              </w:tcPr>
              <w:p w:rsidR="000B0485" w:rsidRPr="00FE71D6" w:rsidRDefault="000B0485" w:rsidP="001209FB">
                <w:pPr>
                  <w:autoSpaceDE w:val="0"/>
                  <w:autoSpaceDN w:val="0"/>
                  <w:adjustRightInd w:val="0"/>
                  <w:spacing w:line="240" w:lineRule="auto"/>
                  <w:ind w:left="60" w:right="60"/>
                  <w:jc w:val="center"/>
                  <w:rPr>
                    <w:rFonts w:ascii="Times New Roman" w:hAnsi="Times New Roman" w:cs="Times New Roman"/>
                    <w:sz w:val="22"/>
                    <w:szCs w:val="22"/>
                  </w:rPr>
                </w:pPr>
                <w:r w:rsidRPr="00FE71D6">
                  <w:rPr>
                    <w:rFonts w:ascii="Times New Roman" w:hAnsi="Times New Roman" w:cs="Times New Roman"/>
                    <w:sz w:val="22"/>
                    <w:szCs w:val="22"/>
                  </w:rPr>
                  <w:t>2</w:t>
                </w:r>
              </w:p>
            </w:tc>
            <w:tc>
              <w:tcPr>
                <w:tcW w:w="1371" w:type="dxa"/>
                <w:vAlign w:val="center"/>
              </w:tcPr>
              <w:p w:rsidR="000B0485" w:rsidRPr="00FE71D6" w:rsidRDefault="000B0485" w:rsidP="001209FB">
                <w:pPr>
                  <w:autoSpaceDE w:val="0"/>
                  <w:autoSpaceDN w:val="0"/>
                  <w:adjustRightInd w:val="0"/>
                  <w:spacing w:line="240" w:lineRule="auto"/>
                  <w:ind w:left="60" w:right="60"/>
                  <w:jc w:val="center"/>
                  <w:rPr>
                    <w:rFonts w:ascii="Times New Roman" w:hAnsi="Times New Roman" w:cs="Times New Roman"/>
                    <w:sz w:val="22"/>
                    <w:szCs w:val="22"/>
                  </w:rPr>
                </w:pPr>
                <w:r w:rsidRPr="00FE71D6">
                  <w:rPr>
                    <w:rFonts w:ascii="Times New Roman" w:hAnsi="Times New Roman" w:cs="Times New Roman"/>
                    <w:sz w:val="22"/>
                    <w:szCs w:val="22"/>
                  </w:rPr>
                  <w:t>.064</w:t>
                </w:r>
              </w:p>
            </w:tc>
            <w:tc>
              <w:tcPr>
                <w:tcW w:w="908" w:type="dxa"/>
                <w:vMerge w:val="restart"/>
              </w:tcPr>
              <w:p w:rsidR="000B0485" w:rsidRPr="00FE71D6" w:rsidRDefault="000B0485" w:rsidP="001209FB">
                <w:pPr>
                  <w:autoSpaceDE w:val="0"/>
                  <w:autoSpaceDN w:val="0"/>
                  <w:adjustRightInd w:val="0"/>
                  <w:spacing w:line="240" w:lineRule="auto"/>
                  <w:ind w:left="60" w:right="60"/>
                  <w:jc w:val="center"/>
                  <w:rPr>
                    <w:rFonts w:ascii="Times New Roman" w:hAnsi="Times New Roman" w:cs="Times New Roman"/>
                    <w:sz w:val="22"/>
                    <w:szCs w:val="22"/>
                  </w:rPr>
                </w:pPr>
                <w:r w:rsidRPr="00FE71D6">
                  <w:rPr>
                    <w:rFonts w:ascii="Times New Roman" w:hAnsi="Times New Roman" w:cs="Times New Roman"/>
                    <w:sz w:val="22"/>
                    <w:szCs w:val="22"/>
                  </w:rPr>
                  <w:t>.129</w:t>
                </w:r>
              </w:p>
            </w:tc>
            <w:tc>
              <w:tcPr>
                <w:tcW w:w="991" w:type="dxa"/>
                <w:vMerge w:val="restart"/>
              </w:tcPr>
              <w:p w:rsidR="000B0485" w:rsidRPr="00FE71D6" w:rsidRDefault="000B0485" w:rsidP="001209FB">
                <w:pPr>
                  <w:autoSpaceDE w:val="0"/>
                  <w:autoSpaceDN w:val="0"/>
                  <w:adjustRightInd w:val="0"/>
                  <w:spacing w:line="240" w:lineRule="auto"/>
                  <w:ind w:left="60" w:right="60"/>
                  <w:jc w:val="center"/>
                  <w:rPr>
                    <w:rFonts w:ascii="Times New Roman" w:hAnsi="Times New Roman" w:cs="Times New Roman"/>
                    <w:sz w:val="22"/>
                    <w:szCs w:val="22"/>
                  </w:rPr>
                </w:pPr>
                <w:r w:rsidRPr="00FE71D6">
                  <w:rPr>
                    <w:rFonts w:ascii="Times New Roman" w:hAnsi="Times New Roman" w:cs="Times New Roman"/>
                    <w:sz w:val="22"/>
                    <w:szCs w:val="22"/>
                  </w:rPr>
                  <w:t>.879</w:t>
                </w:r>
              </w:p>
            </w:tc>
          </w:tr>
          <w:tr w:rsidR="00FE71D6" w:rsidRPr="00FE71D6" w:rsidTr="00796002">
            <w:trPr>
              <w:trHeight w:val="334"/>
            </w:trPr>
            <w:tc>
              <w:tcPr>
                <w:tcW w:w="1995" w:type="dxa"/>
                <w:vAlign w:val="bottom"/>
              </w:tcPr>
              <w:p w:rsidR="000B0485" w:rsidRPr="00FE71D6" w:rsidRDefault="000B0485" w:rsidP="001209FB">
                <w:pPr>
                  <w:autoSpaceDE w:val="0"/>
                  <w:autoSpaceDN w:val="0"/>
                  <w:adjustRightInd w:val="0"/>
                  <w:spacing w:line="240" w:lineRule="auto"/>
                  <w:ind w:left="60" w:right="60"/>
                  <w:rPr>
                    <w:rFonts w:ascii="Times New Roman" w:hAnsi="Times New Roman" w:cs="Times New Roman"/>
                    <w:sz w:val="22"/>
                    <w:szCs w:val="22"/>
                  </w:rPr>
                </w:pPr>
                <w:r w:rsidRPr="00FE71D6">
                  <w:rPr>
                    <w:rFonts w:ascii="Times New Roman" w:hAnsi="Times New Roman" w:cs="Times New Roman"/>
                    <w:sz w:val="22"/>
                    <w:szCs w:val="22"/>
                  </w:rPr>
                  <w:t>Within Groups</w:t>
                </w:r>
              </w:p>
            </w:tc>
            <w:tc>
              <w:tcPr>
                <w:tcW w:w="1380" w:type="dxa"/>
                <w:vAlign w:val="bottom"/>
              </w:tcPr>
              <w:p w:rsidR="000B0485" w:rsidRPr="00FE71D6" w:rsidRDefault="000B0485" w:rsidP="001209FB">
                <w:pPr>
                  <w:autoSpaceDE w:val="0"/>
                  <w:autoSpaceDN w:val="0"/>
                  <w:adjustRightInd w:val="0"/>
                  <w:spacing w:line="240" w:lineRule="auto"/>
                  <w:ind w:left="60" w:right="60"/>
                  <w:jc w:val="center"/>
                  <w:rPr>
                    <w:rFonts w:ascii="Times New Roman" w:hAnsi="Times New Roman" w:cs="Times New Roman"/>
                    <w:sz w:val="22"/>
                    <w:szCs w:val="22"/>
                  </w:rPr>
                </w:pPr>
                <w:r w:rsidRPr="00FE71D6">
                  <w:rPr>
                    <w:rFonts w:ascii="Times New Roman" w:hAnsi="Times New Roman" w:cs="Times New Roman"/>
                    <w:sz w:val="22"/>
                    <w:szCs w:val="22"/>
                  </w:rPr>
                  <w:t>53.967</w:t>
                </w:r>
              </w:p>
            </w:tc>
            <w:tc>
              <w:tcPr>
                <w:tcW w:w="923" w:type="dxa"/>
                <w:vAlign w:val="bottom"/>
              </w:tcPr>
              <w:p w:rsidR="000B0485" w:rsidRPr="00FE71D6" w:rsidRDefault="000B0485" w:rsidP="001209FB">
                <w:pPr>
                  <w:autoSpaceDE w:val="0"/>
                  <w:autoSpaceDN w:val="0"/>
                  <w:adjustRightInd w:val="0"/>
                  <w:spacing w:line="240" w:lineRule="auto"/>
                  <w:ind w:left="60" w:right="60"/>
                  <w:jc w:val="center"/>
                  <w:rPr>
                    <w:rFonts w:ascii="Times New Roman" w:hAnsi="Times New Roman" w:cs="Times New Roman"/>
                    <w:sz w:val="22"/>
                    <w:szCs w:val="22"/>
                  </w:rPr>
                </w:pPr>
                <w:r w:rsidRPr="00FE71D6">
                  <w:rPr>
                    <w:rFonts w:ascii="Times New Roman" w:hAnsi="Times New Roman" w:cs="Times New Roman"/>
                    <w:sz w:val="22"/>
                    <w:szCs w:val="22"/>
                  </w:rPr>
                  <w:t>109</w:t>
                </w:r>
              </w:p>
            </w:tc>
            <w:tc>
              <w:tcPr>
                <w:tcW w:w="1371" w:type="dxa"/>
                <w:vAlign w:val="center"/>
              </w:tcPr>
              <w:p w:rsidR="000B0485" w:rsidRPr="00FE71D6" w:rsidRDefault="000B0485" w:rsidP="001209FB">
                <w:pPr>
                  <w:autoSpaceDE w:val="0"/>
                  <w:autoSpaceDN w:val="0"/>
                  <w:adjustRightInd w:val="0"/>
                  <w:spacing w:line="240" w:lineRule="auto"/>
                  <w:ind w:left="60" w:right="60"/>
                  <w:jc w:val="center"/>
                  <w:rPr>
                    <w:rFonts w:ascii="Times New Roman" w:hAnsi="Times New Roman" w:cs="Times New Roman"/>
                    <w:sz w:val="22"/>
                    <w:szCs w:val="22"/>
                  </w:rPr>
                </w:pPr>
                <w:r w:rsidRPr="00FE71D6">
                  <w:rPr>
                    <w:rFonts w:ascii="Times New Roman" w:hAnsi="Times New Roman" w:cs="Times New Roman"/>
                    <w:sz w:val="22"/>
                    <w:szCs w:val="22"/>
                  </w:rPr>
                  <w:t>.495</w:t>
                </w:r>
              </w:p>
            </w:tc>
            <w:tc>
              <w:tcPr>
                <w:tcW w:w="908" w:type="dxa"/>
                <w:vMerge/>
                <w:vAlign w:val="bottom"/>
              </w:tcPr>
              <w:p w:rsidR="000B0485" w:rsidRPr="00FE71D6" w:rsidRDefault="000B0485" w:rsidP="001209FB">
                <w:pPr>
                  <w:autoSpaceDE w:val="0"/>
                  <w:autoSpaceDN w:val="0"/>
                  <w:adjustRightInd w:val="0"/>
                  <w:spacing w:line="240" w:lineRule="auto"/>
                  <w:jc w:val="both"/>
                  <w:rPr>
                    <w:rFonts w:ascii="Times New Roman" w:hAnsi="Times New Roman" w:cs="Times New Roman"/>
                    <w:sz w:val="22"/>
                    <w:szCs w:val="22"/>
                  </w:rPr>
                </w:pPr>
              </w:p>
            </w:tc>
            <w:tc>
              <w:tcPr>
                <w:tcW w:w="991" w:type="dxa"/>
                <w:vMerge/>
                <w:vAlign w:val="bottom"/>
              </w:tcPr>
              <w:p w:rsidR="000B0485" w:rsidRPr="00FE71D6" w:rsidRDefault="000B0485" w:rsidP="001209FB">
                <w:pPr>
                  <w:autoSpaceDE w:val="0"/>
                  <w:autoSpaceDN w:val="0"/>
                  <w:adjustRightInd w:val="0"/>
                  <w:spacing w:line="240" w:lineRule="auto"/>
                  <w:jc w:val="both"/>
                  <w:rPr>
                    <w:rFonts w:ascii="Times New Roman" w:hAnsi="Times New Roman" w:cs="Times New Roman"/>
                    <w:sz w:val="22"/>
                    <w:szCs w:val="22"/>
                  </w:rPr>
                </w:pPr>
              </w:p>
            </w:tc>
          </w:tr>
          <w:tr w:rsidR="00FE71D6" w:rsidRPr="00FE71D6" w:rsidTr="00796002">
            <w:trPr>
              <w:trHeight w:val="352"/>
            </w:trPr>
            <w:tc>
              <w:tcPr>
                <w:tcW w:w="1995" w:type="dxa"/>
                <w:vAlign w:val="bottom"/>
              </w:tcPr>
              <w:p w:rsidR="000B0485" w:rsidRPr="00FE71D6" w:rsidRDefault="000B0485" w:rsidP="001209FB">
                <w:pPr>
                  <w:autoSpaceDE w:val="0"/>
                  <w:autoSpaceDN w:val="0"/>
                  <w:adjustRightInd w:val="0"/>
                  <w:spacing w:line="240" w:lineRule="auto"/>
                  <w:ind w:left="60" w:right="60"/>
                  <w:rPr>
                    <w:rFonts w:ascii="Times New Roman" w:hAnsi="Times New Roman" w:cs="Times New Roman"/>
                    <w:sz w:val="22"/>
                    <w:szCs w:val="22"/>
                  </w:rPr>
                </w:pPr>
                <w:r w:rsidRPr="00FE71D6">
                  <w:rPr>
                    <w:rFonts w:ascii="Times New Roman" w:hAnsi="Times New Roman" w:cs="Times New Roman"/>
                    <w:sz w:val="22"/>
                    <w:szCs w:val="22"/>
                  </w:rPr>
                  <w:t>Total</w:t>
                </w:r>
              </w:p>
            </w:tc>
            <w:tc>
              <w:tcPr>
                <w:tcW w:w="1380" w:type="dxa"/>
                <w:vAlign w:val="center"/>
              </w:tcPr>
              <w:p w:rsidR="000B0485" w:rsidRPr="00FE71D6" w:rsidRDefault="000B0485" w:rsidP="001209FB">
                <w:pPr>
                  <w:autoSpaceDE w:val="0"/>
                  <w:autoSpaceDN w:val="0"/>
                  <w:adjustRightInd w:val="0"/>
                  <w:spacing w:line="240" w:lineRule="auto"/>
                  <w:ind w:left="60" w:right="60"/>
                  <w:jc w:val="center"/>
                  <w:rPr>
                    <w:rFonts w:ascii="Times New Roman" w:hAnsi="Times New Roman" w:cs="Times New Roman"/>
                    <w:sz w:val="22"/>
                    <w:szCs w:val="22"/>
                  </w:rPr>
                </w:pPr>
                <w:r w:rsidRPr="00FE71D6">
                  <w:rPr>
                    <w:rFonts w:ascii="Times New Roman" w:hAnsi="Times New Roman" w:cs="Times New Roman"/>
                    <w:sz w:val="22"/>
                    <w:szCs w:val="22"/>
                  </w:rPr>
                  <w:t>54.094</w:t>
                </w:r>
              </w:p>
            </w:tc>
            <w:tc>
              <w:tcPr>
                <w:tcW w:w="923" w:type="dxa"/>
                <w:vAlign w:val="bottom"/>
              </w:tcPr>
              <w:p w:rsidR="000B0485" w:rsidRPr="00FE71D6" w:rsidRDefault="000B0485" w:rsidP="001209FB">
                <w:pPr>
                  <w:autoSpaceDE w:val="0"/>
                  <w:autoSpaceDN w:val="0"/>
                  <w:adjustRightInd w:val="0"/>
                  <w:spacing w:line="240" w:lineRule="auto"/>
                  <w:ind w:left="60" w:right="60"/>
                  <w:jc w:val="center"/>
                  <w:rPr>
                    <w:rFonts w:ascii="Times New Roman" w:hAnsi="Times New Roman" w:cs="Times New Roman"/>
                    <w:sz w:val="22"/>
                    <w:szCs w:val="22"/>
                  </w:rPr>
                </w:pPr>
                <w:r w:rsidRPr="00FE71D6">
                  <w:rPr>
                    <w:rFonts w:ascii="Times New Roman" w:hAnsi="Times New Roman" w:cs="Times New Roman"/>
                    <w:sz w:val="22"/>
                    <w:szCs w:val="22"/>
                  </w:rPr>
                  <w:t>111</w:t>
                </w:r>
              </w:p>
            </w:tc>
            <w:tc>
              <w:tcPr>
                <w:tcW w:w="1371" w:type="dxa"/>
                <w:vAlign w:val="bottom"/>
              </w:tcPr>
              <w:p w:rsidR="000B0485" w:rsidRPr="00FE71D6" w:rsidRDefault="000B0485" w:rsidP="001209FB">
                <w:pPr>
                  <w:autoSpaceDE w:val="0"/>
                  <w:autoSpaceDN w:val="0"/>
                  <w:adjustRightInd w:val="0"/>
                  <w:spacing w:line="240" w:lineRule="auto"/>
                  <w:jc w:val="center"/>
                  <w:rPr>
                    <w:rFonts w:ascii="Times New Roman" w:hAnsi="Times New Roman" w:cs="Times New Roman"/>
                    <w:sz w:val="22"/>
                    <w:szCs w:val="22"/>
                  </w:rPr>
                </w:pPr>
              </w:p>
            </w:tc>
            <w:tc>
              <w:tcPr>
                <w:tcW w:w="908" w:type="dxa"/>
                <w:vMerge/>
                <w:vAlign w:val="bottom"/>
              </w:tcPr>
              <w:p w:rsidR="000B0485" w:rsidRPr="00FE71D6" w:rsidRDefault="000B0485" w:rsidP="001209FB">
                <w:pPr>
                  <w:autoSpaceDE w:val="0"/>
                  <w:autoSpaceDN w:val="0"/>
                  <w:adjustRightInd w:val="0"/>
                  <w:spacing w:line="240" w:lineRule="auto"/>
                  <w:jc w:val="both"/>
                  <w:rPr>
                    <w:rFonts w:ascii="Times New Roman" w:hAnsi="Times New Roman" w:cs="Times New Roman"/>
                    <w:sz w:val="22"/>
                    <w:szCs w:val="22"/>
                  </w:rPr>
                </w:pPr>
              </w:p>
            </w:tc>
            <w:tc>
              <w:tcPr>
                <w:tcW w:w="991" w:type="dxa"/>
                <w:vMerge/>
                <w:vAlign w:val="bottom"/>
              </w:tcPr>
              <w:p w:rsidR="000B0485" w:rsidRPr="00FE71D6" w:rsidRDefault="000B0485" w:rsidP="001209FB">
                <w:pPr>
                  <w:autoSpaceDE w:val="0"/>
                  <w:autoSpaceDN w:val="0"/>
                  <w:adjustRightInd w:val="0"/>
                  <w:spacing w:line="240" w:lineRule="auto"/>
                  <w:jc w:val="both"/>
                  <w:rPr>
                    <w:rFonts w:ascii="Times New Roman" w:hAnsi="Times New Roman" w:cs="Times New Roman"/>
                    <w:sz w:val="22"/>
                    <w:szCs w:val="22"/>
                  </w:rPr>
                </w:pPr>
              </w:p>
            </w:tc>
          </w:tr>
        </w:tbl>
        <w:p w:rsidR="007C452B" w:rsidRPr="00FE71D6" w:rsidRDefault="007C452B" w:rsidP="007C452B">
          <w:bookmarkStart w:id="80" w:name="_Toc495527335"/>
        </w:p>
        <w:p w:rsidR="007C452B" w:rsidRPr="00FE71D6" w:rsidRDefault="007C452B" w:rsidP="007C452B"/>
        <w:p w:rsidR="007C452B" w:rsidRPr="00FE71D6" w:rsidRDefault="007C452B" w:rsidP="007C452B"/>
        <w:p w:rsidR="007C452B" w:rsidRPr="00FE71D6" w:rsidRDefault="007C452B" w:rsidP="007C452B"/>
        <w:p w:rsidR="007C452B" w:rsidRPr="00FE71D6" w:rsidRDefault="007C452B" w:rsidP="007C452B"/>
        <w:p w:rsidR="00D302E8" w:rsidRPr="00FE71D6" w:rsidRDefault="00D302E8" w:rsidP="00D302E8"/>
        <w:p w:rsidR="009F089E" w:rsidRPr="00FE71D6" w:rsidRDefault="00645926" w:rsidP="00D86636">
          <w:pPr>
            <w:pStyle w:val="Heading1"/>
            <w:rPr>
              <w:rFonts w:cs="Times New Roman"/>
            </w:rPr>
          </w:pPr>
          <w:bookmarkStart w:id="81" w:name="_Toc500087494"/>
          <w:r w:rsidRPr="00FE71D6">
            <w:rPr>
              <w:rFonts w:cs="Times New Roman"/>
            </w:rPr>
            <w:t>CHAPTER SIX</w:t>
          </w:r>
          <w:r w:rsidR="009F089E" w:rsidRPr="00FE71D6">
            <w:rPr>
              <w:rFonts w:cs="Times New Roman"/>
            </w:rPr>
            <w:t>: RESULTS DISCUSSION</w:t>
          </w:r>
          <w:bookmarkEnd w:id="80"/>
          <w:bookmarkEnd w:id="81"/>
        </w:p>
        <w:p w:rsidR="009F089E" w:rsidRPr="00FE71D6" w:rsidRDefault="009C0E2E" w:rsidP="00C035D4">
          <w:pPr>
            <w:pStyle w:val="Affiliation"/>
            <w:spacing w:before="0" w:after="240" w:line="480" w:lineRule="auto"/>
            <w:jc w:val="both"/>
            <w:rPr>
              <w:i w:val="0"/>
              <w:iCs/>
            </w:rPr>
          </w:pPr>
          <w:r w:rsidRPr="00FE71D6">
            <w:rPr>
              <w:i w:val="0"/>
              <w:iCs/>
            </w:rPr>
            <w:t>This chapter focuses on how the extracted results were interpreted. It contains two sections which are constructed validity interpretation and tested hypotheses interpretation that are explained in details below</w:t>
          </w:r>
          <w:r w:rsidR="009F089E" w:rsidRPr="00FE71D6">
            <w:rPr>
              <w:i w:val="0"/>
              <w:iCs/>
            </w:rPr>
            <w:t>.</w:t>
          </w:r>
        </w:p>
        <w:p w:rsidR="009F089E" w:rsidRPr="00FE71D6" w:rsidRDefault="009F089E" w:rsidP="003A6DA6">
          <w:pPr>
            <w:pStyle w:val="Heading2"/>
            <w:contextualSpacing w:val="0"/>
            <w:rPr>
              <w:rFonts w:cs="Times New Roman"/>
              <w:lang w:val="en-US"/>
            </w:rPr>
          </w:pPr>
          <w:bookmarkStart w:id="82" w:name="_Toc495527336"/>
          <w:bookmarkStart w:id="83" w:name="_Toc500087495"/>
          <w:r w:rsidRPr="00FE71D6">
            <w:rPr>
              <w:rFonts w:cs="Times New Roman"/>
              <w:lang w:val="en-US"/>
            </w:rPr>
            <w:t>6.1 Construct</w:t>
          </w:r>
          <w:r w:rsidR="00D76D78" w:rsidRPr="00FE71D6">
            <w:rPr>
              <w:rFonts w:cs="Times New Roman"/>
              <w:lang w:val="en-US"/>
            </w:rPr>
            <w:t>ed</w:t>
          </w:r>
          <w:r w:rsidRPr="00FE71D6">
            <w:rPr>
              <w:rFonts w:cs="Times New Roman"/>
              <w:lang w:val="en-US"/>
            </w:rPr>
            <w:t xml:space="preserve"> Validity Interpretation</w:t>
          </w:r>
          <w:bookmarkEnd w:id="82"/>
          <w:bookmarkEnd w:id="83"/>
        </w:p>
        <w:p w:rsidR="009F089E" w:rsidRPr="00FE71D6" w:rsidRDefault="009C0E2E" w:rsidP="00C035D4">
          <w:pPr>
            <w:pStyle w:val="Paragraph"/>
            <w:spacing w:before="0" w:after="120"/>
            <w:jc w:val="both"/>
          </w:pPr>
          <w:r w:rsidRPr="00FE71D6">
            <w:t>It gauges adequacy of the operational definition of factors or constructs. So, it is subdivided into convergent validity, discriminant validity, and predictive validity that are interpreted in details blow</w:t>
          </w:r>
          <w:r w:rsidR="009F089E" w:rsidRPr="00FE71D6">
            <w:t>.</w:t>
          </w:r>
        </w:p>
        <w:p w:rsidR="009F089E" w:rsidRPr="00FE71D6" w:rsidRDefault="009F089E" w:rsidP="00405FCB">
          <w:pPr>
            <w:pStyle w:val="Heading3"/>
            <w:rPr>
              <w:rFonts w:cs="Times New Roman"/>
              <w:bCs w:val="0"/>
              <w:iCs w:val="0"/>
              <w:lang w:val="en-US"/>
            </w:rPr>
          </w:pPr>
          <w:bookmarkStart w:id="84" w:name="_Toc495527337"/>
          <w:bookmarkStart w:id="85" w:name="_Toc500087496"/>
          <w:r w:rsidRPr="00FE71D6">
            <w:rPr>
              <w:rFonts w:cs="Times New Roman"/>
              <w:bCs w:val="0"/>
              <w:iCs w:val="0"/>
              <w:lang w:val="en-US"/>
            </w:rPr>
            <w:t>6.1.1 Convergent Validity</w:t>
          </w:r>
          <w:bookmarkEnd w:id="84"/>
          <w:bookmarkEnd w:id="85"/>
          <w:r w:rsidRPr="00FE71D6">
            <w:rPr>
              <w:rFonts w:cs="Times New Roman"/>
              <w:bCs w:val="0"/>
              <w:iCs w:val="0"/>
              <w:lang w:val="en-US"/>
            </w:rPr>
            <w:t xml:space="preserve"> </w:t>
          </w:r>
        </w:p>
        <w:p w:rsidR="009F089E" w:rsidRPr="00FE71D6" w:rsidRDefault="009C0E2E" w:rsidP="00C035D4">
          <w:pPr>
            <w:pStyle w:val="Paragraph"/>
            <w:spacing w:before="0"/>
            <w:jc w:val="both"/>
          </w:pPr>
          <w:r w:rsidRPr="00FE71D6">
            <w:t>It gauges factors or constructs that should be conceptually associated with each other and are observed to be associated with each other. Similarly, scores on the gauge are related to other gauge of the same factor or construct</w:t>
          </w:r>
          <w:r w:rsidR="009F089E" w:rsidRPr="00FE71D6">
            <w:t xml:space="preserve">. </w:t>
          </w:r>
        </w:p>
        <w:p w:rsidR="009F089E" w:rsidRPr="00FE71D6" w:rsidRDefault="00F67930" w:rsidP="00C035D4">
          <w:pPr>
            <w:pStyle w:val="Paragraph"/>
            <w:spacing w:before="0" w:after="120"/>
            <w:ind w:firstLine="720"/>
            <w:jc w:val="both"/>
          </w:pPr>
          <w:r w:rsidRPr="00FE71D6">
            <w:t>This research has shown that there are high correlations among all indicators or questions and their associated factors or constructs; so, it has rational convergent validity (refer to Table 5). For instance, all five indicators or questions related to the supplier partnership construct</w:t>
          </w:r>
          <w:r w:rsidR="009F089E" w:rsidRPr="00FE71D6">
            <w:t xml:space="preserve"> </w:t>
          </w:r>
          <w:r w:rsidR="00924282" w:rsidRPr="00FE71D6">
            <w:t xml:space="preserve">(the five indicators of the supplier partnership construct: </w:t>
          </w:r>
          <w:r w:rsidRPr="00FE71D6">
            <w:t>degree of excellence is considered as the number one standard in choosing suppliers</w:t>
          </w:r>
          <w:r w:rsidR="00924282" w:rsidRPr="00FE71D6">
            <w:rPr>
              <w:rFonts w:asciiTheme="majorBidi" w:hAnsiTheme="majorBidi" w:cstheme="majorBidi"/>
            </w:rPr>
            <w:t xml:space="preserve">; </w:t>
          </w:r>
          <w:r w:rsidRPr="00FE71D6">
            <w:t>issues are solved mutually with suppliers, suppliers are helped to enhance their product degree of excellence</w:t>
          </w:r>
          <w:r w:rsidR="00924282" w:rsidRPr="00FE71D6">
            <w:rPr>
              <w:rFonts w:asciiTheme="majorBidi" w:hAnsiTheme="majorBidi" w:cstheme="majorBidi"/>
            </w:rPr>
            <w:t xml:space="preserve">; </w:t>
          </w:r>
          <w:r w:rsidRPr="00FE71D6">
            <w:t>main suppliers are involved in continuous improvement programs</w:t>
          </w:r>
          <w:r w:rsidR="00924282" w:rsidRPr="00FE71D6">
            <w:rPr>
              <w:rFonts w:asciiTheme="majorBidi" w:hAnsiTheme="majorBidi" w:cstheme="majorBidi"/>
            </w:rPr>
            <w:t xml:space="preserve">; and </w:t>
          </w:r>
          <w:r w:rsidRPr="00FE71D6">
            <w:t>main suppliers are involved in forecasting and setting goal actions</w:t>
          </w:r>
          <w:r w:rsidR="00924282" w:rsidRPr="00FE71D6">
            <w:rPr>
              <w:rFonts w:asciiTheme="majorBidi" w:hAnsiTheme="majorBidi" w:cstheme="majorBidi"/>
            </w:rPr>
            <w:t>.</w:t>
          </w:r>
          <w:r w:rsidR="003E5A0D" w:rsidRPr="00FE71D6">
            <w:t xml:space="preserve">), </w:t>
          </w:r>
          <w:r w:rsidRPr="00FE71D6">
            <w:t>all five indicators or questions related to the customer relationship construct</w:t>
          </w:r>
          <w:r w:rsidR="00924282" w:rsidRPr="00FE71D6">
            <w:t xml:space="preserve"> (the five indicators of the customer relationship construct: </w:t>
          </w:r>
          <w:r w:rsidRPr="00FE71D6">
            <w:t>customers are contacted to establish dependability, receptiveness, and other criteria</w:t>
          </w:r>
          <w:r w:rsidR="00924282" w:rsidRPr="00FE71D6">
            <w:rPr>
              <w:rFonts w:asciiTheme="majorBidi" w:hAnsiTheme="majorBidi" w:cstheme="majorBidi"/>
            </w:rPr>
            <w:t xml:space="preserve">; </w:t>
          </w:r>
          <w:r w:rsidRPr="00FE71D6">
            <w:t>customer gratification is measured and evaluated</w:t>
          </w:r>
          <w:r w:rsidR="00924282" w:rsidRPr="00FE71D6">
            <w:rPr>
              <w:rFonts w:asciiTheme="majorBidi" w:hAnsiTheme="majorBidi" w:cstheme="majorBidi"/>
            </w:rPr>
            <w:t xml:space="preserve">; </w:t>
          </w:r>
          <w:r w:rsidRPr="00FE71D6">
            <w:t>future customer anticipations are determined</w:t>
          </w:r>
          <w:r w:rsidR="00924282" w:rsidRPr="00FE71D6">
            <w:rPr>
              <w:rFonts w:asciiTheme="majorBidi" w:hAnsiTheme="majorBidi" w:cstheme="majorBidi"/>
            </w:rPr>
            <w:t xml:space="preserve">; </w:t>
          </w:r>
          <w:r w:rsidRPr="00FE71D6">
            <w:t>customers’ capability is facilitated to look for help</w:t>
          </w:r>
          <w:r w:rsidR="00924282" w:rsidRPr="00FE71D6">
            <w:rPr>
              <w:rFonts w:asciiTheme="majorBidi" w:hAnsiTheme="majorBidi" w:cstheme="majorBidi"/>
            </w:rPr>
            <w:t xml:space="preserve">; and </w:t>
          </w:r>
          <w:r w:rsidRPr="00FE71D6">
            <w:t>the prominence of relationship with customers is evaluated</w:t>
          </w:r>
          <w:r w:rsidR="00924282" w:rsidRPr="00FE71D6">
            <w:rPr>
              <w:rFonts w:asciiTheme="majorBidi" w:hAnsiTheme="majorBidi" w:cstheme="majorBidi"/>
            </w:rPr>
            <w:t>.</w:t>
          </w:r>
          <w:r w:rsidR="00924282" w:rsidRPr="00FE71D6">
            <w:t>)</w:t>
          </w:r>
          <w:r w:rsidR="003E5A0D" w:rsidRPr="00FE71D6">
            <w:t xml:space="preserve">, </w:t>
          </w:r>
          <w:r w:rsidR="00E974F4" w:rsidRPr="00FE71D6">
            <w:t>as well as all five indicators or questions related to the lean system construct</w:t>
          </w:r>
          <w:r w:rsidR="00924282" w:rsidRPr="00FE71D6">
            <w:t xml:space="preserve"> </w:t>
          </w:r>
          <w:r w:rsidR="003E5A0D" w:rsidRPr="00FE71D6">
            <w:t xml:space="preserve">(the five indicators of the lean system construct: </w:t>
          </w:r>
          <w:r w:rsidR="00E974F4" w:rsidRPr="00FE71D6">
            <w:t>suppliers are pushed for shorter lead time</w:t>
          </w:r>
          <w:r w:rsidR="003E5A0D" w:rsidRPr="00FE71D6">
            <w:rPr>
              <w:rFonts w:asciiTheme="majorBidi" w:hAnsiTheme="majorBidi" w:cstheme="majorBidi"/>
            </w:rPr>
            <w:t xml:space="preserve">; </w:t>
          </w:r>
          <w:r w:rsidR="00E974F4" w:rsidRPr="00FE71D6">
            <w:t>pull production system is used</w:t>
          </w:r>
          <w:r w:rsidR="003E5A0D" w:rsidRPr="00FE71D6">
            <w:rPr>
              <w:rFonts w:asciiTheme="majorBidi" w:hAnsiTheme="majorBidi" w:cstheme="majorBidi"/>
            </w:rPr>
            <w:t xml:space="preserve">; </w:t>
          </w:r>
          <w:r w:rsidR="00E974F4" w:rsidRPr="00FE71D6">
            <w:t>suppliers are streamlined for ordering, receiving, and other paperwork</w:t>
          </w:r>
          <w:r w:rsidR="003E5A0D" w:rsidRPr="00FE71D6">
            <w:rPr>
              <w:rFonts w:asciiTheme="majorBidi" w:hAnsiTheme="majorBidi" w:cstheme="majorBidi"/>
            </w:rPr>
            <w:t xml:space="preserve">; </w:t>
          </w:r>
          <w:r w:rsidR="00E974F4" w:rsidRPr="00FE71D6">
            <w:t>inspection of incoming materials is reduced</w:t>
          </w:r>
          <w:r w:rsidR="003E5A0D" w:rsidRPr="00FE71D6">
            <w:rPr>
              <w:rFonts w:asciiTheme="majorBidi" w:hAnsiTheme="majorBidi" w:cstheme="majorBidi"/>
            </w:rPr>
            <w:t xml:space="preserve">; and </w:t>
          </w:r>
          <w:r w:rsidR="00E974F4" w:rsidRPr="00FE71D6">
            <w:t>inspection of outbound materials is reduced</w:t>
          </w:r>
          <w:r w:rsidR="003E5A0D" w:rsidRPr="00FE71D6">
            <w:t xml:space="preserve">.) </w:t>
          </w:r>
          <w:r w:rsidR="00E73CEF" w:rsidRPr="00FE71D6">
            <w:t>have good measurement for the supplier partnership construct, the customer relationship construct, as well as the lean system construct respectively and so on for all the remaining factors or constructs. In other words, all indicators or questions related to the same factor or construct have good measurement for their associated factor or construct. This is true based on the empirical and theoretical supports</w:t>
          </w:r>
          <w:r w:rsidR="009F089E" w:rsidRPr="00FE71D6">
            <w:t>.</w:t>
          </w:r>
        </w:p>
        <w:p w:rsidR="009F089E" w:rsidRPr="00FE71D6" w:rsidRDefault="009F089E" w:rsidP="00405FCB">
          <w:pPr>
            <w:pStyle w:val="Heading3"/>
            <w:rPr>
              <w:rFonts w:cs="Times New Roman"/>
              <w:bCs w:val="0"/>
              <w:iCs w:val="0"/>
              <w:lang w:val="en-US"/>
            </w:rPr>
          </w:pPr>
          <w:bookmarkStart w:id="86" w:name="_Toc495527338"/>
          <w:bookmarkStart w:id="87" w:name="_Toc500087497"/>
          <w:r w:rsidRPr="00FE71D6">
            <w:rPr>
              <w:rFonts w:cs="Times New Roman"/>
              <w:bCs w:val="0"/>
              <w:iCs w:val="0"/>
              <w:lang w:val="en-US"/>
            </w:rPr>
            <w:t>6.1.2 Discriminant Validity</w:t>
          </w:r>
          <w:bookmarkEnd w:id="86"/>
          <w:bookmarkEnd w:id="87"/>
          <w:r w:rsidRPr="00FE71D6">
            <w:rPr>
              <w:rFonts w:cs="Times New Roman"/>
              <w:bCs w:val="0"/>
              <w:iCs w:val="0"/>
              <w:lang w:val="en-US"/>
            </w:rPr>
            <w:t xml:space="preserve"> </w:t>
          </w:r>
        </w:p>
        <w:p w:rsidR="009F089E" w:rsidRPr="00FE71D6" w:rsidRDefault="0060139E" w:rsidP="00C035D4">
          <w:pPr>
            <w:pStyle w:val="Paragraph"/>
            <w:spacing w:before="0"/>
            <w:jc w:val="both"/>
          </w:pPr>
          <w:r w:rsidRPr="00FE71D6">
            <w:t>It gauges factors or constructs that should not be conceptually associated with each other and have no observed association with each other. Likewise, scores on the gauge are not related to other gauges that are theoretically different</w:t>
          </w:r>
          <w:r w:rsidR="009F089E" w:rsidRPr="00FE71D6">
            <w:t>.</w:t>
          </w:r>
        </w:p>
        <w:p w:rsidR="009F089E" w:rsidRPr="00FE71D6" w:rsidRDefault="0060139E" w:rsidP="00AA6FFF">
          <w:pPr>
            <w:pStyle w:val="Paragraph"/>
            <w:spacing w:before="0" w:after="120"/>
            <w:ind w:firstLine="720"/>
            <w:jc w:val="both"/>
          </w:pPr>
          <w:r w:rsidRPr="00FE71D6">
            <w:t>This research has shown that there are low correlations among all indicators or questions and different factors or constructs; so, it is giving confirmation for discriminant validity (refer to Table 5). For example, all five indicators or questions related to the supplier partnership construct</w:t>
          </w:r>
          <w:r w:rsidR="005F6582" w:rsidRPr="00FE71D6">
            <w:t xml:space="preserve"> (</w:t>
          </w:r>
          <w:r w:rsidRPr="00FE71D6">
            <w:t>the five indicators of the supplier partnership construct: degree of excellence is considered as the number one standard in choosing suppliers</w:t>
          </w:r>
          <w:r w:rsidRPr="00FE71D6">
            <w:rPr>
              <w:rFonts w:asciiTheme="majorBidi" w:hAnsiTheme="majorBidi" w:cstheme="majorBidi"/>
            </w:rPr>
            <w:t xml:space="preserve">; </w:t>
          </w:r>
          <w:r w:rsidRPr="00FE71D6">
            <w:t>issues are solved mutually with suppliers, suppliers are helped to enhance their product degree of excellence</w:t>
          </w:r>
          <w:r w:rsidRPr="00FE71D6">
            <w:rPr>
              <w:rFonts w:asciiTheme="majorBidi" w:hAnsiTheme="majorBidi" w:cstheme="majorBidi"/>
            </w:rPr>
            <w:t xml:space="preserve">; </w:t>
          </w:r>
          <w:r w:rsidRPr="00FE71D6">
            <w:t>main suppliers are involved in continuous improvement programs</w:t>
          </w:r>
          <w:r w:rsidRPr="00FE71D6">
            <w:rPr>
              <w:rFonts w:asciiTheme="majorBidi" w:hAnsiTheme="majorBidi" w:cstheme="majorBidi"/>
            </w:rPr>
            <w:t xml:space="preserve">; and </w:t>
          </w:r>
          <w:r w:rsidRPr="00FE71D6">
            <w:t>main suppliers are involved in forecasting and setting goal actions</w:t>
          </w:r>
          <w:r w:rsidR="005F6582" w:rsidRPr="00FE71D6">
            <w:rPr>
              <w:rFonts w:asciiTheme="majorBidi" w:hAnsiTheme="majorBidi" w:cstheme="majorBidi"/>
            </w:rPr>
            <w:t>.</w:t>
          </w:r>
          <w:r w:rsidR="005F6582" w:rsidRPr="00FE71D6">
            <w:t xml:space="preserve">), </w:t>
          </w:r>
          <w:r w:rsidRPr="00FE71D6">
            <w:t>all five indicators or questions related to the customer relationship construct</w:t>
          </w:r>
          <w:r w:rsidR="00924282" w:rsidRPr="00FE71D6">
            <w:t xml:space="preserve"> (the five indicators of the customer relationship construct: </w:t>
          </w:r>
          <w:r w:rsidR="00D37250" w:rsidRPr="00FE71D6">
            <w:t>customers are contacted to establish dependability, receptiveness, and other criteria</w:t>
          </w:r>
          <w:r w:rsidR="00D37250" w:rsidRPr="00FE71D6">
            <w:rPr>
              <w:rFonts w:asciiTheme="majorBidi" w:hAnsiTheme="majorBidi" w:cstheme="majorBidi"/>
            </w:rPr>
            <w:t xml:space="preserve">; </w:t>
          </w:r>
          <w:r w:rsidR="00D37250" w:rsidRPr="00FE71D6">
            <w:t>customer gratification is measured and evaluated</w:t>
          </w:r>
          <w:r w:rsidR="00D37250" w:rsidRPr="00FE71D6">
            <w:rPr>
              <w:rFonts w:asciiTheme="majorBidi" w:hAnsiTheme="majorBidi" w:cstheme="majorBidi"/>
            </w:rPr>
            <w:t xml:space="preserve">; </w:t>
          </w:r>
          <w:r w:rsidR="00D37250" w:rsidRPr="00FE71D6">
            <w:t>future customer anticipations are determined</w:t>
          </w:r>
          <w:r w:rsidR="00D37250" w:rsidRPr="00FE71D6">
            <w:rPr>
              <w:rFonts w:asciiTheme="majorBidi" w:hAnsiTheme="majorBidi" w:cstheme="majorBidi"/>
            </w:rPr>
            <w:t xml:space="preserve">; </w:t>
          </w:r>
          <w:r w:rsidR="00D37250" w:rsidRPr="00FE71D6">
            <w:t>customers’ capability is facilitated to look for help</w:t>
          </w:r>
          <w:r w:rsidR="00D37250" w:rsidRPr="00FE71D6">
            <w:rPr>
              <w:rFonts w:asciiTheme="majorBidi" w:hAnsiTheme="majorBidi" w:cstheme="majorBidi"/>
            </w:rPr>
            <w:t xml:space="preserve">; and </w:t>
          </w:r>
          <w:r w:rsidR="00D37250" w:rsidRPr="00FE71D6">
            <w:t>the prominence of relationship with customers is evaluated</w:t>
          </w:r>
          <w:r w:rsidR="00924282" w:rsidRPr="00FE71D6">
            <w:rPr>
              <w:rFonts w:asciiTheme="majorBidi" w:hAnsiTheme="majorBidi" w:cstheme="majorBidi"/>
            </w:rPr>
            <w:t>.</w:t>
          </w:r>
          <w:r w:rsidR="00924282" w:rsidRPr="00FE71D6">
            <w:t>)</w:t>
          </w:r>
          <w:r w:rsidR="005F6582" w:rsidRPr="00FE71D6">
            <w:t>,</w:t>
          </w:r>
          <w:r w:rsidR="00924282" w:rsidRPr="00FE71D6">
            <w:t xml:space="preserve"> </w:t>
          </w:r>
          <w:r w:rsidR="00D37250" w:rsidRPr="00FE71D6">
            <w:t>as well as all five indicators or questions of the lean system construct</w:t>
          </w:r>
          <w:r w:rsidR="003F55CF" w:rsidRPr="00FE71D6">
            <w:t xml:space="preserve"> </w:t>
          </w:r>
          <w:r w:rsidR="005C3F6F" w:rsidRPr="00FE71D6">
            <w:t>(</w:t>
          </w:r>
          <w:r w:rsidR="000006EE" w:rsidRPr="00FE71D6">
            <w:t xml:space="preserve">the five indicators of </w:t>
          </w:r>
          <w:r w:rsidR="005C3F6F" w:rsidRPr="00FE71D6">
            <w:t>the lean system</w:t>
          </w:r>
          <w:r w:rsidR="003F55CF" w:rsidRPr="00FE71D6">
            <w:t xml:space="preserve"> construct</w:t>
          </w:r>
          <w:r w:rsidR="005C3F6F" w:rsidRPr="00FE71D6">
            <w:t xml:space="preserve">: </w:t>
          </w:r>
          <w:r w:rsidR="00D37250" w:rsidRPr="00FE71D6">
            <w:t>suppliers are pushed for shorter lead time</w:t>
          </w:r>
          <w:r w:rsidR="00D37250" w:rsidRPr="00FE71D6">
            <w:rPr>
              <w:rFonts w:asciiTheme="majorBidi" w:hAnsiTheme="majorBidi" w:cstheme="majorBidi"/>
            </w:rPr>
            <w:t xml:space="preserve">; </w:t>
          </w:r>
          <w:r w:rsidR="00D37250" w:rsidRPr="00FE71D6">
            <w:t>pull production system is used</w:t>
          </w:r>
          <w:r w:rsidR="00D37250" w:rsidRPr="00FE71D6">
            <w:rPr>
              <w:rFonts w:asciiTheme="majorBidi" w:hAnsiTheme="majorBidi" w:cstheme="majorBidi"/>
            </w:rPr>
            <w:t xml:space="preserve">; </w:t>
          </w:r>
          <w:r w:rsidR="00D37250" w:rsidRPr="00FE71D6">
            <w:t>suppliers are streamlined for ordering, receiving, and other paperwork</w:t>
          </w:r>
          <w:r w:rsidR="00D37250" w:rsidRPr="00FE71D6">
            <w:rPr>
              <w:rFonts w:asciiTheme="majorBidi" w:hAnsiTheme="majorBidi" w:cstheme="majorBidi"/>
            </w:rPr>
            <w:t xml:space="preserve">; </w:t>
          </w:r>
          <w:r w:rsidR="00D37250" w:rsidRPr="00FE71D6">
            <w:t>inspection of incoming materials is reduced</w:t>
          </w:r>
          <w:r w:rsidR="00D37250" w:rsidRPr="00FE71D6">
            <w:rPr>
              <w:rFonts w:asciiTheme="majorBidi" w:hAnsiTheme="majorBidi" w:cstheme="majorBidi"/>
            </w:rPr>
            <w:t xml:space="preserve">; and </w:t>
          </w:r>
          <w:r w:rsidR="00D37250" w:rsidRPr="00FE71D6">
            <w:t>inspection of outbound materials is reduced</w:t>
          </w:r>
          <w:r w:rsidR="005C3F6F" w:rsidRPr="00FE71D6">
            <w:rPr>
              <w:rFonts w:asciiTheme="majorBidi" w:hAnsiTheme="majorBidi" w:cstheme="majorBidi"/>
            </w:rPr>
            <w:t>.</w:t>
          </w:r>
          <w:r w:rsidR="005C3F6F" w:rsidRPr="00FE71D6">
            <w:t xml:space="preserve">) </w:t>
          </w:r>
          <w:r w:rsidR="00D37250" w:rsidRPr="00FE71D6">
            <w:t>are unrelated to information sharing or any other factors or constructs and this are similarly for all remaining factors or constructs. In other words, all indicators or questions have unrelated measurement to different factors or constructs that are theoretically different</w:t>
          </w:r>
          <w:r w:rsidR="009F089E" w:rsidRPr="00FE71D6">
            <w:t>.</w:t>
          </w:r>
        </w:p>
        <w:p w:rsidR="009F089E" w:rsidRPr="00FE71D6" w:rsidRDefault="009F089E" w:rsidP="00405FCB">
          <w:pPr>
            <w:pStyle w:val="Heading3"/>
            <w:rPr>
              <w:rFonts w:cs="Times New Roman"/>
              <w:bCs w:val="0"/>
              <w:iCs w:val="0"/>
              <w:lang w:val="en-US"/>
            </w:rPr>
          </w:pPr>
          <w:bookmarkStart w:id="88" w:name="_Toc495527339"/>
          <w:bookmarkStart w:id="89" w:name="_Toc500087498"/>
          <w:r w:rsidRPr="00FE71D6">
            <w:rPr>
              <w:rFonts w:cs="Times New Roman"/>
              <w:bCs w:val="0"/>
              <w:iCs w:val="0"/>
              <w:lang w:val="en-US"/>
            </w:rPr>
            <w:t>6.1.3 Predictive Validity</w:t>
          </w:r>
          <w:bookmarkEnd w:id="88"/>
          <w:bookmarkEnd w:id="89"/>
        </w:p>
        <w:p w:rsidR="009F089E" w:rsidRPr="00FE71D6" w:rsidRDefault="005B1A58" w:rsidP="00AA6FFF">
          <w:pPr>
            <w:pStyle w:val="Paragraph"/>
            <w:spacing w:before="0"/>
            <w:jc w:val="both"/>
          </w:pPr>
          <w:r w:rsidRPr="00FE71D6">
            <w:t>It states the degree to which the operationalization can predict other gauges of the same factor or constructs that are gauged at some time in the future. Equally, scores on the gauge predict performance on a criterion gauged at a time in the future</w:t>
          </w:r>
          <w:r w:rsidR="009F089E" w:rsidRPr="00FE71D6">
            <w:t xml:space="preserve">. </w:t>
          </w:r>
        </w:p>
        <w:p w:rsidR="00AA6FFF" w:rsidRPr="00FE71D6" w:rsidRDefault="009F089E" w:rsidP="00F266B6">
          <w:pPr>
            <w:pStyle w:val="Paragraph"/>
            <w:spacing w:before="0"/>
            <w:ind w:firstLine="720"/>
            <w:jc w:val="both"/>
          </w:pPr>
          <w:r w:rsidRPr="00FE71D6">
            <w:t xml:space="preserve"> </w:t>
          </w:r>
        </w:p>
        <w:p w:rsidR="009F089E" w:rsidRPr="00FE71D6" w:rsidRDefault="00F266B6" w:rsidP="00D576E7">
          <w:pPr>
            <w:pStyle w:val="Paragraph"/>
            <w:spacing w:before="0"/>
            <w:ind w:firstLine="720"/>
            <w:jc w:val="both"/>
          </w:pPr>
          <w:r w:rsidRPr="00FE71D6">
            <w:t>This research has shown that there are significant influences of each of the supplier partnership construct, the information sharing construct, the lean system construct, and the net trade cycle construct on the financial performance construct of companies (refer to Table 5). This is true based on the empirical and theoretical supports as the financial performance construct can be predicted or enhanced through properly managing the supplier partnership construct, the information sharing construct, the lean system construct, and the net trade cycle construct. So, it has good predictive validity and also these outcomes are consistent to the previous studies (</w:t>
          </w:r>
          <w:r w:rsidRPr="00FE71D6">
            <w:rPr>
              <w:lang w:val="en-US"/>
            </w:rPr>
            <w:t>Abdallah et al., 2014; Suhong Li, 2002</w:t>
          </w:r>
          <w:r w:rsidRPr="00FE71D6">
            <w:t>)</w:t>
          </w:r>
          <w:r w:rsidR="009F089E" w:rsidRPr="00FE71D6">
            <w:t>.</w:t>
          </w:r>
        </w:p>
        <w:p w:rsidR="009F089E" w:rsidRPr="00FE71D6" w:rsidRDefault="00F266B6" w:rsidP="00D576E7">
          <w:pPr>
            <w:pStyle w:val="Paragraph"/>
            <w:spacing w:before="0" w:after="240"/>
            <w:ind w:firstLine="720"/>
            <w:jc w:val="both"/>
          </w:pPr>
          <w:r w:rsidRPr="00FE71D6">
            <w:t>However, it has shown that there is insignificant influence of the customer relationship construct on the financial performance construct. In other words, the financial performance construct cannot be predicted or enhanced through properly managing customer relationship construct (refer to Table 5); but this outcome is opposed to the previous studies; and so it seriously requires further investigations in a future research</w:t>
          </w:r>
          <w:r w:rsidR="009F089E" w:rsidRPr="00FE71D6">
            <w:t>.</w:t>
          </w:r>
        </w:p>
        <w:p w:rsidR="009F089E" w:rsidRPr="00FE71D6" w:rsidRDefault="009F089E" w:rsidP="003A6DA6">
          <w:pPr>
            <w:pStyle w:val="Heading2"/>
            <w:contextualSpacing w:val="0"/>
            <w:rPr>
              <w:rFonts w:cs="Times New Roman"/>
              <w:lang w:val="en-US"/>
            </w:rPr>
          </w:pPr>
          <w:bookmarkStart w:id="90" w:name="_Toc495527340"/>
          <w:bookmarkStart w:id="91" w:name="_Toc500087499"/>
          <w:r w:rsidRPr="00FE71D6">
            <w:rPr>
              <w:rFonts w:cs="Times New Roman"/>
              <w:lang w:val="en-US"/>
            </w:rPr>
            <w:t>6.2 Tested Hypotheses Interpretation</w:t>
          </w:r>
          <w:bookmarkEnd w:id="90"/>
          <w:bookmarkEnd w:id="91"/>
        </w:p>
        <w:p w:rsidR="009F089E" w:rsidRPr="00FE71D6" w:rsidRDefault="00483BC7" w:rsidP="00D576E7">
          <w:pPr>
            <w:pStyle w:val="Paragraph"/>
            <w:spacing w:before="0" w:after="120"/>
            <w:jc w:val="both"/>
          </w:pPr>
          <w:r w:rsidRPr="00FE71D6">
            <w:t>There are nine tested hypotheses that have seven significant relationships and two insignificant relationships that are interpreted in details below</w:t>
          </w:r>
          <w:r w:rsidR="009F089E" w:rsidRPr="00FE71D6">
            <w:t>.</w:t>
          </w:r>
        </w:p>
        <w:p w:rsidR="009F089E" w:rsidRPr="00FE71D6" w:rsidRDefault="009F089E" w:rsidP="00405FCB">
          <w:pPr>
            <w:pStyle w:val="Heading3"/>
            <w:rPr>
              <w:rFonts w:cs="Times New Roman"/>
              <w:bCs w:val="0"/>
              <w:iCs w:val="0"/>
              <w:lang w:val="en-US"/>
            </w:rPr>
          </w:pPr>
          <w:bookmarkStart w:id="92" w:name="_Toc495527341"/>
          <w:bookmarkStart w:id="93" w:name="_Toc500087500"/>
          <w:r w:rsidRPr="00FE71D6">
            <w:rPr>
              <w:rFonts w:cs="Times New Roman"/>
              <w:bCs w:val="0"/>
              <w:iCs w:val="0"/>
              <w:lang w:val="en-US"/>
            </w:rPr>
            <w:t>6.2.1 Significant Relationships</w:t>
          </w:r>
          <w:bookmarkEnd w:id="92"/>
          <w:bookmarkEnd w:id="93"/>
        </w:p>
        <w:p w:rsidR="009F089E" w:rsidRPr="00FE71D6" w:rsidRDefault="00483BC7" w:rsidP="00D576E7">
          <w:pPr>
            <w:pStyle w:val="Paragraph"/>
            <w:spacing w:before="0"/>
            <w:jc w:val="both"/>
          </w:pPr>
          <w:r w:rsidRPr="00FE71D6">
            <w:t>This research has shown that there are significant influences of each of the three most common supply chain management practices which are the supplier partnership construct</w:t>
          </w:r>
          <w:r w:rsidR="000209F3" w:rsidRPr="00FE71D6">
            <w:t xml:space="preserve"> (</w:t>
          </w:r>
          <w:r w:rsidR="000209F3" w:rsidRPr="00FE71D6">
            <w:rPr>
              <w:lang w:val="en-US"/>
            </w:rPr>
            <w:t>Abdallah et al., 2014; Suhong Li, 2002</w:t>
          </w:r>
          <w:r w:rsidR="000209F3" w:rsidRPr="00FE71D6">
            <w:t>)</w:t>
          </w:r>
          <w:r w:rsidR="009F089E" w:rsidRPr="00FE71D6">
            <w:t xml:space="preserve">, </w:t>
          </w:r>
          <w:r w:rsidRPr="00FE71D6">
            <w:t>the information sharing construct</w:t>
          </w:r>
          <w:r w:rsidR="000209F3" w:rsidRPr="00FE71D6">
            <w:t xml:space="preserve"> (</w:t>
          </w:r>
          <w:r w:rsidR="000209F3" w:rsidRPr="00FE71D6">
            <w:rPr>
              <w:lang w:val="en-US"/>
            </w:rPr>
            <w:t>Abdallah et al., 2014; Suhong Li, 2002; Yu et al., 2001</w:t>
          </w:r>
          <w:r w:rsidR="000209F3" w:rsidRPr="00FE71D6">
            <w:t>)</w:t>
          </w:r>
          <w:r w:rsidR="009F089E" w:rsidRPr="00FE71D6">
            <w:t xml:space="preserve">, </w:t>
          </w:r>
          <w:r w:rsidR="00AA1FA7" w:rsidRPr="00FE71D6">
            <w:t xml:space="preserve">and </w:t>
          </w:r>
          <w:r w:rsidRPr="00FE71D6">
            <w:t>the lean system construct</w:t>
          </w:r>
          <w:r w:rsidR="000209F3" w:rsidRPr="00FE71D6">
            <w:t xml:space="preserve"> (</w:t>
          </w:r>
          <w:r w:rsidR="000209F3" w:rsidRPr="00FE71D6">
            <w:rPr>
              <w:lang w:val="en-US"/>
            </w:rPr>
            <w:t>Claycomb et al., 1999; Suhong Li, 2002</w:t>
          </w:r>
          <w:r w:rsidR="000209F3" w:rsidRPr="00FE71D6">
            <w:t>)</w:t>
          </w:r>
          <w:r w:rsidR="009F089E" w:rsidRPr="00FE71D6">
            <w:t xml:space="preserve"> and </w:t>
          </w:r>
          <w:r w:rsidRPr="00FE71D6">
            <w:t>the net trade cycle construct</w:t>
          </w:r>
          <w:r w:rsidR="009F089E" w:rsidRPr="00FE71D6">
            <w:t xml:space="preserve"> </w:t>
          </w:r>
          <w:r w:rsidR="000209F3" w:rsidRPr="00FE71D6">
            <w:t>(</w:t>
          </w:r>
          <w:r w:rsidR="000209F3" w:rsidRPr="00FE71D6">
            <w:rPr>
              <w:lang w:val="en-US"/>
            </w:rPr>
            <w:t>Erasmus, 2010</w:t>
          </w:r>
          <w:r w:rsidR="00070A0A" w:rsidRPr="00FE71D6">
            <w:rPr>
              <w:lang w:val="en-US"/>
            </w:rPr>
            <w:t>; Nobanee et al., 2011; Shakoor</w:t>
          </w:r>
          <w:r w:rsidR="000209F3" w:rsidRPr="00FE71D6">
            <w:rPr>
              <w:lang w:val="en-US"/>
            </w:rPr>
            <w:t xml:space="preserve"> et al.</w:t>
          </w:r>
          <w:r w:rsidR="00070A0A" w:rsidRPr="00FE71D6">
            <w:rPr>
              <w:lang w:val="en-US"/>
            </w:rPr>
            <w:t>,</w:t>
          </w:r>
          <w:r w:rsidR="000209F3" w:rsidRPr="00FE71D6">
            <w:rPr>
              <w:lang w:val="en-US"/>
            </w:rPr>
            <w:t xml:space="preserve"> 2012</w:t>
          </w:r>
          <w:r w:rsidR="000209F3" w:rsidRPr="00FE71D6">
            <w:t xml:space="preserve">) </w:t>
          </w:r>
          <w:r w:rsidRPr="00FE71D6">
            <w:t>on the financial performance construct of organizations</w:t>
          </w:r>
          <w:r w:rsidR="009F089E" w:rsidRPr="00FE71D6">
            <w:t xml:space="preserve">. </w:t>
          </w:r>
          <w:r w:rsidR="00F376F2" w:rsidRPr="00FE71D6">
            <w:t>In other words, the financial performance construct can be improved through properly managing the supplier partnership construct, the information sharing construct, the lean system construct, and the net trade cycle construct (refer to Table 7 and Table 8)</w:t>
          </w:r>
          <w:r w:rsidR="009F089E" w:rsidRPr="00FE71D6">
            <w:t xml:space="preserve">. </w:t>
          </w:r>
        </w:p>
        <w:p w:rsidR="009F089E" w:rsidRPr="00FE71D6" w:rsidRDefault="00F376F2" w:rsidP="00D576E7">
          <w:pPr>
            <w:pStyle w:val="Paragraph"/>
            <w:spacing w:before="0"/>
            <w:ind w:firstLine="720"/>
            <w:jc w:val="both"/>
          </w:pPr>
          <w:r w:rsidRPr="00FE71D6">
            <w:t>This is true empirically and theoretically. By creating long term relationship with suppliers, cost can be cut through delivering required raw materials on time to avoid stock out risk as well as enjoy credit facility. This is impossible without having well information sharing with all related parties. Moreover, by employing lean system, cost can be cut through commencing manufacturing processes based on customers’ demand to avoid excessive inventory carrying costs such as storing cost, insurance cost, opportunity cost, and other similar things. Furthermore, cost can be cut by reducing tied assets with efficient net trade cycle through speeding up inventory turnover and collection of account receivable and slowing down disbursement of account payable. This is leading to improve financial performance</w:t>
          </w:r>
          <w:r w:rsidR="009F089E" w:rsidRPr="00FE71D6">
            <w:t>.</w:t>
          </w:r>
        </w:p>
        <w:p w:rsidR="009F089E" w:rsidRPr="00FE71D6" w:rsidRDefault="00E17A5C" w:rsidP="00D576E7">
          <w:pPr>
            <w:pStyle w:val="Paragraph"/>
            <w:spacing w:before="0"/>
            <w:ind w:firstLine="720"/>
            <w:jc w:val="both"/>
          </w:pPr>
          <w:r w:rsidRPr="00FE71D6">
            <w:t>Similarly, there are positive significant relationships among each of the supplier partnership construct, the information sharing construct, and the lean system construct of the three most common supply chain management practices and the net trade cycle construct</w:t>
          </w:r>
          <w:r w:rsidR="000209F3" w:rsidRPr="00FE71D6">
            <w:t xml:space="preserve"> (</w:t>
          </w:r>
          <w:r w:rsidR="000209F3" w:rsidRPr="00FE71D6">
            <w:rPr>
              <w:lang w:val="en-US"/>
            </w:rPr>
            <w:t>Farris II &amp; Hutchison, 2002; Hofmann &amp; Kotzab, 2010)</w:t>
          </w:r>
          <w:r w:rsidR="009F089E" w:rsidRPr="00FE71D6">
            <w:t xml:space="preserve">. </w:t>
          </w:r>
          <w:r w:rsidR="00965877" w:rsidRPr="00FE71D6">
            <w:t>This is also true empirically and theoretically. By creating long term relationship with suppliers, tied inventory can be reduced resulting in less inventory conversion period. Moreover, the existence of proper information sharing among all related parties can lead to shorten inventory conversion period and receivable collection period. In addition, by employing lean system, inventory conversion period can be reduced</w:t>
          </w:r>
          <w:r w:rsidR="009F089E" w:rsidRPr="00FE71D6">
            <w:t>.</w:t>
          </w:r>
        </w:p>
        <w:p w:rsidR="009F089E" w:rsidRPr="00FE71D6" w:rsidRDefault="005A768E" w:rsidP="00D576E7">
          <w:pPr>
            <w:pStyle w:val="Paragraph"/>
            <w:spacing w:before="0" w:after="120"/>
            <w:ind w:firstLine="720"/>
            <w:jc w:val="both"/>
          </w:pPr>
          <w:r w:rsidRPr="00FE71D6">
            <w:t xml:space="preserve">Consequently, these significant influences of all the supplier partnership construct, the information sharing construct, and the lean system construct of the three most common supply chain management practices on the financial performance construct </w:t>
          </w:r>
          <w:r w:rsidR="006E41F0" w:rsidRPr="00FE71D6">
            <w:t xml:space="preserve">that </w:t>
          </w:r>
          <w:r w:rsidRPr="00FE71D6">
            <w:t>ca</w:t>
          </w:r>
          <w:r w:rsidR="00894788" w:rsidRPr="00FE71D6">
            <w:t xml:space="preserve">n be </w:t>
          </w:r>
          <w:r w:rsidR="009B1140" w:rsidRPr="00FE71D6">
            <w:t>explained</w:t>
          </w:r>
          <w:r w:rsidR="006E41F0" w:rsidRPr="00FE71D6">
            <w:t xml:space="preserve"> </w:t>
          </w:r>
          <w:r w:rsidR="00894788" w:rsidRPr="00FE71D6">
            <w:t>through the medi</w:t>
          </w:r>
          <w:r w:rsidRPr="00FE71D6">
            <w:t>ation of net trade cycle construct</w:t>
          </w:r>
          <w:r w:rsidR="009F089E" w:rsidRPr="00FE71D6">
            <w:t>.</w:t>
          </w:r>
        </w:p>
        <w:p w:rsidR="009F089E" w:rsidRPr="00FE71D6" w:rsidRDefault="009F089E" w:rsidP="00405FCB">
          <w:pPr>
            <w:pStyle w:val="Heading3"/>
            <w:rPr>
              <w:rFonts w:cs="Times New Roman"/>
              <w:bCs w:val="0"/>
              <w:iCs w:val="0"/>
              <w:lang w:val="en-US"/>
            </w:rPr>
          </w:pPr>
          <w:bookmarkStart w:id="94" w:name="_Toc495527342"/>
          <w:bookmarkStart w:id="95" w:name="_Toc500087501"/>
          <w:r w:rsidRPr="00FE71D6">
            <w:rPr>
              <w:rFonts w:cs="Times New Roman"/>
              <w:bCs w:val="0"/>
              <w:iCs w:val="0"/>
              <w:lang w:val="en-US"/>
            </w:rPr>
            <w:t>6.2.2 Insignificant Relationships</w:t>
          </w:r>
          <w:bookmarkEnd w:id="94"/>
          <w:bookmarkEnd w:id="95"/>
        </w:p>
        <w:p w:rsidR="009F089E" w:rsidRPr="00FE71D6" w:rsidRDefault="00E95472" w:rsidP="00D576E7">
          <w:pPr>
            <w:pStyle w:val="Paragraph"/>
            <w:spacing w:before="0"/>
            <w:jc w:val="both"/>
          </w:pPr>
          <w:r w:rsidRPr="00FE71D6">
            <w:t xml:space="preserve">Based on </w:t>
          </w:r>
          <w:r w:rsidRPr="00FE71D6">
            <w:rPr>
              <w:lang w:val="en"/>
            </w:rPr>
            <w:t xml:space="preserve">the empirical and theoretical supports, </w:t>
          </w:r>
          <w:r w:rsidRPr="00FE71D6">
            <w:t>there should be significant influence of the most supply chain management practice: the customer relationship construct on the financial performance construct</w:t>
          </w:r>
          <w:r w:rsidR="000209F3" w:rsidRPr="00FE71D6">
            <w:t xml:space="preserve"> (</w:t>
          </w:r>
          <w:r w:rsidR="000209F3" w:rsidRPr="00FE71D6">
            <w:rPr>
              <w:lang w:val="en-US"/>
            </w:rPr>
            <w:t>Abdallah et al., 2014; Claycomb et al., 1999; Suhong Li, 2002</w:t>
          </w:r>
          <w:r w:rsidR="000209F3" w:rsidRPr="00FE71D6">
            <w:t>)</w:t>
          </w:r>
          <w:r w:rsidR="00774631" w:rsidRPr="00FE71D6">
            <w:t>.</w:t>
          </w:r>
          <w:r w:rsidR="009F089E" w:rsidRPr="00FE71D6">
            <w:t xml:space="preserve"> </w:t>
          </w:r>
          <w:r w:rsidR="00774631" w:rsidRPr="00FE71D6">
            <w:t>By creating long term relationship with customers, profitability can be increased through offering desired products or services to customers. Moreover, by creating long term relationship with customers, inventory turnover and collection of account receivable can be sped up</w:t>
          </w:r>
          <w:r w:rsidR="009F089E" w:rsidRPr="00FE71D6">
            <w:t>.</w:t>
          </w:r>
        </w:p>
        <w:p w:rsidR="008C1492" w:rsidRPr="00FE71D6" w:rsidRDefault="00774631" w:rsidP="00D576E7">
          <w:pPr>
            <w:pStyle w:val="Paragraph"/>
            <w:spacing w:before="0"/>
            <w:ind w:firstLine="720"/>
            <w:jc w:val="both"/>
          </w:pPr>
          <w:r w:rsidRPr="00FE71D6">
            <w:t xml:space="preserve">However, the results of this research showed that there is insignificant influence of the customer relationship construct on the financial performance construct in addition to positive insignificant relationship between the customer relationship construct and the net trade cycle construct (refer to Table 7 and Table 8). This is an illogic outcome, and this may be due to the existence of high customers’ demand uncertainty and/or customers are so price sensitive. It may be also due to the existence of high competition among manufacturing companies in the region, and so, increasing buyers’ dominant. </w:t>
          </w:r>
        </w:p>
        <w:p w:rsidR="009F089E" w:rsidRPr="00FE71D6" w:rsidRDefault="00774631" w:rsidP="00D576E7">
          <w:pPr>
            <w:pStyle w:val="Paragraph"/>
            <w:spacing w:before="0" w:after="240"/>
            <w:ind w:firstLine="720"/>
            <w:jc w:val="both"/>
            <w:rPr>
              <w:b/>
              <w:bCs/>
            </w:rPr>
          </w:pPr>
          <w:r w:rsidRPr="00FE71D6">
            <w:t>Furthermore, it may be due to the conducted small sample size of the questionnaire for particular senior employees (less than 200 respondents) that neither comprehends all employees in the three manufacturing companies nor all other untargeted manufacturing companies</w:t>
          </w:r>
          <w:r w:rsidR="009F089E" w:rsidRPr="00FE71D6">
            <w:t>.</w:t>
          </w:r>
        </w:p>
        <w:p w:rsidR="00003530" w:rsidRPr="00FE71D6" w:rsidRDefault="00003530" w:rsidP="0014561F">
          <w:pPr>
            <w:pStyle w:val="Bibliography"/>
            <w:spacing w:after="120" w:line="360" w:lineRule="auto"/>
            <w:rPr>
              <w:rFonts w:ascii="Times New Roman" w:eastAsia="Times New Roman" w:hAnsi="Times New Roman" w:cs="Times New Roman"/>
              <w:b/>
              <w:bCs/>
              <w:sz w:val="24"/>
              <w:szCs w:val="24"/>
              <w:lang w:val="en-GB" w:eastAsia="en-GB"/>
            </w:rPr>
          </w:pPr>
        </w:p>
        <w:p w:rsidR="009F089E" w:rsidRPr="00FE71D6" w:rsidRDefault="009F089E" w:rsidP="0014561F">
          <w:pPr>
            <w:pStyle w:val="Bibliography"/>
            <w:spacing w:after="120" w:line="360" w:lineRule="auto"/>
            <w:rPr>
              <w:rFonts w:ascii="Times New Roman" w:eastAsia="Times New Roman" w:hAnsi="Times New Roman" w:cs="Times New Roman"/>
              <w:b/>
              <w:bCs/>
              <w:sz w:val="24"/>
              <w:szCs w:val="24"/>
              <w:lang w:val="en-GB" w:eastAsia="en-GB"/>
            </w:rPr>
          </w:pPr>
        </w:p>
        <w:p w:rsidR="009F089E" w:rsidRPr="00FE71D6" w:rsidRDefault="009F089E" w:rsidP="0014561F">
          <w:pPr>
            <w:pStyle w:val="Bibliography"/>
            <w:spacing w:after="120" w:line="360" w:lineRule="auto"/>
            <w:rPr>
              <w:rFonts w:ascii="Times New Roman" w:eastAsia="Times New Roman" w:hAnsi="Times New Roman" w:cs="Times New Roman"/>
              <w:b/>
              <w:bCs/>
              <w:sz w:val="24"/>
              <w:szCs w:val="24"/>
              <w:lang w:val="en-GB" w:eastAsia="en-GB"/>
            </w:rPr>
          </w:pPr>
        </w:p>
        <w:p w:rsidR="009F089E" w:rsidRPr="00FE71D6" w:rsidRDefault="009F089E" w:rsidP="0014561F">
          <w:pPr>
            <w:pStyle w:val="Bibliography"/>
            <w:spacing w:after="120" w:line="360" w:lineRule="auto"/>
            <w:rPr>
              <w:rFonts w:ascii="Times New Roman" w:eastAsia="Times New Roman" w:hAnsi="Times New Roman" w:cs="Times New Roman"/>
              <w:b/>
              <w:bCs/>
              <w:sz w:val="24"/>
              <w:szCs w:val="24"/>
              <w:lang w:val="en-GB" w:eastAsia="en-GB"/>
            </w:rPr>
          </w:pPr>
        </w:p>
        <w:p w:rsidR="00B56DFB" w:rsidRPr="00FE71D6" w:rsidRDefault="00B56DFB" w:rsidP="00B56DFB"/>
        <w:p w:rsidR="00B56DFB" w:rsidRPr="00FE71D6" w:rsidRDefault="00B56DFB" w:rsidP="00B56DFB"/>
        <w:p w:rsidR="00B56DFB" w:rsidRPr="00FE71D6" w:rsidRDefault="00B56DFB" w:rsidP="00B56DFB"/>
        <w:p w:rsidR="00B56DFB" w:rsidRPr="00FE71D6" w:rsidRDefault="00B56DFB" w:rsidP="00B56DFB"/>
        <w:p w:rsidR="007C452B" w:rsidRPr="00FE71D6" w:rsidRDefault="007C452B" w:rsidP="00D86636">
          <w:pPr>
            <w:pStyle w:val="Heading1"/>
            <w:rPr>
              <w:rFonts w:cs="Times New Roman"/>
            </w:rPr>
          </w:pPr>
          <w:bookmarkStart w:id="96" w:name="_Toc495527343"/>
        </w:p>
        <w:p w:rsidR="007C452B" w:rsidRPr="00FE71D6" w:rsidRDefault="007C452B" w:rsidP="00D86636">
          <w:pPr>
            <w:pStyle w:val="Heading1"/>
            <w:rPr>
              <w:rFonts w:cs="Times New Roman"/>
            </w:rPr>
          </w:pPr>
        </w:p>
        <w:p w:rsidR="007C452B" w:rsidRPr="00FE71D6" w:rsidRDefault="007C452B" w:rsidP="00D86636">
          <w:pPr>
            <w:pStyle w:val="Heading1"/>
            <w:rPr>
              <w:rFonts w:cs="Times New Roman"/>
            </w:rPr>
          </w:pPr>
        </w:p>
        <w:p w:rsidR="007C452B" w:rsidRPr="00FE71D6" w:rsidRDefault="007C452B" w:rsidP="00D86636">
          <w:pPr>
            <w:pStyle w:val="Heading1"/>
            <w:rPr>
              <w:rFonts w:cs="Times New Roman"/>
            </w:rPr>
          </w:pPr>
        </w:p>
        <w:p w:rsidR="007C452B" w:rsidRPr="00FE71D6" w:rsidRDefault="007C452B" w:rsidP="007C452B">
          <w:pPr>
            <w:pStyle w:val="Paragraph"/>
          </w:pPr>
        </w:p>
        <w:p w:rsidR="007C452B" w:rsidRPr="00FE71D6" w:rsidRDefault="007C452B" w:rsidP="007C452B"/>
        <w:p w:rsidR="007C452B" w:rsidRPr="00FE71D6" w:rsidRDefault="007C452B" w:rsidP="007C452B"/>
        <w:p w:rsidR="007C452B" w:rsidRPr="00FE71D6" w:rsidRDefault="007C452B" w:rsidP="007C452B"/>
        <w:p w:rsidR="007C452B" w:rsidRPr="00FE71D6" w:rsidRDefault="007C452B" w:rsidP="007C452B"/>
        <w:p w:rsidR="009F089E" w:rsidRPr="00FE71D6" w:rsidRDefault="00DC6D9A" w:rsidP="00D86636">
          <w:pPr>
            <w:pStyle w:val="Heading1"/>
            <w:rPr>
              <w:rFonts w:cs="Times New Roman"/>
            </w:rPr>
          </w:pPr>
          <w:bookmarkStart w:id="97" w:name="_Toc500087502"/>
          <w:r w:rsidRPr="00FE71D6">
            <w:rPr>
              <w:rFonts w:cs="Times New Roman"/>
            </w:rPr>
            <w:t>CHAPTER SEVEN</w:t>
          </w:r>
          <w:r w:rsidR="009F089E" w:rsidRPr="00FE71D6">
            <w:rPr>
              <w:rFonts w:cs="Times New Roman"/>
            </w:rPr>
            <w:t>: CONCLUSION</w:t>
          </w:r>
          <w:bookmarkEnd w:id="96"/>
          <w:bookmarkEnd w:id="97"/>
        </w:p>
        <w:p w:rsidR="00632260" w:rsidRPr="00FE71D6" w:rsidRDefault="008A510F" w:rsidP="00D576E7">
          <w:pPr>
            <w:pStyle w:val="Affiliation"/>
            <w:spacing w:before="0" w:line="480" w:lineRule="auto"/>
            <w:jc w:val="both"/>
            <w:rPr>
              <w:i w:val="0"/>
              <w:iCs/>
            </w:rPr>
          </w:pPr>
          <w:r w:rsidRPr="00FE71D6">
            <w:rPr>
              <w:i w:val="0"/>
              <w:iCs/>
            </w:rPr>
            <w:t>This research represents the empirical analysis of the three crucial aspects of financial management which are supply chain management practices, net trade cycle and financial performance. It aims to answer the following important questions: 1) what the most common supply chain management practices are 2) what the direct influences of those most common supply chain management practices on financial performance are, and 3) what the indirect influences of those most common supply chain management practices are on financial performance that are mediated by net trade cycle. As stated in the introduction, there is no previous study that has combined these three critical aspects of financial management in one model</w:t>
          </w:r>
          <w:r w:rsidR="00632260" w:rsidRPr="00FE71D6">
            <w:rPr>
              <w:i w:val="0"/>
              <w:iCs/>
            </w:rPr>
            <w:t>.</w:t>
          </w:r>
        </w:p>
        <w:p w:rsidR="009F089E" w:rsidRPr="00FE71D6" w:rsidRDefault="0018519F" w:rsidP="00D576E7">
          <w:pPr>
            <w:pStyle w:val="Affiliation"/>
            <w:spacing w:before="0" w:after="240" w:line="480" w:lineRule="auto"/>
            <w:ind w:firstLine="720"/>
            <w:jc w:val="both"/>
            <w:rPr>
              <w:i w:val="0"/>
              <w:iCs/>
            </w:rPr>
          </w:pPr>
          <w:r w:rsidRPr="00FE71D6">
            <w:rPr>
              <w:i w:val="0"/>
              <w:iCs/>
            </w:rPr>
            <w:t>This chapter mainly concerns on the summary of major findings, research contribution, practical implications, limitations and future research, and recommendations that are discussed in details below</w:t>
          </w:r>
          <w:r w:rsidR="009F089E" w:rsidRPr="00FE71D6">
            <w:rPr>
              <w:i w:val="0"/>
              <w:iCs/>
            </w:rPr>
            <w:t>.</w:t>
          </w:r>
        </w:p>
        <w:p w:rsidR="009F089E" w:rsidRPr="00FE71D6" w:rsidRDefault="009F089E" w:rsidP="003A6DA6">
          <w:pPr>
            <w:pStyle w:val="Heading2"/>
            <w:contextualSpacing w:val="0"/>
            <w:rPr>
              <w:rFonts w:cs="Times New Roman"/>
              <w:lang w:val="en-US"/>
            </w:rPr>
          </w:pPr>
          <w:bookmarkStart w:id="98" w:name="_Toc495527344"/>
          <w:bookmarkStart w:id="99" w:name="_Toc500087503"/>
          <w:r w:rsidRPr="00FE71D6">
            <w:rPr>
              <w:rFonts w:cs="Times New Roman"/>
              <w:lang w:val="en-US"/>
            </w:rPr>
            <w:t>7.1 Major Findings</w:t>
          </w:r>
          <w:bookmarkEnd w:id="98"/>
          <w:bookmarkEnd w:id="99"/>
        </w:p>
        <w:p w:rsidR="00BF3401" w:rsidRPr="00FE71D6" w:rsidRDefault="0018519F" w:rsidP="007E2F04">
          <w:pPr>
            <w:pStyle w:val="Paragraph"/>
            <w:spacing w:before="0"/>
            <w:jc w:val="both"/>
          </w:pPr>
          <w:r w:rsidRPr="00FE71D6">
            <w:rPr>
              <w:lang w:val="en-US"/>
            </w:rPr>
            <w:t>Significance of this research retrieves the four most common supply chain management practices</w:t>
          </w:r>
          <w:r w:rsidR="00027186" w:rsidRPr="00FE71D6">
            <w:rPr>
              <w:lang w:val="en-US"/>
            </w:rPr>
            <w:t xml:space="preserve"> </w:t>
          </w:r>
          <w:r w:rsidR="00F557AC" w:rsidRPr="00FE71D6">
            <w:rPr>
              <w:lang w:val="en-US"/>
            </w:rPr>
            <w:t xml:space="preserve">(supplier partnership, customer relationship, information sharing, and lean system) </w:t>
          </w:r>
          <w:r w:rsidRPr="00FE71D6">
            <w:rPr>
              <w:lang w:val="en-US"/>
            </w:rPr>
            <w:t xml:space="preserve">through the conduct of an </w:t>
          </w:r>
          <w:r w:rsidRPr="00FE71D6">
            <w:t>inclusive review of the literature</w:t>
          </w:r>
          <w:r w:rsidR="004454D6" w:rsidRPr="00FE71D6">
            <w:t xml:space="preserve"> </w:t>
          </w:r>
          <w:r w:rsidR="007E2F04" w:rsidRPr="00FE71D6">
            <w:rPr>
              <w:lang w:val="en-US"/>
            </w:rPr>
            <w:t>in line with the conclusion of</w:t>
          </w:r>
          <w:r w:rsidR="00780D3D" w:rsidRPr="00FE71D6">
            <w:t xml:space="preserve"> </w:t>
          </w:r>
          <w:r w:rsidR="004454D6" w:rsidRPr="00FE71D6">
            <w:rPr>
              <w:lang w:val="en-US"/>
            </w:rPr>
            <w:t>Abdallah et al., 20</w:t>
          </w:r>
          <w:r w:rsidR="00666AEB" w:rsidRPr="00FE71D6">
            <w:rPr>
              <w:lang w:val="en-US"/>
            </w:rPr>
            <w:t>14 and</w:t>
          </w:r>
          <w:r w:rsidR="004454D6" w:rsidRPr="00FE71D6">
            <w:rPr>
              <w:lang w:val="en-US"/>
            </w:rPr>
            <w:t xml:space="preserve"> Suhong Li, 2002</w:t>
          </w:r>
          <w:r w:rsidR="00BF3401" w:rsidRPr="00FE71D6">
            <w:t>.</w:t>
          </w:r>
          <w:r w:rsidR="00027186" w:rsidRPr="00FE71D6">
            <w:t xml:space="preserve"> </w:t>
          </w:r>
        </w:p>
        <w:p w:rsidR="00BF3401" w:rsidRPr="00FE71D6" w:rsidRDefault="00A04B2B" w:rsidP="00666AEB">
          <w:pPr>
            <w:pStyle w:val="Paragraph"/>
            <w:spacing w:before="0"/>
            <w:ind w:firstLine="720"/>
            <w:jc w:val="both"/>
            <w:rPr>
              <w:lang w:val="en-US"/>
            </w:rPr>
          </w:pPr>
          <w:r w:rsidRPr="00FE71D6">
            <w:rPr>
              <w:lang w:val="en-US"/>
            </w:rPr>
            <w:t>This research has a sufficient evidence of the existence of reliability in the whole collected data. In addition, it has a good content validity, an acceptable convergent validity, as well as acceptable discriminant validity. Furthermore, the four constructs of the supplier partnership construct, the information sharing construct, the lean system construct</w:t>
          </w:r>
          <w:r w:rsidR="00596D57" w:rsidRPr="00FE71D6">
            <w:rPr>
              <w:lang w:val="en-US"/>
            </w:rPr>
            <w:t xml:space="preserve"> </w:t>
          </w:r>
          <w:r w:rsidR="00666AEB" w:rsidRPr="00FE71D6">
            <w:rPr>
              <w:lang w:val="en-US"/>
            </w:rPr>
            <w:t>in accordance with</w:t>
          </w:r>
          <w:r w:rsidR="00666AEB" w:rsidRPr="00FE71D6">
            <w:t xml:space="preserve"> </w:t>
          </w:r>
          <w:r w:rsidR="00596D57" w:rsidRPr="00FE71D6">
            <w:rPr>
              <w:lang w:val="en-US"/>
            </w:rPr>
            <w:t xml:space="preserve">Abdallah et al., 2014 </w:t>
          </w:r>
          <w:r w:rsidR="00666AEB" w:rsidRPr="00FE71D6">
            <w:rPr>
              <w:lang w:val="en-US"/>
            </w:rPr>
            <w:t xml:space="preserve">and </w:t>
          </w:r>
          <w:r w:rsidR="00596D57" w:rsidRPr="00FE71D6">
            <w:rPr>
              <w:lang w:val="en-US"/>
            </w:rPr>
            <w:t>Suhong Li, 2002</w:t>
          </w:r>
          <w:r w:rsidR="00666AEB" w:rsidRPr="00FE71D6">
            <w:rPr>
              <w:lang w:val="en-US"/>
            </w:rPr>
            <w:t>;</w:t>
          </w:r>
          <w:r w:rsidRPr="00FE71D6">
            <w:rPr>
              <w:lang w:val="en-US"/>
            </w:rPr>
            <w:t xml:space="preserve"> and the net trade cycle construct in the model have a good predictive validity on the financial performance construct</w:t>
          </w:r>
          <w:r w:rsidR="00596D57" w:rsidRPr="00FE71D6">
            <w:rPr>
              <w:lang w:val="en-US"/>
            </w:rPr>
            <w:t xml:space="preserve"> </w:t>
          </w:r>
          <w:r w:rsidR="00666AEB" w:rsidRPr="00FE71D6">
            <w:rPr>
              <w:lang w:val="en-US"/>
            </w:rPr>
            <w:t>in accordance with</w:t>
          </w:r>
          <w:r w:rsidR="00666AEB" w:rsidRPr="00FE71D6">
            <w:t xml:space="preserve"> </w:t>
          </w:r>
          <w:r w:rsidR="00666AEB" w:rsidRPr="00FE71D6">
            <w:rPr>
              <w:lang w:val="en-US"/>
            </w:rPr>
            <w:t>Erasmus, 2010 and</w:t>
          </w:r>
          <w:r w:rsidR="00070A0A" w:rsidRPr="00FE71D6">
            <w:rPr>
              <w:lang w:val="en-US"/>
            </w:rPr>
            <w:t xml:space="preserve"> Shakoor</w:t>
          </w:r>
          <w:r w:rsidR="00596D57" w:rsidRPr="00FE71D6">
            <w:rPr>
              <w:lang w:val="en-US"/>
            </w:rPr>
            <w:t xml:space="preserve"> et al.</w:t>
          </w:r>
          <w:r w:rsidR="00070A0A" w:rsidRPr="00FE71D6">
            <w:rPr>
              <w:lang w:val="en-US"/>
            </w:rPr>
            <w:t>,</w:t>
          </w:r>
          <w:r w:rsidR="00596D57" w:rsidRPr="00FE71D6">
            <w:rPr>
              <w:lang w:val="en-US"/>
            </w:rPr>
            <w:t xml:space="preserve"> 2012</w:t>
          </w:r>
          <w:r w:rsidRPr="00FE71D6">
            <w:rPr>
              <w:lang w:val="en-US"/>
            </w:rPr>
            <w:t>. Excluded is the customer relationship construct which has a poor predictive validity on the financial performance construct</w:t>
          </w:r>
          <w:r w:rsidR="00126D1E" w:rsidRPr="00FE71D6">
            <w:rPr>
              <w:lang w:val="en-US"/>
            </w:rPr>
            <w:t>.</w:t>
          </w:r>
        </w:p>
        <w:p w:rsidR="00BF3401" w:rsidRPr="00FE71D6" w:rsidRDefault="00A04B2B" w:rsidP="00D576E7">
          <w:pPr>
            <w:pStyle w:val="Paragraph"/>
            <w:spacing w:before="0"/>
            <w:ind w:firstLine="720"/>
            <w:jc w:val="both"/>
            <w:rPr>
              <w:lang w:val="en-US"/>
            </w:rPr>
          </w:pPr>
          <w:r w:rsidRPr="00FE71D6">
            <w:rPr>
              <w:lang w:val="en-US"/>
            </w:rPr>
            <w:t>However, for the goodness of fit model of the chi-square to be significant, the model is stared, at least sometimes, as unacceptable. Nevertheless, it complemented with the normed chi-square which shows a good model fit. Moreover, many researchers neglect the chi-square if other indices designate the model fit as acceptable. The comparative fit index value of the model proposes a good model fit. In addition, the root mean square error of approximation has a good model fit. Consequently, the overall model fit is good</w:t>
          </w:r>
          <w:r w:rsidR="00BF3401" w:rsidRPr="00FE71D6">
            <w:rPr>
              <w:lang w:val="en-US"/>
            </w:rPr>
            <w:t xml:space="preserve">. </w:t>
          </w:r>
        </w:p>
        <w:p w:rsidR="001101F9" w:rsidRPr="00FE71D6" w:rsidRDefault="00A04B2B" w:rsidP="00D576E7">
          <w:pPr>
            <w:pStyle w:val="Paragraph"/>
            <w:spacing w:before="0"/>
            <w:ind w:firstLine="720"/>
            <w:jc w:val="both"/>
            <w:rPr>
              <w:lang w:val="en-US"/>
            </w:rPr>
          </w:pPr>
          <w:r w:rsidRPr="00FE71D6">
            <w:t xml:space="preserve">It also </w:t>
          </w:r>
          <w:r w:rsidRPr="00FE71D6">
            <w:rPr>
              <w:lang w:val="en-US"/>
            </w:rPr>
            <w:t>found significant critical relationships among those four most common supply chain management practices</w:t>
          </w:r>
          <w:r w:rsidR="005A59C2" w:rsidRPr="00FE71D6">
            <w:rPr>
              <w:lang w:val="en-US"/>
            </w:rPr>
            <w:t xml:space="preserve"> (the supplier partnership</w:t>
          </w:r>
          <w:r w:rsidR="00A079CD" w:rsidRPr="00FE71D6">
            <w:rPr>
              <w:lang w:val="en-US"/>
            </w:rPr>
            <w:t xml:space="preserve"> </w:t>
          </w:r>
          <w:r w:rsidR="00A079CD" w:rsidRPr="00FE71D6">
            <w:t>construct</w:t>
          </w:r>
          <w:r w:rsidR="005A59C2" w:rsidRPr="00FE71D6">
            <w:rPr>
              <w:lang w:val="en-US"/>
            </w:rPr>
            <w:t>, the customer relationship</w:t>
          </w:r>
          <w:r w:rsidR="00A079CD" w:rsidRPr="00FE71D6">
            <w:rPr>
              <w:lang w:val="en-US"/>
            </w:rPr>
            <w:t xml:space="preserve"> </w:t>
          </w:r>
          <w:r w:rsidR="00A079CD" w:rsidRPr="00FE71D6">
            <w:t>construct</w:t>
          </w:r>
          <w:r w:rsidR="005A59C2" w:rsidRPr="00FE71D6">
            <w:rPr>
              <w:lang w:val="en-US"/>
            </w:rPr>
            <w:t>, the information sharing</w:t>
          </w:r>
          <w:r w:rsidR="00A079CD" w:rsidRPr="00FE71D6">
            <w:rPr>
              <w:lang w:val="en-US"/>
            </w:rPr>
            <w:t xml:space="preserve"> </w:t>
          </w:r>
          <w:r w:rsidR="00A079CD" w:rsidRPr="00FE71D6">
            <w:t>construct</w:t>
          </w:r>
          <w:r w:rsidR="005A59C2" w:rsidRPr="00FE71D6">
            <w:rPr>
              <w:lang w:val="en-US"/>
            </w:rPr>
            <w:t>, and the lean system</w:t>
          </w:r>
          <w:r w:rsidR="00A079CD" w:rsidRPr="00FE71D6">
            <w:rPr>
              <w:lang w:val="en-US"/>
            </w:rPr>
            <w:t xml:space="preserve"> </w:t>
          </w:r>
          <w:r w:rsidR="00A079CD" w:rsidRPr="00FE71D6">
            <w:t>construct</w:t>
          </w:r>
          <w:r w:rsidR="005A59C2" w:rsidRPr="00FE71D6">
            <w:rPr>
              <w:lang w:val="en-US"/>
            </w:rPr>
            <w:t>)</w:t>
          </w:r>
          <w:r w:rsidR="001101F9" w:rsidRPr="00FE71D6">
            <w:rPr>
              <w:lang w:val="en-US"/>
            </w:rPr>
            <w:t xml:space="preserve">, </w:t>
          </w:r>
          <w:r w:rsidRPr="00FE71D6">
            <w:rPr>
              <w:lang w:val="en-US"/>
            </w:rPr>
            <w:t xml:space="preserve">efficient net trade cycle </w:t>
          </w:r>
          <w:r w:rsidRPr="00FE71D6">
            <w:t>construct</w:t>
          </w:r>
          <w:r w:rsidRPr="00FE71D6">
            <w:rPr>
              <w:lang w:val="en-US"/>
            </w:rPr>
            <w:t xml:space="preserve">, and financial performance </w:t>
          </w:r>
          <w:r w:rsidRPr="00FE71D6">
            <w:t>construct</w:t>
          </w:r>
          <w:r w:rsidRPr="00FE71D6">
            <w:rPr>
              <w:lang w:val="en-US"/>
            </w:rPr>
            <w:t xml:space="preserve"> in one model</w:t>
          </w:r>
          <w:r w:rsidR="001101F9" w:rsidRPr="00FE71D6">
            <w:rPr>
              <w:lang w:val="en-US"/>
            </w:rPr>
            <w:t>.</w:t>
          </w:r>
        </w:p>
        <w:p w:rsidR="009F089E" w:rsidRPr="00FE71D6" w:rsidRDefault="00A04B2B" w:rsidP="00666AEB">
          <w:pPr>
            <w:pStyle w:val="Paragraph"/>
            <w:spacing w:before="0"/>
            <w:ind w:firstLine="720"/>
            <w:jc w:val="both"/>
            <w:rPr>
              <w:lang w:val="en-US"/>
            </w:rPr>
          </w:pPr>
          <w:r w:rsidRPr="00FE71D6">
            <w:rPr>
              <w:lang w:val="en-US"/>
            </w:rPr>
            <w:t xml:space="preserve">This research found significant relationships among the supplier partnership </w:t>
          </w:r>
          <w:r w:rsidRPr="00FE71D6">
            <w:t>construct</w:t>
          </w:r>
          <w:r w:rsidRPr="00FE71D6">
            <w:rPr>
              <w:lang w:val="en-US"/>
            </w:rPr>
            <w:t xml:space="preserve">, the information sharing </w:t>
          </w:r>
          <w:r w:rsidRPr="00FE71D6">
            <w:t>construct</w:t>
          </w:r>
          <w:r w:rsidRPr="00FE71D6">
            <w:rPr>
              <w:lang w:val="en-US"/>
            </w:rPr>
            <w:t xml:space="preserve">, and the lean system </w:t>
          </w:r>
          <w:r w:rsidRPr="00FE71D6">
            <w:t>construct</w:t>
          </w:r>
          <w:r w:rsidRPr="00FE71D6">
            <w:rPr>
              <w:lang w:val="en-US"/>
            </w:rPr>
            <w:t xml:space="preserve"> of the supply chain management practices and the net trade cycle </w:t>
          </w:r>
          <w:r w:rsidRPr="00FE71D6">
            <w:t>construct</w:t>
          </w:r>
          <w:r w:rsidR="00596D57" w:rsidRPr="00FE71D6">
            <w:t xml:space="preserve"> </w:t>
          </w:r>
          <w:r w:rsidR="00666AEB" w:rsidRPr="00FE71D6">
            <w:rPr>
              <w:lang w:val="en-US"/>
            </w:rPr>
            <w:t>consistent with the research of</w:t>
          </w:r>
          <w:r w:rsidR="00666AEB" w:rsidRPr="00FE71D6">
            <w:t xml:space="preserve"> </w:t>
          </w:r>
          <w:r w:rsidR="00666AEB" w:rsidRPr="00FE71D6">
            <w:rPr>
              <w:lang w:val="en-US"/>
            </w:rPr>
            <w:t>Farris II and Hutchison, 2002 and</w:t>
          </w:r>
          <w:r w:rsidR="00596D57" w:rsidRPr="00FE71D6">
            <w:rPr>
              <w:lang w:val="en-US"/>
            </w:rPr>
            <w:t xml:space="preserve"> </w:t>
          </w:r>
          <w:r w:rsidR="00666AEB" w:rsidRPr="00FE71D6">
            <w:rPr>
              <w:lang w:val="en-US"/>
            </w:rPr>
            <w:t>Hofmann and Kotzab, 2010</w:t>
          </w:r>
          <w:r w:rsidRPr="00FE71D6">
            <w:rPr>
              <w:lang w:val="en-US"/>
            </w:rPr>
            <w:t>. Moreover, those three most common supply chain management practices</w:t>
          </w:r>
          <w:r w:rsidR="009F089E" w:rsidRPr="00FE71D6">
            <w:rPr>
              <w:lang w:val="en-US"/>
            </w:rPr>
            <w:t xml:space="preserve"> </w:t>
          </w:r>
          <w:r w:rsidR="00F65C59" w:rsidRPr="00FE71D6">
            <w:rPr>
              <w:lang w:val="en-US"/>
            </w:rPr>
            <w:t>(the supplier partnership</w:t>
          </w:r>
          <w:r w:rsidR="00A079CD" w:rsidRPr="00FE71D6">
            <w:rPr>
              <w:lang w:val="en-US"/>
            </w:rPr>
            <w:t xml:space="preserve"> </w:t>
          </w:r>
          <w:r w:rsidR="00A079CD" w:rsidRPr="00FE71D6">
            <w:t>construct</w:t>
          </w:r>
          <w:r w:rsidR="00F65C59" w:rsidRPr="00FE71D6">
            <w:rPr>
              <w:lang w:val="en-US"/>
            </w:rPr>
            <w:t>, the information sharing</w:t>
          </w:r>
          <w:r w:rsidR="00A079CD" w:rsidRPr="00FE71D6">
            <w:rPr>
              <w:lang w:val="en-US"/>
            </w:rPr>
            <w:t xml:space="preserve"> </w:t>
          </w:r>
          <w:r w:rsidR="00A079CD" w:rsidRPr="00FE71D6">
            <w:t>construct</w:t>
          </w:r>
          <w:r w:rsidR="00F65C59" w:rsidRPr="00FE71D6">
            <w:rPr>
              <w:lang w:val="en-US"/>
            </w:rPr>
            <w:t>, and the lean system</w:t>
          </w:r>
          <w:r w:rsidR="00A079CD" w:rsidRPr="00FE71D6">
            <w:rPr>
              <w:lang w:val="en-US"/>
            </w:rPr>
            <w:t xml:space="preserve"> </w:t>
          </w:r>
          <w:r w:rsidR="00A079CD" w:rsidRPr="00FE71D6">
            <w:t>construct</w:t>
          </w:r>
          <w:r w:rsidR="00F65C59" w:rsidRPr="00FE71D6">
            <w:rPr>
              <w:lang w:val="en-US"/>
            </w:rPr>
            <w:t xml:space="preserve">) </w:t>
          </w:r>
          <w:r w:rsidRPr="00FE71D6">
            <w:rPr>
              <w:lang w:val="en-US"/>
            </w:rPr>
            <w:t xml:space="preserve">have significant influences on the financial performance </w:t>
          </w:r>
          <w:r w:rsidRPr="00FE71D6">
            <w:t>construct</w:t>
          </w:r>
          <w:r w:rsidRPr="00FE71D6">
            <w:rPr>
              <w:lang w:val="en-US"/>
            </w:rPr>
            <w:t xml:space="preserve"> </w:t>
          </w:r>
          <w:r w:rsidR="00666AEB" w:rsidRPr="00FE71D6">
            <w:rPr>
              <w:lang w:val="en-US"/>
            </w:rPr>
            <w:t>consistent with the research of</w:t>
          </w:r>
          <w:r w:rsidR="00666AEB" w:rsidRPr="00FE71D6">
            <w:t xml:space="preserve"> </w:t>
          </w:r>
          <w:r w:rsidR="00666AEB" w:rsidRPr="00FE71D6">
            <w:rPr>
              <w:lang w:val="en-US"/>
            </w:rPr>
            <w:t>Abdallah et al., 2014 and</w:t>
          </w:r>
          <w:r w:rsidR="00596D57" w:rsidRPr="00FE71D6">
            <w:rPr>
              <w:lang w:val="en-US"/>
            </w:rPr>
            <w:t xml:space="preserve"> Suhong Li, 2002</w:t>
          </w:r>
          <w:r w:rsidR="00596D57" w:rsidRPr="00FE71D6">
            <w:t xml:space="preserve"> </w:t>
          </w:r>
          <w:r w:rsidR="00894788" w:rsidRPr="00FE71D6">
            <w:rPr>
              <w:lang w:val="en-US"/>
            </w:rPr>
            <w:t xml:space="preserve">that are </w:t>
          </w:r>
          <w:r w:rsidR="009B1140" w:rsidRPr="00FE71D6">
            <w:t>explained</w:t>
          </w:r>
          <w:r w:rsidR="006E41F0" w:rsidRPr="00FE71D6">
            <w:t xml:space="preserve"> </w:t>
          </w:r>
          <w:r w:rsidR="00894788" w:rsidRPr="00FE71D6">
            <w:rPr>
              <w:lang w:val="en-US"/>
            </w:rPr>
            <w:t>through medi</w:t>
          </w:r>
          <w:r w:rsidRPr="00FE71D6">
            <w:rPr>
              <w:lang w:val="en-US"/>
            </w:rPr>
            <w:t xml:space="preserve">ation of the net trade cycle </w:t>
          </w:r>
          <w:r w:rsidRPr="00FE71D6">
            <w:t>construct</w:t>
          </w:r>
          <w:r w:rsidR="00596D57" w:rsidRPr="00FE71D6">
            <w:t xml:space="preserve"> </w:t>
          </w:r>
          <w:r w:rsidR="00666AEB" w:rsidRPr="00FE71D6">
            <w:rPr>
              <w:lang w:val="en-US"/>
            </w:rPr>
            <w:t>consistent with the research of</w:t>
          </w:r>
          <w:r w:rsidR="00666AEB" w:rsidRPr="00FE71D6">
            <w:t xml:space="preserve"> </w:t>
          </w:r>
          <w:r w:rsidR="00666AEB" w:rsidRPr="00FE71D6">
            <w:rPr>
              <w:lang w:val="en-US"/>
            </w:rPr>
            <w:t>Erasmus, 2010 and</w:t>
          </w:r>
          <w:r w:rsidR="00070A0A" w:rsidRPr="00FE71D6">
            <w:rPr>
              <w:lang w:val="en-US"/>
            </w:rPr>
            <w:t xml:space="preserve"> Shakoor</w:t>
          </w:r>
          <w:r w:rsidR="00596D57" w:rsidRPr="00FE71D6">
            <w:rPr>
              <w:lang w:val="en-US"/>
            </w:rPr>
            <w:t xml:space="preserve"> et al.</w:t>
          </w:r>
          <w:r w:rsidR="00070A0A" w:rsidRPr="00FE71D6">
            <w:rPr>
              <w:lang w:val="en-US"/>
            </w:rPr>
            <w:t>,</w:t>
          </w:r>
          <w:r w:rsidR="00596D57" w:rsidRPr="00FE71D6">
            <w:rPr>
              <w:lang w:val="en-US"/>
            </w:rPr>
            <w:t xml:space="preserve"> 2012</w:t>
          </w:r>
          <w:r w:rsidRPr="00FE71D6">
            <w:rPr>
              <w:lang w:val="en-US"/>
            </w:rPr>
            <w:t xml:space="preserve">. </w:t>
          </w:r>
        </w:p>
        <w:p w:rsidR="009F089E" w:rsidRPr="00FE71D6" w:rsidRDefault="00A04B2B" w:rsidP="00D576E7">
          <w:pPr>
            <w:pStyle w:val="Paragraph"/>
            <w:spacing w:before="0" w:after="240"/>
            <w:ind w:firstLine="720"/>
            <w:jc w:val="both"/>
            <w:rPr>
              <w:lang w:val="en-US"/>
            </w:rPr>
          </w:pPr>
          <w:r w:rsidRPr="00FE71D6">
            <w:rPr>
              <w:lang w:val="en-US"/>
            </w:rPr>
            <w:t xml:space="preserve">However, it </w:t>
          </w:r>
          <w:r w:rsidR="0046177A" w:rsidRPr="00FE71D6">
            <w:rPr>
              <w:lang w:val="en-US"/>
            </w:rPr>
            <w:t>is unsuccessful</w:t>
          </w:r>
          <w:r w:rsidRPr="00FE71D6">
            <w:rPr>
              <w:lang w:val="en-US"/>
            </w:rPr>
            <w:t xml:space="preserve"> to find neither significant relationship between the customer relationship </w:t>
          </w:r>
          <w:r w:rsidRPr="00FE71D6">
            <w:t>construct</w:t>
          </w:r>
          <w:r w:rsidRPr="00FE71D6">
            <w:rPr>
              <w:lang w:val="en-US"/>
            </w:rPr>
            <w:t xml:space="preserve"> of the supply chain management practices and the net trade cycle </w:t>
          </w:r>
          <w:r w:rsidRPr="00FE71D6">
            <w:t>construct</w:t>
          </w:r>
          <w:r w:rsidRPr="00FE71D6">
            <w:rPr>
              <w:lang w:val="en-US"/>
            </w:rPr>
            <w:t xml:space="preserve">; and nor significant influence of the customer relationship </w:t>
          </w:r>
          <w:r w:rsidRPr="00FE71D6">
            <w:t>construct</w:t>
          </w:r>
          <w:r w:rsidRPr="00FE71D6">
            <w:rPr>
              <w:lang w:val="en-US"/>
            </w:rPr>
            <w:t xml:space="preserve"> on the financial performance </w:t>
          </w:r>
          <w:r w:rsidRPr="00FE71D6">
            <w:t>construct</w:t>
          </w:r>
          <w:r w:rsidR="00894788" w:rsidRPr="00FE71D6">
            <w:rPr>
              <w:lang w:val="en-US"/>
            </w:rPr>
            <w:t xml:space="preserve"> that is medi</w:t>
          </w:r>
          <w:r w:rsidRPr="00FE71D6">
            <w:rPr>
              <w:lang w:val="en-US"/>
            </w:rPr>
            <w:t xml:space="preserve">ated by the net trade cycle </w:t>
          </w:r>
          <w:r w:rsidRPr="00FE71D6">
            <w:t>construct</w:t>
          </w:r>
          <w:r w:rsidRPr="00FE71D6">
            <w:rPr>
              <w:lang w:val="en-US"/>
            </w:rPr>
            <w:t>. Additionally, this insignificant relationship and influence are unsupported by previous key studies which may seriously require further investigations in a future research</w:t>
          </w:r>
          <w:r w:rsidR="006566B5" w:rsidRPr="00FE71D6">
            <w:rPr>
              <w:lang w:val="en-US"/>
            </w:rPr>
            <w:t>.</w:t>
          </w:r>
        </w:p>
        <w:p w:rsidR="005521C0" w:rsidRPr="00FE71D6" w:rsidRDefault="005521C0" w:rsidP="005521C0">
          <w:pPr>
            <w:pStyle w:val="Heading2"/>
            <w:contextualSpacing w:val="0"/>
            <w:rPr>
              <w:rFonts w:cs="Times New Roman"/>
              <w:lang w:val="en-US"/>
            </w:rPr>
          </w:pPr>
          <w:bookmarkStart w:id="100" w:name="_Toc495527345"/>
          <w:bookmarkStart w:id="101" w:name="_Toc500087504"/>
          <w:r w:rsidRPr="00FE71D6">
            <w:rPr>
              <w:rFonts w:cs="Times New Roman"/>
              <w:lang w:val="en-US"/>
            </w:rPr>
            <w:t>7.2 Research Contribution</w:t>
          </w:r>
          <w:bookmarkEnd w:id="100"/>
          <w:bookmarkEnd w:id="101"/>
        </w:p>
        <w:p w:rsidR="005521C0" w:rsidRPr="00FE71D6" w:rsidRDefault="005B0446" w:rsidP="0015477C">
          <w:pPr>
            <w:pStyle w:val="Newparagraph"/>
            <w:spacing w:after="240"/>
            <w:ind w:firstLine="0"/>
            <w:jc w:val="both"/>
            <w:rPr>
              <w:lang w:val="en-US"/>
            </w:rPr>
          </w:pPr>
          <w:r w:rsidRPr="00FE71D6">
            <w:rPr>
              <w:lang w:val="en-US"/>
            </w:rPr>
            <w:t>This research examined the relationships among the three major aspects in financial management which are the four most common supply chain management practices</w:t>
          </w:r>
          <w:r w:rsidR="005521C0" w:rsidRPr="00FE71D6">
            <w:rPr>
              <w:lang w:val="en-US"/>
            </w:rPr>
            <w:t xml:space="preserve"> (the supplier partnership, the customer relationship, the information sharing, and the lean system), </w:t>
          </w:r>
          <w:r w:rsidRPr="00FE71D6">
            <w:rPr>
              <w:lang w:val="en-US"/>
            </w:rPr>
            <w:t>the net trade cycle, and the financial performance. Consequently, this is the first research that combined these critical relationships</w:t>
          </w:r>
          <w:r w:rsidR="005521C0" w:rsidRPr="00FE71D6">
            <w:rPr>
              <w:lang w:val="en-US"/>
            </w:rPr>
            <w:t xml:space="preserve"> (the supplier partnership construct, the customer relationship construct, the information sharing construct, the lean system construct, the net trade cycle construct, and the financial performance construct) </w:t>
          </w:r>
          <w:r w:rsidRPr="00FE71D6">
            <w:rPr>
              <w:lang w:val="en-US"/>
            </w:rPr>
            <w:t>in one model</w:t>
          </w:r>
          <w:r w:rsidR="005521C0" w:rsidRPr="00FE71D6">
            <w:rPr>
              <w:lang w:val="en-US"/>
            </w:rPr>
            <w:t xml:space="preserve">. </w:t>
          </w:r>
          <w:r w:rsidR="008A510F" w:rsidRPr="00FE71D6">
            <w:rPr>
              <w:lang w:val="en-US"/>
            </w:rPr>
            <w:t xml:space="preserve">Some previous studies have found significant relationship between supply chain management and financial performance </w:t>
          </w:r>
          <w:r w:rsidR="0015477C" w:rsidRPr="00FE71D6">
            <w:rPr>
              <w:lang w:val="en-US"/>
            </w:rPr>
            <w:t>in line with the conclusion of</w:t>
          </w:r>
          <w:r w:rsidR="0015477C" w:rsidRPr="00FE71D6">
            <w:t xml:space="preserve"> </w:t>
          </w:r>
          <w:r w:rsidR="004E5F93" w:rsidRPr="00FE71D6">
            <w:t>Kumar and</w:t>
          </w:r>
          <w:r w:rsidR="0015477C" w:rsidRPr="00FE71D6">
            <w:t xml:space="preserve"> Nambirajan, 2013</w:t>
          </w:r>
          <w:r w:rsidR="008A510F" w:rsidRPr="00FE71D6">
            <w:rPr>
              <w:lang w:val="en-US"/>
            </w:rPr>
            <w:t>.</w:t>
          </w:r>
          <w:r w:rsidR="00940B88" w:rsidRPr="00FE71D6">
            <w:rPr>
              <w:lang w:val="en-US"/>
            </w:rPr>
            <w:t xml:space="preserve"> </w:t>
          </w:r>
          <w:r w:rsidR="008A510F" w:rsidRPr="00FE71D6">
            <w:rPr>
              <w:lang w:val="en-US"/>
            </w:rPr>
            <w:t xml:space="preserve">Others have found significant relationship between net trade cycle and financial performance </w:t>
          </w:r>
          <w:r w:rsidR="0015477C" w:rsidRPr="00FE71D6">
            <w:rPr>
              <w:lang w:val="en-US"/>
            </w:rPr>
            <w:t xml:space="preserve">in line with the conclusion of </w:t>
          </w:r>
          <w:r w:rsidR="0015477C" w:rsidRPr="00FE71D6">
            <w:rPr>
              <w:noProof/>
            </w:rPr>
            <w:t>Erasmus, 2010</w:t>
          </w:r>
          <w:r w:rsidR="003D71E3" w:rsidRPr="00FE71D6">
            <w:t>;</w:t>
          </w:r>
          <w:r w:rsidR="00940B88" w:rsidRPr="00FE71D6">
            <w:rPr>
              <w:lang w:val="en-US"/>
            </w:rPr>
            <w:t xml:space="preserve"> </w:t>
          </w:r>
          <w:r w:rsidR="008A510F" w:rsidRPr="00FE71D6">
            <w:rPr>
              <w:lang w:val="en-US"/>
            </w:rPr>
            <w:t>and others have found significant relationship between the supply chain management and net trade cycle</w:t>
          </w:r>
          <w:r w:rsidR="0046177A" w:rsidRPr="00FE71D6">
            <w:rPr>
              <w:lang w:val="en-US"/>
            </w:rPr>
            <w:t xml:space="preserve"> </w:t>
          </w:r>
          <w:r w:rsidR="0015477C" w:rsidRPr="00FE71D6">
            <w:rPr>
              <w:lang w:val="en-US"/>
            </w:rPr>
            <w:t>in line with the conclusion of</w:t>
          </w:r>
          <w:r w:rsidR="0015477C" w:rsidRPr="00FE71D6">
            <w:t xml:space="preserve"> Hofmann and Kotzab, 2010</w:t>
          </w:r>
          <w:r w:rsidR="00940B88" w:rsidRPr="00FE71D6">
            <w:rPr>
              <w:lang w:val="en-US"/>
            </w:rPr>
            <w:t xml:space="preserve">. </w:t>
          </w:r>
          <w:r w:rsidR="008A510F" w:rsidRPr="00FE71D6">
            <w:rPr>
              <w:lang w:val="en-US"/>
            </w:rPr>
            <w:t>However, none of the previous studies have combined these three major aspects in financial management in one model. This model affirms that the financial performance can be improved through well- utilized resources via proper management of the supply chain that is mediated by the efficient net trade cycle</w:t>
          </w:r>
          <w:r w:rsidR="00594923" w:rsidRPr="00FE71D6">
            <w:rPr>
              <w:lang w:val="en-US"/>
            </w:rPr>
            <w:t>.</w:t>
          </w:r>
        </w:p>
        <w:p w:rsidR="009F089E" w:rsidRPr="00FE71D6" w:rsidRDefault="005521C0" w:rsidP="003A6DA6">
          <w:pPr>
            <w:pStyle w:val="Heading2"/>
            <w:contextualSpacing w:val="0"/>
            <w:rPr>
              <w:rFonts w:cs="Times New Roman"/>
              <w:lang w:val="en-US"/>
            </w:rPr>
          </w:pPr>
          <w:bookmarkStart w:id="102" w:name="_Toc495527346"/>
          <w:bookmarkStart w:id="103" w:name="_Toc500087505"/>
          <w:r w:rsidRPr="00FE71D6">
            <w:rPr>
              <w:rFonts w:cs="Times New Roman"/>
              <w:lang w:val="en-US"/>
            </w:rPr>
            <w:t>7.3</w:t>
          </w:r>
          <w:r w:rsidR="009F089E" w:rsidRPr="00FE71D6">
            <w:rPr>
              <w:rFonts w:cs="Times New Roman"/>
              <w:lang w:val="en-US"/>
            </w:rPr>
            <w:t xml:space="preserve"> Practical Implications</w:t>
          </w:r>
          <w:bookmarkEnd w:id="102"/>
          <w:bookmarkEnd w:id="103"/>
        </w:p>
        <w:p w:rsidR="009F089E" w:rsidRPr="00FE71D6" w:rsidRDefault="00895E7D" w:rsidP="00666AEB">
          <w:pPr>
            <w:pStyle w:val="Newparagraph"/>
            <w:spacing w:after="240"/>
            <w:ind w:firstLine="0"/>
            <w:jc w:val="both"/>
            <w:rPr>
              <w:lang w:val="en-US"/>
            </w:rPr>
          </w:pPr>
          <w:r w:rsidRPr="00FE71D6">
            <w:rPr>
              <w:lang w:val="en-US"/>
            </w:rPr>
            <w:t xml:space="preserve">By finding these critical relationships (the supplier partnership construct, the customer relationship construct, the information sharing construct, the lean system construct, the net trade cycle construct, and the financial performance construct), production managers can eliminate unnecessary costs through properly managing those four most common supply chain practices which are the supplier partnership, the customer relationship, the information sharing, and the lean system </w:t>
          </w:r>
          <w:r w:rsidR="00666AEB" w:rsidRPr="00FE71D6">
            <w:rPr>
              <w:lang w:val="en-US"/>
            </w:rPr>
            <w:t>in accordance with</w:t>
          </w:r>
          <w:r w:rsidR="00666AEB" w:rsidRPr="00FE71D6">
            <w:t xml:space="preserve"> </w:t>
          </w:r>
          <w:r w:rsidR="00666AEB" w:rsidRPr="00FE71D6">
            <w:rPr>
              <w:lang w:val="en-US"/>
            </w:rPr>
            <w:t>Abdallah et al., 2014 and</w:t>
          </w:r>
          <w:r w:rsidR="00864DF6" w:rsidRPr="00FE71D6">
            <w:rPr>
              <w:lang w:val="en-US"/>
            </w:rPr>
            <w:t xml:space="preserve"> Suhong Li, 2002</w:t>
          </w:r>
          <w:r w:rsidR="00C942BB" w:rsidRPr="00FE71D6">
            <w:rPr>
              <w:lang w:val="en-US"/>
            </w:rPr>
            <w:t>;</w:t>
          </w:r>
          <w:r w:rsidR="00864DF6" w:rsidRPr="00FE71D6">
            <w:t xml:space="preserve"> </w:t>
          </w:r>
          <w:r w:rsidRPr="00FE71D6">
            <w:rPr>
              <w:lang w:val="en-US"/>
            </w:rPr>
            <w:t>as well as efficiently employing the net trade cycle as they are the primary tool for companies to attain the competitive advantage</w:t>
          </w:r>
          <w:r w:rsidR="00864DF6" w:rsidRPr="00FE71D6">
            <w:rPr>
              <w:lang w:val="en-US"/>
            </w:rPr>
            <w:t xml:space="preserve"> </w:t>
          </w:r>
          <w:r w:rsidR="00666AEB" w:rsidRPr="00FE71D6">
            <w:rPr>
              <w:lang w:val="en-US"/>
            </w:rPr>
            <w:t>in accordance with</w:t>
          </w:r>
          <w:r w:rsidR="00666AEB" w:rsidRPr="00FE71D6">
            <w:t xml:space="preserve"> </w:t>
          </w:r>
          <w:r w:rsidR="00666AEB" w:rsidRPr="00FE71D6">
            <w:rPr>
              <w:lang w:val="en-US"/>
            </w:rPr>
            <w:t>Erasmus, 2010 and</w:t>
          </w:r>
          <w:r w:rsidR="00070A0A" w:rsidRPr="00FE71D6">
            <w:rPr>
              <w:lang w:val="en-US"/>
            </w:rPr>
            <w:t xml:space="preserve"> Shakoor</w:t>
          </w:r>
          <w:r w:rsidR="00864DF6" w:rsidRPr="00FE71D6">
            <w:rPr>
              <w:lang w:val="en-US"/>
            </w:rPr>
            <w:t xml:space="preserve"> et al.</w:t>
          </w:r>
          <w:r w:rsidR="00070A0A" w:rsidRPr="00FE71D6">
            <w:rPr>
              <w:lang w:val="en-US"/>
            </w:rPr>
            <w:t>,</w:t>
          </w:r>
          <w:r w:rsidR="00864DF6" w:rsidRPr="00FE71D6">
            <w:rPr>
              <w:lang w:val="en-US"/>
            </w:rPr>
            <w:t xml:space="preserve"> 2012</w:t>
          </w:r>
          <w:r w:rsidRPr="00FE71D6">
            <w:rPr>
              <w:lang w:val="en-US"/>
            </w:rPr>
            <w:t>. Moreover, this may enable the production managers to focus on value added activities only, which will help to decrease costs as well as to increase profits and quality accordingly</w:t>
          </w:r>
          <w:r w:rsidR="009F089E" w:rsidRPr="00FE71D6">
            <w:rPr>
              <w:lang w:val="en-US"/>
            </w:rPr>
            <w:t>.</w:t>
          </w:r>
          <w:r w:rsidR="005D47C2" w:rsidRPr="00FE71D6">
            <w:rPr>
              <w:lang w:val="en-US"/>
            </w:rPr>
            <w:t xml:space="preserve"> </w:t>
          </w:r>
          <w:r w:rsidR="00875595" w:rsidRPr="00FE71D6">
            <w:rPr>
              <w:lang w:val="en-US"/>
            </w:rPr>
            <w:t xml:space="preserve">Furthermore, </w:t>
          </w:r>
          <w:r w:rsidR="00875595" w:rsidRPr="00FE71D6">
            <w:t>these findings can be used by business sectors to make strategic decisions about how to conduct and invest on its supply chain that may have the major effect over the financial performance</w:t>
          </w:r>
          <w:r w:rsidR="005D47C2" w:rsidRPr="00FE71D6">
            <w:t>.</w:t>
          </w:r>
        </w:p>
        <w:p w:rsidR="009F089E" w:rsidRPr="00FE71D6" w:rsidRDefault="005521C0" w:rsidP="003A6DA6">
          <w:pPr>
            <w:pStyle w:val="Heading2"/>
            <w:contextualSpacing w:val="0"/>
            <w:rPr>
              <w:rFonts w:cs="Times New Roman"/>
              <w:lang w:val="en-US"/>
            </w:rPr>
          </w:pPr>
          <w:bookmarkStart w:id="104" w:name="_Toc495527347"/>
          <w:bookmarkStart w:id="105" w:name="_Toc500087506"/>
          <w:r w:rsidRPr="00FE71D6">
            <w:rPr>
              <w:rFonts w:cs="Times New Roman"/>
              <w:lang w:val="en-US"/>
            </w:rPr>
            <w:t>7.4</w:t>
          </w:r>
          <w:r w:rsidR="009F089E" w:rsidRPr="00FE71D6">
            <w:rPr>
              <w:rFonts w:cs="Times New Roman"/>
              <w:lang w:val="en-US"/>
            </w:rPr>
            <w:t xml:space="preserve"> Limitations and Future Research</w:t>
          </w:r>
          <w:bookmarkEnd w:id="104"/>
          <w:bookmarkEnd w:id="105"/>
        </w:p>
        <w:p w:rsidR="00185BFF" w:rsidRPr="00FE71D6" w:rsidRDefault="00815B19" w:rsidP="00D576E7">
          <w:pPr>
            <w:pStyle w:val="Newparagraph"/>
            <w:ind w:firstLine="0"/>
            <w:jc w:val="both"/>
            <w:rPr>
              <w:lang w:val="en-US"/>
            </w:rPr>
          </w:pPr>
          <w:r w:rsidRPr="00FE71D6">
            <w:rPr>
              <w:lang w:val="en-US"/>
            </w:rPr>
            <w:t>This research has empirically analyzed the relationships among three critical aspects of financial management in one model where none of the previous studies have undertaken. Moreover, it has found that there are significant relationships among almost all tested constructs making further investigations fertile for researchers</w:t>
          </w:r>
          <w:r w:rsidR="00791AAB" w:rsidRPr="00FE71D6">
            <w:rPr>
              <w:lang w:val="en-US"/>
            </w:rPr>
            <w:t xml:space="preserve">. </w:t>
          </w:r>
        </w:p>
        <w:p w:rsidR="009F089E" w:rsidRPr="00FE71D6" w:rsidRDefault="00815B19" w:rsidP="00D576E7">
          <w:pPr>
            <w:pStyle w:val="Paragraph"/>
            <w:spacing w:before="0"/>
            <w:ind w:firstLine="720"/>
            <w:jc w:val="both"/>
            <w:rPr>
              <w:lang w:val="en-US"/>
            </w:rPr>
          </w:pPr>
          <w:r w:rsidRPr="00FE71D6">
            <w:rPr>
              <w:lang w:val="en-US"/>
            </w:rPr>
            <w:t>This research is faced with numerous limitations which is common to questionnaire technique and the employed structural equation modeling technique</w:t>
          </w:r>
          <w:r w:rsidR="000A4B83" w:rsidRPr="00FE71D6">
            <w:rPr>
              <w:lang w:val="en-US"/>
            </w:rPr>
            <w:t xml:space="preserve">. For example, the data was obtained from face- to- face questionnaires that were dependent on the perceptions of the respondents. Moreover, it </w:t>
          </w:r>
          <w:r w:rsidR="0086436E" w:rsidRPr="00FE71D6">
            <w:rPr>
              <w:lang w:val="en-US"/>
            </w:rPr>
            <w:t>is unsuccessful</w:t>
          </w:r>
          <w:r w:rsidR="000A4B83" w:rsidRPr="00FE71D6">
            <w:rPr>
              <w:lang w:val="en-US"/>
            </w:rPr>
            <w:t xml:space="preserve"> to find neither a direct significant influence of the customer relationship on the financial performance nor an indirect significant relationship of the customer relationship and the financial performance that is m</w:t>
          </w:r>
          <w:r w:rsidR="00894788" w:rsidRPr="00FE71D6">
            <w:rPr>
              <w:lang w:val="en-US"/>
            </w:rPr>
            <w:t>edi</w:t>
          </w:r>
          <w:r w:rsidR="000A4B83" w:rsidRPr="00FE71D6">
            <w:rPr>
              <w:lang w:val="en-US"/>
            </w:rPr>
            <w:t xml:space="preserve">ated by the net trade cycle. Furthermore, small sample size (less than 200 respondents) of the questionnaires were floated which may impact the accuracy and generalizability of the extracted outcomes. </w:t>
          </w:r>
          <w:r w:rsidR="0086436E" w:rsidRPr="00FE71D6">
            <w:t>Specifically</w:t>
          </w:r>
          <w:r w:rsidR="000A4B83" w:rsidRPr="00FE71D6">
            <w:t>, it was merely conducted at three manufacturing companies in the Kingdom of Bahrain; and thus, it might not be applicable for other companies that have different nature of businesses within the same country and/or manufacturing and non-manufacturing companies in other Gulf Cooperation Council countries</w:t>
          </w:r>
          <w:r w:rsidR="009F089E" w:rsidRPr="00FE71D6">
            <w:t>.</w:t>
          </w:r>
        </w:p>
        <w:p w:rsidR="00666AEB" w:rsidRPr="00FE71D6" w:rsidRDefault="00666AEB" w:rsidP="00D576E7">
          <w:pPr>
            <w:pStyle w:val="Paragraph"/>
            <w:spacing w:before="0" w:after="240"/>
            <w:ind w:firstLine="720"/>
            <w:jc w:val="both"/>
          </w:pPr>
        </w:p>
        <w:p w:rsidR="009F089E" w:rsidRPr="00FE71D6" w:rsidRDefault="000A4B83" w:rsidP="00D576E7">
          <w:pPr>
            <w:pStyle w:val="Paragraph"/>
            <w:spacing w:before="0" w:after="240"/>
            <w:ind w:firstLine="720"/>
            <w:jc w:val="both"/>
            <w:rPr>
              <w:lang w:val="en-US"/>
            </w:rPr>
          </w:pPr>
          <w:r w:rsidRPr="00FE71D6">
            <w:t>Therefore</w:t>
          </w:r>
          <w:r w:rsidRPr="00FE71D6">
            <w:rPr>
              <w:lang w:val="en-US"/>
            </w:rPr>
            <w:t>, it is in need for future research that will be conducted at numerous companies encompassing several nature of businesses in different developing countries including all other Gulf Cooperation Council countries; in addition, increasing their sample size of respondents to the sufficient sample size compared to the size of the population. This may prove that there is a significant influence on the customer relationship and the net trade cycle on the financial performance as well as may improve the validity of data and achieve the generalizability of extracted results</w:t>
          </w:r>
          <w:r w:rsidR="009F089E" w:rsidRPr="00FE71D6">
            <w:rPr>
              <w:lang w:val="en-US"/>
            </w:rPr>
            <w:t xml:space="preserve">. </w:t>
          </w:r>
        </w:p>
        <w:p w:rsidR="009F089E" w:rsidRPr="00FE71D6" w:rsidRDefault="005521C0" w:rsidP="003A6DA6">
          <w:pPr>
            <w:pStyle w:val="Heading2"/>
            <w:contextualSpacing w:val="0"/>
            <w:rPr>
              <w:rFonts w:cs="Times New Roman"/>
              <w:lang w:val="en-US"/>
            </w:rPr>
          </w:pPr>
          <w:bookmarkStart w:id="106" w:name="_Toc495527348"/>
          <w:bookmarkStart w:id="107" w:name="_Toc500087507"/>
          <w:r w:rsidRPr="00FE71D6">
            <w:rPr>
              <w:rFonts w:cs="Times New Roman"/>
              <w:lang w:val="en-US"/>
            </w:rPr>
            <w:t>7.5</w:t>
          </w:r>
          <w:r w:rsidR="009F089E" w:rsidRPr="00FE71D6">
            <w:rPr>
              <w:rFonts w:cs="Times New Roman"/>
              <w:lang w:val="en-US"/>
            </w:rPr>
            <w:t xml:space="preserve"> Recommendations</w:t>
          </w:r>
          <w:bookmarkEnd w:id="106"/>
          <w:bookmarkEnd w:id="107"/>
        </w:p>
        <w:p w:rsidR="009F089E" w:rsidRPr="00FE71D6" w:rsidRDefault="002551C4" w:rsidP="00D576E7">
          <w:pPr>
            <w:pStyle w:val="Paragraph"/>
            <w:spacing w:before="0" w:after="120"/>
            <w:jc w:val="both"/>
          </w:pPr>
          <w:r w:rsidRPr="00FE71D6">
            <w:t>Based on the major findings, research contribution, and practical implications, the following recommendations are presented below</w:t>
          </w:r>
          <w:r w:rsidR="009F089E" w:rsidRPr="00FE71D6">
            <w:t xml:space="preserve">: </w:t>
          </w:r>
        </w:p>
        <w:p w:rsidR="009F089E" w:rsidRPr="00FE71D6" w:rsidRDefault="002551C4" w:rsidP="00A75016">
          <w:pPr>
            <w:pStyle w:val="Paragraph"/>
            <w:numPr>
              <w:ilvl w:val="0"/>
              <w:numId w:val="34"/>
            </w:numPr>
            <w:spacing w:before="0" w:after="200"/>
            <w:jc w:val="both"/>
          </w:pPr>
          <w:r w:rsidRPr="00FE71D6">
            <w:t>The management has to pay more attention on monitoring processes of those four most common supply chain management practices as this means eliminating unnecessary costs via properly utilized resources</w:t>
          </w:r>
          <w:r w:rsidR="009F089E" w:rsidRPr="00FE71D6">
            <w:t>.</w:t>
          </w:r>
        </w:p>
        <w:p w:rsidR="009F089E" w:rsidRPr="00FE71D6" w:rsidRDefault="002551C4" w:rsidP="00A75016">
          <w:pPr>
            <w:pStyle w:val="Paragraph"/>
            <w:numPr>
              <w:ilvl w:val="0"/>
              <w:numId w:val="34"/>
            </w:numPr>
            <w:spacing w:before="0" w:after="200"/>
            <w:jc w:val="both"/>
          </w:pPr>
          <w:r w:rsidRPr="00FE71D6">
            <w:t>The management has to pay more attention on attaining utilisation of resources well via efficient net trade cycle (efficient inventory conversion period, efficient receivable collection period, and efficient payable deferral period) as this means having more liquidity, less risk, and more profitability</w:t>
          </w:r>
          <w:r w:rsidR="009F089E" w:rsidRPr="00FE71D6">
            <w:t>.</w:t>
          </w:r>
        </w:p>
        <w:p w:rsidR="00A0119A" w:rsidRPr="00FE71D6" w:rsidRDefault="002551C4" w:rsidP="00A0119A">
          <w:pPr>
            <w:pStyle w:val="Paragraph"/>
            <w:numPr>
              <w:ilvl w:val="0"/>
              <w:numId w:val="34"/>
            </w:numPr>
            <w:spacing w:before="0" w:after="240"/>
            <w:jc w:val="both"/>
          </w:pPr>
          <w:r w:rsidRPr="00FE71D6">
            <w:t>The management also has to collaborate between those four most common supply chain management practices and the efficient net trade cycle as this leads to increase efficiency as well as enhanced financial performance, which is the pillar for any successful company</w:t>
          </w:r>
          <w:r w:rsidR="009F089E" w:rsidRPr="00FE71D6">
            <w:t>.</w:t>
          </w:r>
        </w:p>
        <w:p w:rsidR="00A0119A" w:rsidRPr="00FE71D6" w:rsidRDefault="002551C4" w:rsidP="00A75016">
          <w:pPr>
            <w:pStyle w:val="Paragraph"/>
            <w:numPr>
              <w:ilvl w:val="0"/>
              <w:numId w:val="34"/>
            </w:numPr>
            <w:spacing w:before="0" w:after="200"/>
            <w:jc w:val="both"/>
          </w:pPr>
          <w:r w:rsidRPr="00FE71D6">
            <w:t>Researchers in developing countries in general have to pay more attention on those four most common supply chain management practices and the efficient net trade cycle as there is a lack of existing research and contradicting results among researchers</w:t>
          </w:r>
          <w:r w:rsidR="000D479D" w:rsidRPr="00FE71D6">
            <w:t>.</w:t>
          </w:r>
        </w:p>
        <w:p w:rsidR="00BA086C" w:rsidRPr="00FE71D6" w:rsidRDefault="002551C4" w:rsidP="00D576E7">
          <w:pPr>
            <w:pStyle w:val="Paragraph"/>
            <w:numPr>
              <w:ilvl w:val="0"/>
              <w:numId w:val="34"/>
            </w:numPr>
            <w:spacing w:before="0" w:after="240"/>
            <w:jc w:val="both"/>
          </w:pPr>
          <w:r w:rsidRPr="00FE71D6">
            <w:t xml:space="preserve">Researchers also have to make further investigations on the relationship between the customer relationship and the net trade cycle as well as the influence of the customer relationship on the financial performance that is </w:t>
          </w:r>
          <w:r w:rsidR="00894788" w:rsidRPr="00FE71D6">
            <w:t>medi</w:t>
          </w:r>
          <w:r w:rsidRPr="00FE71D6">
            <w:t>ated by the net trade cycle to explore the real reasons of insignificant relationship or influence of customer relationship with the net trade cycle and the financial performance</w:t>
          </w:r>
          <w:r w:rsidR="00BA086C" w:rsidRPr="00FE71D6">
            <w:t xml:space="preserve">. </w:t>
          </w:r>
        </w:p>
        <w:p w:rsidR="001101F9" w:rsidRPr="00FE71D6" w:rsidRDefault="001101F9" w:rsidP="001101F9"/>
        <w:p w:rsidR="00AD0167" w:rsidRPr="00FE71D6" w:rsidRDefault="00AD0167" w:rsidP="00AD0167"/>
        <w:p w:rsidR="00AD0167" w:rsidRPr="00FE71D6" w:rsidRDefault="00AD0167" w:rsidP="00AD0167"/>
        <w:p w:rsidR="00B56DFB" w:rsidRPr="00FE71D6" w:rsidRDefault="00B56DFB" w:rsidP="00B56DFB"/>
        <w:p w:rsidR="00B56DFB" w:rsidRPr="00FE71D6" w:rsidRDefault="00B56DFB" w:rsidP="00B56DFB"/>
        <w:p w:rsidR="00B56DFB" w:rsidRPr="00FE71D6" w:rsidRDefault="00B56DFB" w:rsidP="00B56DFB"/>
        <w:p w:rsidR="00B56DFB" w:rsidRPr="00FE71D6" w:rsidRDefault="00B56DFB" w:rsidP="00B56DFB"/>
        <w:p w:rsidR="00B56DFB" w:rsidRPr="00FE71D6" w:rsidRDefault="00B56DFB" w:rsidP="00B56DFB"/>
        <w:p w:rsidR="00B56DFB" w:rsidRPr="00FE71D6" w:rsidRDefault="00B56DFB" w:rsidP="00B56DFB"/>
        <w:p w:rsidR="007C452B" w:rsidRPr="00FE71D6" w:rsidRDefault="007C452B" w:rsidP="007C452B">
          <w:bookmarkStart w:id="108" w:name="_Toc495527349"/>
        </w:p>
        <w:p w:rsidR="007C452B" w:rsidRPr="00FE71D6" w:rsidRDefault="007C452B" w:rsidP="007C452B"/>
        <w:p w:rsidR="00C942BB" w:rsidRPr="00FE71D6" w:rsidRDefault="00C942BB" w:rsidP="00C942BB"/>
        <w:p w:rsidR="008F60C4" w:rsidRPr="00FE71D6" w:rsidRDefault="00267245" w:rsidP="00D86636">
          <w:pPr>
            <w:pStyle w:val="Heading1"/>
            <w:rPr>
              <w:rFonts w:cs="Times New Roman"/>
            </w:rPr>
          </w:pPr>
          <w:bookmarkStart w:id="109" w:name="_Toc500087508"/>
          <w:r w:rsidRPr="00FE71D6">
            <w:rPr>
              <w:rFonts w:cs="Times New Roman"/>
            </w:rPr>
            <w:t>BIBLIOGRAPHY</w:t>
          </w:r>
          <w:bookmarkEnd w:id="108"/>
          <w:bookmarkEnd w:id="109"/>
        </w:p>
        <w:sdt>
          <w:sdtPr>
            <w:rPr>
              <w:rFonts w:ascii="Times New Roman" w:eastAsia="Times New Roman" w:hAnsi="Times New Roman" w:cs="Times New Roman"/>
              <w:sz w:val="24"/>
              <w:szCs w:val="24"/>
              <w:lang w:val="en-GB" w:eastAsia="en-GB"/>
            </w:rPr>
            <w:id w:val="-1335448573"/>
            <w:bibliography/>
          </w:sdtPr>
          <w:sdtEndPr/>
          <w:sdtContent>
            <w:sdt>
              <w:sdtPr>
                <w:rPr>
                  <w:rFonts w:ascii="Times New Roman" w:eastAsia="Times New Roman" w:hAnsi="Times New Roman" w:cs="Times New Roman"/>
                  <w:sz w:val="24"/>
                  <w:szCs w:val="24"/>
                  <w:lang w:val="en-GB" w:eastAsia="en-GB"/>
                </w:rPr>
                <w:id w:val="-1239006347"/>
                <w:bibliography/>
              </w:sdtPr>
              <w:sdtEndPr/>
              <w:sdtContent>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Abdallah, A. B., Obeidat, B. Y., &amp; Aqqad, N. O. (2014). The Impact of Supply Chain Management Practices on Supply Chain Performance in Jordan: The Moderating Effect of Competitive Intensity. International Business Research, 7(3), 13-27.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Abuzayed, B. (2012). Working Capital Management and Firms’ Performance in Emerging Markets: The Case of Jordan. </w:t>
                  </w:r>
                  <w:r w:rsidRPr="00FE71D6">
                    <w:rPr>
                      <w:rFonts w:ascii="Times New Roman" w:hAnsi="Times New Roman" w:cs="Times New Roman"/>
                      <w:i/>
                      <w:iCs/>
                      <w:noProof/>
                      <w:sz w:val="24"/>
                      <w:szCs w:val="24"/>
                    </w:rPr>
                    <w:t>International Journal of        Managerial Finance, 8</w:t>
                  </w:r>
                  <w:r w:rsidRPr="00FE71D6">
                    <w:rPr>
                      <w:rFonts w:ascii="Times New Roman" w:hAnsi="Times New Roman" w:cs="Times New Roman"/>
                      <w:noProof/>
                      <w:sz w:val="24"/>
                      <w:szCs w:val="24"/>
                    </w:rPr>
                    <w:t>(2), 155-179.</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Alber, K., &amp; Walker, W. (1998). Supply Chain Management: Principles and Techniques for the Practitioners. </w:t>
                  </w:r>
                  <w:r w:rsidRPr="00FE71D6">
                    <w:rPr>
                      <w:rFonts w:ascii="Times New Roman" w:hAnsi="Times New Roman" w:cs="Times New Roman"/>
                      <w:i/>
                      <w:iCs/>
                      <w:noProof/>
                      <w:sz w:val="24"/>
                      <w:szCs w:val="24"/>
                    </w:rPr>
                    <w:t>APICS Educational and Research Foundation, Inc</w:t>
                  </w:r>
                  <w:r w:rsidR="007465D3" w:rsidRPr="00FE71D6">
                    <w:rPr>
                      <w:rFonts w:ascii="Times New Roman" w:hAnsi="Times New Roman" w:cs="Times New Roman"/>
                      <w:i/>
                      <w:iCs/>
                      <w:noProof/>
                      <w:sz w:val="24"/>
                      <w:szCs w:val="24"/>
                    </w:rPr>
                    <w:t xml:space="preserve">, </w:t>
                  </w:r>
                  <w:r w:rsidR="007465D3" w:rsidRPr="00FE71D6">
                    <w:rPr>
                      <w:rFonts w:ascii="Times New Roman" w:hAnsi="Times New Roman" w:cs="Times New Roman"/>
                      <w:noProof/>
                      <w:sz w:val="24"/>
                      <w:szCs w:val="24"/>
                    </w:rPr>
                    <w:t>68</w:t>
                  </w:r>
                  <w:r w:rsidRPr="00FE71D6">
                    <w:rPr>
                      <w:rFonts w:ascii="Times New Roman" w:hAnsi="Times New Roman" w:cs="Times New Roman"/>
                      <w:noProof/>
                      <w:sz w:val="24"/>
                      <w:szCs w:val="24"/>
                    </w:rPr>
                    <w:t>.</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Alvarado, U., &amp; Kotzab, H. (2001). Supply Chain Management: the Integration of Logistics in Marketing. </w:t>
                  </w:r>
                  <w:r w:rsidRPr="00FE71D6">
                    <w:rPr>
                      <w:rFonts w:ascii="Times New Roman" w:hAnsi="Times New Roman" w:cs="Times New Roman"/>
                      <w:i/>
                      <w:iCs/>
                      <w:noProof/>
                      <w:sz w:val="24"/>
                      <w:szCs w:val="24"/>
                    </w:rPr>
                    <w:t>Industrial Marketing Management, 30</w:t>
                  </w:r>
                  <w:r w:rsidRPr="00FE71D6">
                    <w:rPr>
                      <w:rFonts w:ascii="Times New Roman" w:hAnsi="Times New Roman" w:cs="Times New Roman"/>
                      <w:noProof/>
                      <w:sz w:val="24"/>
                      <w:szCs w:val="24"/>
                    </w:rPr>
                    <w:t>, 183-198.</w:t>
                  </w:r>
                </w:p>
                <w:p w:rsidR="007E70C3" w:rsidRPr="00FE71D6" w:rsidRDefault="007E70C3" w:rsidP="00DA7370">
                  <w:pPr>
                    <w:spacing w:after="240" w:line="240" w:lineRule="auto"/>
                    <w:ind w:left="720" w:hanging="720"/>
                    <w:jc w:val="both"/>
                    <w:rPr>
                      <w:lang w:val="en-US" w:eastAsia="en-US"/>
                    </w:rPr>
                  </w:pPr>
                  <w:r w:rsidRPr="00FE71D6">
                    <w:rPr>
                      <w:noProof/>
                      <w:lang w:val="en-US"/>
                    </w:rPr>
                    <w:t xml:space="preserve">Anderson, E., &amp; Weitz, B. (1992). The Use of Pledges to Build and Sustain Commitment in Distribution Channels. </w:t>
                  </w:r>
                  <w:r w:rsidRPr="00FE71D6">
                    <w:rPr>
                      <w:i/>
                      <w:iCs/>
                      <w:noProof/>
                      <w:lang w:val="en-US"/>
                    </w:rPr>
                    <w:t>Journal of Marketing Research</w:t>
                  </w:r>
                  <w:r w:rsidRPr="00FE71D6">
                    <w:rPr>
                      <w:noProof/>
                      <w:lang w:val="en-US"/>
                    </w:rPr>
                    <w:t>, 18-34.</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Anser, R., &amp; Malik, Q. A. (2013). Cash Conversion Cycle and Firms’ Profitability-A Study of Listed Manufacturing Companies of Pakistan. </w:t>
                  </w:r>
                  <w:r w:rsidRPr="00FE71D6">
                    <w:rPr>
                      <w:rFonts w:ascii="Times New Roman" w:hAnsi="Times New Roman" w:cs="Times New Roman"/>
                      <w:i/>
                      <w:iCs/>
                      <w:noProof/>
                      <w:sz w:val="24"/>
                      <w:szCs w:val="24"/>
                    </w:rPr>
                    <w:t>IOSR Journal of Business and Management, 8</w:t>
                  </w:r>
                  <w:r w:rsidRPr="00FE71D6">
                    <w:rPr>
                      <w:rFonts w:ascii="Times New Roman" w:hAnsi="Times New Roman" w:cs="Times New Roman"/>
                      <w:noProof/>
                      <w:sz w:val="24"/>
                      <w:szCs w:val="24"/>
                    </w:rPr>
                    <w:t>(2), 83-87.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Appuhami, B. A. (2008). The Impact of Firms’ Capital Expenditure on Working Capital Management: An Empirical Study Ac</w:t>
                  </w:r>
                  <w:r w:rsidR="00227B9A" w:rsidRPr="00FE71D6">
                    <w:rPr>
                      <w:rFonts w:ascii="Times New Roman" w:hAnsi="Times New Roman" w:cs="Times New Roman"/>
                      <w:noProof/>
                      <w:sz w:val="24"/>
                      <w:szCs w:val="24"/>
                    </w:rPr>
                    <w:t>ross Industries in Thailand.</w:t>
                  </w:r>
                  <w:r w:rsidRPr="00FE71D6">
                    <w:rPr>
                      <w:rFonts w:ascii="Times New Roman" w:hAnsi="Times New Roman" w:cs="Times New Roman"/>
                      <w:noProof/>
                      <w:sz w:val="24"/>
                      <w:szCs w:val="24"/>
                    </w:rPr>
                    <w:t xml:space="preserve"> </w:t>
                  </w:r>
                  <w:r w:rsidRPr="00FE71D6">
                    <w:rPr>
                      <w:rFonts w:ascii="Times New Roman" w:hAnsi="Times New Roman" w:cs="Times New Roman"/>
                      <w:i/>
                      <w:iCs/>
                      <w:noProof/>
                      <w:sz w:val="24"/>
                      <w:szCs w:val="24"/>
                    </w:rPr>
                    <w:t>International Management Review, 4</w:t>
                  </w:r>
                  <w:r w:rsidRPr="00FE71D6">
                    <w:rPr>
                      <w:rFonts w:ascii="Times New Roman" w:hAnsi="Times New Roman" w:cs="Times New Roman"/>
                      <w:noProof/>
                      <w:sz w:val="24"/>
                      <w:szCs w:val="24"/>
                    </w:rPr>
                    <w:t>(1).</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Azouzi, M. A., &amp; Jarboui, A. (2016). Financial Performance Indicators of Tunisian Companies: Decision Tree Analysis. </w:t>
                  </w:r>
                  <w:r w:rsidRPr="00FE71D6">
                    <w:rPr>
                      <w:rFonts w:ascii="Times New Roman" w:hAnsi="Times New Roman" w:cs="Times New Roman"/>
                      <w:i/>
                      <w:iCs/>
                      <w:noProof/>
                      <w:sz w:val="24"/>
                      <w:szCs w:val="24"/>
                    </w:rPr>
                    <w:t xml:space="preserve">Journal of Arts, Science &amp; Commerce, </w:t>
                  </w:r>
                  <w:r w:rsidR="00227B9A" w:rsidRPr="00FE71D6">
                    <w:rPr>
                      <w:rFonts w:ascii="Times New Roman" w:hAnsi="Times New Roman" w:cs="Times New Roman"/>
                      <w:i/>
                      <w:iCs/>
                      <w:noProof/>
                      <w:sz w:val="24"/>
                      <w:szCs w:val="24"/>
                    </w:rPr>
                    <w:t>7</w:t>
                  </w:r>
                  <w:r w:rsidRPr="00FE71D6">
                    <w:rPr>
                      <w:rFonts w:ascii="Times New Roman" w:hAnsi="Times New Roman" w:cs="Times New Roman"/>
                      <w:noProof/>
                      <w:sz w:val="24"/>
                      <w:szCs w:val="24"/>
                    </w:rPr>
                    <w:t>(1), 99-110.</w:t>
                  </w:r>
                </w:p>
                <w:p w:rsidR="007F0A10" w:rsidRPr="00FE71D6" w:rsidRDefault="007F0A10" w:rsidP="00DA7370">
                  <w:pPr>
                    <w:pStyle w:val="Bibliography"/>
                    <w:spacing w:after="240" w:line="240" w:lineRule="auto"/>
                    <w:ind w:left="72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Bagozzi, R., Yi, Y., &amp; Philips, L. (1991). Assessing Construct Validity in Organizational Research. </w:t>
                  </w:r>
                  <w:r w:rsidRPr="00FE71D6">
                    <w:rPr>
                      <w:rFonts w:ascii="Times New Roman" w:hAnsi="Times New Roman" w:cs="Times New Roman"/>
                      <w:i/>
                      <w:iCs/>
                      <w:noProof/>
                      <w:sz w:val="24"/>
                      <w:szCs w:val="24"/>
                    </w:rPr>
                    <w:t>Administrative Sciences Quarterly, 36</w:t>
                  </w:r>
                  <w:r w:rsidRPr="00FE71D6">
                    <w:rPr>
                      <w:rFonts w:ascii="Times New Roman" w:hAnsi="Times New Roman" w:cs="Times New Roman"/>
                      <w:noProof/>
                      <w:sz w:val="24"/>
                      <w:szCs w:val="24"/>
                    </w:rPr>
                    <w:t>(3), 421-458.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Ballou, R. H., Gillbert, S. M., &amp; Mukherjee, A. (2000). New Managerial Challenge from Supply Chain Opportunities. </w:t>
                  </w:r>
                  <w:r w:rsidRPr="00FE71D6">
                    <w:rPr>
                      <w:rFonts w:ascii="Times New Roman" w:hAnsi="Times New Roman" w:cs="Times New Roman"/>
                      <w:i/>
                      <w:iCs/>
                      <w:noProof/>
                      <w:sz w:val="24"/>
                      <w:szCs w:val="24"/>
                    </w:rPr>
                    <w:t>Industrial Marketing Management, 29</w:t>
                  </w:r>
                  <w:r w:rsidRPr="00FE71D6">
                    <w:rPr>
                      <w:rFonts w:ascii="Times New Roman" w:hAnsi="Times New Roman" w:cs="Times New Roman"/>
                      <w:noProof/>
                      <w:sz w:val="24"/>
                      <w:szCs w:val="24"/>
                    </w:rPr>
                    <w:t>, 7-18.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Balsmeier, P., &amp; Voisin, W. (1996). Supply Chain Management:                                     a Time-Based Strategy. </w:t>
                  </w:r>
                  <w:r w:rsidRPr="00FE71D6">
                    <w:rPr>
                      <w:rFonts w:ascii="Times New Roman" w:hAnsi="Times New Roman" w:cs="Times New Roman"/>
                      <w:i/>
                      <w:iCs/>
                      <w:noProof/>
                      <w:sz w:val="24"/>
                      <w:szCs w:val="24"/>
                    </w:rPr>
                    <w:t>Industrial Management, 38</w:t>
                  </w:r>
                  <w:r w:rsidRPr="00FE71D6">
                    <w:rPr>
                      <w:rFonts w:ascii="Times New Roman" w:hAnsi="Times New Roman" w:cs="Times New Roman"/>
                      <w:noProof/>
                      <w:sz w:val="24"/>
                      <w:szCs w:val="24"/>
                    </w:rPr>
                    <w:t>(5), 24-27.</w:t>
                  </w:r>
                </w:p>
                <w:p w:rsidR="00AF6629" w:rsidRPr="00FE71D6" w:rsidRDefault="00DC48B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Baños</w:t>
                  </w:r>
                  <w:r w:rsidR="00AF6629" w:rsidRPr="00FE71D6">
                    <w:rPr>
                      <w:rFonts w:ascii="Times New Roman" w:hAnsi="Times New Roman" w:cs="Times New Roman"/>
                      <w:noProof/>
                      <w:sz w:val="24"/>
                      <w:szCs w:val="24"/>
                    </w:rPr>
                    <w:t xml:space="preserve">-Caballero, S., Garcia-Teruel, P., &amp; </w:t>
                  </w:r>
                  <w:r w:rsidR="00B9633C" w:rsidRPr="00FE71D6">
                    <w:rPr>
                      <w:rFonts w:ascii="Times New Roman" w:hAnsi="Times New Roman" w:cs="Times New Roman"/>
                      <w:noProof/>
                      <w:sz w:val="24"/>
                      <w:szCs w:val="24"/>
                    </w:rPr>
                    <w:t>Martínez</w:t>
                  </w:r>
                  <w:r w:rsidR="00AF6629" w:rsidRPr="00FE71D6">
                    <w:rPr>
                      <w:rFonts w:ascii="Times New Roman" w:hAnsi="Times New Roman" w:cs="Times New Roman"/>
                      <w:noProof/>
                      <w:sz w:val="24"/>
                      <w:szCs w:val="24"/>
                    </w:rPr>
                    <w:t>-Solano, P. (2011). How Does Working Capital Management Affect the Pro</w:t>
                  </w:r>
                  <w:r w:rsidR="00227B9A" w:rsidRPr="00FE71D6">
                    <w:rPr>
                      <w:rFonts w:ascii="Times New Roman" w:hAnsi="Times New Roman" w:cs="Times New Roman"/>
                      <w:noProof/>
                      <w:sz w:val="24"/>
                      <w:szCs w:val="24"/>
                    </w:rPr>
                    <w:t xml:space="preserve">fitability of Spanish SMEs. </w:t>
                  </w:r>
                  <w:r w:rsidR="00AF6629" w:rsidRPr="00FE71D6">
                    <w:rPr>
                      <w:rFonts w:ascii="Times New Roman" w:hAnsi="Times New Roman" w:cs="Times New Roman"/>
                      <w:i/>
                      <w:iCs/>
                      <w:noProof/>
                      <w:sz w:val="24"/>
                      <w:szCs w:val="24"/>
                    </w:rPr>
                    <w:t>Small Business Economics, 39</w:t>
                  </w:r>
                  <w:r w:rsidR="00AF6629" w:rsidRPr="00FE71D6">
                    <w:rPr>
                      <w:rFonts w:ascii="Times New Roman" w:hAnsi="Times New Roman" w:cs="Times New Roman"/>
                      <w:noProof/>
                      <w:sz w:val="24"/>
                      <w:szCs w:val="24"/>
                    </w:rPr>
                    <w:t>(2), 517-529.</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Banfield, E. (1999). </w:t>
                  </w:r>
                  <w:r w:rsidRPr="00FE71D6">
                    <w:rPr>
                      <w:rFonts w:ascii="Times New Roman" w:hAnsi="Times New Roman" w:cs="Times New Roman"/>
                      <w:i/>
                      <w:iCs/>
                      <w:noProof/>
                      <w:sz w:val="24"/>
                      <w:szCs w:val="24"/>
                    </w:rPr>
                    <w:t>Harnessing Value in the Supply Chain.</w:t>
                  </w:r>
                  <w:r w:rsidRPr="00FE71D6">
                    <w:rPr>
                      <w:rFonts w:ascii="Times New Roman" w:hAnsi="Times New Roman" w:cs="Times New Roman"/>
                      <w:noProof/>
                      <w:sz w:val="24"/>
                      <w:szCs w:val="24"/>
                    </w:rPr>
                    <w:t xml:space="preserve"> New York, NY:             John Wiley and Sons.</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Bechtel, C., &amp; Jayaram, J. (1997). Supply Chain Management: A Strategic Perspective. </w:t>
                  </w:r>
                  <w:r w:rsidRPr="00FE71D6">
                    <w:rPr>
                      <w:rFonts w:ascii="Times New Roman" w:hAnsi="Times New Roman" w:cs="Times New Roman"/>
                      <w:i/>
                      <w:iCs/>
                      <w:noProof/>
                      <w:sz w:val="24"/>
                      <w:szCs w:val="24"/>
                    </w:rPr>
                    <w:t>International Journal of Logistics Management, 8</w:t>
                  </w:r>
                  <w:r w:rsidRPr="00FE71D6">
                    <w:rPr>
                      <w:rFonts w:ascii="Times New Roman" w:hAnsi="Times New Roman" w:cs="Times New Roman"/>
                      <w:noProof/>
                      <w:sz w:val="24"/>
                      <w:szCs w:val="24"/>
                    </w:rPr>
                    <w:t xml:space="preserve">(1), </w:t>
                  </w:r>
                  <w:r w:rsidR="00227B9A" w:rsidRPr="00FE71D6">
                    <w:rPr>
                      <w:rFonts w:ascii="Times New Roman" w:hAnsi="Times New Roman" w:cs="Times New Roman"/>
                      <w:noProof/>
                      <w:sz w:val="24"/>
                      <w:szCs w:val="24"/>
                    </w:rPr>
                    <w:t xml:space="preserve">  </w:t>
                  </w:r>
                  <w:r w:rsidRPr="00FE71D6">
                    <w:rPr>
                      <w:rFonts w:ascii="Times New Roman" w:hAnsi="Times New Roman" w:cs="Times New Roman"/>
                      <w:noProof/>
                      <w:sz w:val="24"/>
                      <w:szCs w:val="24"/>
                    </w:rPr>
                    <w:t>15-34.</w:t>
                  </w:r>
                </w:p>
                <w:p w:rsidR="007F0A10" w:rsidRPr="00FE71D6" w:rsidRDefault="007F0A10" w:rsidP="00DA7370">
                  <w:pPr>
                    <w:pStyle w:val="Bibliography"/>
                    <w:spacing w:after="240" w:line="240" w:lineRule="auto"/>
                    <w:ind w:left="72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Bentler, P. (1992). On the Fit of Models to Coveriances and Methodology to the Bulletin. </w:t>
                  </w:r>
                  <w:r w:rsidRPr="00FE71D6">
                    <w:rPr>
                      <w:rFonts w:ascii="Times New Roman" w:hAnsi="Times New Roman" w:cs="Times New Roman"/>
                      <w:i/>
                      <w:iCs/>
                      <w:noProof/>
                      <w:sz w:val="24"/>
                      <w:szCs w:val="24"/>
                    </w:rPr>
                    <w:t>Psychological Bulletin, 112</w:t>
                  </w:r>
                  <w:r w:rsidRPr="00FE71D6">
                    <w:rPr>
                      <w:rFonts w:ascii="Times New Roman" w:hAnsi="Times New Roman" w:cs="Times New Roman"/>
                      <w:noProof/>
                      <w:sz w:val="24"/>
                      <w:szCs w:val="24"/>
                    </w:rPr>
                    <w:t>(3), 400-404.</w:t>
                  </w:r>
                </w:p>
                <w:p w:rsidR="007F0A10" w:rsidRPr="00FE71D6" w:rsidRDefault="007F0A10" w:rsidP="00DA7370">
                  <w:pPr>
                    <w:pStyle w:val="Bibliography"/>
                    <w:spacing w:after="240" w:line="240" w:lineRule="auto"/>
                    <w:ind w:left="72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Bentler, P. (1995). </w:t>
                  </w:r>
                  <w:r w:rsidRPr="00FE71D6">
                    <w:rPr>
                      <w:rFonts w:ascii="Times New Roman" w:hAnsi="Times New Roman" w:cs="Times New Roman"/>
                      <w:i/>
                      <w:iCs/>
                      <w:noProof/>
                      <w:sz w:val="24"/>
                      <w:szCs w:val="24"/>
                    </w:rPr>
                    <w:t>EQS Structural Equation Program Manual.</w:t>
                  </w:r>
                  <w:r w:rsidRPr="00FE71D6">
                    <w:rPr>
                      <w:rFonts w:ascii="Times New Roman" w:hAnsi="Times New Roman" w:cs="Times New Roman"/>
                      <w:noProof/>
                      <w:sz w:val="24"/>
                      <w:szCs w:val="24"/>
                    </w:rPr>
                    <w:t xml:space="preserve"> Encino, </w:t>
                  </w:r>
                  <w:r w:rsidR="00227B9A" w:rsidRPr="00FE71D6">
                    <w:rPr>
                      <w:rFonts w:ascii="Times New Roman" w:hAnsi="Times New Roman" w:cs="Times New Roman"/>
                      <w:noProof/>
                      <w:sz w:val="24"/>
                      <w:szCs w:val="24"/>
                    </w:rPr>
                    <w:t xml:space="preserve">     </w:t>
                  </w:r>
                  <w:r w:rsidRPr="00FE71D6">
                    <w:rPr>
                      <w:rFonts w:ascii="Times New Roman" w:hAnsi="Times New Roman" w:cs="Times New Roman"/>
                      <w:noProof/>
                      <w:sz w:val="24"/>
                      <w:szCs w:val="24"/>
                    </w:rPr>
                    <w:t>CA: Multivariate Sofware Inc.</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Blind, K., Bernd, E., &amp; Annika, L. (2012). Coopetition, Cooperation and Competition as Determinants of Companies’ Appropriation Strategies.</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Boardman, C. M., &amp; Ricci, K. J. (1985). Defining Selling Terms: Economis of Delaying Payment - How Does Your Industry Compare? </w:t>
                  </w:r>
                  <w:r w:rsidRPr="00FE71D6">
                    <w:rPr>
                      <w:rFonts w:ascii="Times New Roman" w:hAnsi="Times New Roman" w:cs="Times New Roman"/>
                      <w:i/>
                      <w:iCs/>
                      <w:noProof/>
                      <w:sz w:val="24"/>
                      <w:szCs w:val="24"/>
                    </w:rPr>
                    <w:t>Credit &amp;                        Financial Management, 87</w:t>
                  </w:r>
                  <w:r w:rsidRPr="00FE71D6">
                    <w:rPr>
                      <w:rFonts w:ascii="Times New Roman" w:hAnsi="Times New Roman" w:cs="Times New Roman"/>
                      <w:noProof/>
                      <w:sz w:val="24"/>
                      <w:szCs w:val="24"/>
                    </w:rPr>
                    <w:t>(3), 31-33.</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Boddy, D., Magbeth, D., Charles, M., &amp; Fraser-Kraus, H. (1998). Success and Failure in Implementing Partnering. </w:t>
                  </w:r>
                  <w:r w:rsidRPr="00FE71D6">
                    <w:rPr>
                      <w:rFonts w:ascii="Times New Roman" w:hAnsi="Times New Roman" w:cs="Times New Roman"/>
                      <w:i/>
                      <w:iCs/>
                      <w:noProof/>
                      <w:sz w:val="24"/>
                      <w:szCs w:val="24"/>
                    </w:rPr>
                    <w:t>European Journal of Purchasing and Supply Management, 4</w:t>
                  </w:r>
                  <w:r w:rsidRPr="00FE71D6">
                    <w:rPr>
                      <w:rFonts w:ascii="Times New Roman" w:hAnsi="Times New Roman" w:cs="Times New Roman"/>
                      <w:noProof/>
                      <w:sz w:val="24"/>
                      <w:szCs w:val="24"/>
                    </w:rPr>
                    <w:t>, 143-151.</w:t>
                  </w:r>
                </w:p>
                <w:p w:rsidR="008E1DB6" w:rsidRPr="00FE71D6" w:rsidRDefault="008E1DB6" w:rsidP="00DA7370">
                  <w:pPr>
                    <w:pStyle w:val="Bibliography"/>
                    <w:spacing w:after="240" w:line="240" w:lineRule="auto"/>
                    <w:ind w:left="72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Bohrnstedt, G. (1983). </w:t>
                  </w:r>
                  <w:r w:rsidRPr="00FE71D6">
                    <w:rPr>
                      <w:rFonts w:ascii="Times New Roman" w:hAnsi="Times New Roman" w:cs="Times New Roman"/>
                      <w:i/>
                      <w:iCs/>
                      <w:noProof/>
                      <w:sz w:val="24"/>
                      <w:szCs w:val="24"/>
                    </w:rPr>
                    <w:t>Measurement.</w:t>
                  </w:r>
                  <w:r w:rsidRPr="00FE71D6">
                    <w:rPr>
                      <w:rFonts w:ascii="Times New Roman" w:hAnsi="Times New Roman" w:cs="Times New Roman"/>
                      <w:noProof/>
                      <w:sz w:val="24"/>
                      <w:szCs w:val="24"/>
                    </w:rPr>
                    <w:t xml:space="preserve"> San Diego, CA: Academy Press.</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Bommer, M., O’Neil, B., &amp; Treat, S. (2001). Strategic Assessment of the Supply Chain Interface: a Beverage Industry Case Study. </w:t>
                  </w:r>
                  <w:r w:rsidRPr="00FE71D6">
                    <w:rPr>
                      <w:rFonts w:ascii="Times New Roman" w:hAnsi="Times New Roman" w:cs="Times New Roman"/>
                      <w:i/>
                      <w:iCs/>
                      <w:noProof/>
                      <w:sz w:val="24"/>
                      <w:szCs w:val="24"/>
                    </w:rPr>
                    <w:t>International Journal of Physical Distribution and Logistics Management, 31</w:t>
                  </w:r>
                  <w:r w:rsidRPr="00FE71D6">
                    <w:rPr>
                      <w:rFonts w:ascii="Times New Roman" w:hAnsi="Times New Roman" w:cs="Times New Roman"/>
                      <w:noProof/>
                      <w:sz w:val="24"/>
                      <w:szCs w:val="24"/>
                    </w:rPr>
                    <w:t xml:space="preserve">(1), </w:t>
                  </w:r>
                  <w:r w:rsidR="00DD7F34" w:rsidRPr="00FE71D6">
                    <w:rPr>
                      <w:rFonts w:ascii="Times New Roman" w:hAnsi="Times New Roman" w:cs="Times New Roman"/>
                      <w:noProof/>
                      <w:sz w:val="24"/>
                      <w:szCs w:val="24"/>
                    </w:rPr>
                    <w:t xml:space="preserve"> </w:t>
                  </w:r>
                  <w:r w:rsidRPr="00FE71D6">
                    <w:rPr>
                      <w:rFonts w:ascii="Times New Roman" w:hAnsi="Times New Roman" w:cs="Times New Roman"/>
                      <w:noProof/>
                      <w:sz w:val="24"/>
                      <w:szCs w:val="24"/>
                    </w:rPr>
                    <w:t>11-25.</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Boon-itt, S., &amp; Pongpanarat, C. (2011). Measuring Service Supply Chain Management Processes: The Application of the Q-Sort Technique. </w:t>
                  </w:r>
                  <w:r w:rsidRPr="00FE71D6">
                    <w:rPr>
                      <w:rFonts w:ascii="Times New Roman" w:hAnsi="Times New Roman" w:cs="Times New Roman"/>
                      <w:i/>
                      <w:iCs/>
                      <w:noProof/>
                      <w:sz w:val="24"/>
                      <w:szCs w:val="24"/>
                    </w:rPr>
                    <w:t>International Journal of Innovation, Management and Technology, 2</w:t>
                  </w:r>
                  <w:r w:rsidRPr="00FE71D6">
                    <w:rPr>
                      <w:rFonts w:ascii="Times New Roman" w:hAnsi="Times New Roman" w:cs="Times New Roman"/>
                      <w:noProof/>
                      <w:sz w:val="24"/>
                      <w:szCs w:val="24"/>
                    </w:rPr>
                    <w:t>(3), 217-221.</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Boulding, W., Staelin, R., Ehret, M., &amp; Johnston</w:t>
                  </w:r>
                  <w:r w:rsidR="00DD7F34" w:rsidRPr="00FE71D6">
                    <w:rPr>
                      <w:rFonts w:ascii="Times New Roman" w:hAnsi="Times New Roman" w:cs="Times New Roman"/>
                      <w:noProof/>
                      <w:sz w:val="24"/>
                      <w:szCs w:val="24"/>
                    </w:rPr>
                    <w:t xml:space="preserve">, W. (2005). A CRM Roadmap: </w:t>
                  </w:r>
                  <w:r w:rsidRPr="00FE71D6">
                    <w:rPr>
                      <w:rFonts w:ascii="Times New Roman" w:hAnsi="Times New Roman" w:cs="Times New Roman"/>
                      <w:noProof/>
                      <w:sz w:val="24"/>
                      <w:szCs w:val="24"/>
                    </w:rPr>
                    <w:t xml:space="preserve">What We Know, Potential Pitfalls, and Where to Go. </w:t>
                  </w:r>
                  <w:r w:rsidRPr="00FE71D6">
                    <w:rPr>
                      <w:rFonts w:ascii="Times New Roman" w:hAnsi="Times New Roman" w:cs="Times New Roman"/>
                      <w:i/>
                      <w:iCs/>
                      <w:noProof/>
                      <w:sz w:val="24"/>
                      <w:szCs w:val="24"/>
                    </w:rPr>
                    <w:t>Journal of Marketing, 69</w:t>
                  </w:r>
                  <w:r w:rsidRPr="00FE71D6">
                    <w:rPr>
                      <w:rFonts w:ascii="Times New Roman" w:hAnsi="Times New Roman" w:cs="Times New Roman"/>
                      <w:noProof/>
                      <w:sz w:val="24"/>
                      <w:szCs w:val="24"/>
                    </w:rPr>
                    <w:t>(4), 155-167.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Bradley, P. (1998). The Value Imperative. </w:t>
                  </w:r>
                  <w:r w:rsidRPr="00FE71D6">
                    <w:rPr>
                      <w:rFonts w:ascii="Times New Roman" w:hAnsi="Times New Roman" w:cs="Times New Roman"/>
                      <w:i/>
                      <w:iCs/>
                      <w:noProof/>
                      <w:sz w:val="24"/>
                      <w:szCs w:val="24"/>
                    </w:rPr>
                    <w:t>Logistics Management and           Distribution Report, 37</w:t>
                  </w:r>
                  <w:r w:rsidRPr="00FE71D6">
                    <w:rPr>
                      <w:rFonts w:ascii="Times New Roman" w:hAnsi="Times New Roman" w:cs="Times New Roman"/>
                      <w:noProof/>
                      <w:sz w:val="24"/>
                      <w:szCs w:val="24"/>
                    </w:rPr>
                    <w:t>(12), 29.</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Burgess, R. (1998). Avoiding Supply Chain Management Failure: Lessons From Business Process Re-engineering. </w:t>
                  </w:r>
                  <w:r w:rsidRPr="00FE71D6">
                    <w:rPr>
                      <w:rFonts w:ascii="Times New Roman" w:hAnsi="Times New Roman" w:cs="Times New Roman"/>
                      <w:i/>
                      <w:iCs/>
                      <w:noProof/>
                      <w:sz w:val="24"/>
                      <w:szCs w:val="24"/>
                    </w:rPr>
                    <w:t>International Journal of                      Logistics Management, 9</w:t>
                  </w:r>
                  <w:r w:rsidRPr="00FE71D6">
                    <w:rPr>
                      <w:rFonts w:ascii="Times New Roman" w:hAnsi="Times New Roman" w:cs="Times New Roman"/>
                      <w:noProof/>
                      <w:sz w:val="24"/>
                      <w:szCs w:val="24"/>
                    </w:rPr>
                    <w:t>(1), 15-23.</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Cachon, G. P., &amp; Fisher, M. (2000). Supply Chain Inventory Management and            the Value of Shared Information. </w:t>
                  </w:r>
                  <w:r w:rsidRPr="00FE71D6">
                    <w:rPr>
                      <w:rFonts w:ascii="Times New Roman" w:hAnsi="Times New Roman" w:cs="Times New Roman"/>
                      <w:i/>
                      <w:iCs/>
                      <w:noProof/>
                      <w:sz w:val="24"/>
                      <w:szCs w:val="24"/>
                    </w:rPr>
                    <w:t>Manage. Sci., 46</w:t>
                  </w:r>
                  <w:r w:rsidRPr="00FE71D6">
                    <w:rPr>
                      <w:rFonts w:ascii="Times New Roman" w:hAnsi="Times New Roman" w:cs="Times New Roman"/>
                      <w:noProof/>
                      <w:sz w:val="24"/>
                      <w:szCs w:val="24"/>
                    </w:rPr>
                    <w:t>(8), 1032-1048.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Chen, Y. S., &amp; Chen, B. Y. (2011). Utilizing Patent Analysis to Explore the Cooperative Competition Relationship of the Two LED Companies: Nichia and Osram: Using Technological Intelligence for Strategic Decision Making in High Technology Environments. </w:t>
                  </w:r>
                  <w:r w:rsidRPr="00FE71D6">
                    <w:rPr>
                      <w:rFonts w:ascii="Times New Roman" w:hAnsi="Times New Roman" w:cs="Times New Roman"/>
                      <w:i/>
                      <w:iCs/>
                      <w:noProof/>
                      <w:sz w:val="24"/>
                      <w:szCs w:val="24"/>
                    </w:rPr>
                    <w:t>Technological Forecasting and Social Change, 78</w:t>
                  </w:r>
                  <w:r w:rsidRPr="00FE71D6">
                    <w:rPr>
                      <w:rFonts w:ascii="Times New Roman" w:hAnsi="Times New Roman" w:cs="Times New Roman"/>
                      <w:noProof/>
                      <w:sz w:val="24"/>
                      <w:szCs w:val="24"/>
                    </w:rPr>
                    <w:t>(2), 294-302.</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Choi, T., &amp; Hartley, J. (1996). An Exploration of Supplier Selection Practices Across the Supply Chain. </w:t>
                  </w:r>
                  <w:r w:rsidRPr="00FE71D6">
                    <w:rPr>
                      <w:rFonts w:ascii="Times New Roman" w:hAnsi="Times New Roman" w:cs="Times New Roman"/>
                      <w:i/>
                      <w:iCs/>
                      <w:noProof/>
                      <w:sz w:val="24"/>
                      <w:szCs w:val="24"/>
                    </w:rPr>
                    <w:t>Journal of Operations Management, 14</w:t>
                  </w:r>
                  <w:r w:rsidRPr="00FE71D6">
                    <w:rPr>
                      <w:rFonts w:ascii="Times New Roman" w:hAnsi="Times New Roman" w:cs="Times New Roman"/>
                      <w:noProof/>
                      <w:sz w:val="24"/>
                      <w:szCs w:val="24"/>
                    </w:rPr>
                    <w:t>, 333-343.</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Clark, T., &amp; Lee, H. (2000). Performance, Interdependence and Coordination in Business-to-Business Electronic Commerce and Supply Chain Management. </w:t>
                  </w:r>
                  <w:r w:rsidRPr="00FE71D6">
                    <w:rPr>
                      <w:rFonts w:ascii="Times New Roman" w:hAnsi="Times New Roman" w:cs="Times New Roman"/>
                      <w:i/>
                      <w:iCs/>
                      <w:noProof/>
                      <w:sz w:val="24"/>
                      <w:szCs w:val="24"/>
                    </w:rPr>
                    <w:t>Information Technology and Management, 1</w:t>
                  </w:r>
                  <w:r w:rsidRPr="00FE71D6">
                    <w:rPr>
                      <w:rFonts w:ascii="Times New Roman" w:hAnsi="Times New Roman" w:cs="Times New Roman"/>
                      <w:noProof/>
                      <w:sz w:val="24"/>
                      <w:szCs w:val="24"/>
                    </w:rPr>
                    <w:t>, 85-105.</w:t>
                  </w:r>
                </w:p>
                <w:sdt>
                  <w:sdtPr>
                    <w:rPr>
                      <w:rFonts w:ascii="Times New Roman" w:eastAsia="Times New Roman" w:hAnsi="Times New Roman" w:cs="Times New Roman"/>
                      <w:sz w:val="24"/>
                      <w:szCs w:val="24"/>
                      <w:lang w:val="en-GB" w:eastAsia="en-GB"/>
                    </w:rPr>
                    <w:id w:val="1632208465"/>
                    <w:bibliography/>
                  </w:sdtPr>
                  <w:sdtEndPr/>
                  <w:sdtContent>
                    <w:p w:rsidR="009001DF" w:rsidRPr="00FE71D6" w:rsidRDefault="009001DF"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sz w:val="24"/>
                          <w:szCs w:val="24"/>
                        </w:rPr>
                        <w:fldChar w:fldCharType="begin"/>
                      </w:r>
                      <w:r w:rsidRPr="00FE71D6">
                        <w:rPr>
                          <w:rFonts w:ascii="Times New Roman" w:hAnsi="Times New Roman" w:cs="Times New Roman"/>
                          <w:sz w:val="24"/>
                          <w:szCs w:val="24"/>
                        </w:rPr>
                        <w:instrText xml:space="preserve"> BIBLIOGRAPHY </w:instrText>
                      </w:r>
                      <w:r w:rsidRPr="00FE71D6">
                        <w:rPr>
                          <w:rFonts w:ascii="Times New Roman" w:hAnsi="Times New Roman" w:cs="Times New Roman"/>
                          <w:sz w:val="24"/>
                          <w:szCs w:val="24"/>
                        </w:rPr>
                        <w:fldChar w:fldCharType="separate"/>
                      </w:r>
                      <w:r w:rsidRPr="00FE71D6">
                        <w:rPr>
                          <w:rFonts w:ascii="Times New Roman" w:hAnsi="Times New Roman" w:cs="Times New Roman"/>
                          <w:noProof/>
                          <w:sz w:val="24"/>
                          <w:szCs w:val="24"/>
                        </w:rPr>
                        <w:t xml:space="preserve">Claycomb, C., Droge, C., &amp; Germain, R. (1999). The Effect of Just-in-Time with Customers on Organizational Design and Performance. </w:t>
                      </w:r>
                      <w:r w:rsidRPr="00FE71D6">
                        <w:rPr>
                          <w:rFonts w:ascii="Times New Roman" w:hAnsi="Times New Roman" w:cs="Times New Roman"/>
                          <w:i/>
                          <w:iCs/>
                          <w:noProof/>
                          <w:sz w:val="24"/>
                          <w:szCs w:val="24"/>
                        </w:rPr>
                        <w:t>The International Journal of Logistics Management, 10</w:t>
                      </w:r>
                      <w:r w:rsidRPr="00FE71D6">
                        <w:rPr>
                          <w:rFonts w:ascii="Times New Roman" w:hAnsi="Times New Roman" w:cs="Times New Roman"/>
                          <w:noProof/>
                          <w:sz w:val="24"/>
                          <w:szCs w:val="24"/>
                        </w:rPr>
                        <w:t>(1), 37-58.</w:t>
                      </w:r>
                    </w:p>
                    <w:p w:rsidR="00AF6629" w:rsidRPr="00FE71D6" w:rsidRDefault="009001DF" w:rsidP="00DA7370">
                      <w:pPr>
                        <w:spacing w:after="240" w:line="240" w:lineRule="auto"/>
                        <w:ind w:left="720" w:hangingChars="300" w:hanging="720"/>
                        <w:jc w:val="both"/>
                        <w:rPr>
                          <w:noProof/>
                        </w:rPr>
                      </w:pPr>
                      <w:r w:rsidRPr="00FE71D6">
                        <w:rPr>
                          <w:b/>
                          <w:bCs/>
                          <w:noProof/>
                        </w:rPr>
                        <w:fldChar w:fldCharType="end"/>
                      </w:r>
                      <w:r w:rsidR="00AF6629" w:rsidRPr="00FE71D6">
                        <w:rPr>
                          <w:noProof/>
                        </w:rPr>
                        <w:t xml:space="preserve">Cook, L., &amp; Heiser, D. (2011). The Moderating Effect of Supply Chain Role on the Relationship between Supply Chain Practices and Performance:                       An Empirical Analysis. </w:t>
                      </w:r>
                      <w:r w:rsidR="00AF6629" w:rsidRPr="00FE71D6">
                        <w:rPr>
                          <w:i/>
                          <w:iCs/>
                          <w:noProof/>
                        </w:rPr>
                        <w:t>International Journal of Physical Distribution &amp; Logistics Management, 41</w:t>
                      </w:r>
                      <w:r w:rsidR="00AF6629" w:rsidRPr="00FE71D6">
                        <w:rPr>
                          <w:noProof/>
                        </w:rPr>
                        <w:t>(2), 104-134.</w:t>
                      </w:r>
                    </w:p>
                  </w:sdtContent>
                </w:sdt>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Cooper, M. C., Lambert, D. M., &amp; Pagh, J. D. (1997). Supply Chain Management: More Than a New Name for Logistics. </w:t>
                  </w:r>
                  <w:r w:rsidRPr="00FE71D6">
                    <w:rPr>
                      <w:rFonts w:ascii="Times New Roman" w:hAnsi="Times New Roman" w:cs="Times New Roman"/>
                      <w:i/>
                      <w:iCs/>
                      <w:noProof/>
                      <w:sz w:val="24"/>
                      <w:szCs w:val="24"/>
                    </w:rPr>
                    <w:t>Intern</w:t>
                  </w:r>
                  <w:r w:rsidR="00BF49B6" w:rsidRPr="00FE71D6">
                    <w:rPr>
                      <w:rFonts w:ascii="Times New Roman" w:hAnsi="Times New Roman" w:cs="Times New Roman"/>
                      <w:i/>
                      <w:iCs/>
                      <w:noProof/>
                      <w:sz w:val="24"/>
                      <w:szCs w:val="24"/>
                    </w:rPr>
                    <w:t xml:space="preserve">ational Journal of </w:t>
                  </w:r>
                  <w:r w:rsidRPr="00FE71D6">
                    <w:rPr>
                      <w:rFonts w:ascii="Times New Roman" w:hAnsi="Times New Roman" w:cs="Times New Roman"/>
                      <w:i/>
                      <w:iCs/>
                      <w:noProof/>
                      <w:sz w:val="24"/>
                      <w:szCs w:val="24"/>
                    </w:rPr>
                    <w:t>Logistics Management, 8</w:t>
                  </w:r>
                  <w:r w:rsidRPr="00FE71D6">
                    <w:rPr>
                      <w:rFonts w:ascii="Times New Roman" w:hAnsi="Times New Roman" w:cs="Times New Roman"/>
                      <w:noProof/>
                      <w:sz w:val="24"/>
                      <w:szCs w:val="24"/>
                    </w:rPr>
                    <w:t>(1), 1-14.</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Council of Logistics Management (CLM). (1998). </w:t>
                  </w:r>
                  <w:r w:rsidRPr="00FE71D6">
                    <w:rPr>
                      <w:rFonts w:ascii="Times New Roman" w:hAnsi="Times New Roman" w:cs="Times New Roman"/>
                      <w:i/>
                      <w:iCs/>
                      <w:noProof/>
                      <w:sz w:val="24"/>
                      <w:szCs w:val="24"/>
                    </w:rPr>
                    <w:t>What It’s All About</w:t>
                  </w:r>
                  <w:r w:rsidRPr="00FE71D6">
                    <w:rPr>
                      <w:rFonts w:ascii="Times New Roman" w:hAnsi="Times New Roman" w:cs="Times New Roman"/>
                      <w:noProof/>
                      <w:sz w:val="24"/>
                      <w:szCs w:val="24"/>
                    </w:rPr>
                    <w:t xml:space="preserve"> </w:t>
                  </w:r>
                  <w:r w:rsidR="00BF49B6" w:rsidRPr="00FE71D6">
                    <w:rPr>
                      <w:rFonts w:ascii="Times New Roman" w:hAnsi="Times New Roman" w:cs="Times New Roman"/>
                      <w:noProof/>
                      <w:sz w:val="24"/>
                      <w:szCs w:val="24"/>
                    </w:rPr>
                    <w:t xml:space="preserve">     (Vol. 4). </w:t>
                  </w:r>
                  <w:r w:rsidRPr="00FE71D6">
                    <w:rPr>
                      <w:rFonts w:ascii="Times New Roman" w:hAnsi="Times New Roman" w:cs="Times New Roman"/>
                      <w:noProof/>
                      <w:sz w:val="24"/>
                      <w:szCs w:val="24"/>
                    </w:rPr>
                    <w:t>IL: Oak Brook.</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Cox, A. (1999). Power, Value and Supply Chain Management. </w:t>
                  </w:r>
                  <w:r w:rsidRPr="00FE71D6">
                    <w:rPr>
                      <w:rFonts w:ascii="Times New Roman" w:hAnsi="Times New Roman" w:cs="Times New Roman"/>
                      <w:i/>
                      <w:iCs/>
                      <w:noProof/>
                      <w:sz w:val="24"/>
                      <w:szCs w:val="24"/>
                    </w:rPr>
                    <w:t>Supply Chain Management: an International Journal, 4</w:t>
                  </w:r>
                  <w:r w:rsidRPr="00FE71D6">
                    <w:rPr>
                      <w:rFonts w:ascii="Times New Roman" w:hAnsi="Times New Roman" w:cs="Times New Roman"/>
                      <w:noProof/>
                      <w:sz w:val="24"/>
                      <w:szCs w:val="24"/>
                    </w:rPr>
                    <w:t>(4), 167-175.</w:t>
                  </w:r>
                </w:p>
                <w:p w:rsidR="008E1DB6" w:rsidRPr="00FE71D6" w:rsidRDefault="008E1DB6" w:rsidP="00DA7370">
                  <w:pPr>
                    <w:pStyle w:val="Bibliography"/>
                    <w:spacing w:after="240" w:line="240" w:lineRule="auto"/>
                    <w:ind w:left="72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Cronbach, L. (1951). Coefficient Alpha and the Internal Structure Tests. </w:t>
                  </w:r>
                  <w:r w:rsidRPr="00FE71D6">
                    <w:rPr>
                      <w:rFonts w:ascii="Times New Roman" w:hAnsi="Times New Roman" w:cs="Times New Roman"/>
                      <w:i/>
                      <w:iCs/>
                      <w:noProof/>
                      <w:sz w:val="24"/>
                      <w:szCs w:val="24"/>
                    </w:rPr>
                    <w:t>Psychometrica, 16</w:t>
                  </w:r>
                  <w:r w:rsidRPr="00FE71D6">
                    <w:rPr>
                      <w:rFonts w:ascii="Times New Roman" w:hAnsi="Times New Roman" w:cs="Times New Roman"/>
                      <w:noProof/>
                      <w:sz w:val="24"/>
                      <w:szCs w:val="24"/>
                    </w:rPr>
                    <w:t>(3), 297-334.</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Croom, S., Romano, P., &amp; Giannakis, M. (2000). Supply Chain Management:              an Analytical Framework for Critical Literature Review. </w:t>
                  </w:r>
                  <w:r w:rsidRPr="00FE71D6">
                    <w:rPr>
                      <w:rFonts w:ascii="Times New Roman" w:hAnsi="Times New Roman" w:cs="Times New Roman"/>
                      <w:i/>
                      <w:iCs/>
                      <w:noProof/>
                      <w:sz w:val="24"/>
                      <w:szCs w:val="24"/>
                    </w:rPr>
                    <w:t>European Journal of Purchasing and Supply Management, 6</w:t>
                  </w:r>
                  <w:r w:rsidRPr="00FE71D6">
                    <w:rPr>
                      <w:rFonts w:ascii="Times New Roman" w:hAnsi="Times New Roman" w:cs="Times New Roman"/>
                      <w:noProof/>
                      <w:sz w:val="24"/>
                      <w:szCs w:val="24"/>
                    </w:rPr>
                    <w:t>, 67-83.</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Deloof, M. (2003). Does Working Capital Management Affect Profitability of Belgian Firms? </w:t>
                  </w:r>
                  <w:r w:rsidRPr="00FE71D6">
                    <w:rPr>
                      <w:rFonts w:ascii="Times New Roman" w:hAnsi="Times New Roman" w:cs="Times New Roman"/>
                      <w:i/>
                      <w:iCs/>
                      <w:noProof/>
                      <w:sz w:val="24"/>
                      <w:szCs w:val="24"/>
                    </w:rPr>
                    <w:t>Journal of Business Finance and Accounting, 30</w:t>
                  </w:r>
                  <w:r w:rsidRPr="00FE71D6">
                    <w:rPr>
                      <w:rFonts w:ascii="Times New Roman" w:hAnsi="Times New Roman" w:cs="Times New Roman"/>
                      <w:noProof/>
                      <w:sz w:val="24"/>
                      <w:szCs w:val="24"/>
                    </w:rPr>
                    <w:t>(4), 573-587.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DeSarbo, W. S., Di Benedetto, C. A., &amp; Song, M. (2007). A Heterogeneous Resource Based View for Exploring Relationships Between Firm Performance and Capabilities. </w:t>
                  </w:r>
                  <w:r w:rsidRPr="00FE71D6">
                    <w:rPr>
                      <w:rFonts w:ascii="Times New Roman" w:hAnsi="Times New Roman" w:cs="Times New Roman"/>
                      <w:i/>
                      <w:iCs/>
                      <w:noProof/>
                      <w:sz w:val="24"/>
                      <w:szCs w:val="24"/>
                    </w:rPr>
                    <w:t>Journal of Modelling in Management, 2</w:t>
                  </w:r>
                  <w:r w:rsidRPr="00FE71D6">
                    <w:rPr>
                      <w:rFonts w:ascii="Times New Roman" w:hAnsi="Times New Roman" w:cs="Times New Roman"/>
                      <w:noProof/>
                      <w:sz w:val="24"/>
                      <w:szCs w:val="24"/>
                    </w:rPr>
                    <w:t>(2), 103-130.</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Dikshi, S. K., &amp; Trivedi, S. (2012). Impact of Supply Chain Management Practices. </w:t>
                  </w:r>
                  <w:r w:rsidR="00BF49B6" w:rsidRPr="00FE71D6">
                    <w:rPr>
                      <w:rFonts w:ascii="Times New Roman" w:hAnsi="Times New Roman" w:cs="Times New Roman"/>
                      <w:i/>
                      <w:iCs/>
                      <w:noProof/>
                      <w:sz w:val="24"/>
                      <w:szCs w:val="24"/>
                    </w:rPr>
                    <w:t>Paradigm, 16</w:t>
                  </w:r>
                  <w:r w:rsidRPr="00FE71D6">
                    <w:rPr>
                      <w:rFonts w:ascii="Times New Roman" w:hAnsi="Times New Roman" w:cs="Times New Roman"/>
                      <w:noProof/>
                      <w:sz w:val="24"/>
                      <w:szCs w:val="24"/>
                    </w:rPr>
                    <w:t>(2), 67-81.</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Dong, H. P., &amp; Su, J. T. (2010). The Relationship between Working Capital Management and Profitability: A Vietnam Case. </w:t>
                  </w:r>
                  <w:r w:rsidRPr="00FE71D6">
                    <w:rPr>
                      <w:rFonts w:ascii="Times New Roman" w:hAnsi="Times New Roman" w:cs="Times New Roman"/>
                      <w:i/>
                      <w:iCs/>
                      <w:noProof/>
                      <w:sz w:val="24"/>
                      <w:szCs w:val="24"/>
                    </w:rPr>
                    <w:t>International Research Journal of Finance and Economics, 49</w:t>
                  </w:r>
                  <w:r w:rsidRPr="00FE71D6">
                    <w:rPr>
                      <w:rFonts w:ascii="Times New Roman" w:hAnsi="Times New Roman" w:cs="Times New Roman"/>
                      <w:noProof/>
                      <w:sz w:val="24"/>
                      <w:szCs w:val="24"/>
                    </w:rPr>
                    <w:t>, 59-67.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Donlon, J. P. (1996). Maximizing Value in the Supply Chain. </w:t>
                  </w:r>
                  <w:r w:rsidRPr="00FE71D6">
                    <w:rPr>
                      <w:rFonts w:ascii="Times New Roman" w:hAnsi="Times New Roman" w:cs="Times New Roman"/>
                      <w:i/>
                      <w:iCs/>
                      <w:noProof/>
                      <w:sz w:val="24"/>
                      <w:szCs w:val="24"/>
                    </w:rPr>
                    <w:t>Chief Executive,          117</w:t>
                  </w:r>
                  <w:r w:rsidRPr="00FE71D6">
                    <w:rPr>
                      <w:rFonts w:ascii="Times New Roman" w:hAnsi="Times New Roman" w:cs="Times New Roman"/>
                      <w:noProof/>
                      <w:sz w:val="24"/>
                      <w:szCs w:val="24"/>
                    </w:rPr>
                    <w:t>, 54-63.</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Dyer, J. H., Cho, D. S., &amp; Chu, W. (1998). Strategic Supplier Segmentation: The Next “Best Practice” in Supply Chain Management. </w:t>
                  </w:r>
                  <w:r w:rsidRPr="00FE71D6">
                    <w:rPr>
                      <w:rFonts w:ascii="Times New Roman" w:hAnsi="Times New Roman" w:cs="Times New Roman"/>
                      <w:i/>
                      <w:iCs/>
                      <w:noProof/>
                      <w:sz w:val="24"/>
                      <w:szCs w:val="24"/>
                    </w:rPr>
                    <w:t>California Management Review, 40</w:t>
                  </w:r>
                  <w:r w:rsidRPr="00FE71D6">
                    <w:rPr>
                      <w:rFonts w:ascii="Times New Roman" w:hAnsi="Times New Roman" w:cs="Times New Roman"/>
                      <w:noProof/>
                      <w:sz w:val="24"/>
                      <w:szCs w:val="24"/>
                    </w:rPr>
                    <w:t>(2), 57-77.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Ebben, J., &amp; Johnson, A. (2011). Cash Conversion Cycle Management in Small Firms: Relationships with Liquidity. </w:t>
                  </w:r>
                  <w:r w:rsidRPr="00FE71D6">
                    <w:rPr>
                      <w:rFonts w:ascii="Times New Roman" w:hAnsi="Times New Roman" w:cs="Times New Roman"/>
                      <w:i/>
                      <w:iCs/>
                      <w:noProof/>
                      <w:sz w:val="24"/>
                      <w:szCs w:val="24"/>
                    </w:rPr>
                    <w:t>Journal of Small Business &amp; Entrepreneurship, 24</w:t>
                  </w:r>
                  <w:r w:rsidRPr="00FE71D6">
                    <w:rPr>
                      <w:rFonts w:ascii="Times New Roman" w:hAnsi="Times New Roman" w:cs="Times New Roman"/>
                      <w:noProof/>
                      <w:sz w:val="24"/>
                      <w:szCs w:val="24"/>
                    </w:rPr>
                    <w:t>(3), 381-396.</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Ebert, J. E., Griffan, R. W., &amp; Starke, F. A. (2006). </w:t>
                  </w:r>
                  <w:r w:rsidRPr="00FE71D6">
                    <w:rPr>
                      <w:rFonts w:ascii="Times New Roman" w:hAnsi="Times New Roman" w:cs="Times New Roman"/>
                      <w:i/>
                      <w:iCs/>
                      <w:noProof/>
                      <w:sz w:val="24"/>
                      <w:szCs w:val="24"/>
                    </w:rPr>
                    <w:t>Business Essentials</w:t>
                  </w:r>
                  <w:r w:rsidRPr="00FE71D6">
                    <w:rPr>
                      <w:rFonts w:ascii="Times New Roman" w:hAnsi="Times New Roman" w:cs="Times New Roman"/>
                      <w:noProof/>
                      <w:sz w:val="24"/>
                      <w:szCs w:val="24"/>
                    </w:rPr>
                    <w:t xml:space="preserve">                     (4th Canadian ed.). New Jersey: Pearson Prentice Hall.</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Echtelt, F., Wynstra, F., Weele, A., &amp; Duysters, G. (2008). Managing Supplier Involvement in New Product Development: A Multiple-Case Study. </w:t>
                  </w:r>
                  <w:r w:rsidRPr="00FE71D6">
                    <w:rPr>
                      <w:rFonts w:ascii="Times New Roman" w:hAnsi="Times New Roman" w:cs="Times New Roman"/>
                      <w:i/>
                      <w:iCs/>
                      <w:noProof/>
                      <w:sz w:val="24"/>
                      <w:szCs w:val="24"/>
                    </w:rPr>
                    <w:t>The Journal of Product Innovation Management, 25</w:t>
                  </w:r>
                  <w:r w:rsidRPr="00FE71D6">
                    <w:rPr>
                      <w:rFonts w:ascii="Times New Roman" w:hAnsi="Times New Roman" w:cs="Times New Roman"/>
                      <w:noProof/>
                      <w:sz w:val="24"/>
                      <w:szCs w:val="24"/>
                    </w:rPr>
                    <w:t>(2), 180-201.</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Ellram, L. M., &amp; Cooper, M. C. (1990). Supply Chain Management, Partnerships, and the Shipper - Third Party Relationship. </w:t>
                  </w:r>
                  <w:r w:rsidRPr="00FE71D6">
                    <w:rPr>
                      <w:rFonts w:ascii="Times New Roman" w:hAnsi="Times New Roman" w:cs="Times New Roman"/>
                      <w:i/>
                      <w:iCs/>
                      <w:noProof/>
                      <w:sz w:val="24"/>
                      <w:szCs w:val="24"/>
                    </w:rPr>
                    <w:t>Intern</w:t>
                  </w:r>
                  <w:r w:rsidR="00BF49B6" w:rsidRPr="00FE71D6">
                    <w:rPr>
                      <w:rFonts w:ascii="Times New Roman" w:hAnsi="Times New Roman" w:cs="Times New Roman"/>
                      <w:i/>
                      <w:iCs/>
                      <w:noProof/>
                      <w:sz w:val="24"/>
                      <w:szCs w:val="24"/>
                    </w:rPr>
                    <w:t xml:space="preserve">ational Journal of </w:t>
                  </w:r>
                  <w:r w:rsidRPr="00FE71D6">
                    <w:rPr>
                      <w:rFonts w:ascii="Times New Roman" w:hAnsi="Times New Roman" w:cs="Times New Roman"/>
                      <w:i/>
                      <w:iCs/>
                      <w:noProof/>
                      <w:sz w:val="24"/>
                      <w:szCs w:val="24"/>
                    </w:rPr>
                    <w:t>Logistics Management, 1</w:t>
                  </w:r>
                  <w:r w:rsidRPr="00FE71D6">
                    <w:rPr>
                      <w:rFonts w:ascii="Times New Roman" w:hAnsi="Times New Roman" w:cs="Times New Roman"/>
                      <w:noProof/>
                      <w:sz w:val="24"/>
                      <w:szCs w:val="24"/>
                    </w:rPr>
                    <w:t>(2), 1-10.</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Erasmus, P. D. (2010). Working Capital Management and Profitability:                      The Relationship between the Net Trade Cycle and Return on Assets. </w:t>
                  </w:r>
                  <w:r w:rsidRPr="00FE71D6">
                    <w:rPr>
                      <w:rFonts w:ascii="Times New Roman" w:hAnsi="Times New Roman" w:cs="Times New Roman"/>
                      <w:i/>
                      <w:iCs/>
                      <w:noProof/>
                      <w:sz w:val="24"/>
                      <w:szCs w:val="24"/>
                    </w:rPr>
                    <w:t>Management Dynamics, 19</w:t>
                  </w:r>
                  <w:r w:rsidRPr="00FE71D6">
                    <w:rPr>
                      <w:rFonts w:ascii="Times New Roman" w:hAnsi="Times New Roman" w:cs="Times New Roman"/>
                      <w:noProof/>
                      <w:sz w:val="24"/>
                      <w:szCs w:val="24"/>
                    </w:rPr>
                    <w:t>(1), 2-10.</w:t>
                  </w:r>
                </w:p>
                <w:p w:rsidR="00421CA0" w:rsidRPr="00FE71D6" w:rsidRDefault="00421CA0" w:rsidP="00421CA0">
                  <w:pPr>
                    <w:spacing w:after="240" w:line="240" w:lineRule="auto"/>
                    <w:ind w:left="720" w:hanging="720"/>
                    <w:jc w:val="both"/>
                  </w:pPr>
                  <w:r w:rsidRPr="00FE71D6">
                    <w:rPr>
                      <w:noProof/>
                      <w:lang w:val="en-US"/>
                    </w:rPr>
                    <w:t xml:space="preserve">Fabrigar, L. R., MacCallum, R. C., Wegener, D. T., &amp; Strahan, E. J. (1999). Evaluating the Use of Exploratory Factor Analysis in Psychological Research. </w:t>
                  </w:r>
                  <w:r w:rsidRPr="00FE71D6">
                    <w:rPr>
                      <w:i/>
                      <w:iCs/>
                      <w:noProof/>
                      <w:lang w:val="en-US"/>
                    </w:rPr>
                    <w:t>Psychological Methods, 4</w:t>
                  </w:r>
                  <w:r w:rsidRPr="00FE71D6">
                    <w:rPr>
                      <w:noProof/>
                      <w:lang w:val="en-US"/>
                    </w:rPr>
                    <w:t>(3), 272-299.</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Farris, II. (1996). Utilizing Inventory Flow Models with Suppliers. </w:t>
                  </w:r>
                  <w:r w:rsidRPr="00FE71D6">
                    <w:rPr>
                      <w:rFonts w:ascii="Times New Roman" w:hAnsi="Times New Roman" w:cs="Times New Roman"/>
                      <w:i/>
                      <w:iCs/>
                      <w:noProof/>
                      <w:sz w:val="24"/>
                      <w:szCs w:val="24"/>
                    </w:rPr>
                    <w:t>Journal of     Business Logistic, 17</w:t>
                  </w:r>
                  <w:r w:rsidRPr="00FE71D6">
                    <w:rPr>
                      <w:rFonts w:ascii="Times New Roman" w:hAnsi="Times New Roman" w:cs="Times New Roman"/>
                      <w:noProof/>
                      <w:sz w:val="24"/>
                      <w:szCs w:val="24"/>
                    </w:rPr>
                    <w:t>(1), 35-62.</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Farris, II., &amp; Hutchison, P. (2002). Cash-to-Cash: The New Supply Chain Managment Metric. </w:t>
                  </w:r>
                  <w:r w:rsidRPr="00FE71D6">
                    <w:rPr>
                      <w:rFonts w:ascii="Times New Roman" w:hAnsi="Times New Roman" w:cs="Times New Roman"/>
                      <w:i/>
                      <w:iCs/>
                      <w:noProof/>
                      <w:sz w:val="24"/>
                      <w:szCs w:val="24"/>
                    </w:rPr>
                    <w:t>International Journal of Physical Distribution &amp; Logistics Management, 32</w:t>
                  </w:r>
                  <w:r w:rsidRPr="00FE71D6">
                    <w:rPr>
                      <w:rFonts w:ascii="Times New Roman" w:hAnsi="Times New Roman" w:cs="Times New Roman"/>
                      <w:noProof/>
                      <w:sz w:val="24"/>
                      <w:szCs w:val="24"/>
                    </w:rPr>
                    <w:t>(4), 288-298.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Frohlich, M., &amp; Westbrook, R. (2001). Arcs of Integration: an International Study of Supply Chain Strategies. </w:t>
                  </w:r>
                  <w:r w:rsidRPr="00FE71D6">
                    <w:rPr>
                      <w:rFonts w:ascii="Times New Roman" w:hAnsi="Times New Roman" w:cs="Times New Roman"/>
                      <w:i/>
                      <w:iCs/>
                      <w:noProof/>
                      <w:sz w:val="24"/>
                      <w:szCs w:val="24"/>
                    </w:rPr>
                    <w:t>Journal of Operations Management, 19</w:t>
                  </w:r>
                  <w:r w:rsidRPr="00FE71D6">
                    <w:rPr>
                      <w:rFonts w:ascii="Times New Roman" w:hAnsi="Times New Roman" w:cs="Times New Roman"/>
                      <w:noProof/>
                      <w:sz w:val="24"/>
                      <w:szCs w:val="24"/>
                    </w:rPr>
                    <w:t>, 185-200.</w:t>
                  </w:r>
                </w:p>
                <w:p w:rsidR="00AF6629" w:rsidRPr="00FE71D6" w:rsidRDefault="00220A41"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García</w:t>
                  </w:r>
                  <w:r w:rsidR="00AF6629" w:rsidRPr="00FE71D6">
                    <w:rPr>
                      <w:rFonts w:ascii="Times New Roman" w:hAnsi="Times New Roman" w:cs="Times New Roman"/>
                      <w:noProof/>
                      <w:sz w:val="24"/>
                      <w:szCs w:val="24"/>
                    </w:rPr>
                    <w:t xml:space="preserve">-Terual, P. J., &amp; </w:t>
                  </w:r>
                  <w:r w:rsidR="00B9633C" w:rsidRPr="00FE71D6">
                    <w:rPr>
                      <w:rFonts w:ascii="Times New Roman" w:hAnsi="Times New Roman" w:cs="Times New Roman"/>
                      <w:noProof/>
                      <w:sz w:val="24"/>
                      <w:szCs w:val="24"/>
                    </w:rPr>
                    <w:t>Martínez</w:t>
                  </w:r>
                  <w:r w:rsidR="00AF6629" w:rsidRPr="00FE71D6">
                    <w:rPr>
                      <w:rFonts w:ascii="Times New Roman" w:hAnsi="Times New Roman" w:cs="Times New Roman"/>
                      <w:noProof/>
                      <w:sz w:val="24"/>
                      <w:szCs w:val="24"/>
                    </w:rPr>
                    <w:t xml:space="preserve">-Solano, P. (2007). Effects of Working Capital Management on SME Profitability. </w:t>
                  </w:r>
                  <w:r w:rsidR="00AF6629" w:rsidRPr="00FE71D6">
                    <w:rPr>
                      <w:rFonts w:ascii="Times New Roman" w:hAnsi="Times New Roman" w:cs="Times New Roman"/>
                      <w:i/>
                      <w:iCs/>
                      <w:noProof/>
                      <w:sz w:val="24"/>
                      <w:szCs w:val="24"/>
                    </w:rPr>
                    <w:t>International Journal of Managerial Finance, 3</w:t>
                  </w:r>
                  <w:r w:rsidR="00AF6629" w:rsidRPr="00FE71D6">
                    <w:rPr>
                      <w:rFonts w:ascii="Times New Roman" w:hAnsi="Times New Roman" w:cs="Times New Roman"/>
                      <w:noProof/>
                      <w:sz w:val="24"/>
                      <w:szCs w:val="24"/>
                    </w:rPr>
                    <w:t>(2), 164-177.</w:t>
                  </w:r>
                </w:p>
                <w:p w:rsidR="001F5FA9" w:rsidRPr="00FE71D6" w:rsidRDefault="001F5FA9" w:rsidP="001F5FA9">
                  <w:pPr>
                    <w:pStyle w:val="Bibliography"/>
                    <w:spacing w:after="240" w:line="240" w:lineRule="auto"/>
                    <w:ind w:left="72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Garwood, D. (1999). Supply Chain Management: New Paradigms for Customers and Suppliers. </w:t>
                  </w:r>
                  <w:r w:rsidRPr="00FE71D6">
                    <w:rPr>
                      <w:rFonts w:ascii="Times New Roman" w:hAnsi="Times New Roman" w:cs="Times New Roman"/>
                      <w:i/>
                      <w:iCs/>
                      <w:noProof/>
                      <w:sz w:val="24"/>
                      <w:szCs w:val="24"/>
                    </w:rPr>
                    <w:t>Hospital Materials Management Quarterly, 20</w:t>
                  </w:r>
                  <w:r w:rsidRPr="00FE71D6">
                    <w:rPr>
                      <w:rFonts w:ascii="Times New Roman" w:hAnsi="Times New Roman" w:cs="Times New Roman"/>
                      <w:noProof/>
                      <w:sz w:val="24"/>
                      <w:szCs w:val="24"/>
                    </w:rPr>
                    <w:t>(3), 1-3.</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Gattis, C. G. (2009). </w:t>
                  </w:r>
                  <w:r w:rsidRPr="00FE71D6">
                    <w:rPr>
                      <w:rFonts w:ascii="Times New Roman" w:hAnsi="Times New Roman" w:cs="Times New Roman"/>
                      <w:i/>
                      <w:iCs/>
                      <w:noProof/>
                      <w:sz w:val="24"/>
                      <w:szCs w:val="24"/>
                    </w:rPr>
                    <w:t>The Cash Conversion Cycle</w:t>
                  </w:r>
                  <w:r w:rsidRPr="00FE71D6">
                    <w:rPr>
                      <w:rFonts w:ascii="Times New Roman" w:hAnsi="Times New Roman" w:cs="Times New Roman"/>
                      <w:noProof/>
                      <w:sz w:val="24"/>
                      <w:szCs w:val="24"/>
                    </w:rPr>
                    <w:t>. Retrieved from www.BluePointStrategies.Com.</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Gentry, J. A., Vaidyanathan, R., &amp; Lee, H. W. (1990). A Weighted Cash       Conversion Cycle. </w:t>
                  </w:r>
                  <w:r w:rsidRPr="00FE71D6">
                    <w:rPr>
                      <w:rFonts w:ascii="Times New Roman" w:hAnsi="Times New Roman" w:cs="Times New Roman"/>
                      <w:i/>
                      <w:iCs/>
                      <w:noProof/>
                      <w:sz w:val="24"/>
                      <w:szCs w:val="24"/>
                    </w:rPr>
                    <w:t>Financial Management, 19</w:t>
                  </w:r>
                  <w:r w:rsidRPr="00FE71D6">
                    <w:rPr>
                      <w:rFonts w:ascii="Times New Roman" w:hAnsi="Times New Roman" w:cs="Times New Roman"/>
                      <w:noProof/>
                      <w:sz w:val="24"/>
                      <w:szCs w:val="24"/>
                    </w:rPr>
                    <w:t>(1), 90-99.</w:t>
                  </w:r>
                </w:p>
                <w:p w:rsidR="00B87B6D" w:rsidRPr="00FE71D6" w:rsidRDefault="00B87B6D" w:rsidP="00DA7370">
                  <w:pPr>
                    <w:pStyle w:val="Bibliography"/>
                    <w:spacing w:after="240" w:line="240" w:lineRule="auto"/>
                    <w:ind w:left="72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Ghiselli, E., Campbell, J., &amp; Zedeck, S. (1981). </w:t>
                  </w:r>
                  <w:r w:rsidRPr="00FE71D6">
                    <w:rPr>
                      <w:rFonts w:ascii="Times New Roman" w:hAnsi="Times New Roman" w:cs="Times New Roman"/>
                      <w:i/>
                      <w:iCs/>
                      <w:noProof/>
                      <w:sz w:val="24"/>
                      <w:szCs w:val="24"/>
                    </w:rPr>
                    <w:t>Measurement Theory for the Behavioral Sciences.</w:t>
                  </w:r>
                  <w:r w:rsidRPr="00FE71D6">
                    <w:rPr>
                      <w:rFonts w:ascii="Times New Roman" w:hAnsi="Times New Roman" w:cs="Times New Roman"/>
                      <w:noProof/>
                      <w:sz w:val="24"/>
                      <w:szCs w:val="24"/>
                    </w:rPr>
                    <w:t xml:space="preserve"> San Francisco, CA: Freeman.</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Gill, A., Biger, N., &amp; Mathur, N. (2010). The Relationship between Working Capital Management and Profitability: Evidence fro</w:t>
                  </w:r>
                  <w:r w:rsidR="00FF65A5" w:rsidRPr="00FE71D6">
                    <w:rPr>
                      <w:rFonts w:ascii="Times New Roman" w:hAnsi="Times New Roman" w:cs="Times New Roman"/>
                      <w:noProof/>
                      <w:sz w:val="24"/>
                      <w:szCs w:val="24"/>
                    </w:rPr>
                    <w:t xml:space="preserve">m the United States. </w:t>
                  </w:r>
                  <w:r w:rsidRPr="00FE71D6">
                    <w:rPr>
                      <w:rFonts w:ascii="Times New Roman" w:hAnsi="Times New Roman" w:cs="Times New Roman"/>
                      <w:i/>
                      <w:iCs/>
                      <w:noProof/>
                      <w:sz w:val="24"/>
                      <w:szCs w:val="24"/>
                    </w:rPr>
                    <w:t>Business and Economics Journal</w:t>
                  </w:r>
                  <w:r w:rsidRPr="00FE71D6">
                    <w:rPr>
                      <w:rFonts w:ascii="Times New Roman" w:hAnsi="Times New Roman" w:cs="Times New Roman"/>
                      <w:noProof/>
                      <w:sz w:val="24"/>
                      <w:szCs w:val="24"/>
                    </w:rPr>
                    <w:t>.</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Gitman, L. J. (1974). Estimating Corporate Liquidity Requirements:                              A Simplified Approach. </w:t>
                  </w:r>
                  <w:r w:rsidRPr="00FE71D6">
                    <w:rPr>
                      <w:rFonts w:ascii="Times New Roman" w:hAnsi="Times New Roman" w:cs="Times New Roman"/>
                      <w:i/>
                      <w:iCs/>
                      <w:noProof/>
                      <w:sz w:val="24"/>
                      <w:szCs w:val="24"/>
                    </w:rPr>
                    <w:t>The Financial Review, 9</w:t>
                  </w:r>
                  <w:r w:rsidRPr="00FE71D6">
                    <w:rPr>
                      <w:rFonts w:ascii="Times New Roman" w:hAnsi="Times New Roman" w:cs="Times New Roman"/>
                      <w:noProof/>
                      <w:sz w:val="24"/>
                      <w:szCs w:val="24"/>
                    </w:rPr>
                    <w:t>(3), 79-88.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Gnyawali, D. R., &amp; Park, B. J. (2011). Co-Opetition Between Giants: Collaboration with Competitors for Technological Innovation. </w:t>
                  </w:r>
                  <w:r w:rsidR="00FF65A5" w:rsidRPr="00FE71D6">
                    <w:rPr>
                      <w:rFonts w:ascii="Times New Roman" w:hAnsi="Times New Roman" w:cs="Times New Roman"/>
                      <w:i/>
                      <w:iCs/>
                      <w:noProof/>
                      <w:sz w:val="24"/>
                      <w:szCs w:val="24"/>
                    </w:rPr>
                    <w:t>Research Policy,</w:t>
                  </w:r>
                  <w:r w:rsidRPr="00FE71D6">
                    <w:rPr>
                      <w:rFonts w:ascii="Times New Roman" w:hAnsi="Times New Roman" w:cs="Times New Roman"/>
                      <w:i/>
                      <w:iCs/>
                      <w:noProof/>
                      <w:sz w:val="24"/>
                      <w:szCs w:val="24"/>
                    </w:rPr>
                    <w:t xml:space="preserve"> 40</w:t>
                  </w:r>
                  <w:r w:rsidRPr="00FE71D6">
                    <w:rPr>
                      <w:rFonts w:ascii="Times New Roman" w:hAnsi="Times New Roman" w:cs="Times New Roman"/>
                      <w:noProof/>
                      <w:sz w:val="24"/>
                      <w:szCs w:val="24"/>
                    </w:rPr>
                    <w:t>(5), 650-663.</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Grant, R. M., &amp; Baden-Fuller, C. (1995). A Knowledge-Based Theory of Inter-Firm Collaboration. </w:t>
                  </w:r>
                  <w:r w:rsidRPr="00FE71D6">
                    <w:rPr>
                      <w:rFonts w:ascii="Times New Roman" w:hAnsi="Times New Roman" w:cs="Times New Roman"/>
                      <w:i/>
                      <w:iCs/>
                      <w:noProof/>
                      <w:sz w:val="24"/>
                      <w:szCs w:val="24"/>
                    </w:rPr>
                    <w:t>Academy of Management Best Papers Proceedings</w:t>
                  </w:r>
                  <w:r w:rsidRPr="00FE71D6">
                    <w:rPr>
                      <w:rFonts w:ascii="Times New Roman" w:hAnsi="Times New Roman" w:cs="Times New Roman"/>
                      <w:noProof/>
                      <w:sz w:val="24"/>
                      <w:szCs w:val="24"/>
                    </w:rPr>
                    <w:t xml:space="preserve"> (pp. 17-21). Academy of Management.</w:t>
                  </w:r>
                </w:p>
                <w:p w:rsidR="005A422B" w:rsidRPr="00FE71D6" w:rsidRDefault="005A422B" w:rsidP="00DA7370">
                  <w:pPr>
                    <w:spacing w:after="240" w:line="240" w:lineRule="auto"/>
                    <w:ind w:left="720" w:hanging="720"/>
                    <w:jc w:val="both"/>
                    <w:rPr>
                      <w:lang w:val="en-US" w:eastAsia="en-US"/>
                    </w:rPr>
                  </w:pPr>
                  <w:r w:rsidRPr="00FE71D6">
                    <w:rPr>
                      <w:noProof/>
                      <w:lang w:val="en-US"/>
                    </w:rPr>
                    <w:t xml:space="preserve">Gronroos, C. (1994). Quo vadis, Marketing? Toward a Relationship Marketing Paradigm. </w:t>
                  </w:r>
                  <w:r w:rsidRPr="00FE71D6">
                    <w:rPr>
                      <w:i/>
                      <w:iCs/>
                      <w:noProof/>
                      <w:lang w:val="en-US"/>
                    </w:rPr>
                    <w:t>Journal of Marketing Management</w:t>
                  </w:r>
                  <w:r w:rsidRPr="00FE71D6">
                    <w:rPr>
                      <w:noProof/>
                      <w:lang w:val="en-US"/>
                    </w:rPr>
                    <w:t>, 347-360.</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Gunasekaran, A., Patel, C., &amp; Tirtiroglu, E. (2001). Performance Measures and Metrics in a Supply Chain Environment. </w:t>
                  </w:r>
                  <w:r w:rsidRPr="00FE71D6">
                    <w:rPr>
                      <w:rFonts w:ascii="Times New Roman" w:hAnsi="Times New Roman" w:cs="Times New Roman"/>
                      <w:i/>
                      <w:iCs/>
                      <w:noProof/>
                      <w:sz w:val="24"/>
                      <w:szCs w:val="24"/>
                    </w:rPr>
                    <w:t>International Journal of Operations and Production Management, 21</w:t>
                  </w:r>
                  <w:r w:rsidRPr="00FE71D6">
                    <w:rPr>
                      <w:rFonts w:ascii="Times New Roman" w:hAnsi="Times New Roman" w:cs="Times New Roman"/>
                      <w:noProof/>
                      <w:sz w:val="24"/>
                      <w:szCs w:val="24"/>
                    </w:rPr>
                    <w:t>(2), 71-87.</w:t>
                  </w:r>
                </w:p>
                <w:p w:rsidR="007C452B" w:rsidRPr="00FE71D6" w:rsidRDefault="007C452B" w:rsidP="00DA7370">
                  <w:pPr>
                    <w:pStyle w:val="Bibliography"/>
                    <w:spacing w:after="240" w:line="240" w:lineRule="auto"/>
                    <w:ind w:left="720" w:hangingChars="300" w:hanging="720"/>
                    <w:jc w:val="both"/>
                    <w:rPr>
                      <w:rFonts w:ascii="Times New Roman" w:hAnsi="Times New Roman" w:cs="Times New Roman"/>
                      <w:noProof/>
                      <w:sz w:val="24"/>
                      <w:szCs w:val="24"/>
                    </w:rPr>
                  </w:pP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Hamon, T. T. (2003). Organizational Effectiveness as Explained by Social Structure in a Faith Based Business Network Organization. </w:t>
                  </w:r>
                  <w:r w:rsidRPr="00FE71D6">
                    <w:rPr>
                      <w:rFonts w:ascii="Times New Roman" w:hAnsi="Times New Roman" w:cs="Times New Roman"/>
                      <w:i/>
                      <w:iCs/>
                      <w:noProof/>
                      <w:sz w:val="24"/>
                      <w:szCs w:val="24"/>
                    </w:rPr>
                    <w:t>Unpublished Doctoral's Dissertation at Regent University, Virginia Beach, Virginia</w:t>
                  </w:r>
                  <w:r w:rsidRPr="00FE71D6">
                    <w:rPr>
                      <w:rFonts w:ascii="Times New Roman" w:hAnsi="Times New Roman" w:cs="Times New Roman"/>
                      <w:noProof/>
                      <w:sz w:val="24"/>
                      <w:szCs w:val="24"/>
                    </w:rPr>
                    <w:t>.</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Handfield, R. B., &amp; Nichols, E. L. (1999). </w:t>
                  </w:r>
                  <w:r w:rsidRPr="00FE71D6">
                    <w:rPr>
                      <w:rFonts w:ascii="Times New Roman" w:hAnsi="Times New Roman" w:cs="Times New Roman"/>
                      <w:i/>
                      <w:iCs/>
                      <w:noProof/>
                      <w:sz w:val="24"/>
                      <w:szCs w:val="24"/>
                    </w:rPr>
                    <w:t>Introduction to Supply Chain Management.</w:t>
                  </w:r>
                  <w:r w:rsidRPr="00FE71D6">
                    <w:rPr>
                      <w:rFonts w:ascii="Times New Roman" w:hAnsi="Times New Roman" w:cs="Times New Roman"/>
                      <w:noProof/>
                      <w:sz w:val="24"/>
                      <w:szCs w:val="24"/>
                    </w:rPr>
                    <w:t xml:space="preserve"> Upper Saddler River, New Jersey: Prentice Hall.</w:t>
                  </w:r>
                </w:p>
                <w:p w:rsidR="00265E23" w:rsidRPr="00FE71D6" w:rsidRDefault="00265E23" w:rsidP="00DA7370">
                  <w:pPr>
                    <w:spacing w:after="240" w:line="240" w:lineRule="auto"/>
                    <w:ind w:left="720" w:hanging="720"/>
                    <w:jc w:val="both"/>
                    <w:rPr>
                      <w:lang w:val="en-US" w:eastAsia="en-US"/>
                    </w:rPr>
                  </w:pPr>
                  <w:r w:rsidRPr="00FE71D6">
                    <w:rPr>
                      <w:noProof/>
                      <w:lang w:val="en-US"/>
                    </w:rPr>
                    <w:t xml:space="preserve">Harker, M. J. (1999). Relationship Marketing Defined? An Examination of Current Relationship Marketing Definitions. </w:t>
                  </w:r>
                  <w:r w:rsidRPr="00FE71D6">
                    <w:rPr>
                      <w:i/>
                      <w:iCs/>
                      <w:noProof/>
                      <w:lang w:val="en-US"/>
                    </w:rPr>
                    <w:t>Marketing Intelligence &amp; Planning</w:t>
                  </w:r>
                  <w:r w:rsidRPr="00FE71D6">
                    <w:rPr>
                      <w:noProof/>
                      <w:lang w:val="en-US"/>
                    </w:rPr>
                    <w:t>, 13-20.</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Ho, L. A. (2008). What Affects Organizational Performance? The Linking of Learning and Knowledge Management. </w:t>
                  </w:r>
                  <w:r w:rsidRPr="00FE71D6">
                    <w:rPr>
                      <w:rFonts w:ascii="Times New Roman" w:hAnsi="Times New Roman" w:cs="Times New Roman"/>
                      <w:i/>
                      <w:iCs/>
                      <w:noProof/>
                      <w:sz w:val="24"/>
                      <w:szCs w:val="24"/>
                    </w:rPr>
                    <w:t>Ind. Manage. Data Syst., 108</w:t>
                  </w:r>
                  <w:r w:rsidRPr="00FE71D6">
                    <w:rPr>
                      <w:rFonts w:ascii="Times New Roman" w:hAnsi="Times New Roman" w:cs="Times New Roman"/>
                      <w:noProof/>
                      <w:sz w:val="24"/>
                      <w:szCs w:val="24"/>
                    </w:rPr>
                    <w:t>(9).</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Hofmann, E., &amp; Kotzab, H. (2010). A Supply Chain-Oriented Approach of Working Capital Management. </w:t>
                  </w:r>
                  <w:r w:rsidRPr="00FE71D6">
                    <w:rPr>
                      <w:rFonts w:ascii="Times New Roman" w:hAnsi="Times New Roman" w:cs="Times New Roman"/>
                      <w:i/>
                      <w:iCs/>
                      <w:noProof/>
                      <w:sz w:val="24"/>
                      <w:szCs w:val="24"/>
                    </w:rPr>
                    <w:t>Journal of Business Logistics, 31</w:t>
                  </w:r>
                  <w:r w:rsidRPr="00FE71D6">
                    <w:rPr>
                      <w:rFonts w:ascii="Times New Roman" w:hAnsi="Times New Roman" w:cs="Times New Roman"/>
                      <w:noProof/>
                      <w:sz w:val="24"/>
                      <w:szCs w:val="24"/>
                    </w:rPr>
                    <w:t>(2), 305-330.</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Holmberg, S. (2000). A Systems Perspective on Supply Chain Measurements. </w:t>
                  </w:r>
                  <w:r w:rsidRPr="00FE71D6">
                    <w:rPr>
                      <w:rFonts w:ascii="Times New Roman" w:hAnsi="Times New Roman" w:cs="Times New Roman"/>
                      <w:i/>
                      <w:iCs/>
                      <w:noProof/>
                      <w:sz w:val="24"/>
                      <w:szCs w:val="24"/>
                    </w:rPr>
                    <w:t>International Journal of Physical Distribution and Logistics Management, 30</w:t>
                  </w:r>
                  <w:r w:rsidRPr="00FE71D6">
                    <w:rPr>
                      <w:rFonts w:ascii="Times New Roman" w:hAnsi="Times New Roman" w:cs="Times New Roman"/>
                      <w:noProof/>
                      <w:sz w:val="24"/>
                      <w:szCs w:val="24"/>
                    </w:rPr>
                    <w:t>(10), 847-868.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Hong-Mei, C. (2008). Establish Credit System in Enterprises to Strengthen the Management of Accounts Receivable. </w:t>
                  </w:r>
                  <w:r w:rsidRPr="00FE71D6">
                    <w:rPr>
                      <w:rFonts w:ascii="Times New Roman" w:hAnsi="Times New Roman" w:cs="Times New Roman"/>
                      <w:i/>
                      <w:iCs/>
                      <w:noProof/>
                      <w:sz w:val="24"/>
                      <w:szCs w:val="24"/>
                    </w:rPr>
                    <w:t>Management Science and Engineering, 2</w:t>
                  </w:r>
                  <w:r w:rsidRPr="00FE71D6">
                    <w:rPr>
                      <w:rFonts w:ascii="Times New Roman" w:hAnsi="Times New Roman" w:cs="Times New Roman"/>
                      <w:noProof/>
                      <w:sz w:val="24"/>
                      <w:szCs w:val="24"/>
                    </w:rPr>
                    <w:t>(1), 97-100.</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Hsieh, C., &amp; Wu, C. Y. (2013). Working Capital Management and Profitability of Publicly Traded Chinese Companies. </w:t>
                  </w:r>
                  <w:r w:rsidRPr="00FE71D6">
                    <w:rPr>
                      <w:rFonts w:ascii="Times New Roman" w:hAnsi="Times New Roman" w:cs="Times New Roman"/>
                      <w:i/>
                      <w:iCs/>
                      <w:noProof/>
                      <w:sz w:val="24"/>
                      <w:szCs w:val="24"/>
                    </w:rPr>
                    <w:t>Asia Paci</w:t>
                  </w:r>
                  <w:r w:rsidR="007647BD" w:rsidRPr="00FE71D6">
                    <w:rPr>
                      <w:rFonts w:ascii="Times New Roman" w:hAnsi="Times New Roman" w:cs="Times New Roman"/>
                      <w:i/>
                      <w:iCs/>
                      <w:noProof/>
                      <w:sz w:val="24"/>
                      <w:szCs w:val="24"/>
                    </w:rPr>
                    <w:t xml:space="preserve">fic Journal of Economics </w:t>
                  </w:r>
                  <w:r w:rsidRPr="00FE71D6">
                    <w:rPr>
                      <w:rFonts w:ascii="Times New Roman" w:hAnsi="Times New Roman" w:cs="Times New Roman"/>
                      <w:i/>
                      <w:iCs/>
                      <w:noProof/>
                      <w:sz w:val="24"/>
                      <w:szCs w:val="24"/>
                    </w:rPr>
                    <w:t>and Business, 17</w:t>
                  </w:r>
                  <w:r w:rsidRPr="00FE71D6">
                    <w:rPr>
                      <w:rFonts w:ascii="Times New Roman" w:hAnsi="Times New Roman" w:cs="Times New Roman"/>
                      <w:noProof/>
                      <w:sz w:val="24"/>
                      <w:szCs w:val="24"/>
                    </w:rPr>
                    <w:t>(1), 1-11.</w:t>
                  </w:r>
                </w:p>
                <w:p w:rsidR="00F037BB" w:rsidRPr="00FE71D6" w:rsidRDefault="00F037BB" w:rsidP="00DA7370">
                  <w:pPr>
                    <w:pStyle w:val="Bibliography"/>
                    <w:spacing w:after="240" w:line="240" w:lineRule="auto"/>
                    <w:ind w:left="72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Hu, L., &amp; Bentler, P. (1999). Cutoff Criteria for Fit Indexes in Coveriance Structure Analysis: Conventional Criteria Versus New Alternatives. </w:t>
                  </w:r>
                  <w:r w:rsidRPr="00FE71D6">
                    <w:rPr>
                      <w:rFonts w:ascii="Times New Roman" w:hAnsi="Times New Roman" w:cs="Times New Roman"/>
                      <w:i/>
                      <w:iCs/>
                      <w:noProof/>
                      <w:sz w:val="24"/>
                      <w:szCs w:val="24"/>
                    </w:rPr>
                    <w:t>Structural Equation Modeling, 6</w:t>
                  </w:r>
                  <w:r w:rsidRPr="00FE71D6">
                    <w:rPr>
                      <w:rFonts w:ascii="Times New Roman" w:hAnsi="Times New Roman" w:cs="Times New Roman"/>
                      <w:noProof/>
                      <w:sz w:val="24"/>
                      <w:szCs w:val="24"/>
                    </w:rPr>
                    <w:t>(1), 1-55.</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Hunt, S., &amp; Davis, D. F. (2012). Grounding Supply Chain Management in Resource-Advantage Theory: In Defense of a Resource-Based View of the Firm. </w:t>
                  </w:r>
                  <w:r w:rsidRPr="00FE71D6">
                    <w:rPr>
                      <w:rFonts w:ascii="Times New Roman" w:hAnsi="Times New Roman" w:cs="Times New Roman"/>
                      <w:i/>
                      <w:iCs/>
                      <w:noProof/>
                      <w:sz w:val="24"/>
                      <w:szCs w:val="24"/>
                    </w:rPr>
                    <w:t>Journal of Supply Chain Management, 28</w:t>
                  </w:r>
                  <w:r w:rsidRPr="00FE71D6">
                    <w:rPr>
                      <w:rFonts w:ascii="Times New Roman" w:hAnsi="Times New Roman" w:cs="Times New Roman"/>
                      <w:noProof/>
                      <w:sz w:val="24"/>
                      <w:szCs w:val="24"/>
                    </w:rPr>
                    <w:t>(2), 14-19.</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Huo, B. (2012). The Impact of Supply Chain Integ</w:t>
                  </w:r>
                  <w:r w:rsidR="007647BD" w:rsidRPr="00FE71D6">
                    <w:rPr>
                      <w:rFonts w:ascii="Times New Roman" w:hAnsi="Times New Roman" w:cs="Times New Roman"/>
                      <w:noProof/>
                      <w:sz w:val="24"/>
                      <w:szCs w:val="24"/>
                    </w:rPr>
                    <w:t>ration on Company Performance:</w:t>
                  </w:r>
                  <w:r w:rsidRPr="00FE71D6">
                    <w:rPr>
                      <w:rFonts w:ascii="Times New Roman" w:hAnsi="Times New Roman" w:cs="Times New Roman"/>
                      <w:noProof/>
                      <w:sz w:val="24"/>
                      <w:szCs w:val="24"/>
                    </w:rPr>
                    <w:t xml:space="preserve"> An Organizational Capability Perspective. </w:t>
                  </w:r>
                  <w:r w:rsidRPr="00FE71D6">
                    <w:rPr>
                      <w:rFonts w:ascii="Times New Roman" w:hAnsi="Times New Roman" w:cs="Times New Roman"/>
                      <w:i/>
                      <w:iCs/>
                      <w:noProof/>
                      <w:sz w:val="24"/>
                      <w:szCs w:val="24"/>
                    </w:rPr>
                    <w:t>Supp</w:t>
                  </w:r>
                  <w:r w:rsidR="007647BD" w:rsidRPr="00FE71D6">
                    <w:rPr>
                      <w:rFonts w:ascii="Times New Roman" w:hAnsi="Times New Roman" w:cs="Times New Roman"/>
                      <w:i/>
                      <w:iCs/>
                      <w:noProof/>
                      <w:sz w:val="24"/>
                      <w:szCs w:val="24"/>
                    </w:rPr>
                    <w:t xml:space="preserve">ly Chain Management: </w:t>
                  </w:r>
                  <w:r w:rsidRPr="00FE71D6">
                    <w:rPr>
                      <w:rFonts w:ascii="Times New Roman" w:hAnsi="Times New Roman" w:cs="Times New Roman"/>
                      <w:i/>
                      <w:iCs/>
                      <w:noProof/>
                      <w:sz w:val="24"/>
                      <w:szCs w:val="24"/>
                    </w:rPr>
                    <w:t>An International Journal, 17</w:t>
                  </w:r>
                  <w:r w:rsidRPr="00FE71D6">
                    <w:rPr>
                      <w:rFonts w:ascii="Times New Roman" w:hAnsi="Times New Roman" w:cs="Times New Roman"/>
                      <w:noProof/>
                      <w:sz w:val="24"/>
                      <w:szCs w:val="24"/>
                    </w:rPr>
                    <w:t>(6), 596-610.</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Johnson, R., &amp; Soenen, L. (2003). Indicators of Successful Companies.            </w:t>
                  </w:r>
                  <w:r w:rsidRPr="00FE71D6">
                    <w:rPr>
                      <w:rFonts w:ascii="Times New Roman" w:hAnsi="Times New Roman" w:cs="Times New Roman"/>
                      <w:i/>
                      <w:iCs/>
                      <w:noProof/>
                      <w:sz w:val="24"/>
                      <w:szCs w:val="24"/>
                    </w:rPr>
                    <w:t>European Management Journal, 21</w:t>
                  </w:r>
                  <w:r w:rsidRPr="00FE71D6">
                    <w:rPr>
                      <w:rFonts w:ascii="Times New Roman" w:hAnsi="Times New Roman" w:cs="Times New Roman"/>
                      <w:noProof/>
                      <w:sz w:val="24"/>
                      <w:szCs w:val="24"/>
                    </w:rPr>
                    <w:t>(3), 364-369.</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Jones, C. (1998). Moving beyond ERP: Making the Missing Link. </w:t>
                  </w:r>
                  <w:r w:rsidRPr="00FE71D6">
                    <w:rPr>
                      <w:rFonts w:ascii="Times New Roman" w:hAnsi="Times New Roman" w:cs="Times New Roman"/>
                      <w:i/>
                      <w:iCs/>
                      <w:noProof/>
                      <w:sz w:val="24"/>
                      <w:szCs w:val="24"/>
                    </w:rPr>
                    <w:t>Logistics Focus, 6</w:t>
                  </w:r>
                  <w:r w:rsidRPr="00FE71D6">
                    <w:rPr>
                      <w:rFonts w:ascii="Times New Roman" w:hAnsi="Times New Roman" w:cs="Times New Roman"/>
                      <w:noProof/>
                      <w:sz w:val="24"/>
                      <w:szCs w:val="24"/>
                    </w:rPr>
                    <w:t>(7), 2-7.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Jorde, T. M., &amp; Teece, D. J. (1989). Competition and Cooperation-Striking the       Right Balance. </w:t>
                  </w:r>
                  <w:r w:rsidRPr="00FE71D6">
                    <w:rPr>
                      <w:rFonts w:ascii="Times New Roman" w:hAnsi="Times New Roman" w:cs="Times New Roman"/>
                      <w:i/>
                      <w:iCs/>
                      <w:noProof/>
                      <w:sz w:val="24"/>
                      <w:szCs w:val="24"/>
                    </w:rPr>
                    <w:t>California Management Review, 31</w:t>
                  </w:r>
                  <w:r w:rsidRPr="00FE71D6">
                    <w:rPr>
                      <w:rFonts w:ascii="Times New Roman" w:hAnsi="Times New Roman" w:cs="Times New Roman"/>
                      <w:noProof/>
                      <w:sz w:val="24"/>
                      <w:szCs w:val="24"/>
                    </w:rPr>
                    <w:t>(3), 25-37.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Jose, M. L., Lancaster, C., &amp; Stevens, J. L. (1996). Corporate Returns and Cash Conversion Cycles. </w:t>
                  </w:r>
                  <w:r w:rsidRPr="00FE71D6">
                    <w:rPr>
                      <w:rFonts w:ascii="Times New Roman" w:hAnsi="Times New Roman" w:cs="Times New Roman"/>
                      <w:i/>
                      <w:iCs/>
                      <w:noProof/>
                      <w:sz w:val="24"/>
                      <w:szCs w:val="24"/>
                    </w:rPr>
                    <w:t>Journal of Economics and Finance, 20</w:t>
                  </w:r>
                  <w:r w:rsidRPr="00FE71D6">
                    <w:rPr>
                      <w:rFonts w:ascii="Times New Roman" w:hAnsi="Times New Roman" w:cs="Times New Roman"/>
                      <w:noProof/>
                      <w:sz w:val="24"/>
                      <w:szCs w:val="24"/>
                    </w:rPr>
                    <w:t>(1), 33-46.</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Karaduman, H. A., Akbas, H. E., &amp; Ozsozgun, A. (2010). Effects of Working Capital Management on Profitability: The Case for Selected Companies in the Istanbul Stock Exchange. </w:t>
                  </w:r>
                  <w:r w:rsidRPr="00FE71D6">
                    <w:rPr>
                      <w:rFonts w:ascii="Times New Roman" w:hAnsi="Times New Roman" w:cs="Times New Roman"/>
                      <w:i/>
                      <w:iCs/>
                      <w:noProof/>
                      <w:sz w:val="24"/>
                      <w:szCs w:val="24"/>
                    </w:rPr>
                    <w:t xml:space="preserve">International Journal of </w:t>
                  </w:r>
                  <w:r w:rsidR="007647BD" w:rsidRPr="00FE71D6">
                    <w:rPr>
                      <w:rFonts w:ascii="Times New Roman" w:hAnsi="Times New Roman" w:cs="Times New Roman"/>
                      <w:i/>
                      <w:iCs/>
                      <w:noProof/>
                      <w:sz w:val="24"/>
                      <w:szCs w:val="24"/>
                    </w:rPr>
                    <w:t>Economics and Finance Studies,</w:t>
                  </w:r>
                  <w:r w:rsidRPr="00FE71D6">
                    <w:rPr>
                      <w:rFonts w:ascii="Times New Roman" w:hAnsi="Times New Roman" w:cs="Times New Roman"/>
                      <w:i/>
                      <w:iCs/>
                      <w:noProof/>
                      <w:sz w:val="24"/>
                      <w:szCs w:val="24"/>
                    </w:rPr>
                    <w:t xml:space="preserve"> 2</w:t>
                  </w:r>
                  <w:r w:rsidRPr="00FE71D6">
                    <w:rPr>
                      <w:rFonts w:ascii="Times New Roman" w:hAnsi="Times New Roman" w:cs="Times New Roman"/>
                      <w:noProof/>
                      <w:sz w:val="24"/>
                      <w:szCs w:val="24"/>
                    </w:rPr>
                    <w:t>(2), 47-54.</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Karaduman, H. A., Akbas, H. E., Caliskan, A. O., &amp; Durer, S. (2011). The Relationship between Working Capital Management and Profitability: Evidence from an Emerging Market. </w:t>
                  </w:r>
                  <w:r w:rsidRPr="00FE71D6">
                    <w:rPr>
                      <w:rFonts w:ascii="Times New Roman" w:hAnsi="Times New Roman" w:cs="Times New Roman"/>
                      <w:i/>
                      <w:iCs/>
                      <w:noProof/>
                      <w:sz w:val="24"/>
                      <w:szCs w:val="24"/>
                    </w:rPr>
                    <w:t>International Research Journal of Finance and Economics, 62</w:t>
                  </w:r>
                  <w:r w:rsidRPr="00FE71D6">
                    <w:rPr>
                      <w:rFonts w:ascii="Times New Roman" w:hAnsi="Times New Roman" w:cs="Times New Roman"/>
                      <w:noProof/>
                      <w:sz w:val="24"/>
                      <w:szCs w:val="24"/>
                    </w:rPr>
                    <w:t>(2), 61-67.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Kessler, E. H., Bierly, P. E., &amp; Gopalakrishnan, S. (2000). Internal vs. External Learning in New Product Development: Effects on Speed, Costs and Competitive Advantage. </w:t>
                  </w:r>
                  <w:r w:rsidRPr="00FE71D6">
                    <w:rPr>
                      <w:rFonts w:ascii="Times New Roman" w:hAnsi="Times New Roman" w:cs="Times New Roman"/>
                      <w:i/>
                      <w:iCs/>
                      <w:noProof/>
                      <w:sz w:val="24"/>
                      <w:szCs w:val="24"/>
                    </w:rPr>
                    <w:t>R&amp;D Management, 30</w:t>
                  </w:r>
                  <w:r w:rsidRPr="00FE71D6">
                    <w:rPr>
                      <w:rFonts w:ascii="Times New Roman" w:hAnsi="Times New Roman" w:cs="Times New Roman"/>
                      <w:noProof/>
                      <w:sz w:val="24"/>
                      <w:szCs w:val="24"/>
                    </w:rPr>
                    <w:t>(3), 213-224.</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Khuong, L. H. (2002). The Effects of Long Range Strategic Planning and Its Impact on Financial Performance and Growth of Companies in the Lime Industry. </w:t>
                  </w:r>
                  <w:r w:rsidRPr="00FE71D6">
                    <w:rPr>
                      <w:rFonts w:ascii="Times New Roman" w:hAnsi="Times New Roman" w:cs="Times New Roman"/>
                      <w:i/>
                      <w:iCs/>
                      <w:noProof/>
                      <w:sz w:val="24"/>
                      <w:szCs w:val="24"/>
                    </w:rPr>
                    <w:t>Unpublised Doctoral's Dissertation, Nova Southeastern University</w:t>
                  </w:r>
                  <w:r w:rsidRPr="00FE71D6">
                    <w:rPr>
                      <w:rFonts w:ascii="Times New Roman" w:hAnsi="Times New Roman" w:cs="Times New Roman"/>
                      <w:noProof/>
                      <w:sz w:val="24"/>
                      <w:szCs w:val="24"/>
                    </w:rPr>
                    <w:t>.</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Kim, S. W. (2006). Effects of Supply Chain Management Practices, Integration and Competition Capability on Performance. </w:t>
                  </w:r>
                  <w:r w:rsidRPr="00FE71D6">
                    <w:rPr>
                      <w:rFonts w:ascii="Times New Roman" w:hAnsi="Times New Roman" w:cs="Times New Roman"/>
                      <w:i/>
                      <w:iCs/>
                      <w:noProof/>
                      <w:sz w:val="24"/>
                      <w:szCs w:val="24"/>
                    </w:rPr>
                    <w:t xml:space="preserve">Supply </w:t>
                  </w:r>
                  <w:r w:rsidR="001E591E" w:rsidRPr="00FE71D6">
                    <w:rPr>
                      <w:rFonts w:ascii="Times New Roman" w:hAnsi="Times New Roman" w:cs="Times New Roman"/>
                      <w:i/>
                      <w:iCs/>
                      <w:noProof/>
                      <w:sz w:val="24"/>
                      <w:szCs w:val="24"/>
                    </w:rPr>
                    <w:t xml:space="preserve">Chain Management: </w:t>
                  </w:r>
                  <w:r w:rsidRPr="00FE71D6">
                    <w:rPr>
                      <w:rFonts w:ascii="Times New Roman" w:hAnsi="Times New Roman" w:cs="Times New Roman"/>
                      <w:i/>
                      <w:iCs/>
                      <w:noProof/>
                      <w:sz w:val="24"/>
                      <w:szCs w:val="24"/>
                    </w:rPr>
                    <w:t>An International Journal, 11</w:t>
                  </w:r>
                  <w:r w:rsidRPr="00FE71D6">
                    <w:rPr>
                      <w:rFonts w:ascii="Times New Roman" w:hAnsi="Times New Roman" w:cs="Times New Roman"/>
                      <w:noProof/>
                      <w:sz w:val="24"/>
                      <w:szCs w:val="24"/>
                    </w:rPr>
                    <w:t>(3), 241-248.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Kirby, J. (2005). Toward a Theory of High Performance. </w:t>
                  </w:r>
                  <w:r w:rsidRPr="00FE71D6">
                    <w:rPr>
                      <w:rFonts w:ascii="Times New Roman" w:hAnsi="Times New Roman" w:cs="Times New Roman"/>
                      <w:i/>
                      <w:iCs/>
                      <w:noProof/>
                      <w:sz w:val="24"/>
                      <w:szCs w:val="24"/>
                    </w:rPr>
                    <w:t>Harvard Business Review, 83</w:t>
                  </w:r>
                  <w:r w:rsidRPr="00FE71D6">
                    <w:rPr>
                      <w:rFonts w:ascii="Times New Roman" w:hAnsi="Times New Roman" w:cs="Times New Roman"/>
                      <w:noProof/>
                      <w:sz w:val="24"/>
                      <w:szCs w:val="24"/>
                    </w:rPr>
                    <w:t>(8), 30-39.</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Kogut, B., &amp; Zander, U. (1996). What Firms Do? Coordination, Identity, and Learning. </w:t>
                  </w:r>
                  <w:r w:rsidRPr="00FE71D6">
                    <w:rPr>
                      <w:rFonts w:ascii="Times New Roman" w:hAnsi="Times New Roman" w:cs="Times New Roman"/>
                      <w:i/>
                      <w:iCs/>
                      <w:noProof/>
                      <w:sz w:val="24"/>
                      <w:szCs w:val="24"/>
                    </w:rPr>
                    <w:t>Organization Science, 7</w:t>
                  </w:r>
                  <w:r w:rsidRPr="00FE71D6">
                    <w:rPr>
                      <w:rFonts w:ascii="Times New Roman" w:hAnsi="Times New Roman" w:cs="Times New Roman"/>
                      <w:noProof/>
                      <w:sz w:val="24"/>
                      <w:szCs w:val="24"/>
                    </w:rPr>
                    <w:t>(5), 502-518.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Koh, L., Demirbag, M., Bayraktar, E., Tatoglu, E., &amp; Zaim, S. (2007). The Impact of Supply Chain Management Practices on Performance of SMEs. </w:t>
                  </w:r>
                  <w:r w:rsidRPr="00FE71D6">
                    <w:rPr>
                      <w:rFonts w:ascii="Times New Roman" w:hAnsi="Times New Roman" w:cs="Times New Roman"/>
                      <w:i/>
                      <w:iCs/>
                      <w:noProof/>
                      <w:sz w:val="24"/>
                      <w:szCs w:val="24"/>
                    </w:rPr>
                    <w:t>Industrial Management &amp; Data Systems, 107</w:t>
                  </w:r>
                  <w:r w:rsidRPr="00FE71D6">
                    <w:rPr>
                      <w:rFonts w:ascii="Times New Roman" w:hAnsi="Times New Roman" w:cs="Times New Roman"/>
                      <w:noProof/>
                      <w:sz w:val="24"/>
                      <w:szCs w:val="24"/>
                    </w:rPr>
                    <w:t>(1), 103-24.</w:t>
                  </w:r>
                </w:p>
                <w:p w:rsidR="002D1F70" w:rsidRPr="00FE71D6" w:rsidRDefault="002D1F70" w:rsidP="00DA7370">
                  <w:pPr>
                    <w:pStyle w:val="Bibliography"/>
                    <w:spacing w:after="240" w:line="240" w:lineRule="auto"/>
                    <w:ind w:left="72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Kotler, P. (1991). </w:t>
                  </w:r>
                  <w:r w:rsidRPr="00FE71D6">
                    <w:rPr>
                      <w:rFonts w:ascii="Times New Roman" w:hAnsi="Times New Roman" w:cs="Times New Roman"/>
                      <w:i/>
                      <w:iCs/>
                      <w:noProof/>
                      <w:sz w:val="24"/>
                      <w:szCs w:val="24"/>
                    </w:rPr>
                    <w:t>Marketing Management: Analysis, Planning, Implementation, and Control</w:t>
                  </w:r>
                  <w:r w:rsidRPr="00FE71D6">
                    <w:rPr>
                      <w:rFonts w:ascii="Times New Roman" w:hAnsi="Times New Roman" w:cs="Times New Roman"/>
                      <w:noProof/>
                      <w:sz w:val="24"/>
                      <w:szCs w:val="24"/>
                    </w:rPr>
                    <w:t xml:space="preserve"> (7 ed.).</w:t>
                  </w:r>
                </w:p>
                <w:p w:rsidR="002D1F70" w:rsidRPr="00FE71D6" w:rsidRDefault="002D1F70" w:rsidP="00DA7370">
                  <w:pPr>
                    <w:spacing w:after="240" w:line="240" w:lineRule="auto"/>
                    <w:ind w:left="720" w:hanging="720"/>
                    <w:jc w:val="both"/>
                    <w:rPr>
                      <w:lang w:val="en-US" w:eastAsia="en-US"/>
                    </w:rPr>
                  </w:pPr>
                  <w:r w:rsidRPr="00FE71D6">
                    <w:rPr>
                      <w:noProof/>
                      <w:lang w:val="en-US"/>
                    </w:rPr>
                    <w:t xml:space="preserve">Kotler, P., &amp; Armstrong, G. (2004). </w:t>
                  </w:r>
                  <w:r w:rsidRPr="00FE71D6">
                    <w:rPr>
                      <w:i/>
                      <w:iCs/>
                      <w:noProof/>
                      <w:lang w:val="en-US"/>
                    </w:rPr>
                    <w:t>Principles of Marketing.</w:t>
                  </w:r>
                  <w:r w:rsidRPr="00FE71D6">
                    <w:rPr>
                      <w:noProof/>
                      <w:lang w:val="en-US"/>
                    </w:rPr>
                    <w:t xml:space="preserve"> Upper Saddle River, NJ: Prentice Hall.</w:t>
                  </w:r>
                </w:p>
                <w:p w:rsidR="007C452B" w:rsidRPr="00FE71D6" w:rsidRDefault="007C452B" w:rsidP="00DA7370">
                  <w:pPr>
                    <w:pStyle w:val="Bibliography"/>
                    <w:spacing w:after="240" w:line="240" w:lineRule="auto"/>
                    <w:ind w:left="720" w:hangingChars="300" w:hanging="720"/>
                    <w:jc w:val="both"/>
                    <w:rPr>
                      <w:rFonts w:ascii="Times New Roman" w:hAnsi="Times New Roman" w:cs="Times New Roman"/>
                      <w:noProof/>
                      <w:sz w:val="24"/>
                      <w:szCs w:val="24"/>
                    </w:rPr>
                  </w:pP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Kumar, C. G., &amp; Nambirajan, T. (2013). Supply Chain Management Components, Supply Chain Performance and Organizational Performance: A Critical Review and Development of Conceptual Model. </w:t>
                  </w:r>
                  <w:r w:rsidRPr="00FE71D6">
                    <w:rPr>
                      <w:rFonts w:ascii="Times New Roman" w:hAnsi="Times New Roman" w:cs="Times New Roman"/>
                      <w:i/>
                      <w:iCs/>
                      <w:noProof/>
                      <w:sz w:val="24"/>
                      <w:szCs w:val="24"/>
                    </w:rPr>
                    <w:t>International Journal on Global Business Management and Research</w:t>
                  </w:r>
                  <w:r w:rsidRPr="00FE71D6">
                    <w:rPr>
                      <w:rFonts w:ascii="Times New Roman" w:hAnsi="Times New Roman" w:cs="Times New Roman"/>
                      <w:noProof/>
                      <w:sz w:val="24"/>
                      <w:szCs w:val="24"/>
                    </w:rPr>
                    <w:t>, 86-96.</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LaCoste, S. (2012). “Vertical Coopetition” “The Key Account Perspective”.    </w:t>
                  </w:r>
                  <w:r w:rsidRPr="00FE71D6">
                    <w:rPr>
                      <w:rFonts w:ascii="Times New Roman" w:hAnsi="Times New Roman" w:cs="Times New Roman"/>
                      <w:i/>
                      <w:iCs/>
                      <w:noProof/>
                      <w:sz w:val="24"/>
                      <w:szCs w:val="24"/>
                    </w:rPr>
                    <w:t>Industrial Marketing Management, 41</w:t>
                  </w:r>
                  <w:r w:rsidRPr="00FE71D6">
                    <w:rPr>
                      <w:rFonts w:ascii="Times New Roman" w:hAnsi="Times New Roman" w:cs="Times New Roman"/>
                      <w:noProof/>
                      <w:sz w:val="24"/>
                      <w:szCs w:val="24"/>
                    </w:rPr>
                    <w:t>, 649-658.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Lalonde, B. J. (1998). Building a Supply Chain Relationship. </w:t>
                  </w:r>
                  <w:r w:rsidRPr="00FE71D6">
                    <w:rPr>
                      <w:rFonts w:ascii="Times New Roman" w:hAnsi="Times New Roman" w:cs="Times New Roman"/>
                      <w:i/>
                      <w:iCs/>
                      <w:noProof/>
                      <w:sz w:val="24"/>
                      <w:szCs w:val="24"/>
                    </w:rPr>
                    <w:t>Supply Chain Management Review, 2</w:t>
                  </w:r>
                  <w:r w:rsidRPr="00FE71D6">
                    <w:rPr>
                      <w:rFonts w:ascii="Times New Roman" w:hAnsi="Times New Roman" w:cs="Times New Roman"/>
                      <w:noProof/>
                      <w:sz w:val="24"/>
                      <w:szCs w:val="24"/>
                    </w:rPr>
                    <w:t>(2), 7-8.</w:t>
                  </w:r>
                </w:p>
                <w:p w:rsidR="003B253F" w:rsidRPr="00FE71D6" w:rsidRDefault="003B253F" w:rsidP="00DA7370">
                  <w:pPr>
                    <w:spacing w:after="240" w:line="240" w:lineRule="auto"/>
                    <w:ind w:left="720" w:hanging="720"/>
                    <w:jc w:val="both"/>
                    <w:rPr>
                      <w:lang w:val="en-US" w:eastAsia="en-US"/>
                    </w:rPr>
                  </w:pPr>
                  <w:r w:rsidRPr="00FE71D6">
                    <w:rPr>
                      <w:noProof/>
                      <w:lang w:val="en-US"/>
                    </w:rPr>
                    <w:t xml:space="preserve">Lama, R., Rabanal, P., &amp; International Monetary Fund. (2012). </w:t>
                  </w:r>
                  <w:r w:rsidRPr="00FE71D6">
                    <w:rPr>
                      <w:i/>
                      <w:iCs/>
                      <w:noProof/>
                      <w:lang w:val="en-US"/>
                    </w:rPr>
                    <w:t>Deciding to Enter a Monetary Union: The Role of Trade and Financial Linkages.</w:t>
                  </w:r>
                  <w:r w:rsidRPr="00FE71D6">
                    <w:rPr>
                      <w:noProof/>
                      <w:lang w:val="en-US"/>
                    </w:rPr>
                    <w:t xml:space="preserve"> Washington: International Monetary Fund.</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Lambert, D. M., &amp; Cooper, M. C. (2000). Issues in Supply Chain Management. </w:t>
                  </w:r>
                  <w:r w:rsidRPr="00FE71D6">
                    <w:rPr>
                      <w:rFonts w:ascii="Times New Roman" w:hAnsi="Times New Roman" w:cs="Times New Roman"/>
                      <w:i/>
                      <w:iCs/>
                      <w:noProof/>
                      <w:sz w:val="24"/>
                      <w:szCs w:val="24"/>
                    </w:rPr>
                    <w:t>Industrial Marketing Management, 29</w:t>
                  </w:r>
                  <w:r w:rsidRPr="00FE71D6">
                    <w:rPr>
                      <w:rFonts w:ascii="Times New Roman" w:hAnsi="Times New Roman" w:cs="Times New Roman"/>
                      <w:noProof/>
                      <w:sz w:val="24"/>
                      <w:szCs w:val="24"/>
                    </w:rPr>
                    <w:t>(1), 65-83.</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Lamming, R. (1993). </w:t>
                  </w:r>
                  <w:r w:rsidRPr="00FE71D6">
                    <w:rPr>
                      <w:rFonts w:ascii="Times New Roman" w:hAnsi="Times New Roman" w:cs="Times New Roman"/>
                      <w:i/>
                      <w:iCs/>
                      <w:noProof/>
                      <w:sz w:val="24"/>
                      <w:szCs w:val="24"/>
                    </w:rPr>
                    <w:t>Beyond Partnership: Strategies for Innovation and Lean Supply.</w:t>
                  </w:r>
                  <w:r w:rsidRPr="00FE71D6">
                    <w:rPr>
                      <w:rFonts w:ascii="Times New Roman" w:hAnsi="Times New Roman" w:cs="Times New Roman"/>
                      <w:noProof/>
                      <w:sz w:val="24"/>
                      <w:szCs w:val="24"/>
                    </w:rPr>
                    <w:t xml:space="preserve"> New York: Prentice-Hall.</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Lamming, R. (1996). Squaring Lean Supply with Supply Chain Management. </w:t>
                  </w:r>
                  <w:r w:rsidRPr="00FE71D6">
                    <w:rPr>
                      <w:rFonts w:ascii="Times New Roman" w:hAnsi="Times New Roman" w:cs="Times New Roman"/>
                      <w:i/>
                      <w:iCs/>
                      <w:noProof/>
                      <w:sz w:val="24"/>
                      <w:szCs w:val="24"/>
                    </w:rPr>
                    <w:t>International Journal of Operations and Production Management,              16</w:t>
                  </w:r>
                  <w:r w:rsidRPr="00FE71D6">
                    <w:rPr>
                      <w:rFonts w:ascii="Times New Roman" w:hAnsi="Times New Roman" w:cs="Times New Roman"/>
                      <w:noProof/>
                      <w:sz w:val="24"/>
                      <w:szCs w:val="24"/>
                    </w:rPr>
                    <w:t>(2), 183-196.</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Lancioni, R. A., Smith, M. F., &amp; Oliva, T. A. (2000). The Role of the Internet in Supply Chain Management. </w:t>
                  </w:r>
                  <w:r w:rsidRPr="00FE71D6">
                    <w:rPr>
                      <w:rFonts w:ascii="Times New Roman" w:hAnsi="Times New Roman" w:cs="Times New Roman"/>
                      <w:i/>
                      <w:iCs/>
                      <w:noProof/>
                      <w:sz w:val="24"/>
                      <w:szCs w:val="24"/>
                    </w:rPr>
                    <w:t>Industrial Marketing Management, 29</w:t>
                  </w:r>
                  <w:r w:rsidRPr="00FE71D6">
                    <w:rPr>
                      <w:rFonts w:ascii="Times New Roman" w:hAnsi="Times New Roman" w:cs="Times New Roman"/>
                      <w:noProof/>
                      <w:sz w:val="24"/>
                      <w:szCs w:val="24"/>
                    </w:rPr>
                    <w:t>(1), 45-56.</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Lazaridis, I., &amp; Tryfonidis, D. (2006). Relationship between Working Capital Management and Profitability of Listed Companies in the Athens Stock Exchange. </w:t>
                  </w:r>
                  <w:r w:rsidRPr="00FE71D6">
                    <w:rPr>
                      <w:rFonts w:ascii="Times New Roman" w:hAnsi="Times New Roman" w:cs="Times New Roman"/>
                      <w:i/>
                      <w:iCs/>
                      <w:noProof/>
                      <w:sz w:val="24"/>
                      <w:szCs w:val="24"/>
                    </w:rPr>
                    <w:t>Journal of Financial Management and Analysis, 19</w:t>
                  </w:r>
                  <w:r w:rsidRPr="00FE71D6">
                    <w:rPr>
                      <w:rFonts w:ascii="Times New Roman" w:hAnsi="Times New Roman" w:cs="Times New Roman"/>
                      <w:noProof/>
                      <w:sz w:val="24"/>
                      <w:szCs w:val="24"/>
                    </w:rPr>
                    <w:t>(1), 26-35.</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Leitch, P., &amp; Lamminmaki, D. (2011). Refining Measures to Improve Performance Measurement of the Accounts Receivable Collection Function. </w:t>
                  </w:r>
                  <w:r w:rsidRPr="00FE71D6">
                    <w:rPr>
                      <w:rFonts w:ascii="Times New Roman" w:hAnsi="Times New Roman" w:cs="Times New Roman"/>
                      <w:i/>
                      <w:iCs/>
                      <w:noProof/>
                      <w:sz w:val="24"/>
                      <w:szCs w:val="24"/>
                    </w:rPr>
                    <w:t>JAMAR, 9</w:t>
                  </w:r>
                  <w:r w:rsidRPr="00FE71D6">
                    <w:rPr>
                      <w:rFonts w:ascii="Times New Roman" w:hAnsi="Times New Roman" w:cs="Times New Roman"/>
                      <w:noProof/>
                      <w:sz w:val="24"/>
                      <w:szCs w:val="24"/>
                    </w:rPr>
                    <w:t>(2).</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Li, S., Ragu-Nathan, B., Ragu-Nathan, T. S., &amp; Subba Rao, S. (2004). The Impact of Supply Chain Management Practices on Competitive Advantage and Organizational Performance. </w:t>
                  </w:r>
                  <w:r w:rsidRPr="00FE71D6">
                    <w:rPr>
                      <w:rFonts w:ascii="Times New Roman" w:hAnsi="Times New Roman" w:cs="Times New Roman"/>
                      <w:i/>
                      <w:iCs/>
                      <w:noProof/>
                      <w:sz w:val="24"/>
                      <w:szCs w:val="24"/>
                    </w:rPr>
                    <w:t>Omega, 34</w:t>
                  </w:r>
                  <w:r w:rsidRPr="00FE71D6">
                    <w:rPr>
                      <w:rFonts w:ascii="Times New Roman" w:hAnsi="Times New Roman" w:cs="Times New Roman"/>
                      <w:noProof/>
                      <w:sz w:val="24"/>
                      <w:szCs w:val="24"/>
                    </w:rPr>
                    <w:t>(2), 107-124.</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Li, S., Rao, S., Ragu-Nathan, T., &amp; Ragu-Nathan, B. (2005). Development and Validation of a Measurement Instrument for Studying Supply Chain Management Practices. </w:t>
                  </w:r>
                  <w:r w:rsidRPr="00FE71D6">
                    <w:rPr>
                      <w:rFonts w:ascii="Times New Roman" w:hAnsi="Times New Roman" w:cs="Times New Roman"/>
                      <w:i/>
                      <w:iCs/>
                      <w:noProof/>
                      <w:sz w:val="24"/>
                      <w:szCs w:val="24"/>
                    </w:rPr>
                    <w:t>Journal of Operations Management, 23</w:t>
                  </w:r>
                  <w:r w:rsidRPr="00FE71D6">
                    <w:rPr>
                      <w:rFonts w:ascii="Times New Roman" w:hAnsi="Times New Roman" w:cs="Times New Roman"/>
                      <w:noProof/>
                      <w:sz w:val="24"/>
                      <w:szCs w:val="24"/>
                    </w:rPr>
                    <w:t>(6), 618-641.</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Lummus, R., Krumwiede, D., &amp; Vokurka, R. J. (2001). The Relationship of Logistics to Supply Chain Management: Developing a Common Industry Definition. </w:t>
                  </w:r>
                  <w:r w:rsidRPr="00FE71D6">
                    <w:rPr>
                      <w:rFonts w:ascii="Times New Roman" w:hAnsi="Times New Roman" w:cs="Times New Roman"/>
                      <w:i/>
                      <w:iCs/>
                      <w:noProof/>
                      <w:sz w:val="24"/>
                      <w:szCs w:val="24"/>
                    </w:rPr>
                    <w:t>Industrial Management and Data Systems, 101</w:t>
                  </w:r>
                  <w:r w:rsidRPr="00FE71D6">
                    <w:rPr>
                      <w:rFonts w:ascii="Times New Roman" w:hAnsi="Times New Roman" w:cs="Times New Roman"/>
                      <w:noProof/>
                      <w:sz w:val="24"/>
                      <w:szCs w:val="24"/>
                    </w:rPr>
                    <w:t>(8), 426-431.</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Lyroudi, K., &amp; Lazaridis, J. (2000). </w:t>
                  </w:r>
                  <w:r w:rsidRPr="00FE71D6">
                    <w:rPr>
                      <w:rFonts w:ascii="Times New Roman" w:hAnsi="Times New Roman" w:cs="Times New Roman"/>
                      <w:i/>
                      <w:iCs/>
                      <w:noProof/>
                      <w:sz w:val="24"/>
                      <w:szCs w:val="24"/>
                    </w:rPr>
                    <w:t>The Cash Conversion Cycle and Liquidity Analysis of the Food Industry in Greece’</w:t>
                  </w:r>
                  <w:r w:rsidRPr="00FE71D6">
                    <w:rPr>
                      <w:rFonts w:ascii="Times New Roman" w:hAnsi="Times New Roman" w:cs="Times New Roman"/>
                      <w:noProof/>
                      <w:sz w:val="24"/>
                      <w:szCs w:val="24"/>
                    </w:rPr>
                    <w:t>. Retrieved from SSRN Paper Collection: http://papers.ssrn.com/paper.taf?abstract_id¼236175</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Lyroudi, K., &amp; McCarty, D. (1993). An Empirical Investigation of the Cash Conversion Cycle of Small Business Firms. </w:t>
                  </w:r>
                  <w:r w:rsidRPr="00FE71D6">
                    <w:rPr>
                      <w:rFonts w:ascii="Times New Roman" w:hAnsi="Times New Roman" w:cs="Times New Roman"/>
                      <w:i/>
                      <w:iCs/>
                      <w:noProof/>
                      <w:sz w:val="24"/>
                      <w:szCs w:val="24"/>
                    </w:rPr>
                    <w:t>Journal of Small</w:t>
                  </w:r>
                  <w:r w:rsidR="001E591E" w:rsidRPr="00FE71D6">
                    <w:rPr>
                      <w:rFonts w:ascii="Times New Roman" w:hAnsi="Times New Roman" w:cs="Times New Roman"/>
                      <w:i/>
                      <w:iCs/>
                      <w:noProof/>
                      <w:sz w:val="24"/>
                      <w:szCs w:val="24"/>
                    </w:rPr>
                    <w:t xml:space="preserve"> Business Finance, </w:t>
                  </w:r>
                  <w:r w:rsidRPr="00FE71D6">
                    <w:rPr>
                      <w:rFonts w:ascii="Times New Roman" w:hAnsi="Times New Roman" w:cs="Times New Roman"/>
                      <w:i/>
                      <w:iCs/>
                      <w:noProof/>
                      <w:sz w:val="24"/>
                      <w:szCs w:val="24"/>
                    </w:rPr>
                    <w:t>2</w:t>
                  </w:r>
                  <w:r w:rsidRPr="00FE71D6">
                    <w:rPr>
                      <w:rFonts w:ascii="Times New Roman" w:hAnsi="Times New Roman" w:cs="Times New Roman"/>
                      <w:noProof/>
                      <w:sz w:val="24"/>
                      <w:szCs w:val="24"/>
                    </w:rPr>
                    <w:t>(2), 139-161.</w:t>
                  </w:r>
                </w:p>
                <w:p w:rsidR="00AF6629" w:rsidRPr="00FE71D6" w:rsidRDefault="00AF6629" w:rsidP="00DA7370">
                  <w:pPr>
                    <w:pStyle w:val="Bibliography"/>
                    <w:spacing w:after="240" w:line="240" w:lineRule="auto"/>
                    <w:ind w:left="72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Magretta, J. (1998). The Power of Virtual Integration: An Interview with Dell Computers’ Michael Dell. </w:t>
                  </w:r>
                  <w:r w:rsidRPr="00FE71D6">
                    <w:rPr>
                      <w:rFonts w:ascii="Times New Roman" w:hAnsi="Times New Roman" w:cs="Times New Roman"/>
                      <w:i/>
                      <w:iCs/>
                      <w:noProof/>
                      <w:sz w:val="24"/>
                      <w:szCs w:val="24"/>
                    </w:rPr>
                    <w:t>Harvard Business Review, 76</w:t>
                  </w:r>
                  <w:r w:rsidRPr="00FE71D6">
                    <w:rPr>
                      <w:rFonts w:ascii="Times New Roman" w:hAnsi="Times New Roman" w:cs="Times New Roman"/>
                      <w:noProof/>
                      <w:sz w:val="24"/>
                      <w:szCs w:val="24"/>
                    </w:rPr>
                    <w:t>(2), 72-84.</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Majanga, B. B. (2015). Cash Conversion Cycle and Firm Profitability in Malawi Manufacturing Sector. </w:t>
                  </w:r>
                  <w:r w:rsidRPr="00FE71D6">
                    <w:rPr>
                      <w:rFonts w:ascii="Times New Roman" w:hAnsi="Times New Roman" w:cs="Times New Roman"/>
                      <w:i/>
                      <w:iCs/>
                      <w:noProof/>
                      <w:sz w:val="24"/>
                      <w:szCs w:val="24"/>
                    </w:rPr>
                    <w:t>Journal of Commerce &amp; Accounting Research, 4</w:t>
                  </w:r>
                  <w:r w:rsidRPr="00FE71D6">
                    <w:rPr>
                      <w:rFonts w:ascii="Times New Roman" w:hAnsi="Times New Roman" w:cs="Times New Roman"/>
                      <w:noProof/>
                      <w:sz w:val="24"/>
                      <w:szCs w:val="24"/>
                    </w:rPr>
                    <w:t>(4), 1-7.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Manoori, E., &amp; Muhammad, D. J. (2012). Determinants of Working Capital Management: Case of Singapore Firms. </w:t>
                  </w:r>
                  <w:r w:rsidRPr="00FE71D6">
                    <w:rPr>
                      <w:rFonts w:ascii="Times New Roman" w:hAnsi="Times New Roman" w:cs="Times New Roman"/>
                      <w:i/>
                      <w:iCs/>
                      <w:noProof/>
                      <w:sz w:val="24"/>
                      <w:szCs w:val="24"/>
                    </w:rPr>
                    <w:t>Research Journal of Finance             and Accounting, 3</w:t>
                  </w:r>
                  <w:r w:rsidRPr="00FE71D6">
                    <w:rPr>
                      <w:rFonts w:ascii="Times New Roman" w:hAnsi="Times New Roman" w:cs="Times New Roman"/>
                      <w:noProof/>
                      <w:sz w:val="24"/>
                      <w:szCs w:val="24"/>
                    </w:rPr>
                    <w:t>(11).</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Mason-Jones, R., &amp; Towill, D. R. (1997). Information Enrichment: Designing the Supply Chain for Competitive Advantage. </w:t>
                  </w:r>
                  <w:r w:rsidRPr="00FE71D6">
                    <w:rPr>
                      <w:rFonts w:ascii="Times New Roman" w:hAnsi="Times New Roman" w:cs="Times New Roman"/>
                      <w:i/>
                      <w:iCs/>
                      <w:noProof/>
                      <w:sz w:val="24"/>
                      <w:szCs w:val="24"/>
                    </w:rPr>
                    <w:t>S</w:t>
                  </w:r>
                  <w:r w:rsidR="001E591E" w:rsidRPr="00FE71D6">
                    <w:rPr>
                      <w:rFonts w:ascii="Times New Roman" w:hAnsi="Times New Roman" w:cs="Times New Roman"/>
                      <w:i/>
                      <w:iCs/>
                      <w:noProof/>
                      <w:sz w:val="24"/>
                      <w:szCs w:val="24"/>
                    </w:rPr>
                    <w:t xml:space="preserve">upply Chain Management, </w:t>
                  </w:r>
                  <w:r w:rsidRPr="00FE71D6">
                    <w:rPr>
                      <w:rFonts w:ascii="Times New Roman" w:hAnsi="Times New Roman" w:cs="Times New Roman"/>
                      <w:i/>
                      <w:iCs/>
                      <w:noProof/>
                      <w:sz w:val="24"/>
                      <w:szCs w:val="24"/>
                    </w:rPr>
                    <w:t>2</w:t>
                  </w:r>
                  <w:r w:rsidRPr="00FE71D6">
                    <w:rPr>
                      <w:rFonts w:ascii="Times New Roman" w:hAnsi="Times New Roman" w:cs="Times New Roman"/>
                      <w:noProof/>
                      <w:sz w:val="24"/>
                      <w:szCs w:val="24"/>
                    </w:rPr>
                    <w:t>(4), 137-148.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Mclvor, R. (2001). Lean Supply: the Design and Cost Reduction Dimensions.  </w:t>
                  </w:r>
                  <w:r w:rsidRPr="00FE71D6">
                    <w:rPr>
                      <w:rFonts w:ascii="Times New Roman" w:hAnsi="Times New Roman" w:cs="Times New Roman"/>
                      <w:i/>
                      <w:iCs/>
                      <w:noProof/>
                      <w:sz w:val="24"/>
                      <w:szCs w:val="24"/>
                    </w:rPr>
                    <w:t>European Journal of Purchasing and Supply Chain Management, 7</w:t>
                  </w:r>
                  <w:r w:rsidRPr="00FE71D6">
                    <w:rPr>
                      <w:rFonts w:ascii="Times New Roman" w:hAnsi="Times New Roman" w:cs="Times New Roman"/>
                      <w:noProof/>
                      <w:sz w:val="24"/>
                      <w:szCs w:val="24"/>
                    </w:rPr>
                    <w:t>, 227-242.</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Mentzer, J. (1999). Supplier Partnering. In N. Jagdish, Sheth, &amp; P. Atul, </w:t>
                  </w:r>
                  <w:r w:rsidRPr="00FE71D6">
                    <w:rPr>
                      <w:rFonts w:ascii="Times New Roman" w:hAnsi="Times New Roman" w:cs="Times New Roman"/>
                      <w:i/>
                      <w:iCs/>
                      <w:noProof/>
                      <w:sz w:val="24"/>
                      <w:szCs w:val="24"/>
                    </w:rPr>
                    <w:t>Handbook of Relationship Marketing</w:t>
                  </w:r>
                  <w:r w:rsidRPr="00FE71D6">
                    <w:rPr>
                      <w:rFonts w:ascii="Times New Roman" w:hAnsi="Times New Roman" w:cs="Times New Roman"/>
                      <w:noProof/>
                      <w:sz w:val="24"/>
                      <w:szCs w:val="24"/>
                    </w:rPr>
                    <w:t xml:space="preserve"> (pp. 457-477). Thousand Oak</w:t>
                  </w:r>
                  <w:r w:rsidR="001E591E" w:rsidRPr="00FE71D6">
                    <w:rPr>
                      <w:rFonts w:ascii="Times New Roman" w:hAnsi="Times New Roman" w:cs="Times New Roman"/>
                      <w:noProof/>
                      <w:sz w:val="24"/>
                      <w:szCs w:val="24"/>
                    </w:rPr>
                    <w:t xml:space="preserve">s, CA: </w:t>
                  </w:r>
                  <w:r w:rsidRPr="00FE71D6">
                    <w:rPr>
                      <w:rFonts w:ascii="Times New Roman" w:hAnsi="Times New Roman" w:cs="Times New Roman"/>
                      <w:noProof/>
                      <w:sz w:val="24"/>
                      <w:szCs w:val="24"/>
                    </w:rPr>
                    <w:t>Sage Publication, Inc.</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Mentzer, J., Min, S., &amp; Zacharia, Z. (2000). The Nature of Interfirm Partnering in Supply Chain Management. </w:t>
                  </w:r>
                  <w:r w:rsidRPr="00FE71D6">
                    <w:rPr>
                      <w:rFonts w:ascii="Times New Roman" w:hAnsi="Times New Roman" w:cs="Times New Roman"/>
                      <w:i/>
                      <w:iCs/>
                      <w:noProof/>
                      <w:sz w:val="24"/>
                      <w:szCs w:val="24"/>
                    </w:rPr>
                    <w:t>Journal of Retailing, 76</w:t>
                  </w:r>
                  <w:r w:rsidRPr="00FE71D6">
                    <w:rPr>
                      <w:rFonts w:ascii="Times New Roman" w:hAnsi="Times New Roman" w:cs="Times New Roman"/>
                      <w:noProof/>
                      <w:sz w:val="24"/>
                      <w:szCs w:val="24"/>
                    </w:rPr>
                    <w:t>(4), 549-568.</w:t>
                  </w:r>
                </w:p>
                <w:p w:rsidR="00CD369B" w:rsidRPr="00FE71D6" w:rsidRDefault="00CD369B" w:rsidP="00DA7370">
                  <w:pPr>
                    <w:spacing w:after="240" w:line="240" w:lineRule="auto"/>
                    <w:ind w:left="720" w:hanging="720"/>
                    <w:jc w:val="both"/>
                    <w:rPr>
                      <w:lang w:val="en-US" w:eastAsia="en-US"/>
                    </w:rPr>
                  </w:pPr>
                  <w:r w:rsidRPr="00FE71D6">
                    <w:rPr>
                      <w:noProof/>
                      <w:lang w:val="en-US"/>
                    </w:rPr>
                    <w:t xml:space="preserve">Min, S., Roath, A. S., Daugherty, P. J., Genchev, S. E., Chen, H., Arndt, A. D., et al. (2005). Supply Chain Collaboration: What's Happening? </w:t>
                  </w:r>
                  <w:r w:rsidRPr="00FE71D6">
                    <w:rPr>
                      <w:i/>
                      <w:iCs/>
                      <w:noProof/>
                      <w:lang w:val="en-US"/>
                    </w:rPr>
                    <w:t>International Journal of Logistics Management, 16</w:t>
                  </w:r>
                  <w:r w:rsidRPr="00FE71D6">
                    <w:rPr>
                      <w:noProof/>
                      <w:lang w:val="en-US"/>
                    </w:rPr>
                    <w:t>(2), 237-256.</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Moberg, C., Cutler, B., Gross, A., &amp; Speh, T. (2002). Identifying Antecedents of Information Exchange within Supply Chains. </w:t>
                  </w:r>
                  <w:r w:rsidRPr="00FE71D6">
                    <w:rPr>
                      <w:rFonts w:ascii="Times New Roman" w:hAnsi="Times New Roman" w:cs="Times New Roman"/>
                      <w:i/>
                      <w:iCs/>
                      <w:noProof/>
                      <w:sz w:val="24"/>
                      <w:szCs w:val="24"/>
                    </w:rPr>
                    <w:t>International Journal of Physical Distribution &amp; Logistics Management, 32</w:t>
                  </w:r>
                  <w:r w:rsidRPr="00FE71D6">
                    <w:rPr>
                      <w:rFonts w:ascii="Times New Roman" w:hAnsi="Times New Roman" w:cs="Times New Roman"/>
                      <w:noProof/>
                      <w:sz w:val="24"/>
                      <w:szCs w:val="24"/>
                    </w:rPr>
                    <w:t>(9), 755-770.</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Monczka, R. M., Trent, R. J., &amp; Callahan, T. J. (1994). Supply Base Strategies to Maximize Supplier Performance. </w:t>
                  </w:r>
                  <w:r w:rsidRPr="00FE71D6">
                    <w:rPr>
                      <w:rFonts w:ascii="Times New Roman" w:hAnsi="Times New Roman" w:cs="Times New Roman"/>
                      <w:i/>
                      <w:iCs/>
                      <w:noProof/>
                      <w:sz w:val="24"/>
                      <w:szCs w:val="24"/>
                    </w:rPr>
                    <w:t>International Journal of Physical Distribution and Logistics, 24</w:t>
                  </w:r>
                  <w:r w:rsidRPr="00FE71D6">
                    <w:rPr>
                      <w:rFonts w:ascii="Times New Roman" w:hAnsi="Times New Roman" w:cs="Times New Roman"/>
                      <w:noProof/>
                      <w:sz w:val="24"/>
                      <w:szCs w:val="24"/>
                    </w:rPr>
                    <w:t>(1), 42-54.</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Monczka, R., Petersen, K., Handfield, R., &amp; Ragatz, G. (1998). Success Factors in Strategic Supplier Alliances: the Buying Co</w:t>
                  </w:r>
                  <w:r w:rsidR="001E591E" w:rsidRPr="00FE71D6">
                    <w:rPr>
                      <w:rFonts w:ascii="Times New Roman" w:hAnsi="Times New Roman" w:cs="Times New Roman"/>
                      <w:noProof/>
                      <w:sz w:val="24"/>
                      <w:szCs w:val="24"/>
                    </w:rPr>
                    <w:t xml:space="preserve">mpany Perspective. </w:t>
                  </w:r>
                  <w:r w:rsidRPr="00FE71D6">
                    <w:rPr>
                      <w:rFonts w:ascii="Times New Roman" w:hAnsi="Times New Roman" w:cs="Times New Roman"/>
                      <w:i/>
                      <w:iCs/>
                      <w:noProof/>
                      <w:sz w:val="24"/>
                      <w:szCs w:val="24"/>
                    </w:rPr>
                    <w:t>Decision Science, 29</w:t>
                  </w:r>
                  <w:r w:rsidR="00227B9A" w:rsidRPr="00FE71D6">
                    <w:rPr>
                      <w:rFonts w:ascii="Times New Roman" w:hAnsi="Times New Roman" w:cs="Times New Roman"/>
                      <w:noProof/>
                      <w:sz w:val="24"/>
                      <w:szCs w:val="24"/>
                    </w:rPr>
                    <w:t xml:space="preserve">(3), </w:t>
                  </w:r>
                  <w:r w:rsidRPr="00FE71D6">
                    <w:rPr>
                      <w:rFonts w:ascii="Times New Roman" w:hAnsi="Times New Roman" w:cs="Times New Roman"/>
                      <w:noProof/>
                      <w:sz w:val="24"/>
                      <w:szCs w:val="24"/>
                    </w:rPr>
                    <w:t>553-577.</w:t>
                  </w:r>
                </w:p>
                <w:p w:rsidR="00754485" w:rsidRPr="00FE71D6" w:rsidRDefault="00754485" w:rsidP="00DA7370">
                  <w:pPr>
                    <w:spacing w:after="240" w:line="240" w:lineRule="auto"/>
                    <w:ind w:left="720" w:hanging="720"/>
                    <w:jc w:val="both"/>
                    <w:rPr>
                      <w:lang w:val="en-US" w:eastAsia="en-US"/>
                    </w:rPr>
                  </w:pPr>
                  <w:r w:rsidRPr="00FE71D6">
                    <w:rPr>
                      <w:noProof/>
                      <w:lang w:val="en-US"/>
                    </w:rPr>
                    <w:t xml:space="preserve">Morgan, R. M., &amp; Hunt, S. D. (1994). The Commitment - Trust Theory of Relationship Marketing. </w:t>
                  </w:r>
                  <w:r w:rsidRPr="00FE71D6">
                    <w:rPr>
                      <w:i/>
                      <w:iCs/>
                      <w:noProof/>
                      <w:lang w:val="en-US"/>
                    </w:rPr>
                    <w:t>Journal of Marketing</w:t>
                  </w:r>
                  <w:r w:rsidRPr="00FE71D6">
                    <w:rPr>
                      <w:noProof/>
                      <w:lang w:val="en-US"/>
                    </w:rPr>
                    <w:t>, 20-38.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Moss, J. D., &amp; Stine, B. (1993). Cash Conversion Cycle and Firm Size: A Study of Retail Firms. </w:t>
                  </w:r>
                  <w:r w:rsidRPr="00FE71D6">
                    <w:rPr>
                      <w:rFonts w:ascii="Times New Roman" w:hAnsi="Times New Roman" w:cs="Times New Roman"/>
                      <w:i/>
                      <w:iCs/>
                      <w:noProof/>
                      <w:sz w:val="24"/>
                      <w:szCs w:val="24"/>
                    </w:rPr>
                    <w:t>Managerial Finance, 19</w:t>
                  </w:r>
                  <w:r w:rsidRPr="00FE71D6">
                    <w:rPr>
                      <w:rFonts w:ascii="Times New Roman" w:hAnsi="Times New Roman" w:cs="Times New Roman"/>
                      <w:noProof/>
                      <w:sz w:val="24"/>
                      <w:szCs w:val="24"/>
                    </w:rPr>
                    <w:t>(8), 25-34.</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Napompech, K. (2012). Effects of Working Capital Management on the Profitability of Thai Listed Firms. </w:t>
                  </w:r>
                  <w:r w:rsidRPr="00FE71D6">
                    <w:rPr>
                      <w:rFonts w:ascii="Times New Roman" w:hAnsi="Times New Roman" w:cs="Times New Roman"/>
                      <w:i/>
                      <w:iCs/>
                      <w:noProof/>
                      <w:sz w:val="24"/>
                      <w:szCs w:val="24"/>
                    </w:rPr>
                    <w:t>International Journal of Trade, Ec</w:t>
                  </w:r>
                  <w:r w:rsidR="001E591E" w:rsidRPr="00FE71D6">
                    <w:rPr>
                      <w:rFonts w:ascii="Times New Roman" w:hAnsi="Times New Roman" w:cs="Times New Roman"/>
                      <w:i/>
                      <w:iCs/>
                      <w:noProof/>
                      <w:sz w:val="24"/>
                      <w:szCs w:val="24"/>
                    </w:rPr>
                    <w:t xml:space="preserve">onomics </w:t>
                  </w:r>
                  <w:r w:rsidRPr="00FE71D6">
                    <w:rPr>
                      <w:rFonts w:ascii="Times New Roman" w:hAnsi="Times New Roman" w:cs="Times New Roman"/>
                      <w:i/>
                      <w:iCs/>
                      <w:noProof/>
                      <w:sz w:val="24"/>
                      <w:szCs w:val="24"/>
                    </w:rPr>
                    <w:t>and Finance, 3</w:t>
                  </w:r>
                  <w:r w:rsidRPr="00FE71D6">
                    <w:rPr>
                      <w:rFonts w:ascii="Times New Roman" w:hAnsi="Times New Roman" w:cs="Times New Roman"/>
                      <w:noProof/>
                      <w:sz w:val="24"/>
                      <w:szCs w:val="24"/>
                    </w:rPr>
                    <w:t>(3).</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Narasimhan, R., &amp; Jayaram, J. (1998). Causal Linkage in Supply Chain Management: an Exploratory Study of North American Ma</w:t>
                  </w:r>
                  <w:r w:rsidR="001E591E" w:rsidRPr="00FE71D6">
                    <w:rPr>
                      <w:rFonts w:ascii="Times New Roman" w:hAnsi="Times New Roman" w:cs="Times New Roman"/>
                      <w:noProof/>
                      <w:sz w:val="24"/>
                      <w:szCs w:val="24"/>
                    </w:rPr>
                    <w:t xml:space="preserve">nufacturing Firms. </w:t>
                  </w:r>
                  <w:r w:rsidRPr="00FE71D6">
                    <w:rPr>
                      <w:rFonts w:ascii="Times New Roman" w:hAnsi="Times New Roman" w:cs="Times New Roman"/>
                      <w:i/>
                      <w:iCs/>
                      <w:noProof/>
                      <w:sz w:val="24"/>
                      <w:szCs w:val="24"/>
                    </w:rPr>
                    <w:t>Decision Science, 29</w:t>
                  </w:r>
                  <w:r w:rsidRPr="00FE71D6">
                    <w:rPr>
                      <w:rFonts w:ascii="Times New Roman" w:hAnsi="Times New Roman" w:cs="Times New Roman"/>
                      <w:noProof/>
                      <w:sz w:val="24"/>
                      <w:szCs w:val="24"/>
                    </w:rPr>
                    <w:t>(3), 579-605.</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Nazir, M., &amp; Afza, T. (2008). On the Factor Determining Working Capital Requirements. </w:t>
                  </w:r>
                  <w:r w:rsidRPr="00FE71D6">
                    <w:rPr>
                      <w:rFonts w:ascii="Times New Roman" w:hAnsi="Times New Roman" w:cs="Times New Roman"/>
                      <w:i/>
                      <w:iCs/>
                      <w:noProof/>
                      <w:sz w:val="24"/>
                      <w:szCs w:val="24"/>
                    </w:rPr>
                    <w:t>The15th Annual ASBBS Conferen.</w:t>
                  </w:r>
                  <w:r w:rsidRPr="00FE71D6">
                    <w:rPr>
                      <w:rFonts w:ascii="Times New Roman" w:hAnsi="Times New Roman" w:cs="Times New Roman"/>
                      <w:noProof/>
                      <w:sz w:val="24"/>
                      <w:szCs w:val="24"/>
                    </w:rPr>
                    <w:t xml:space="preserve"> Las Vegas, USA.</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Nobanee, H., Abdullatif, M., &amp; AlHajjar, M. (2011). Cash Conversion Cycle and Firm’s Performance of Japanese Firms. </w:t>
                  </w:r>
                  <w:r w:rsidRPr="00FE71D6">
                    <w:rPr>
                      <w:rFonts w:ascii="Times New Roman" w:hAnsi="Times New Roman" w:cs="Times New Roman"/>
                      <w:i/>
                      <w:iCs/>
                      <w:noProof/>
                      <w:sz w:val="24"/>
                      <w:szCs w:val="24"/>
                    </w:rPr>
                    <w:t>Asian Review of Accounting, 19</w:t>
                  </w:r>
                  <w:r w:rsidRPr="00FE71D6">
                    <w:rPr>
                      <w:rFonts w:ascii="Times New Roman" w:hAnsi="Times New Roman" w:cs="Times New Roman"/>
                      <w:noProof/>
                      <w:sz w:val="24"/>
                      <w:szCs w:val="24"/>
                    </w:rPr>
                    <w:t>(1), 147-156.</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Noble, D. (1997). Purchasing and Supplier Management as a Future Competitive Edge. </w:t>
                  </w:r>
                  <w:r w:rsidRPr="00FE71D6">
                    <w:rPr>
                      <w:rFonts w:ascii="Times New Roman" w:hAnsi="Times New Roman" w:cs="Times New Roman"/>
                      <w:i/>
                      <w:iCs/>
                      <w:noProof/>
                      <w:sz w:val="24"/>
                      <w:szCs w:val="24"/>
                    </w:rPr>
                    <w:t>Logistics Focus, 5</w:t>
                  </w:r>
                  <w:r w:rsidRPr="00FE71D6">
                    <w:rPr>
                      <w:rFonts w:ascii="Times New Roman" w:hAnsi="Times New Roman" w:cs="Times New Roman"/>
                      <w:noProof/>
                      <w:sz w:val="24"/>
                      <w:szCs w:val="24"/>
                    </w:rPr>
                    <w:t>(5), 23-27.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Novack, R. A., Langley, C. J., &amp; Rinehart, L. M. (1995). </w:t>
                  </w:r>
                  <w:r w:rsidRPr="00FE71D6">
                    <w:rPr>
                      <w:rFonts w:ascii="Times New Roman" w:hAnsi="Times New Roman" w:cs="Times New Roman"/>
                      <w:i/>
                      <w:iCs/>
                      <w:noProof/>
                      <w:sz w:val="24"/>
                      <w:szCs w:val="24"/>
                    </w:rPr>
                    <w:t>Creating Logistics Value: Themes for the Future.</w:t>
                  </w:r>
                  <w:r w:rsidRPr="00FE71D6">
                    <w:rPr>
                      <w:rFonts w:ascii="Times New Roman" w:hAnsi="Times New Roman" w:cs="Times New Roman"/>
                      <w:noProof/>
                      <w:sz w:val="24"/>
                      <w:szCs w:val="24"/>
                    </w:rPr>
                    <w:t xml:space="preserve"> Oak Brook, IL: Council of Logistics Management.</w:t>
                  </w:r>
                </w:p>
                <w:p w:rsidR="007C6641" w:rsidRPr="00FE71D6" w:rsidRDefault="007C6641" w:rsidP="00DA7370">
                  <w:pPr>
                    <w:pStyle w:val="Bibliography"/>
                    <w:spacing w:after="240" w:line="240" w:lineRule="auto"/>
                    <w:ind w:left="72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Nunnally, J. (1978). </w:t>
                  </w:r>
                  <w:r w:rsidRPr="00FE71D6">
                    <w:rPr>
                      <w:rFonts w:ascii="Times New Roman" w:hAnsi="Times New Roman" w:cs="Times New Roman"/>
                      <w:i/>
                      <w:iCs/>
                      <w:noProof/>
                      <w:sz w:val="24"/>
                      <w:szCs w:val="24"/>
                    </w:rPr>
                    <w:t>Psychometric Theory.</w:t>
                  </w:r>
                  <w:r w:rsidRPr="00FE71D6">
                    <w:rPr>
                      <w:rFonts w:ascii="Times New Roman" w:hAnsi="Times New Roman" w:cs="Times New Roman"/>
                      <w:noProof/>
                      <w:sz w:val="24"/>
                      <w:szCs w:val="24"/>
                    </w:rPr>
                    <w:t xml:space="preserve"> New York, NY: McGraw-Hill.</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O’Connell, J. (1999). Streamlining Supply Chain Management Processes.        </w:t>
                  </w:r>
                  <w:r w:rsidRPr="00FE71D6">
                    <w:rPr>
                      <w:rFonts w:ascii="Times New Roman" w:hAnsi="Times New Roman" w:cs="Times New Roman"/>
                      <w:i/>
                      <w:iCs/>
                      <w:noProof/>
                      <w:sz w:val="24"/>
                      <w:szCs w:val="24"/>
                    </w:rPr>
                    <w:t>Document World, 41</w:t>
                  </w:r>
                  <w:r w:rsidRPr="00FE71D6">
                    <w:rPr>
                      <w:rFonts w:ascii="Times New Roman" w:hAnsi="Times New Roman" w:cs="Times New Roman"/>
                      <w:noProof/>
                      <w:sz w:val="24"/>
                      <w:szCs w:val="24"/>
                    </w:rPr>
                    <w:t>(1), 40-42.</w:t>
                  </w:r>
                </w:p>
                <w:p w:rsidR="007C6641" w:rsidRPr="00FE71D6" w:rsidRDefault="007C6641" w:rsidP="00DA7370">
                  <w:pPr>
                    <w:pStyle w:val="Bibliography"/>
                    <w:spacing w:after="240" w:line="240" w:lineRule="auto"/>
                    <w:ind w:left="72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O'Leary-Kelly, S., &amp; Vokurka, R. (1998). The Emperical Assessment of Construct Validity. </w:t>
                  </w:r>
                  <w:r w:rsidRPr="00FE71D6">
                    <w:rPr>
                      <w:rFonts w:ascii="Times New Roman" w:hAnsi="Times New Roman" w:cs="Times New Roman"/>
                      <w:i/>
                      <w:iCs/>
                      <w:noProof/>
                      <w:sz w:val="24"/>
                      <w:szCs w:val="24"/>
                    </w:rPr>
                    <w:t>Journal of Operations Management, 16</w:t>
                  </w:r>
                  <w:r w:rsidRPr="00FE71D6">
                    <w:rPr>
                      <w:rFonts w:ascii="Times New Roman" w:hAnsi="Times New Roman" w:cs="Times New Roman"/>
                      <w:noProof/>
                      <w:sz w:val="24"/>
                      <w:szCs w:val="24"/>
                    </w:rPr>
                    <w:t xml:space="preserve">(4), </w:t>
                  </w:r>
                  <w:r w:rsidR="001E591E" w:rsidRPr="00FE71D6">
                    <w:rPr>
                      <w:rFonts w:ascii="Times New Roman" w:hAnsi="Times New Roman" w:cs="Times New Roman"/>
                      <w:noProof/>
                      <w:sz w:val="24"/>
                      <w:szCs w:val="24"/>
                    </w:rPr>
                    <w:t xml:space="preserve">      </w:t>
                  </w:r>
                  <w:r w:rsidRPr="00FE71D6">
                    <w:rPr>
                      <w:rFonts w:ascii="Times New Roman" w:hAnsi="Times New Roman" w:cs="Times New Roman"/>
                      <w:noProof/>
                      <w:sz w:val="24"/>
                      <w:szCs w:val="24"/>
                    </w:rPr>
                    <w:t>387-405.</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Padachi, K. (2006). Trends in Working Capital Management and Its Impact on Firms’ Performance: An Analysis of Mauritian Small Manufacturing Firms. </w:t>
                  </w:r>
                  <w:r w:rsidRPr="00FE71D6">
                    <w:rPr>
                      <w:rFonts w:ascii="Times New Roman" w:hAnsi="Times New Roman" w:cs="Times New Roman"/>
                      <w:i/>
                      <w:iCs/>
                      <w:noProof/>
                      <w:sz w:val="24"/>
                      <w:szCs w:val="24"/>
                    </w:rPr>
                    <w:t>International Review of Business Research Papers, 2</w:t>
                  </w:r>
                  <w:r w:rsidRPr="00FE71D6">
                    <w:rPr>
                      <w:rFonts w:ascii="Times New Roman" w:hAnsi="Times New Roman" w:cs="Times New Roman"/>
                      <w:noProof/>
                      <w:sz w:val="24"/>
                      <w:szCs w:val="24"/>
                    </w:rPr>
                    <w:t>(2), 45-58.</w:t>
                  </w:r>
                </w:p>
                <w:p w:rsidR="00171840" w:rsidRPr="00FE71D6" w:rsidRDefault="00171840" w:rsidP="00DA7370">
                  <w:pPr>
                    <w:spacing w:after="240" w:line="240" w:lineRule="auto"/>
                    <w:ind w:left="720" w:hanging="720"/>
                    <w:jc w:val="both"/>
                    <w:rPr>
                      <w:lang w:val="en-US" w:eastAsia="en-US"/>
                    </w:rPr>
                  </w:pPr>
                  <w:r w:rsidRPr="00FE71D6">
                    <w:rPr>
                      <w:noProof/>
                      <w:lang w:val="en-US"/>
                    </w:rPr>
                    <w:t xml:space="preserve">Palmatier, R. W. (2008). Interfirm Relational Drivers of Customer Value. </w:t>
                  </w:r>
                  <w:r w:rsidRPr="00FE71D6">
                    <w:rPr>
                      <w:i/>
                      <w:iCs/>
                      <w:noProof/>
                      <w:lang w:val="en-US"/>
                    </w:rPr>
                    <w:t>Journal of Marketing, 72</w:t>
                  </w:r>
                  <w:r w:rsidRPr="00FE71D6">
                    <w:rPr>
                      <w:noProof/>
                      <w:lang w:val="en-US"/>
                    </w:rPr>
                    <w:t>(4), 76-89.</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Patterson, J. (1995). Adding Value by Managing Supply Chain Activities.       </w:t>
                  </w:r>
                  <w:r w:rsidRPr="00FE71D6">
                    <w:rPr>
                      <w:rFonts w:ascii="Times New Roman" w:hAnsi="Times New Roman" w:cs="Times New Roman"/>
                      <w:i/>
                      <w:iCs/>
                      <w:noProof/>
                      <w:sz w:val="24"/>
                      <w:szCs w:val="24"/>
                    </w:rPr>
                    <w:t>Marketing News, 29</w:t>
                  </w:r>
                  <w:r w:rsidRPr="00FE71D6">
                    <w:rPr>
                      <w:rFonts w:ascii="Times New Roman" w:hAnsi="Times New Roman" w:cs="Times New Roman"/>
                      <w:noProof/>
                      <w:sz w:val="24"/>
                      <w:szCs w:val="24"/>
                    </w:rPr>
                    <w:t>(15), 6.</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Peel, M. J., Howorth, C., &amp; Wilson, N. (2000). Late Payment and Credit Management in the Small Firm Sector: Some Empirical Evidence. </w:t>
                  </w:r>
                  <w:r w:rsidRPr="00FE71D6">
                    <w:rPr>
                      <w:rFonts w:ascii="Times New Roman" w:hAnsi="Times New Roman" w:cs="Times New Roman"/>
                      <w:i/>
                      <w:iCs/>
                      <w:noProof/>
                      <w:sz w:val="24"/>
                      <w:szCs w:val="24"/>
                    </w:rPr>
                    <w:t>International Small Business Journal, 18</w:t>
                  </w:r>
                  <w:r w:rsidRPr="00FE71D6">
                    <w:rPr>
                      <w:rFonts w:ascii="Times New Roman" w:hAnsi="Times New Roman" w:cs="Times New Roman"/>
                      <w:noProof/>
                      <w:sz w:val="24"/>
                      <w:szCs w:val="24"/>
                    </w:rPr>
                    <w:t>(2), 17-37.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Petrovic-Lazarevic, S., Sohal, A., &amp; Baihaiqi, I. (2007). </w:t>
                  </w:r>
                  <w:r w:rsidRPr="00FE71D6">
                    <w:rPr>
                      <w:rFonts w:ascii="Times New Roman" w:hAnsi="Times New Roman" w:cs="Times New Roman"/>
                      <w:i/>
                      <w:iCs/>
                      <w:noProof/>
                      <w:sz w:val="24"/>
                      <w:szCs w:val="24"/>
                    </w:rPr>
                    <w:t>Supply Chain Management Performance the Australian Manufacturing Industry</w:t>
                  </w:r>
                  <w:r w:rsidRPr="00FE71D6">
                    <w:rPr>
                      <w:rFonts w:ascii="Times New Roman" w:hAnsi="Times New Roman" w:cs="Times New Roman"/>
                      <w:noProof/>
                      <w:sz w:val="24"/>
                      <w:szCs w:val="24"/>
                    </w:rPr>
                    <w:t xml:space="preserve">. </w:t>
                  </w:r>
                  <w:r w:rsidR="001E591E" w:rsidRPr="00FE71D6">
                    <w:rPr>
                      <w:rFonts w:ascii="Times New Roman" w:hAnsi="Times New Roman" w:cs="Times New Roman"/>
                      <w:noProof/>
                      <w:sz w:val="24"/>
                      <w:szCs w:val="24"/>
                    </w:rPr>
                    <w:t xml:space="preserve">Retrieved August 14, 2010, from </w:t>
                  </w:r>
                  <w:r w:rsidRPr="00FE71D6">
                    <w:rPr>
                      <w:rFonts w:ascii="Times New Roman" w:hAnsi="Times New Roman" w:cs="Times New Roman"/>
                      <w:noProof/>
                      <w:sz w:val="24"/>
                      <w:szCs w:val="24"/>
                    </w:rPr>
                    <w:t>http://www.buseco.monash.edu.au/mgt/research/working,papers/200 7/wp21-07.pdf</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Power, D., Sohal, A., &amp; Rahman, S. (2001). Critical Success Factors in Agile Supply Chain Management: An Empirical Study. </w:t>
                  </w:r>
                  <w:r w:rsidRPr="00FE71D6">
                    <w:rPr>
                      <w:rFonts w:ascii="Times New Roman" w:hAnsi="Times New Roman" w:cs="Times New Roman"/>
                      <w:i/>
                      <w:iCs/>
                      <w:noProof/>
                      <w:sz w:val="24"/>
                      <w:szCs w:val="24"/>
                    </w:rPr>
                    <w:t>International Journal of Physical Distribution &amp; Logistics Management, 31</w:t>
                  </w:r>
                  <w:r w:rsidRPr="00FE71D6">
                    <w:rPr>
                      <w:rFonts w:ascii="Times New Roman" w:hAnsi="Times New Roman" w:cs="Times New Roman"/>
                      <w:noProof/>
                      <w:sz w:val="24"/>
                      <w:szCs w:val="24"/>
                    </w:rPr>
                    <w:t xml:space="preserve">(4), </w:t>
                  </w:r>
                  <w:r w:rsidR="001E591E" w:rsidRPr="00FE71D6">
                    <w:rPr>
                      <w:rFonts w:ascii="Times New Roman" w:hAnsi="Times New Roman" w:cs="Times New Roman"/>
                      <w:noProof/>
                      <w:sz w:val="24"/>
                      <w:szCs w:val="24"/>
                    </w:rPr>
                    <w:t xml:space="preserve">  </w:t>
                  </w:r>
                  <w:r w:rsidRPr="00FE71D6">
                    <w:rPr>
                      <w:rFonts w:ascii="Times New Roman" w:hAnsi="Times New Roman" w:cs="Times New Roman"/>
                      <w:noProof/>
                      <w:sz w:val="24"/>
                      <w:szCs w:val="24"/>
                    </w:rPr>
                    <w:t>247-265.</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Prater, E., Biehl, M., &amp; Smith, M. (2001). International Supply Chain Agility: Tradeoffs Between Flexibility and Uncertainty. </w:t>
                  </w:r>
                  <w:r w:rsidRPr="00FE71D6">
                    <w:rPr>
                      <w:rFonts w:ascii="Times New Roman" w:hAnsi="Times New Roman" w:cs="Times New Roman"/>
                      <w:i/>
                      <w:iCs/>
                      <w:noProof/>
                      <w:sz w:val="24"/>
                      <w:szCs w:val="24"/>
                    </w:rPr>
                    <w:t>International Journal of Operations and Production Management, 21</w:t>
                  </w:r>
                  <w:r w:rsidRPr="00FE71D6">
                    <w:rPr>
                      <w:rFonts w:ascii="Times New Roman" w:hAnsi="Times New Roman" w:cs="Times New Roman"/>
                      <w:noProof/>
                      <w:sz w:val="24"/>
                      <w:szCs w:val="24"/>
                    </w:rPr>
                    <w:t>(6), 823-839.</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Quayyum, S. T. (2011). Effects of Working Capital Management and Liquidity: Evidence from the Cement Industry of Bangladesh. </w:t>
                  </w:r>
                  <w:r w:rsidR="001E591E" w:rsidRPr="00FE71D6">
                    <w:rPr>
                      <w:rFonts w:ascii="Times New Roman" w:hAnsi="Times New Roman" w:cs="Times New Roman"/>
                      <w:i/>
                      <w:iCs/>
                      <w:noProof/>
                      <w:sz w:val="24"/>
                      <w:szCs w:val="24"/>
                    </w:rPr>
                    <w:t xml:space="preserve">Journal of Business </w:t>
                  </w:r>
                  <w:r w:rsidRPr="00FE71D6">
                    <w:rPr>
                      <w:rFonts w:ascii="Times New Roman" w:hAnsi="Times New Roman" w:cs="Times New Roman"/>
                      <w:i/>
                      <w:iCs/>
                      <w:noProof/>
                      <w:sz w:val="24"/>
                      <w:szCs w:val="24"/>
                    </w:rPr>
                    <w:t>and Technology, 6</w:t>
                  </w:r>
                  <w:r w:rsidRPr="00FE71D6">
                    <w:rPr>
                      <w:rFonts w:ascii="Times New Roman" w:hAnsi="Times New Roman" w:cs="Times New Roman"/>
                      <w:noProof/>
                      <w:sz w:val="24"/>
                      <w:szCs w:val="24"/>
                    </w:rPr>
                    <w:t>(1).</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Quintana-Garcia, C., &amp; Benavides-Velasco, C. A. (2004). Cooperation, Competition, and Innovative Capability: A Pane</w:t>
                  </w:r>
                  <w:r w:rsidR="001E591E" w:rsidRPr="00FE71D6">
                    <w:rPr>
                      <w:rFonts w:ascii="Times New Roman" w:hAnsi="Times New Roman" w:cs="Times New Roman"/>
                      <w:noProof/>
                      <w:sz w:val="24"/>
                      <w:szCs w:val="24"/>
                    </w:rPr>
                    <w:t xml:space="preserve">l Data of European Dedicated </w:t>
                  </w:r>
                  <w:r w:rsidRPr="00FE71D6">
                    <w:rPr>
                      <w:rFonts w:ascii="Times New Roman" w:hAnsi="Times New Roman" w:cs="Times New Roman"/>
                      <w:noProof/>
                      <w:sz w:val="24"/>
                      <w:szCs w:val="24"/>
                    </w:rPr>
                    <w:t xml:space="preserve">Biotechnology Firms. </w:t>
                  </w:r>
                  <w:r w:rsidRPr="00FE71D6">
                    <w:rPr>
                      <w:rFonts w:ascii="Times New Roman" w:hAnsi="Times New Roman" w:cs="Times New Roman"/>
                      <w:i/>
                      <w:iCs/>
                      <w:noProof/>
                      <w:sz w:val="24"/>
                      <w:szCs w:val="24"/>
                    </w:rPr>
                    <w:t>Technovation</w:t>
                  </w:r>
                  <w:r w:rsidRPr="00FE71D6">
                    <w:rPr>
                      <w:rFonts w:ascii="Times New Roman" w:hAnsi="Times New Roman" w:cs="Times New Roman"/>
                      <w:noProof/>
                      <w:sz w:val="24"/>
                      <w:szCs w:val="24"/>
                    </w:rPr>
                    <w:t>, 927-938.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Rehman, A., &amp; Nasr, M. (2007). Working Capital Management and Profitability–Case of Pakistani Firms. </w:t>
                  </w:r>
                  <w:r w:rsidRPr="00FE71D6">
                    <w:rPr>
                      <w:rFonts w:ascii="Times New Roman" w:hAnsi="Times New Roman" w:cs="Times New Roman"/>
                      <w:i/>
                      <w:iCs/>
                      <w:noProof/>
                      <w:sz w:val="24"/>
                      <w:szCs w:val="24"/>
                    </w:rPr>
                    <w:t>International Review of Bu</w:t>
                  </w:r>
                  <w:r w:rsidR="001E591E" w:rsidRPr="00FE71D6">
                    <w:rPr>
                      <w:rFonts w:ascii="Times New Roman" w:hAnsi="Times New Roman" w:cs="Times New Roman"/>
                      <w:i/>
                      <w:iCs/>
                      <w:noProof/>
                      <w:sz w:val="24"/>
                      <w:szCs w:val="24"/>
                    </w:rPr>
                    <w:t xml:space="preserve">siness Research Papers, </w:t>
                  </w:r>
                  <w:r w:rsidRPr="00FE71D6">
                    <w:rPr>
                      <w:rFonts w:ascii="Times New Roman" w:hAnsi="Times New Roman" w:cs="Times New Roman"/>
                      <w:i/>
                      <w:iCs/>
                      <w:noProof/>
                      <w:sz w:val="24"/>
                      <w:szCs w:val="24"/>
                    </w:rPr>
                    <w:t>3</w:t>
                  </w:r>
                  <w:r w:rsidRPr="00FE71D6">
                    <w:rPr>
                      <w:rFonts w:ascii="Times New Roman" w:hAnsi="Times New Roman" w:cs="Times New Roman"/>
                      <w:noProof/>
                      <w:sz w:val="24"/>
                      <w:szCs w:val="24"/>
                    </w:rPr>
                    <w:t>(1), 279-300.</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Richard, P. J., Devinney, T. M., Yip, G. S., &amp; Johnson, G. (2009). Measuring Organizational Performance: Towards Methodological Best Practice.       </w:t>
                  </w:r>
                  <w:r w:rsidRPr="00FE71D6">
                    <w:rPr>
                      <w:rFonts w:ascii="Times New Roman" w:hAnsi="Times New Roman" w:cs="Times New Roman"/>
                      <w:i/>
                      <w:iCs/>
                      <w:noProof/>
                      <w:sz w:val="24"/>
                      <w:szCs w:val="24"/>
                    </w:rPr>
                    <w:t>Journal of Management, 35</w:t>
                  </w:r>
                  <w:r w:rsidRPr="00FE71D6">
                    <w:rPr>
                      <w:rFonts w:ascii="Times New Roman" w:hAnsi="Times New Roman" w:cs="Times New Roman"/>
                      <w:noProof/>
                      <w:sz w:val="24"/>
                      <w:szCs w:val="24"/>
                    </w:rPr>
                    <w:t>(3), 718-804.</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Richards, V. D., &amp; Laughlin, E. J. (1980). A Cash Conversion Cycle Approach to Liquidity Analysis. </w:t>
                  </w:r>
                  <w:r w:rsidRPr="00FE71D6">
                    <w:rPr>
                      <w:rFonts w:ascii="Times New Roman" w:hAnsi="Times New Roman" w:cs="Times New Roman"/>
                      <w:i/>
                      <w:iCs/>
                      <w:noProof/>
                      <w:sz w:val="24"/>
                      <w:szCs w:val="24"/>
                    </w:rPr>
                    <w:t>Financial Management, 9</w:t>
                  </w:r>
                  <w:r w:rsidRPr="00FE71D6">
                    <w:rPr>
                      <w:rFonts w:ascii="Times New Roman" w:hAnsi="Times New Roman" w:cs="Times New Roman"/>
                      <w:noProof/>
                      <w:sz w:val="24"/>
                      <w:szCs w:val="24"/>
                    </w:rPr>
                    <w:t>(1), 32-38.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Ritala, P., &amp; Hurmelinna-Laukkanen, P. (2009). What’s in It for Me? Creating and Appropriating Value in Innovation-Related Coopetition. </w:t>
                  </w:r>
                  <w:r w:rsidR="001E591E" w:rsidRPr="00FE71D6">
                    <w:rPr>
                      <w:rFonts w:ascii="Times New Roman" w:hAnsi="Times New Roman" w:cs="Times New Roman"/>
                      <w:i/>
                      <w:iCs/>
                      <w:noProof/>
                      <w:sz w:val="24"/>
                      <w:szCs w:val="24"/>
                    </w:rPr>
                    <w:t xml:space="preserve">Technovation, </w:t>
                  </w:r>
                  <w:r w:rsidRPr="00FE71D6">
                    <w:rPr>
                      <w:rFonts w:ascii="Times New Roman" w:hAnsi="Times New Roman" w:cs="Times New Roman"/>
                      <w:i/>
                      <w:iCs/>
                      <w:noProof/>
                      <w:sz w:val="24"/>
                      <w:szCs w:val="24"/>
                    </w:rPr>
                    <w:t>29</w:t>
                  </w:r>
                  <w:r w:rsidRPr="00FE71D6">
                    <w:rPr>
                      <w:rFonts w:ascii="Times New Roman" w:hAnsi="Times New Roman" w:cs="Times New Roman"/>
                      <w:noProof/>
                      <w:sz w:val="24"/>
                      <w:szCs w:val="24"/>
                    </w:rPr>
                    <w:t>(12), 819-828.</w:t>
                  </w:r>
                </w:p>
                <w:p w:rsidR="007C6641" w:rsidRPr="00FE71D6" w:rsidRDefault="007C6641" w:rsidP="00DA7370">
                  <w:pPr>
                    <w:pStyle w:val="Bibliography"/>
                    <w:spacing w:after="240" w:line="240" w:lineRule="auto"/>
                    <w:ind w:left="72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Rogers, E., &amp; Wright, P. (1998). Measuring Organizational Performance in Strategic Human Resource Management: Problems, Prospects and Performance Information Markets. </w:t>
                  </w:r>
                  <w:r w:rsidRPr="00FE71D6">
                    <w:rPr>
                      <w:rFonts w:ascii="Times New Roman" w:hAnsi="Times New Roman" w:cs="Times New Roman"/>
                      <w:i/>
                      <w:iCs/>
                      <w:noProof/>
                      <w:sz w:val="24"/>
                      <w:szCs w:val="24"/>
                    </w:rPr>
                    <w:t>Human Resource Management Review, 8</w:t>
                  </w:r>
                  <w:r w:rsidRPr="00FE71D6">
                    <w:rPr>
                      <w:rFonts w:ascii="Times New Roman" w:hAnsi="Times New Roman" w:cs="Times New Roman"/>
                      <w:noProof/>
                      <w:sz w:val="24"/>
                      <w:szCs w:val="24"/>
                    </w:rPr>
                    <w:t>(3), 311-331.</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Romano, P., &amp; Vinelli, A. (2001). Quality Management in a Supply Chain Perspective: Strategic and Operative Choices in a Textile-Apparel Network. </w:t>
                  </w:r>
                  <w:r w:rsidRPr="00FE71D6">
                    <w:rPr>
                      <w:rFonts w:ascii="Times New Roman" w:hAnsi="Times New Roman" w:cs="Times New Roman"/>
                      <w:i/>
                      <w:iCs/>
                      <w:noProof/>
                      <w:sz w:val="24"/>
                      <w:szCs w:val="24"/>
                    </w:rPr>
                    <w:t>International Journal of Operations and Production Management, 21</w:t>
                  </w:r>
                  <w:r w:rsidRPr="00FE71D6">
                    <w:rPr>
                      <w:rFonts w:ascii="Times New Roman" w:hAnsi="Times New Roman" w:cs="Times New Roman"/>
                      <w:noProof/>
                      <w:sz w:val="24"/>
                      <w:szCs w:val="24"/>
                    </w:rPr>
                    <w:t>(4), 446-460.</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Saenz, A., Damodaran, B., Wu, C. W., Portzline, E., Shim, J., &amp; Keck, M. (2003). Cash–to–Cash Cycle Time Improvement Initiati</w:t>
                  </w:r>
                  <w:r w:rsidR="001E591E" w:rsidRPr="00FE71D6">
                    <w:rPr>
                      <w:rFonts w:ascii="Times New Roman" w:hAnsi="Times New Roman" w:cs="Times New Roman"/>
                      <w:noProof/>
                      <w:sz w:val="24"/>
                      <w:szCs w:val="24"/>
                    </w:rPr>
                    <w:t xml:space="preserve">ves at Lexmark. </w:t>
                  </w:r>
                  <w:r w:rsidRPr="00FE71D6">
                    <w:rPr>
                      <w:rFonts w:ascii="Times New Roman" w:hAnsi="Times New Roman" w:cs="Times New Roman"/>
                      <w:i/>
                      <w:iCs/>
                      <w:noProof/>
                      <w:sz w:val="24"/>
                      <w:szCs w:val="24"/>
                    </w:rPr>
                    <w:t>Donna Covington</w:t>
                  </w:r>
                  <w:r w:rsidRPr="00FE71D6">
                    <w:rPr>
                      <w:rFonts w:ascii="Times New Roman" w:hAnsi="Times New Roman" w:cs="Times New Roman"/>
                      <w:noProof/>
                      <w:sz w:val="24"/>
                      <w:szCs w:val="24"/>
                    </w:rPr>
                    <w:t>.</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Sakka, O., &amp; Botta-Genoulaz, V. (2009). A Model of Factors Influencing the Supply Chain Performance. </w:t>
                  </w:r>
                  <w:r w:rsidRPr="00FE71D6">
                    <w:rPr>
                      <w:rFonts w:ascii="Times New Roman" w:hAnsi="Times New Roman" w:cs="Times New Roman"/>
                      <w:i/>
                      <w:iCs/>
                      <w:noProof/>
                      <w:sz w:val="24"/>
                      <w:szCs w:val="24"/>
                    </w:rPr>
                    <w:t>Proceedings of CIE 2009</w:t>
                  </w:r>
                  <w:r w:rsidRPr="00FE71D6">
                    <w:rPr>
                      <w:rFonts w:ascii="Times New Roman" w:hAnsi="Times New Roman" w:cs="Times New Roman"/>
                      <w:noProof/>
                      <w:sz w:val="24"/>
                      <w:szCs w:val="24"/>
                    </w:rPr>
                    <w:t>, (pp. 913-918).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Schermerhorn, J. R., Hunt, J. M., &amp; Osborn, R. N. (2002). </w:t>
                  </w:r>
                  <w:r w:rsidRPr="00FE71D6">
                    <w:rPr>
                      <w:rFonts w:ascii="Times New Roman" w:hAnsi="Times New Roman" w:cs="Times New Roman"/>
                      <w:i/>
                      <w:iCs/>
                      <w:noProof/>
                      <w:sz w:val="24"/>
                      <w:szCs w:val="24"/>
                    </w:rPr>
                    <w:t>Organizational Behavior.</w:t>
                  </w:r>
                  <w:r w:rsidRPr="00FE71D6">
                    <w:rPr>
                      <w:rFonts w:ascii="Times New Roman" w:hAnsi="Times New Roman" w:cs="Times New Roman"/>
                      <w:noProof/>
                      <w:sz w:val="24"/>
                      <w:szCs w:val="24"/>
                    </w:rPr>
                    <w:t xml:space="preserve"> New York: John Wiley and Sons.</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Sengupta, S., &amp; Turnbull, J. (1996). Seamless Optimization of the Entire Supply Chain. </w:t>
                  </w:r>
                  <w:r w:rsidRPr="00FE71D6">
                    <w:rPr>
                      <w:rFonts w:ascii="Times New Roman" w:hAnsi="Times New Roman" w:cs="Times New Roman"/>
                      <w:i/>
                      <w:iCs/>
                      <w:noProof/>
                      <w:sz w:val="24"/>
                      <w:szCs w:val="24"/>
                    </w:rPr>
                    <w:t>HE Solutions, 28</w:t>
                  </w:r>
                  <w:r w:rsidRPr="00FE71D6">
                    <w:rPr>
                      <w:rFonts w:ascii="Times New Roman" w:hAnsi="Times New Roman" w:cs="Times New Roman"/>
                      <w:noProof/>
                      <w:sz w:val="24"/>
                      <w:szCs w:val="24"/>
                    </w:rPr>
                    <w:t>(10), 28-33.</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Shakoor, F., Khan, A. Q., &amp; Nawab, S. (2012). The Inter-Linkages of Working Capital and Profitability in Pakistan (2001-2010). </w:t>
                  </w:r>
                  <w:r w:rsidRPr="00FE71D6">
                    <w:rPr>
                      <w:rFonts w:ascii="Times New Roman" w:hAnsi="Times New Roman" w:cs="Times New Roman"/>
                      <w:i/>
                      <w:iCs/>
                      <w:noProof/>
                      <w:sz w:val="24"/>
                      <w:szCs w:val="24"/>
                    </w:rPr>
                    <w:t>Academic Research International, 3</w:t>
                  </w:r>
                  <w:r w:rsidRPr="00FE71D6">
                    <w:rPr>
                      <w:rFonts w:ascii="Times New Roman" w:hAnsi="Times New Roman" w:cs="Times New Roman"/>
                      <w:noProof/>
                      <w:sz w:val="24"/>
                      <w:szCs w:val="24"/>
                    </w:rPr>
                    <w:t>(2), 562-567.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Sharma, A. K., &amp; Kumar, S. (2011). Effect of Working Capital Management on Firm Profitability: Empirical Evidence from India. </w:t>
                  </w:r>
                  <w:r w:rsidR="001E591E" w:rsidRPr="00FE71D6">
                    <w:rPr>
                      <w:rFonts w:ascii="Times New Roman" w:hAnsi="Times New Roman" w:cs="Times New Roman"/>
                      <w:i/>
                      <w:iCs/>
                      <w:noProof/>
                      <w:sz w:val="24"/>
                      <w:szCs w:val="24"/>
                    </w:rPr>
                    <w:t xml:space="preserve">Global Business Review, </w:t>
                  </w:r>
                  <w:r w:rsidRPr="00FE71D6">
                    <w:rPr>
                      <w:rFonts w:ascii="Times New Roman" w:hAnsi="Times New Roman" w:cs="Times New Roman"/>
                      <w:i/>
                      <w:iCs/>
                      <w:noProof/>
                      <w:sz w:val="24"/>
                      <w:szCs w:val="24"/>
                    </w:rPr>
                    <w:t>12</w:t>
                  </w:r>
                  <w:r w:rsidRPr="00FE71D6">
                    <w:rPr>
                      <w:rFonts w:ascii="Times New Roman" w:hAnsi="Times New Roman" w:cs="Times New Roman"/>
                      <w:noProof/>
                      <w:sz w:val="24"/>
                      <w:szCs w:val="24"/>
                    </w:rPr>
                    <w:t>(1), 159-173.</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Sherer, S. A. (2005). From Supply-Chain Management to Value Network Advocacy: Implications for e-Supply Chains. </w:t>
                  </w:r>
                  <w:r w:rsidRPr="00FE71D6">
                    <w:rPr>
                      <w:rFonts w:ascii="Times New Roman" w:hAnsi="Times New Roman" w:cs="Times New Roman"/>
                      <w:i/>
                      <w:iCs/>
                      <w:noProof/>
                      <w:sz w:val="24"/>
                      <w:szCs w:val="24"/>
                    </w:rPr>
                    <w:t>Supply Chain Management, 10</w:t>
                  </w:r>
                  <w:r w:rsidRPr="00FE71D6">
                    <w:rPr>
                      <w:rFonts w:ascii="Times New Roman" w:hAnsi="Times New Roman" w:cs="Times New Roman"/>
                      <w:noProof/>
                      <w:sz w:val="24"/>
                      <w:szCs w:val="24"/>
                    </w:rPr>
                    <w:t>(2), 77-83.</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Sheridan, J. H. (1998). The Supply-Chain Paradox. </w:t>
                  </w:r>
                  <w:r w:rsidRPr="00FE71D6">
                    <w:rPr>
                      <w:rFonts w:ascii="Times New Roman" w:hAnsi="Times New Roman" w:cs="Times New Roman"/>
                      <w:i/>
                      <w:iCs/>
                      <w:noProof/>
                      <w:sz w:val="24"/>
                      <w:szCs w:val="24"/>
                    </w:rPr>
                    <w:t>Industry Week, 247</w:t>
                  </w:r>
                  <w:r w:rsidRPr="00FE71D6">
                    <w:rPr>
                      <w:rFonts w:ascii="Times New Roman" w:hAnsi="Times New Roman" w:cs="Times New Roman"/>
                      <w:noProof/>
                      <w:sz w:val="24"/>
                      <w:szCs w:val="24"/>
                    </w:rPr>
                    <w:t xml:space="preserve">(3), </w:t>
                  </w:r>
                  <w:r w:rsidR="001E591E" w:rsidRPr="00FE71D6">
                    <w:rPr>
                      <w:rFonts w:ascii="Times New Roman" w:hAnsi="Times New Roman" w:cs="Times New Roman"/>
                      <w:noProof/>
                      <w:sz w:val="24"/>
                      <w:szCs w:val="24"/>
                    </w:rPr>
                    <w:t xml:space="preserve"> </w:t>
                  </w:r>
                  <w:r w:rsidRPr="00FE71D6">
                    <w:rPr>
                      <w:rFonts w:ascii="Times New Roman" w:hAnsi="Times New Roman" w:cs="Times New Roman"/>
                      <w:noProof/>
                      <w:sz w:val="24"/>
                      <w:szCs w:val="24"/>
                    </w:rPr>
                    <w:t>20-29.</w:t>
                  </w:r>
                </w:p>
                <w:p w:rsidR="00C70586" w:rsidRPr="00FE71D6" w:rsidRDefault="00C70586" w:rsidP="00DA7370">
                  <w:pPr>
                    <w:spacing w:after="240" w:line="240" w:lineRule="auto"/>
                    <w:ind w:left="720" w:hanging="720"/>
                    <w:jc w:val="both"/>
                    <w:rPr>
                      <w:lang w:val="en-US" w:eastAsia="en-US"/>
                    </w:rPr>
                  </w:pPr>
                  <w:r w:rsidRPr="00FE71D6">
                    <w:rPr>
                      <w:noProof/>
                      <w:lang w:val="en-US"/>
                    </w:rPr>
                    <w:t xml:space="preserve">Sheth, J. N., &amp; Parvatiyar, A. (1995). The Evolution of Relationship Marketing. </w:t>
                  </w:r>
                  <w:r w:rsidRPr="00FE71D6">
                    <w:rPr>
                      <w:i/>
                      <w:iCs/>
                      <w:noProof/>
                      <w:lang w:val="en-US"/>
                    </w:rPr>
                    <w:t>International Business Review</w:t>
                  </w:r>
                  <w:r w:rsidRPr="00FE71D6">
                    <w:rPr>
                      <w:noProof/>
                      <w:lang w:val="en-US"/>
                    </w:rPr>
                    <w:t>, 397-418.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Sheth, J., Sisodia, R., &amp; Sharma, A. (2000). The Antecedents and Consequences of Customer-Centric Marketing. </w:t>
                  </w:r>
                  <w:r w:rsidRPr="00FE71D6">
                    <w:rPr>
                      <w:rFonts w:ascii="Times New Roman" w:hAnsi="Times New Roman" w:cs="Times New Roman"/>
                      <w:i/>
                      <w:iCs/>
                      <w:noProof/>
                      <w:sz w:val="24"/>
                      <w:szCs w:val="24"/>
                    </w:rPr>
                    <w:t>Journal of the Academy of Marketing Science, 28</w:t>
                  </w:r>
                  <w:r w:rsidRPr="00FE71D6">
                    <w:rPr>
                      <w:rFonts w:ascii="Times New Roman" w:hAnsi="Times New Roman" w:cs="Times New Roman"/>
                      <w:noProof/>
                      <w:sz w:val="24"/>
                      <w:szCs w:val="24"/>
                    </w:rPr>
                    <w:t>(1), 55-66.</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Shin, H., &amp; Soenen, L. (1998). Efficiency of Working Capital Management and Corporate Profitability. </w:t>
                  </w:r>
                  <w:r w:rsidRPr="00FE71D6">
                    <w:rPr>
                      <w:rFonts w:ascii="Times New Roman" w:hAnsi="Times New Roman" w:cs="Times New Roman"/>
                      <w:i/>
                      <w:iCs/>
                      <w:noProof/>
                      <w:sz w:val="24"/>
                      <w:szCs w:val="24"/>
                    </w:rPr>
                    <w:t>Financial Practice &amp; Education, 8</w:t>
                  </w:r>
                  <w:r w:rsidRPr="00FE71D6">
                    <w:rPr>
                      <w:rFonts w:ascii="Times New Roman" w:hAnsi="Times New Roman" w:cs="Times New Roman"/>
                      <w:noProof/>
                      <w:sz w:val="24"/>
                      <w:szCs w:val="24"/>
                    </w:rPr>
                    <w:t xml:space="preserve">(2), </w:t>
                  </w:r>
                  <w:r w:rsidR="001E591E" w:rsidRPr="00FE71D6">
                    <w:rPr>
                      <w:rFonts w:ascii="Times New Roman" w:hAnsi="Times New Roman" w:cs="Times New Roman"/>
                      <w:noProof/>
                      <w:sz w:val="24"/>
                      <w:szCs w:val="24"/>
                    </w:rPr>
                    <w:t xml:space="preserve">  </w:t>
                  </w:r>
                  <w:r w:rsidRPr="00FE71D6">
                    <w:rPr>
                      <w:rFonts w:ascii="Times New Roman" w:hAnsi="Times New Roman" w:cs="Times New Roman"/>
                      <w:noProof/>
                      <w:sz w:val="24"/>
                      <w:szCs w:val="24"/>
                    </w:rPr>
                    <w:t>37-45.</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Shin, H., Collier, D. A., &amp; Wilson, D. D. (2000). Supply Management Orientation and Supplier/Buyer Performance. </w:t>
                  </w:r>
                  <w:r w:rsidRPr="00FE71D6">
                    <w:rPr>
                      <w:rFonts w:ascii="Times New Roman" w:hAnsi="Times New Roman" w:cs="Times New Roman"/>
                      <w:i/>
                      <w:iCs/>
                      <w:noProof/>
                      <w:sz w:val="24"/>
                      <w:szCs w:val="24"/>
                    </w:rPr>
                    <w:t>Journal of Oper</w:t>
                  </w:r>
                  <w:r w:rsidR="001E591E" w:rsidRPr="00FE71D6">
                    <w:rPr>
                      <w:rFonts w:ascii="Times New Roman" w:hAnsi="Times New Roman" w:cs="Times New Roman"/>
                      <w:i/>
                      <w:iCs/>
                      <w:noProof/>
                      <w:sz w:val="24"/>
                      <w:szCs w:val="24"/>
                    </w:rPr>
                    <w:t xml:space="preserve">ations Management, </w:t>
                  </w:r>
                  <w:r w:rsidRPr="00FE71D6">
                    <w:rPr>
                      <w:rFonts w:ascii="Times New Roman" w:hAnsi="Times New Roman" w:cs="Times New Roman"/>
                      <w:i/>
                      <w:iCs/>
                      <w:noProof/>
                      <w:sz w:val="24"/>
                      <w:szCs w:val="24"/>
                    </w:rPr>
                    <w:t>18</w:t>
                  </w:r>
                  <w:r w:rsidRPr="00FE71D6">
                    <w:rPr>
                      <w:rFonts w:ascii="Times New Roman" w:hAnsi="Times New Roman" w:cs="Times New Roman"/>
                      <w:noProof/>
                      <w:sz w:val="24"/>
                      <w:szCs w:val="24"/>
                    </w:rPr>
                    <w:t>(3), 317-333.</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Singh, R. K. (2013). Prioritizing the Factors for Coordinated Supply Chain Using Analytic Hierarchy Process (AHP). </w:t>
                  </w:r>
                  <w:r w:rsidRPr="00FE71D6">
                    <w:rPr>
                      <w:rFonts w:ascii="Times New Roman" w:hAnsi="Times New Roman" w:cs="Times New Roman"/>
                      <w:i/>
                      <w:iCs/>
                      <w:noProof/>
                      <w:sz w:val="24"/>
                      <w:szCs w:val="24"/>
                    </w:rPr>
                    <w:t>Measuring</w:t>
                  </w:r>
                  <w:r w:rsidR="001E591E" w:rsidRPr="00FE71D6">
                    <w:rPr>
                      <w:rFonts w:ascii="Times New Roman" w:hAnsi="Times New Roman" w:cs="Times New Roman"/>
                      <w:i/>
                      <w:iCs/>
                      <w:noProof/>
                      <w:sz w:val="24"/>
                      <w:szCs w:val="24"/>
                    </w:rPr>
                    <w:t xml:space="preserve"> Business Excellence, </w:t>
                  </w:r>
                  <w:r w:rsidRPr="00FE71D6">
                    <w:rPr>
                      <w:rFonts w:ascii="Times New Roman" w:hAnsi="Times New Roman" w:cs="Times New Roman"/>
                      <w:i/>
                      <w:iCs/>
                      <w:noProof/>
                      <w:sz w:val="24"/>
                      <w:szCs w:val="24"/>
                    </w:rPr>
                    <w:t>17</w:t>
                  </w:r>
                  <w:r w:rsidRPr="00FE71D6">
                    <w:rPr>
                      <w:rFonts w:ascii="Times New Roman" w:hAnsi="Times New Roman" w:cs="Times New Roman"/>
                      <w:noProof/>
                      <w:sz w:val="24"/>
                      <w:szCs w:val="24"/>
                    </w:rPr>
                    <w:t>(1), 80-98.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Slack, N., Harland, C., Chamber, S., Harrison, A., &amp; Johnston, R. (1998).      </w:t>
                  </w:r>
                  <w:r w:rsidRPr="00FE71D6">
                    <w:rPr>
                      <w:rFonts w:ascii="Times New Roman" w:hAnsi="Times New Roman" w:cs="Times New Roman"/>
                      <w:i/>
                      <w:iCs/>
                      <w:noProof/>
                      <w:sz w:val="24"/>
                      <w:szCs w:val="24"/>
                    </w:rPr>
                    <w:t>Operations Management.</w:t>
                  </w:r>
                  <w:r w:rsidRPr="00FE71D6">
                    <w:rPr>
                      <w:rFonts w:ascii="Times New Roman" w:hAnsi="Times New Roman" w:cs="Times New Roman"/>
                      <w:noProof/>
                      <w:sz w:val="24"/>
                      <w:szCs w:val="24"/>
                    </w:rPr>
                    <w:t xml:space="preserve"> London: Pitman Publishing.</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Smith, K. (1980). </w:t>
                  </w:r>
                  <w:r w:rsidRPr="00FE71D6">
                    <w:rPr>
                      <w:rFonts w:ascii="Times New Roman" w:hAnsi="Times New Roman" w:cs="Times New Roman"/>
                      <w:i/>
                      <w:iCs/>
                      <w:noProof/>
                      <w:sz w:val="24"/>
                      <w:szCs w:val="24"/>
                    </w:rPr>
                    <w:t>Profitability versus Liquidity Tradeoffs in Working Capital Management.</w:t>
                  </w:r>
                  <w:r w:rsidRPr="00FE71D6">
                    <w:rPr>
                      <w:rFonts w:ascii="Times New Roman" w:hAnsi="Times New Roman" w:cs="Times New Roman"/>
                      <w:noProof/>
                      <w:sz w:val="24"/>
                      <w:szCs w:val="24"/>
                    </w:rPr>
                    <w:t xml:space="preserve"> St. Paul: West Publishing Company.</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Soenen, L. (1993). Cash Conversion Cycle and Corporate Profitability. </w:t>
                  </w:r>
                  <w:r w:rsidRPr="00FE71D6">
                    <w:rPr>
                      <w:rFonts w:ascii="Times New Roman" w:hAnsi="Times New Roman" w:cs="Times New Roman"/>
                      <w:i/>
                      <w:iCs/>
                      <w:noProof/>
                      <w:sz w:val="24"/>
                      <w:szCs w:val="24"/>
                    </w:rPr>
                    <w:t>Journal of   Cash Management, 13</w:t>
                  </w:r>
                  <w:r w:rsidRPr="00FE71D6">
                    <w:rPr>
                      <w:rFonts w:ascii="Times New Roman" w:hAnsi="Times New Roman" w:cs="Times New Roman"/>
                      <w:noProof/>
                      <w:sz w:val="24"/>
                      <w:szCs w:val="24"/>
                    </w:rPr>
                    <w:t>(4), 53-57.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Sousa, R. (2003). Linking Quality Management to Manufacturing Strategy:                 An Empirical Investigation of Customer Focus Practices. </w:t>
                  </w:r>
                  <w:r w:rsidRPr="00FE71D6">
                    <w:rPr>
                      <w:rFonts w:ascii="Times New Roman" w:hAnsi="Times New Roman" w:cs="Times New Roman"/>
                      <w:i/>
                      <w:iCs/>
                      <w:noProof/>
                      <w:sz w:val="24"/>
                      <w:szCs w:val="24"/>
                    </w:rPr>
                    <w:t>Journal of Operations Management, 21</w:t>
                  </w:r>
                  <w:r w:rsidRPr="00FE71D6">
                    <w:rPr>
                      <w:rFonts w:ascii="Times New Roman" w:hAnsi="Times New Roman" w:cs="Times New Roman"/>
                      <w:noProof/>
                      <w:sz w:val="24"/>
                      <w:szCs w:val="24"/>
                    </w:rPr>
                    <w:t>(1), 1-18.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Spekman, R., Kamauff, J., &amp; Myhr, N. (1998). An Empirical Investigation into Supply Chain Management: a Perspective on Partnerships. </w:t>
                  </w:r>
                  <w:r w:rsidRPr="00FE71D6">
                    <w:rPr>
                      <w:rFonts w:ascii="Times New Roman" w:hAnsi="Times New Roman" w:cs="Times New Roman"/>
                      <w:i/>
                      <w:iCs/>
                      <w:noProof/>
                      <w:sz w:val="24"/>
                      <w:szCs w:val="24"/>
                    </w:rPr>
                    <w:t>Supply Chain Management, 3</w:t>
                  </w:r>
                  <w:r w:rsidRPr="00FE71D6">
                    <w:rPr>
                      <w:rFonts w:ascii="Times New Roman" w:hAnsi="Times New Roman" w:cs="Times New Roman"/>
                      <w:noProof/>
                      <w:sz w:val="24"/>
                      <w:szCs w:val="24"/>
                    </w:rPr>
                    <w:t>(2), 53-67.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Steiger, F. (2008). The Validity of Company Valuation Using Discounted                Cash Flow Methods.</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Stein, T., &amp; Sweat, J. (1998). Killer Supply Chains. </w:t>
                  </w:r>
                  <w:r w:rsidRPr="00FE71D6">
                    <w:rPr>
                      <w:rFonts w:ascii="Times New Roman" w:hAnsi="Times New Roman" w:cs="Times New Roman"/>
                      <w:i/>
                      <w:iCs/>
                      <w:noProof/>
                      <w:sz w:val="24"/>
                      <w:szCs w:val="24"/>
                    </w:rPr>
                    <w:t>Informationweek, 708</w:t>
                  </w:r>
                  <w:r w:rsidRPr="00FE71D6">
                    <w:rPr>
                      <w:rFonts w:ascii="Times New Roman" w:hAnsi="Times New Roman" w:cs="Times New Roman"/>
                      <w:noProof/>
                      <w:sz w:val="24"/>
                      <w:szCs w:val="24"/>
                    </w:rPr>
                    <w:t>(9), 36-46.</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Stock, G. N., Greis, N. P., &amp; Kasarda, J. D. (2000). Enterprise Logistics and Supply Chain Structure: The Role of Fit. </w:t>
                  </w:r>
                  <w:r w:rsidRPr="00FE71D6">
                    <w:rPr>
                      <w:rFonts w:ascii="Times New Roman" w:hAnsi="Times New Roman" w:cs="Times New Roman"/>
                      <w:i/>
                      <w:iCs/>
                      <w:noProof/>
                      <w:sz w:val="24"/>
                      <w:szCs w:val="24"/>
                    </w:rPr>
                    <w:t>Journal of Ope</w:t>
                  </w:r>
                  <w:r w:rsidR="001E591E" w:rsidRPr="00FE71D6">
                    <w:rPr>
                      <w:rFonts w:ascii="Times New Roman" w:hAnsi="Times New Roman" w:cs="Times New Roman"/>
                      <w:i/>
                      <w:iCs/>
                      <w:noProof/>
                      <w:sz w:val="24"/>
                      <w:szCs w:val="24"/>
                    </w:rPr>
                    <w:t xml:space="preserve">rations Management, </w:t>
                  </w:r>
                  <w:r w:rsidRPr="00FE71D6">
                    <w:rPr>
                      <w:rFonts w:ascii="Times New Roman" w:hAnsi="Times New Roman" w:cs="Times New Roman"/>
                      <w:i/>
                      <w:iCs/>
                      <w:noProof/>
                      <w:sz w:val="24"/>
                      <w:szCs w:val="24"/>
                    </w:rPr>
                    <w:t>18</w:t>
                  </w:r>
                  <w:r w:rsidRPr="00FE71D6">
                    <w:rPr>
                      <w:rFonts w:ascii="Times New Roman" w:hAnsi="Times New Roman" w:cs="Times New Roman"/>
                      <w:noProof/>
                      <w:sz w:val="24"/>
                      <w:szCs w:val="24"/>
                    </w:rPr>
                    <w:t>, 531-547.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Stock, J., &amp; Boyer, S. (2009). Developing a Consensus Definition of Supply Chain Management: a Qualitative Study. </w:t>
                  </w:r>
                  <w:r w:rsidRPr="00FE71D6">
                    <w:rPr>
                      <w:rFonts w:ascii="Times New Roman" w:hAnsi="Times New Roman" w:cs="Times New Roman"/>
                      <w:i/>
                      <w:iCs/>
                      <w:noProof/>
                      <w:sz w:val="24"/>
                      <w:szCs w:val="24"/>
                    </w:rPr>
                    <w:t>International Journal of Physical Distribution &amp; Logistics Management, 39</w:t>
                  </w:r>
                  <w:r w:rsidRPr="00FE71D6">
                    <w:rPr>
                      <w:rFonts w:ascii="Times New Roman" w:hAnsi="Times New Roman" w:cs="Times New Roman"/>
                      <w:noProof/>
                      <w:sz w:val="24"/>
                      <w:szCs w:val="24"/>
                    </w:rPr>
                    <w:t>(8), 690-711.</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Stuart, F. (1997). Supply-Chain Strategy: Organizational Influence Through Supplier Alliances. </w:t>
                  </w:r>
                  <w:r w:rsidRPr="00FE71D6">
                    <w:rPr>
                      <w:rFonts w:ascii="Times New Roman" w:hAnsi="Times New Roman" w:cs="Times New Roman"/>
                      <w:i/>
                      <w:iCs/>
                      <w:noProof/>
                      <w:sz w:val="24"/>
                      <w:szCs w:val="24"/>
                    </w:rPr>
                    <w:t>British Academy of Management, 8</w:t>
                  </w:r>
                  <w:r w:rsidRPr="00FE71D6">
                    <w:rPr>
                      <w:rFonts w:ascii="Times New Roman" w:hAnsi="Times New Roman" w:cs="Times New Roman"/>
                      <w:noProof/>
                      <w:sz w:val="24"/>
                      <w:szCs w:val="24"/>
                    </w:rPr>
                    <w:t>, 223-236.</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Stuart, F. I. (1993). Supplier Partnerships: Influencing Factors and Strategic Benefits. </w:t>
                  </w:r>
                  <w:r w:rsidRPr="00FE71D6">
                    <w:rPr>
                      <w:rFonts w:ascii="Times New Roman" w:hAnsi="Times New Roman" w:cs="Times New Roman"/>
                      <w:i/>
                      <w:iCs/>
                      <w:noProof/>
                      <w:sz w:val="24"/>
                      <w:szCs w:val="24"/>
                    </w:rPr>
                    <w:t>International Journal of Purchasing and Materials Management, 29</w:t>
                  </w:r>
                  <w:r w:rsidRPr="00FE71D6">
                    <w:rPr>
                      <w:rFonts w:ascii="Times New Roman" w:hAnsi="Times New Roman" w:cs="Times New Roman"/>
                      <w:noProof/>
                      <w:sz w:val="24"/>
                      <w:szCs w:val="24"/>
                    </w:rPr>
                    <w:t>(4), 22-28.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Suhong Li. (2002). </w:t>
                  </w:r>
                  <w:r w:rsidRPr="00FE71D6">
                    <w:rPr>
                      <w:rFonts w:ascii="Times New Roman" w:hAnsi="Times New Roman" w:cs="Times New Roman"/>
                      <w:i/>
                      <w:iCs/>
                      <w:noProof/>
                      <w:sz w:val="24"/>
                      <w:szCs w:val="24"/>
                    </w:rPr>
                    <w:t>An Integrated Model for Supply Chain Management Practice, Performance and Competitive Advantage.</w:t>
                  </w:r>
                  <w:r w:rsidRPr="00FE71D6">
                    <w:rPr>
                      <w:rFonts w:ascii="Times New Roman" w:hAnsi="Times New Roman" w:cs="Times New Roman"/>
                      <w:noProof/>
                      <w:sz w:val="24"/>
                      <w:szCs w:val="24"/>
                    </w:rPr>
                    <w:t xml:space="preserve"> University of Toledo, USA: Unpublished Doctoral's Dissertation.</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Supply Chain Council. (1997). Retrieved from http://www.supply-chain.org</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Tan, K. (2001). A Framework of Supply Chain Management Literature.           </w:t>
                  </w:r>
                  <w:r w:rsidRPr="00FE71D6">
                    <w:rPr>
                      <w:rFonts w:ascii="Times New Roman" w:hAnsi="Times New Roman" w:cs="Times New Roman"/>
                      <w:i/>
                      <w:iCs/>
                      <w:noProof/>
                      <w:sz w:val="24"/>
                      <w:szCs w:val="24"/>
                    </w:rPr>
                    <w:t>European Journal of Purchasing and Supply Management, 7</w:t>
                  </w:r>
                  <w:r w:rsidRPr="00FE71D6">
                    <w:rPr>
                      <w:rFonts w:ascii="Times New Roman" w:hAnsi="Times New Roman" w:cs="Times New Roman"/>
                      <w:noProof/>
                      <w:sz w:val="24"/>
                      <w:szCs w:val="24"/>
                    </w:rPr>
                    <w:t xml:space="preserve">(1), </w:t>
                  </w:r>
                  <w:r w:rsidR="00351CBA" w:rsidRPr="00FE71D6">
                    <w:rPr>
                      <w:rFonts w:ascii="Times New Roman" w:hAnsi="Times New Roman" w:cs="Times New Roman"/>
                      <w:noProof/>
                      <w:sz w:val="24"/>
                      <w:szCs w:val="24"/>
                    </w:rPr>
                    <w:t xml:space="preserve">     </w:t>
                  </w:r>
                  <w:r w:rsidRPr="00FE71D6">
                    <w:rPr>
                      <w:rFonts w:ascii="Times New Roman" w:hAnsi="Times New Roman" w:cs="Times New Roman"/>
                      <w:noProof/>
                      <w:sz w:val="24"/>
                      <w:szCs w:val="24"/>
                    </w:rPr>
                    <w:t>39-48.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Tan, K. C., Lyman, S. B., &amp; Wisner, J. D. (2002). Supply Chain Management:              A Strategic Perspective. </w:t>
                  </w:r>
                  <w:r w:rsidRPr="00FE71D6">
                    <w:rPr>
                      <w:rFonts w:ascii="Times New Roman" w:hAnsi="Times New Roman" w:cs="Times New Roman"/>
                      <w:i/>
                      <w:iCs/>
                      <w:noProof/>
                      <w:sz w:val="24"/>
                      <w:szCs w:val="24"/>
                    </w:rPr>
                    <w:t>Int. J. Oper. Prod. Manage., 22</w:t>
                  </w:r>
                  <w:r w:rsidRPr="00FE71D6">
                    <w:rPr>
                      <w:rFonts w:ascii="Times New Roman" w:hAnsi="Times New Roman" w:cs="Times New Roman"/>
                      <w:noProof/>
                      <w:sz w:val="24"/>
                      <w:szCs w:val="24"/>
                    </w:rPr>
                    <w:t>(6), 614-631.</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Tan, K., Kannan, V., &amp; Handfield, R. (1998). Supply Chain Management: Supplier Performance and Firm Performance. </w:t>
                  </w:r>
                  <w:r w:rsidRPr="00FE71D6">
                    <w:rPr>
                      <w:rFonts w:ascii="Times New Roman" w:hAnsi="Times New Roman" w:cs="Times New Roman"/>
                      <w:i/>
                      <w:iCs/>
                      <w:noProof/>
                      <w:sz w:val="24"/>
                      <w:szCs w:val="24"/>
                    </w:rPr>
                    <w:t>International Journal of Purchasing and Materials Management, 34</w:t>
                  </w:r>
                  <w:r w:rsidRPr="00FE71D6">
                    <w:rPr>
                      <w:rFonts w:ascii="Times New Roman" w:hAnsi="Times New Roman" w:cs="Times New Roman"/>
                      <w:noProof/>
                      <w:sz w:val="24"/>
                      <w:szCs w:val="24"/>
                    </w:rPr>
                    <w:t>(3), 2-9.</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Tan, K., Kannan, V., Handfield, R., &amp; Ghosh, S. (1999). Supply Chain Management: An Empirical Study of Its Impact on Performance. </w:t>
                  </w:r>
                  <w:r w:rsidRPr="00FE71D6">
                    <w:rPr>
                      <w:rFonts w:ascii="Times New Roman" w:hAnsi="Times New Roman" w:cs="Times New Roman"/>
                      <w:i/>
                      <w:iCs/>
                      <w:noProof/>
                      <w:sz w:val="24"/>
                      <w:szCs w:val="24"/>
                    </w:rPr>
                    <w:t>International Journal of Purchasing and Material Management, 19</w:t>
                  </w:r>
                  <w:r w:rsidRPr="00FE71D6">
                    <w:rPr>
                      <w:rFonts w:ascii="Times New Roman" w:hAnsi="Times New Roman" w:cs="Times New Roman"/>
                      <w:noProof/>
                      <w:sz w:val="24"/>
                      <w:szCs w:val="24"/>
                    </w:rPr>
                    <w:t>(10), 1034-1052.</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Taylor, D. H. (1999). Supply Chain Improvement: The Lean Approach.             </w:t>
                  </w:r>
                  <w:r w:rsidRPr="00FE71D6">
                    <w:rPr>
                      <w:rFonts w:ascii="Times New Roman" w:hAnsi="Times New Roman" w:cs="Times New Roman"/>
                      <w:i/>
                      <w:iCs/>
                      <w:noProof/>
                      <w:sz w:val="24"/>
                      <w:szCs w:val="24"/>
                    </w:rPr>
                    <w:t>Logistics Focus</w:t>
                  </w:r>
                  <w:r w:rsidRPr="00FE71D6">
                    <w:rPr>
                      <w:rFonts w:ascii="Times New Roman" w:hAnsi="Times New Roman" w:cs="Times New Roman"/>
                      <w:noProof/>
                      <w:sz w:val="24"/>
                      <w:szCs w:val="24"/>
                    </w:rPr>
                    <w:t>, 14-20.</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Thomas, J. (1999). Why Your Supply Chain Doesn’t Work. </w:t>
                  </w:r>
                  <w:r w:rsidRPr="00FE71D6">
                    <w:rPr>
                      <w:rFonts w:ascii="Times New Roman" w:hAnsi="Times New Roman" w:cs="Times New Roman"/>
                      <w:i/>
                      <w:iCs/>
                      <w:noProof/>
                      <w:sz w:val="24"/>
                      <w:szCs w:val="24"/>
                    </w:rPr>
                    <w:t>Logistics Management and Distribution Report, 38</w:t>
                  </w:r>
                  <w:r w:rsidRPr="00FE71D6">
                    <w:rPr>
                      <w:rFonts w:ascii="Times New Roman" w:hAnsi="Times New Roman" w:cs="Times New Roman"/>
                      <w:noProof/>
                      <w:sz w:val="24"/>
                      <w:szCs w:val="24"/>
                    </w:rPr>
                    <w:t>(6), 42-44.</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Tippins, M. J., &amp; Sohi, R. S. (2003). IT Competency and Firm Performance:                 Is Organizational Learning a Missing Link. </w:t>
                  </w:r>
                  <w:r w:rsidRPr="00FE71D6">
                    <w:rPr>
                      <w:rFonts w:ascii="Times New Roman" w:hAnsi="Times New Roman" w:cs="Times New Roman"/>
                      <w:i/>
                      <w:iCs/>
                      <w:noProof/>
                      <w:sz w:val="24"/>
                      <w:szCs w:val="24"/>
                    </w:rPr>
                    <w:t>Strat. Manage. J., 24</w:t>
                  </w:r>
                  <w:r w:rsidRPr="00FE71D6">
                    <w:rPr>
                      <w:rFonts w:ascii="Times New Roman" w:hAnsi="Times New Roman" w:cs="Times New Roman"/>
                      <w:noProof/>
                      <w:sz w:val="24"/>
                      <w:szCs w:val="24"/>
                    </w:rPr>
                    <w:t xml:space="preserve">, </w:t>
                  </w:r>
                  <w:r w:rsidR="00351CBA" w:rsidRPr="00FE71D6">
                    <w:rPr>
                      <w:rFonts w:ascii="Times New Roman" w:hAnsi="Times New Roman" w:cs="Times New Roman"/>
                      <w:noProof/>
                      <w:sz w:val="24"/>
                      <w:szCs w:val="24"/>
                    </w:rPr>
                    <w:t xml:space="preserve">  </w:t>
                  </w:r>
                  <w:r w:rsidRPr="00FE71D6">
                    <w:rPr>
                      <w:rFonts w:ascii="Times New Roman" w:hAnsi="Times New Roman" w:cs="Times New Roman"/>
                      <w:noProof/>
                      <w:sz w:val="24"/>
                      <w:szCs w:val="24"/>
                    </w:rPr>
                    <w:t>745-761.</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Tompkins, J. (1998). Time to Rise above Supply Chain Management. </w:t>
                  </w:r>
                  <w:r w:rsidRPr="00FE71D6">
                    <w:rPr>
                      <w:rFonts w:ascii="Times New Roman" w:hAnsi="Times New Roman" w:cs="Times New Roman"/>
                      <w:i/>
                      <w:iCs/>
                      <w:noProof/>
                      <w:sz w:val="24"/>
                      <w:szCs w:val="24"/>
                    </w:rPr>
                    <w:t>Transportation and Distribution, 39</w:t>
                  </w:r>
                  <w:r w:rsidRPr="00FE71D6">
                    <w:rPr>
                      <w:rFonts w:ascii="Times New Roman" w:hAnsi="Times New Roman" w:cs="Times New Roman"/>
                      <w:noProof/>
                      <w:sz w:val="24"/>
                      <w:szCs w:val="24"/>
                    </w:rPr>
                    <w:t>(10), 16-18.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Tompkins, J., &amp; Ang, D. (1999). What are Your Greatest Challenges Related to Supply Chain Performance Measurement? </w:t>
                  </w:r>
                  <w:r w:rsidRPr="00FE71D6">
                    <w:rPr>
                      <w:rFonts w:ascii="Times New Roman" w:hAnsi="Times New Roman" w:cs="Times New Roman"/>
                      <w:i/>
                      <w:iCs/>
                      <w:noProof/>
                      <w:sz w:val="24"/>
                      <w:szCs w:val="24"/>
                    </w:rPr>
                    <w:t>HE Solutions, 31</w:t>
                  </w:r>
                  <w:r w:rsidRPr="00FE71D6">
                    <w:rPr>
                      <w:rFonts w:ascii="Times New Roman" w:hAnsi="Times New Roman" w:cs="Times New Roman"/>
                      <w:noProof/>
                      <w:sz w:val="24"/>
                      <w:szCs w:val="24"/>
                    </w:rPr>
                    <w:t>(6), 66.</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Torghabeha, M., Parsian, H., &amp; Koloukhi, A. (2014). A Study on Relationship Between Earnings Before Tax, Interest and Operational Cash Flows with Stockholders’ Equity. </w:t>
                  </w:r>
                  <w:r w:rsidRPr="00FE71D6">
                    <w:rPr>
                      <w:rFonts w:ascii="Times New Roman" w:hAnsi="Times New Roman" w:cs="Times New Roman"/>
                      <w:i/>
                      <w:iCs/>
                      <w:noProof/>
                      <w:sz w:val="24"/>
                      <w:szCs w:val="24"/>
                    </w:rPr>
                    <w:t>Management Science Letters, 4</w:t>
                  </w:r>
                  <w:r w:rsidRPr="00FE71D6">
                    <w:rPr>
                      <w:rFonts w:ascii="Times New Roman" w:hAnsi="Times New Roman" w:cs="Times New Roman"/>
                      <w:noProof/>
                      <w:sz w:val="24"/>
                      <w:szCs w:val="24"/>
                    </w:rPr>
                    <w:t xml:space="preserve">, </w:t>
                  </w:r>
                  <w:r w:rsidR="00351CBA" w:rsidRPr="00FE71D6">
                    <w:rPr>
                      <w:rFonts w:ascii="Times New Roman" w:hAnsi="Times New Roman" w:cs="Times New Roman"/>
                      <w:noProof/>
                      <w:sz w:val="24"/>
                      <w:szCs w:val="24"/>
                    </w:rPr>
                    <w:t xml:space="preserve">         </w:t>
                  </w:r>
                  <w:r w:rsidRPr="00FE71D6">
                    <w:rPr>
                      <w:rFonts w:ascii="Times New Roman" w:hAnsi="Times New Roman" w:cs="Times New Roman"/>
                      <w:noProof/>
                      <w:sz w:val="24"/>
                      <w:szCs w:val="24"/>
                    </w:rPr>
                    <w:t>1699-1706.</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Towill, D. R. (1997). The Seamless Chain the Predator’s Strategic Advantage. </w:t>
                  </w:r>
                  <w:r w:rsidRPr="00FE71D6">
                    <w:rPr>
                      <w:rFonts w:ascii="Times New Roman" w:hAnsi="Times New Roman" w:cs="Times New Roman"/>
                      <w:i/>
                      <w:iCs/>
                      <w:noProof/>
                      <w:sz w:val="24"/>
                      <w:szCs w:val="24"/>
                    </w:rPr>
                    <w:t>International Journal of Technology Management, 13</w:t>
                  </w:r>
                  <w:r w:rsidRPr="00FE71D6">
                    <w:rPr>
                      <w:rFonts w:ascii="Times New Roman" w:hAnsi="Times New Roman" w:cs="Times New Roman"/>
                      <w:noProof/>
                      <w:sz w:val="24"/>
                      <w:szCs w:val="24"/>
                    </w:rPr>
                    <w:t>(1), 37-56.</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Tsai, W. (2002). Social Structure of "Coopetition" within a Multiunit Organization: Coordination, Competition, and Intraorganizational Knowledge Sharing. </w:t>
                  </w:r>
                  <w:r w:rsidRPr="00FE71D6">
                    <w:rPr>
                      <w:rFonts w:ascii="Times New Roman" w:hAnsi="Times New Roman" w:cs="Times New Roman"/>
                      <w:i/>
                      <w:iCs/>
                      <w:noProof/>
                      <w:sz w:val="24"/>
                      <w:szCs w:val="24"/>
                    </w:rPr>
                    <w:t>Organization Science, 13</w:t>
                  </w:r>
                  <w:r w:rsidRPr="00FE71D6">
                    <w:rPr>
                      <w:rFonts w:ascii="Times New Roman" w:hAnsi="Times New Roman" w:cs="Times New Roman"/>
                      <w:noProof/>
                      <w:sz w:val="24"/>
                      <w:szCs w:val="24"/>
                    </w:rPr>
                    <w:t>(2), 179-190.</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Turner, J. R. (1993). Integrated Supply Chain Management: What’s Wrong with This Picture. </w:t>
                  </w:r>
                  <w:r w:rsidRPr="00FE71D6">
                    <w:rPr>
                      <w:rFonts w:ascii="Times New Roman" w:hAnsi="Times New Roman" w:cs="Times New Roman"/>
                      <w:i/>
                      <w:iCs/>
                      <w:noProof/>
                      <w:sz w:val="24"/>
                      <w:szCs w:val="24"/>
                    </w:rPr>
                    <w:t>Industrial Engineering, 25</w:t>
                  </w:r>
                  <w:r w:rsidRPr="00FE71D6">
                    <w:rPr>
                      <w:rFonts w:ascii="Times New Roman" w:hAnsi="Times New Roman" w:cs="Times New Roman"/>
                      <w:noProof/>
                      <w:sz w:val="24"/>
                      <w:szCs w:val="24"/>
                    </w:rPr>
                    <w:t>(12), 52-55.</w:t>
                  </w:r>
                </w:p>
                <w:p w:rsidR="0063081B" w:rsidRPr="00FE71D6" w:rsidRDefault="0063081B" w:rsidP="00DA7370">
                  <w:pPr>
                    <w:pStyle w:val="Bibliography"/>
                    <w:spacing w:after="240" w:line="240" w:lineRule="auto"/>
                    <w:ind w:left="72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Ullman, J. B. (2001). Structural Equation Modeling. In B. G. Tabachnick, &amp; L. S. Fidell, </w:t>
                  </w:r>
                  <w:r w:rsidRPr="00FE71D6">
                    <w:rPr>
                      <w:rFonts w:ascii="Times New Roman" w:hAnsi="Times New Roman" w:cs="Times New Roman"/>
                      <w:i/>
                      <w:iCs/>
                      <w:noProof/>
                      <w:sz w:val="24"/>
                      <w:szCs w:val="24"/>
                    </w:rPr>
                    <w:t>Using Multivariate Statistics</w:t>
                  </w:r>
                  <w:r w:rsidRPr="00FE71D6">
                    <w:rPr>
                      <w:rFonts w:ascii="Times New Roman" w:hAnsi="Times New Roman" w:cs="Times New Roman"/>
                      <w:noProof/>
                      <w:sz w:val="24"/>
                      <w:szCs w:val="24"/>
                    </w:rPr>
                    <w:t xml:space="preserve"> (4th ed., pp. 653-771). Needham Heights, MA: Allyn &amp; Bacon.</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Van Hoek, R. (1998). Measuring the Unmeasurable - Measuring and Improving Performance in the Supply Chain. </w:t>
                  </w:r>
                  <w:r w:rsidRPr="00FE71D6">
                    <w:rPr>
                      <w:rFonts w:ascii="Times New Roman" w:hAnsi="Times New Roman" w:cs="Times New Roman"/>
                      <w:i/>
                      <w:iCs/>
                      <w:noProof/>
                      <w:sz w:val="24"/>
                      <w:szCs w:val="24"/>
                    </w:rPr>
                    <w:t>Supply Chain Management, 3</w:t>
                  </w:r>
                  <w:r w:rsidRPr="00FE71D6">
                    <w:rPr>
                      <w:rFonts w:ascii="Times New Roman" w:hAnsi="Times New Roman" w:cs="Times New Roman"/>
                      <w:noProof/>
                      <w:sz w:val="24"/>
                      <w:szCs w:val="24"/>
                    </w:rPr>
                    <w:t>(4), 187-192.</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Venkatraman, N. (1989). Strategic Orientation of Business Enterprises: The Construct, Dimestionality,and Measurement. Management Science, 35(8), 942-962.</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Venkatraman, N., &amp; Rananujam, V. (1986). Measurement of Business Performance in the Absence of Objective Measures. </w:t>
                  </w:r>
                  <w:r w:rsidRPr="00FE71D6">
                    <w:rPr>
                      <w:rFonts w:ascii="Times New Roman" w:hAnsi="Times New Roman" w:cs="Times New Roman"/>
                      <w:i/>
                      <w:iCs/>
                      <w:noProof/>
                      <w:sz w:val="24"/>
                      <w:szCs w:val="24"/>
                    </w:rPr>
                    <w:t>Strategi</w:t>
                  </w:r>
                  <w:r w:rsidR="001757BC" w:rsidRPr="00FE71D6">
                    <w:rPr>
                      <w:rFonts w:ascii="Times New Roman" w:hAnsi="Times New Roman" w:cs="Times New Roman"/>
                      <w:i/>
                      <w:iCs/>
                      <w:noProof/>
                      <w:sz w:val="24"/>
                      <w:szCs w:val="24"/>
                    </w:rPr>
                    <w:t xml:space="preserve">c Management Review, </w:t>
                  </w:r>
                  <w:r w:rsidRPr="00FE71D6">
                    <w:rPr>
                      <w:rFonts w:ascii="Times New Roman" w:hAnsi="Times New Roman" w:cs="Times New Roman"/>
                      <w:i/>
                      <w:iCs/>
                      <w:noProof/>
                      <w:sz w:val="24"/>
                      <w:szCs w:val="24"/>
                    </w:rPr>
                    <w:t>11</w:t>
                  </w:r>
                  <w:r w:rsidRPr="00FE71D6">
                    <w:rPr>
                      <w:rFonts w:ascii="Times New Roman" w:hAnsi="Times New Roman" w:cs="Times New Roman"/>
                      <w:noProof/>
                      <w:sz w:val="24"/>
                      <w:szCs w:val="24"/>
                    </w:rPr>
                    <w:t>(4), 801-814.</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Vickery, S. K., Jayaram, J., Droge, C., &amp; Calantone, R. (2003). The Effects of an Integrative Supply Chain Strategy on Customer Service and Financial Performance: An Analysis of Direct versus Indirect Relationships. </w:t>
                  </w:r>
                  <w:r w:rsidRPr="00FE71D6">
                    <w:rPr>
                      <w:rFonts w:ascii="Times New Roman" w:hAnsi="Times New Roman" w:cs="Times New Roman"/>
                      <w:i/>
                      <w:iCs/>
                      <w:noProof/>
                      <w:sz w:val="24"/>
                      <w:szCs w:val="24"/>
                    </w:rPr>
                    <w:t>Journal of Operations Management, 21</w:t>
                  </w:r>
                  <w:r w:rsidRPr="00FE71D6">
                    <w:rPr>
                      <w:rFonts w:ascii="Times New Roman" w:hAnsi="Times New Roman" w:cs="Times New Roman"/>
                      <w:noProof/>
                      <w:sz w:val="24"/>
                      <w:szCs w:val="24"/>
                    </w:rPr>
                    <w:t>(5), 523-539.</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Vickery, S., Calantone, R., &amp; Droge, C. (1999). Supply Chain Flexibility: an Empirical Study. </w:t>
                  </w:r>
                  <w:r w:rsidRPr="00FE71D6">
                    <w:rPr>
                      <w:rFonts w:ascii="Times New Roman" w:hAnsi="Times New Roman" w:cs="Times New Roman"/>
                      <w:i/>
                      <w:iCs/>
                      <w:noProof/>
                      <w:sz w:val="24"/>
                      <w:szCs w:val="24"/>
                    </w:rPr>
                    <w:t>The Journal of Supply Chain Management, 35</w:t>
                  </w:r>
                  <w:r w:rsidRPr="00FE71D6">
                    <w:rPr>
                      <w:rFonts w:ascii="Times New Roman" w:hAnsi="Times New Roman" w:cs="Times New Roman"/>
                      <w:noProof/>
                      <w:sz w:val="24"/>
                      <w:szCs w:val="24"/>
                    </w:rPr>
                    <w:t xml:space="preserve">(3), </w:t>
                  </w:r>
                  <w:r w:rsidR="001757BC" w:rsidRPr="00FE71D6">
                    <w:rPr>
                      <w:rFonts w:ascii="Times New Roman" w:hAnsi="Times New Roman" w:cs="Times New Roman"/>
                      <w:noProof/>
                      <w:sz w:val="24"/>
                      <w:szCs w:val="24"/>
                    </w:rPr>
                    <w:t xml:space="preserve"> </w:t>
                  </w:r>
                  <w:r w:rsidRPr="00FE71D6">
                    <w:rPr>
                      <w:rFonts w:ascii="Times New Roman" w:hAnsi="Times New Roman" w:cs="Times New Roman"/>
                      <w:noProof/>
                      <w:sz w:val="24"/>
                      <w:szCs w:val="24"/>
                    </w:rPr>
                    <w:t>16-24.</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Vokurka, R., &amp; Lummus, R. (2000). The Role of Just-in-Time in Supply Chain Management. </w:t>
                  </w:r>
                  <w:r w:rsidRPr="00FE71D6">
                    <w:rPr>
                      <w:rFonts w:ascii="Times New Roman" w:hAnsi="Times New Roman" w:cs="Times New Roman"/>
                      <w:i/>
                      <w:iCs/>
                      <w:noProof/>
                      <w:sz w:val="24"/>
                      <w:szCs w:val="24"/>
                    </w:rPr>
                    <w:t>International Journal of Logistics Management, 11</w:t>
                  </w:r>
                  <w:r w:rsidRPr="00FE71D6">
                    <w:rPr>
                      <w:rFonts w:ascii="Times New Roman" w:hAnsi="Times New Roman" w:cs="Times New Roman"/>
                      <w:noProof/>
                      <w:sz w:val="24"/>
                      <w:szCs w:val="24"/>
                    </w:rPr>
                    <w:t>(1), 89-98.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Vonderembse, M., &amp; Tracey, M. (1999). The Impact of Supplier Selection Criteria and Supplier Involvement on Manufacturing Performance. </w:t>
                  </w:r>
                  <w:r w:rsidRPr="00FE71D6">
                    <w:rPr>
                      <w:rFonts w:ascii="Times New Roman" w:hAnsi="Times New Roman" w:cs="Times New Roman"/>
                      <w:i/>
                      <w:iCs/>
                      <w:noProof/>
                      <w:sz w:val="24"/>
                      <w:szCs w:val="24"/>
                    </w:rPr>
                    <w:t>Journal of Supply Chain Management, 35</w:t>
                  </w:r>
                  <w:r w:rsidRPr="00FE71D6">
                    <w:rPr>
                      <w:rFonts w:ascii="Times New Roman" w:hAnsi="Times New Roman" w:cs="Times New Roman"/>
                      <w:noProof/>
                      <w:sz w:val="24"/>
                      <w:szCs w:val="24"/>
                    </w:rPr>
                    <w:t>(3), 33-39.</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Wang, H. C., He, J., &amp; Mahoney, J. T. (2009). Firm-Specific Knowledge Resources and Competitive Advantage: The Roles of Economic- and Relationship-Based Employee Governance Mechanisms. </w:t>
                  </w:r>
                  <w:r w:rsidRPr="00FE71D6">
                    <w:rPr>
                      <w:rFonts w:ascii="Times New Roman" w:hAnsi="Times New Roman" w:cs="Times New Roman"/>
                      <w:i/>
                      <w:iCs/>
                      <w:noProof/>
                      <w:sz w:val="24"/>
                      <w:szCs w:val="24"/>
                    </w:rPr>
                    <w:t>Strat</w:t>
                  </w:r>
                  <w:r w:rsidR="001757BC" w:rsidRPr="00FE71D6">
                    <w:rPr>
                      <w:rFonts w:ascii="Times New Roman" w:hAnsi="Times New Roman" w:cs="Times New Roman"/>
                      <w:i/>
                      <w:iCs/>
                      <w:noProof/>
                      <w:sz w:val="24"/>
                      <w:szCs w:val="24"/>
                    </w:rPr>
                    <w:t xml:space="preserve">egic Management Journal, </w:t>
                  </w:r>
                  <w:r w:rsidRPr="00FE71D6">
                    <w:rPr>
                      <w:rFonts w:ascii="Times New Roman" w:hAnsi="Times New Roman" w:cs="Times New Roman"/>
                      <w:i/>
                      <w:iCs/>
                      <w:noProof/>
                      <w:sz w:val="24"/>
                      <w:szCs w:val="24"/>
                    </w:rPr>
                    <w:t>30</w:t>
                  </w:r>
                  <w:r w:rsidRPr="00FE71D6">
                    <w:rPr>
                      <w:rFonts w:ascii="Times New Roman" w:hAnsi="Times New Roman" w:cs="Times New Roman"/>
                      <w:noProof/>
                      <w:sz w:val="24"/>
                      <w:szCs w:val="24"/>
                    </w:rPr>
                    <w:t>(12), 1265-1285.</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Wang, Y. (2002). Liquidity Management, Operating Performance, and Corporate Value: Evidence from Japan and Taiwan. </w:t>
                  </w:r>
                  <w:r w:rsidRPr="00FE71D6">
                    <w:rPr>
                      <w:rFonts w:ascii="Times New Roman" w:hAnsi="Times New Roman" w:cs="Times New Roman"/>
                      <w:i/>
                      <w:iCs/>
                      <w:noProof/>
                      <w:sz w:val="24"/>
                      <w:szCs w:val="24"/>
                    </w:rPr>
                    <w:t>Journal of Multinational Financial Management, 12</w:t>
                  </w:r>
                  <w:r w:rsidRPr="00FE71D6">
                    <w:rPr>
                      <w:rFonts w:ascii="Times New Roman" w:hAnsi="Times New Roman" w:cs="Times New Roman"/>
                      <w:noProof/>
                      <w:sz w:val="24"/>
                      <w:szCs w:val="24"/>
                    </w:rPr>
                    <w:t>(2), 159-169.</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Wasti, S., &amp; Jeffrey, L. (1999). Collaborating with Suppliers in Product Development: A U.S. and Japan Comparative Study. </w:t>
                  </w:r>
                  <w:r w:rsidR="001757BC" w:rsidRPr="00FE71D6">
                    <w:rPr>
                      <w:rFonts w:ascii="Times New Roman" w:hAnsi="Times New Roman" w:cs="Times New Roman"/>
                      <w:noProof/>
                      <w:sz w:val="24"/>
                      <w:szCs w:val="24"/>
                    </w:rPr>
                    <w:t xml:space="preserve">                     </w:t>
                  </w:r>
                  <w:r w:rsidRPr="00FE71D6">
                    <w:rPr>
                      <w:rFonts w:ascii="Times New Roman" w:hAnsi="Times New Roman" w:cs="Times New Roman"/>
                      <w:i/>
                      <w:iCs/>
                      <w:noProof/>
                      <w:sz w:val="24"/>
                      <w:szCs w:val="24"/>
                    </w:rPr>
                    <w:t>IEEE Transactions on Engineering Management, 46</w:t>
                  </w:r>
                  <w:r w:rsidRPr="00FE71D6">
                    <w:rPr>
                      <w:rFonts w:ascii="Times New Roman" w:hAnsi="Times New Roman" w:cs="Times New Roman"/>
                      <w:noProof/>
                      <w:sz w:val="24"/>
                      <w:szCs w:val="24"/>
                    </w:rPr>
                    <w:t>(2), 245-257.</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Watson, D., &amp; Head, T. (1998). </w:t>
                  </w:r>
                  <w:r w:rsidRPr="00FE71D6">
                    <w:rPr>
                      <w:rFonts w:ascii="Times New Roman" w:hAnsi="Times New Roman" w:cs="Times New Roman"/>
                      <w:i/>
                      <w:iCs/>
                      <w:noProof/>
                      <w:sz w:val="24"/>
                      <w:szCs w:val="24"/>
                    </w:rPr>
                    <w:t>Corporate Finance: Principles and Practice.</w:t>
                  </w:r>
                  <w:r w:rsidRPr="00FE71D6">
                    <w:rPr>
                      <w:rFonts w:ascii="Times New Roman" w:hAnsi="Times New Roman" w:cs="Times New Roman"/>
                      <w:noProof/>
                      <w:sz w:val="24"/>
                      <w:szCs w:val="24"/>
                    </w:rPr>
                    <w:t xml:space="preserve"> London: Financial Times.</w:t>
                  </w:r>
                </w:p>
                <w:p w:rsidR="00B7157E" w:rsidRPr="00FE71D6" w:rsidRDefault="00B7157E" w:rsidP="00DA7370">
                  <w:pPr>
                    <w:spacing w:after="240" w:line="240" w:lineRule="auto"/>
                    <w:ind w:left="720" w:hanging="720"/>
                    <w:jc w:val="both"/>
                    <w:rPr>
                      <w:lang w:val="en-US" w:eastAsia="en-US"/>
                    </w:rPr>
                  </w:pPr>
                  <w:r w:rsidRPr="00FE71D6">
                    <w:rPr>
                      <w:noProof/>
                      <w:lang w:val="en-US"/>
                    </w:rPr>
                    <w:t xml:space="preserve">Weitz, B. A., &amp; Jap, S. D. (1995). Relationship Marketing and Distribution Channels. </w:t>
                  </w:r>
                  <w:r w:rsidRPr="00FE71D6">
                    <w:rPr>
                      <w:i/>
                      <w:iCs/>
                      <w:noProof/>
                      <w:lang w:val="en-US"/>
                    </w:rPr>
                    <w:t>Journal of the Academy of Marketing Science</w:t>
                  </w:r>
                  <w:r w:rsidRPr="00FE71D6">
                    <w:rPr>
                      <w:noProof/>
                      <w:lang w:val="en-US"/>
                    </w:rPr>
                    <w:t>, 305-320.</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Wines, L. (1996). High Order Strategy for Manufacturing. </w:t>
                  </w:r>
                  <w:r w:rsidRPr="00FE71D6">
                    <w:rPr>
                      <w:rFonts w:ascii="Times New Roman" w:hAnsi="Times New Roman" w:cs="Times New Roman"/>
                      <w:i/>
                      <w:iCs/>
                      <w:noProof/>
                      <w:sz w:val="24"/>
                      <w:szCs w:val="24"/>
                    </w:rPr>
                    <w:t>The Journal of Business Strategy, 17</w:t>
                  </w:r>
                  <w:r w:rsidRPr="00FE71D6">
                    <w:rPr>
                      <w:rFonts w:ascii="Times New Roman" w:hAnsi="Times New Roman" w:cs="Times New Roman"/>
                      <w:noProof/>
                      <w:sz w:val="24"/>
                      <w:szCs w:val="24"/>
                    </w:rPr>
                    <w:t>(4), 32-33.</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Wisner, J., &amp; Tan, K. (2000). Supply Chain Management and Its Impact on Purchasing. </w:t>
                  </w:r>
                  <w:r w:rsidRPr="00FE71D6">
                    <w:rPr>
                      <w:rFonts w:ascii="Times New Roman" w:hAnsi="Times New Roman" w:cs="Times New Roman"/>
                      <w:i/>
                      <w:iCs/>
                      <w:noProof/>
                      <w:sz w:val="24"/>
                      <w:szCs w:val="24"/>
                    </w:rPr>
                    <w:t>Journal of Supply Chain Management, 36</w:t>
                  </w:r>
                  <w:r w:rsidRPr="00FE71D6">
                    <w:rPr>
                      <w:rFonts w:ascii="Times New Roman" w:hAnsi="Times New Roman" w:cs="Times New Roman"/>
                      <w:noProof/>
                      <w:sz w:val="24"/>
                      <w:szCs w:val="24"/>
                    </w:rPr>
                    <w:t>(4), 33-42.</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Womack, J., &amp; Jones, D. (1996). </w:t>
                  </w:r>
                  <w:r w:rsidRPr="00FE71D6">
                    <w:rPr>
                      <w:rFonts w:ascii="Times New Roman" w:hAnsi="Times New Roman" w:cs="Times New Roman"/>
                      <w:i/>
                      <w:iCs/>
                      <w:noProof/>
                      <w:sz w:val="24"/>
                      <w:szCs w:val="24"/>
                    </w:rPr>
                    <w:t>Lean Thinking.</w:t>
                  </w:r>
                  <w:r w:rsidRPr="00FE71D6">
                    <w:rPr>
                      <w:rFonts w:ascii="Times New Roman" w:hAnsi="Times New Roman" w:cs="Times New Roman"/>
                      <w:noProof/>
                      <w:sz w:val="24"/>
                      <w:szCs w:val="24"/>
                    </w:rPr>
                    <w:t xml:space="preserve"> New York: </w:t>
                  </w:r>
                  <w:r w:rsidR="001757BC" w:rsidRPr="00FE71D6">
                    <w:rPr>
                      <w:rFonts w:ascii="Times New Roman" w:hAnsi="Times New Roman" w:cs="Times New Roman"/>
                      <w:noProof/>
                      <w:sz w:val="24"/>
                      <w:szCs w:val="24"/>
                    </w:rPr>
                    <w:t xml:space="preserve">                   </w:t>
                  </w:r>
                  <w:r w:rsidRPr="00FE71D6">
                    <w:rPr>
                      <w:rFonts w:ascii="Times New Roman" w:hAnsi="Times New Roman" w:cs="Times New Roman"/>
                      <w:noProof/>
                      <w:sz w:val="24"/>
                      <w:szCs w:val="24"/>
                    </w:rPr>
                    <w:t>Simon and Schuster.</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Yamin, S., Gunasekruan, A., &amp; Mavondo, F. T. (1999). Relationship Between Generic Strategy, Competitive Advantage and Firm Performance: </w:t>
                  </w:r>
                  <w:r w:rsidR="001757BC" w:rsidRPr="00FE71D6">
                    <w:rPr>
                      <w:rFonts w:ascii="Times New Roman" w:hAnsi="Times New Roman" w:cs="Times New Roman"/>
                      <w:noProof/>
                      <w:sz w:val="24"/>
                      <w:szCs w:val="24"/>
                    </w:rPr>
                    <w:t xml:space="preserve">    </w:t>
                  </w:r>
                  <w:r w:rsidRPr="00FE71D6">
                    <w:rPr>
                      <w:rFonts w:ascii="Times New Roman" w:hAnsi="Times New Roman" w:cs="Times New Roman"/>
                      <w:noProof/>
                      <w:sz w:val="24"/>
                      <w:szCs w:val="24"/>
                    </w:rPr>
                    <w:t xml:space="preserve">An Empirical Analysis. </w:t>
                  </w:r>
                  <w:r w:rsidRPr="00FE71D6">
                    <w:rPr>
                      <w:rFonts w:ascii="Times New Roman" w:hAnsi="Times New Roman" w:cs="Times New Roman"/>
                      <w:i/>
                      <w:iCs/>
                      <w:noProof/>
                      <w:sz w:val="24"/>
                      <w:szCs w:val="24"/>
                    </w:rPr>
                    <w:t>Technovation, 19</w:t>
                  </w:r>
                  <w:r w:rsidRPr="00FE71D6">
                    <w:rPr>
                      <w:rFonts w:ascii="Times New Roman" w:hAnsi="Times New Roman" w:cs="Times New Roman"/>
                      <w:noProof/>
                      <w:sz w:val="24"/>
                      <w:szCs w:val="24"/>
                    </w:rPr>
                    <w:t>(8), 507-518.</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Yu, Z., Yan, H., &amp; Cheng, E. (2001). Benefits of Information Sharing with Supply Chain Partnerships. </w:t>
                  </w:r>
                  <w:r w:rsidRPr="00FE71D6">
                    <w:rPr>
                      <w:rFonts w:ascii="Times New Roman" w:hAnsi="Times New Roman" w:cs="Times New Roman"/>
                      <w:i/>
                      <w:iCs/>
                      <w:noProof/>
                      <w:sz w:val="24"/>
                      <w:szCs w:val="24"/>
                    </w:rPr>
                    <w:t>Industrial Management &amp; Data Systems, 101</w:t>
                  </w:r>
                  <w:r w:rsidRPr="00FE71D6">
                    <w:rPr>
                      <w:rFonts w:ascii="Times New Roman" w:hAnsi="Times New Roman" w:cs="Times New Roman"/>
                      <w:noProof/>
                      <w:sz w:val="24"/>
                      <w:szCs w:val="24"/>
                    </w:rPr>
                    <w:t>(3), 114-121.</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Zariyawati, M. A., Annuar, M. N., &amp; Abdul Rahim, A. S. (2009). Effect of Working Capital Management on Profitability of Firms in Malaysia. </w:t>
                  </w:r>
                  <w:r w:rsidRPr="00FE71D6">
                    <w:rPr>
                      <w:rFonts w:ascii="Times New Roman" w:hAnsi="Times New Roman" w:cs="Times New Roman"/>
                      <w:i/>
                      <w:iCs/>
                      <w:noProof/>
                      <w:sz w:val="24"/>
                      <w:szCs w:val="24"/>
                    </w:rPr>
                    <w:t>Journal of Modern Accounting and Auditing, 5</w:t>
                  </w:r>
                  <w:r w:rsidRPr="00FE71D6">
                    <w:rPr>
                      <w:rFonts w:ascii="Times New Roman" w:hAnsi="Times New Roman" w:cs="Times New Roman"/>
                      <w:noProof/>
                      <w:sz w:val="24"/>
                      <w:szCs w:val="24"/>
                    </w:rPr>
                    <w:t>(11), 47-54.</w:t>
                  </w:r>
                </w:p>
                <w:p w:rsidR="00AF6629" w:rsidRPr="00FE71D6" w:rsidRDefault="00AF6629" w:rsidP="00DA7370">
                  <w:pPr>
                    <w:pStyle w:val="Bibliography"/>
                    <w:spacing w:after="240" w:line="240" w:lineRule="auto"/>
                    <w:ind w:left="720" w:hangingChars="300" w:hanging="720"/>
                    <w:jc w:val="both"/>
                    <w:rPr>
                      <w:rFonts w:ascii="Times New Roman" w:hAnsi="Times New Roman" w:cs="Times New Roman"/>
                      <w:noProof/>
                      <w:sz w:val="24"/>
                      <w:szCs w:val="24"/>
                    </w:rPr>
                  </w:pPr>
                  <w:r w:rsidRPr="00FE71D6">
                    <w:rPr>
                      <w:rFonts w:ascii="Times New Roman" w:hAnsi="Times New Roman" w:cs="Times New Roman"/>
                      <w:noProof/>
                      <w:sz w:val="24"/>
                      <w:szCs w:val="24"/>
                    </w:rPr>
                    <w:t xml:space="preserve">Zhao, X., Xie, J., &amp; Zhang, W. (2002). The Impact of Information Sharing and Ordercoordination on Supply Chain Performance. </w:t>
                  </w:r>
                  <w:r w:rsidRPr="00FE71D6">
                    <w:rPr>
                      <w:rFonts w:ascii="Times New Roman" w:hAnsi="Times New Roman" w:cs="Times New Roman"/>
                      <w:i/>
                      <w:iCs/>
                      <w:noProof/>
                      <w:sz w:val="24"/>
                      <w:szCs w:val="24"/>
                    </w:rPr>
                    <w:t>Supply Chain Management: An International Journal, 7</w:t>
                  </w:r>
                  <w:r w:rsidRPr="00FE71D6">
                    <w:rPr>
                      <w:rFonts w:ascii="Times New Roman" w:hAnsi="Times New Roman" w:cs="Times New Roman"/>
                      <w:noProof/>
                      <w:sz w:val="24"/>
                      <w:szCs w:val="24"/>
                    </w:rPr>
                    <w:t>(1), 24-40.</w:t>
                  </w:r>
                </w:p>
                <w:p w:rsidR="005573AE" w:rsidRPr="00FE71D6" w:rsidRDefault="00AF6629" w:rsidP="00DA7370">
                  <w:pPr>
                    <w:pStyle w:val="Bibliography"/>
                    <w:spacing w:after="240" w:line="240" w:lineRule="auto"/>
                    <w:ind w:left="720" w:hangingChars="300" w:hanging="720"/>
                    <w:jc w:val="both"/>
                  </w:pPr>
                  <w:r w:rsidRPr="00FE71D6">
                    <w:rPr>
                      <w:rFonts w:ascii="Times New Roman" w:hAnsi="Times New Roman" w:cs="Times New Roman"/>
                      <w:noProof/>
                      <w:sz w:val="24"/>
                      <w:szCs w:val="24"/>
                    </w:rPr>
                    <w:t xml:space="preserve">Zhou, H., &amp; Benton, W. (2007). Supply Chain Practice and Information Sharing. </w:t>
                  </w:r>
                  <w:r w:rsidRPr="00FE71D6">
                    <w:rPr>
                      <w:rFonts w:ascii="Times New Roman" w:hAnsi="Times New Roman" w:cs="Times New Roman"/>
                      <w:i/>
                      <w:iCs/>
                      <w:noProof/>
                      <w:sz w:val="24"/>
                      <w:szCs w:val="24"/>
                    </w:rPr>
                    <w:t>Journal of Operations Management, 25</w:t>
                  </w:r>
                  <w:r w:rsidRPr="00FE71D6">
                    <w:rPr>
                      <w:rFonts w:ascii="Times New Roman" w:hAnsi="Times New Roman" w:cs="Times New Roman"/>
                      <w:noProof/>
                      <w:sz w:val="24"/>
                      <w:szCs w:val="24"/>
                    </w:rPr>
                    <w:t>(6), 1348-1365.</w:t>
                  </w:r>
                </w:p>
                <w:p w:rsidR="009001DF" w:rsidRPr="00FE71D6" w:rsidRDefault="009001DF" w:rsidP="00797003">
                  <w:pPr>
                    <w:pStyle w:val="Heading1"/>
                    <w:rPr>
                      <w:rFonts w:cs="Times New Roman"/>
                    </w:rPr>
                  </w:pPr>
                  <w:bookmarkStart w:id="110" w:name="_Toc495527350"/>
                </w:p>
                <w:p w:rsidR="009001DF" w:rsidRPr="00FE71D6" w:rsidRDefault="009001DF" w:rsidP="00797003">
                  <w:pPr>
                    <w:pStyle w:val="Heading1"/>
                    <w:rPr>
                      <w:rFonts w:cs="Times New Roman"/>
                    </w:rPr>
                  </w:pPr>
                </w:p>
                <w:p w:rsidR="009001DF" w:rsidRPr="00FE71D6" w:rsidRDefault="009001DF" w:rsidP="00797003">
                  <w:pPr>
                    <w:pStyle w:val="Heading1"/>
                    <w:rPr>
                      <w:rFonts w:cs="Times New Roman"/>
                    </w:rPr>
                  </w:pPr>
                </w:p>
                <w:p w:rsidR="009001DF" w:rsidRPr="00FE71D6" w:rsidRDefault="009001DF" w:rsidP="00797003">
                  <w:pPr>
                    <w:pStyle w:val="Heading1"/>
                    <w:rPr>
                      <w:rFonts w:cs="Times New Roman"/>
                    </w:rPr>
                  </w:pPr>
                </w:p>
                <w:p w:rsidR="009001DF" w:rsidRPr="00FE71D6" w:rsidRDefault="009001DF" w:rsidP="00797003">
                  <w:pPr>
                    <w:pStyle w:val="Heading1"/>
                    <w:rPr>
                      <w:rFonts w:cs="Times New Roman"/>
                    </w:rPr>
                  </w:pPr>
                </w:p>
                <w:p w:rsidR="009001DF" w:rsidRPr="00FE71D6" w:rsidRDefault="009001DF" w:rsidP="00797003">
                  <w:pPr>
                    <w:pStyle w:val="Heading1"/>
                    <w:rPr>
                      <w:rFonts w:cs="Times New Roman"/>
                    </w:rPr>
                  </w:pPr>
                </w:p>
                <w:p w:rsidR="009001DF" w:rsidRPr="00FE71D6" w:rsidRDefault="009001DF" w:rsidP="00797003">
                  <w:pPr>
                    <w:pStyle w:val="Heading1"/>
                    <w:rPr>
                      <w:rFonts w:cs="Times New Roman"/>
                    </w:rPr>
                  </w:pPr>
                </w:p>
                <w:p w:rsidR="009001DF" w:rsidRPr="00FE71D6" w:rsidRDefault="009001DF" w:rsidP="009001DF"/>
                <w:p w:rsidR="009001DF" w:rsidRPr="00FE71D6" w:rsidRDefault="009001DF" w:rsidP="00421CA0"/>
                <w:p w:rsidR="00797003" w:rsidRPr="00FE71D6" w:rsidRDefault="00797003" w:rsidP="00797003">
                  <w:pPr>
                    <w:pStyle w:val="Heading1"/>
                    <w:rPr>
                      <w:rFonts w:cs="Times New Roman"/>
                    </w:rPr>
                  </w:pPr>
                  <w:bookmarkStart w:id="111" w:name="_Toc500087509"/>
                  <w:r w:rsidRPr="00FE71D6">
                    <w:rPr>
                      <w:rFonts w:cs="Times New Roman"/>
                    </w:rPr>
                    <w:t>APPENDIX: QUESTIONNAIRE TEMPLATE</w:t>
                  </w:r>
                  <w:bookmarkEnd w:id="110"/>
                  <w:bookmarkEnd w:id="111"/>
                </w:p>
                <w:p w:rsidR="009E2004" w:rsidRPr="00FE71D6" w:rsidRDefault="009E2004" w:rsidP="009E2004">
                  <w:pPr>
                    <w:spacing w:line="240" w:lineRule="auto"/>
                    <w:contextualSpacing/>
                    <w:jc w:val="both"/>
                    <w:rPr>
                      <w:sz w:val="22"/>
                      <w:szCs w:val="22"/>
                    </w:rPr>
                  </w:pPr>
                  <w:r w:rsidRPr="00FE71D6">
                    <w:rPr>
                      <w:sz w:val="22"/>
                      <w:szCs w:val="22"/>
                    </w:rPr>
                    <w:t>Dear Respondents,</w:t>
                  </w:r>
                </w:p>
                <w:p w:rsidR="009E2004" w:rsidRPr="00FE71D6" w:rsidRDefault="009E2004" w:rsidP="00D86636">
                  <w:pPr>
                    <w:spacing w:line="240" w:lineRule="auto"/>
                    <w:contextualSpacing/>
                    <w:jc w:val="both"/>
                    <w:rPr>
                      <w:sz w:val="22"/>
                      <w:szCs w:val="22"/>
                    </w:rPr>
                  </w:pPr>
                  <w:r w:rsidRPr="00FE71D6">
                    <w:rPr>
                      <w:sz w:val="22"/>
                      <w:szCs w:val="22"/>
                    </w:rPr>
                    <w:t xml:space="preserve">This study attempts to find the relationships of Supply Chain Management Practices: </w:t>
                  </w:r>
                  <w:r w:rsidRPr="00FE71D6">
                    <w:rPr>
                      <w:sz w:val="22"/>
                      <w:szCs w:val="22"/>
                      <w:lang w:val="en-US"/>
                    </w:rPr>
                    <w:t>Supplier Partnership</w:t>
                  </w:r>
                  <w:r w:rsidRPr="00FE71D6">
                    <w:rPr>
                      <w:sz w:val="22"/>
                      <w:szCs w:val="22"/>
                    </w:rPr>
                    <w:t xml:space="preserve">, </w:t>
                  </w:r>
                  <w:r w:rsidRPr="00FE71D6">
                    <w:rPr>
                      <w:sz w:val="22"/>
                      <w:szCs w:val="22"/>
                      <w:lang w:val="en-US"/>
                    </w:rPr>
                    <w:t>Customer Relationship</w:t>
                  </w:r>
                  <w:r w:rsidRPr="00FE71D6">
                    <w:rPr>
                      <w:sz w:val="22"/>
                      <w:szCs w:val="22"/>
                    </w:rPr>
                    <w:t xml:space="preserve">, Information Sharing, and </w:t>
                  </w:r>
                  <w:r w:rsidRPr="00FE71D6">
                    <w:rPr>
                      <w:sz w:val="22"/>
                      <w:szCs w:val="22"/>
                      <w:lang w:val="en-US"/>
                    </w:rPr>
                    <w:t>Lean System</w:t>
                  </w:r>
                  <w:r w:rsidRPr="00FE71D6">
                    <w:rPr>
                      <w:sz w:val="22"/>
                      <w:szCs w:val="22"/>
                    </w:rPr>
                    <w:t>. Included in this study is to endeavour the roles of Net Trade Cycle and Financial Performance. Please be informed that your responses will be dealt with utmost confidentially and will only be used for academic purposes. The questionnaire will only take 10 minutes of your time to accomplish. Thank you.</w:t>
                  </w:r>
                </w:p>
                <w:p w:rsidR="009E2004" w:rsidRPr="00FE71D6" w:rsidRDefault="009E2004" w:rsidP="009E2004">
                  <w:pPr>
                    <w:spacing w:line="240" w:lineRule="auto"/>
                    <w:contextualSpacing/>
                    <w:jc w:val="both"/>
                  </w:pPr>
                </w:p>
                <w:p w:rsidR="009E2004" w:rsidRPr="00FE71D6" w:rsidRDefault="009E2004" w:rsidP="009E2004">
                  <w:pPr>
                    <w:spacing w:line="240" w:lineRule="auto"/>
                    <w:contextualSpacing/>
                    <w:rPr>
                      <w:b/>
                      <w:bCs/>
                      <w:sz w:val="22"/>
                      <w:szCs w:val="22"/>
                    </w:rPr>
                  </w:pPr>
                  <w:r w:rsidRPr="00FE71D6">
                    <w:rPr>
                      <w:b/>
                      <w:bCs/>
                      <w:sz w:val="22"/>
                      <w:szCs w:val="22"/>
                    </w:rPr>
                    <w:t>General Information</w:t>
                  </w:r>
                </w:p>
                <w:p w:rsidR="009E2004" w:rsidRPr="00FE71D6" w:rsidRDefault="009E2004" w:rsidP="009E2004">
                  <w:pPr>
                    <w:pStyle w:val="ListParagraph"/>
                    <w:numPr>
                      <w:ilvl w:val="0"/>
                      <w:numId w:val="31"/>
                    </w:numPr>
                    <w:spacing w:after="0" w:line="240" w:lineRule="auto"/>
                    <w:ind w:left="270" w:hanging="270"/>
                    <w:rPr>
                      <w:rFonts w:ascii="Times New Roman" w:hAnsi="Times New Roman" w:cs="Times New Roman"/>
                    </w:rPr>
                  </w:pPr>
                  <w:r w:rsidRPr="00FE71D6">
                    <w:rPr>
                      <w:rFonts w:ascii="Times New Roman" w:hAnsi="Times New Roman" w:cs="Times New Roman"/>
                    </w:rPr>
                    <w:t>Your wo</w:t>
                  </w:r>
                  <w:r w:rsidR="005C5545" w:rsidRPr="00FE71D6">
                    <w:rPr>
                      <w:rFonts w:ascii="Times New Roman" w:hAnsi="Times New Roman" w:cs="Times New Roman"/>
                    </w:rPr>
                    <w:t>rking experience (years)………………….</w:t>
                  </w:r>
                  <w:r w:rsidRPr="00FE71D6">
                    <w:rPr>
                      <w:rFonts w:ascii="Times New Roman" w:hAnsi="Times New Roman" w:cs="Times New Roman"/>
                    </w:rPr>
                    <w:t>…</w:t>
                  </w:r>
                  <w:r w:rsidR="00724B95" w:rsidRPr="00FE71D6">
                    <w:rPr>
                      <w:rFonts w:ascii="Times New Roman" w:hAnsi="Times New Roman" w:cs="Times New Roman"/>
                    </w:rPr>
                    <w:t>.</w:t>
                  </w:r>
                  <w:r w:rsidRPr="00FE71D6">
                    <w:rPr>
                      <w:rFonts w:ascii="Times New Roman" w:hAnsi="Times New Roman" w:cs="Times New Roman"/>
                    </w:rPr>
                    <w:t>…………………...………..</w:t>
                  </w:r>
                </w:p>
                <w:p w:rsidR="009E2004" w:rsidRPr="00FE71D6" w:rsidRDefault="009E2004" w:rsidP="009E2004">
                  <w:pPr>
                    <w:pStyle w:val="ListParagraph"/>
                    <w:numPr>
                      <w:ilvl w:val="0"/>
                      <w:numId w:val="31"/>
                    </w:numPr>
                    <w:spacing w:after="0" w:line="240" w:lineRule="auto"/>
                    <w:ind w:left="270" w:hanging="270"/>
                    <w:rPr>
                      <w:rFonts w:ascii="Times New Roman" w:hAnsi="Times New Roman" w:cs="Times New Roman"/>
                    </w:rPr>
                  </w:pPr>
                  <w:r w:rsidRPr="00FE71D6">
                    <w:rPr>
                      <w:rFonts w:ascii="Times New Roman" w:hAnsi="Times New Roman" w:cs="Times New Roman"/>
                    </w:rPr>
                    <w:t>Your job title…</w:t>
                  </w:r>
                  <w:r w:rsidR="00724B95" w:rsidRPr="00FE71D6">
                    <w:rPr>
                      <w:rFonts w:ascii="Times New Roman" w:hAnsi="Times New Roman" w:cs="Times New Roman"/>
                    </w:rPr>
                    <w:t>.……………………</w:t>
                  </w:r>
                  <w:r w:rsidRPr="00FE71D6">
                    <w:rPr>
                      <w:rFonts w:ascii="Times New Roman" w:hAnsi="Times New Roman" w:cs="Times New Roman"/>
                    </w:rPr>
                    <w:t>.</w:t>
                  </w:r>
                  <w:r w:rsidR="00724B95" w:rsidRPr="00FE71D6">
                    <w:rPr>
                      <w:rFonts w:ascii="Times New Roman" w:hAnsi="Times New Roman" w:cs="Times New Roman"/>
                    </w:rPr>
                    <w:t>…….</w:t>
                  </w:r>
                  <w:r w:rsidRPr="00FE71D6">
                    <w:rPr>
                      <w:rFonts w:ascii="Times New Roman" w:hAnsi="Times New Roman" w:cs="Times New Roman"/>
                    </w:rPr>
                    <w:t>………</w:t>
                  </w:r>
                  <w:r w:rsidR="005C5545" w:rsidRPr="00FE71D6">
                    <w:rPr>
                      <w:rFonts w:ascii="Times New Roman" w:hAnsi="Times New Roman" w:cs="Times New Roman"/>
                    </w:rPr>
                    <w:t>……...</w:t>
                  </w:r>
                  <w:r w:rsidRPr="00FE71D6">
                    <w:rPr>
                      <w:rFonts w:ascii="Times New Roman" w:hAnsi="Times New Roman" w:cs="Times New Roman"/>
                    </w:rPr>
                    <w:t>……………………….....</w:t>
                  </w:r>
                </w:p>
                <w:p w:rsidR="009E2004" w:rsidRPr="00FE71D6" w:rsidRDefault="009E2004" w:rsidP="009E2004">
                  <w:pPr>
                    <w:spacing w:line="240" w:lineRule="auto"/>
                    <w:contextualSpacing/>
                    <w:rPr>
                      <w:sz w:val="22"/>
                      <w:szCs w:val="22"/>
                    </w:rPr>
                  </w:pPr>
                </w:p>
                <w:p w:rsidR="009E2004" w:rsidRPr="00FE71D6" w:rsidRDefault="009E2004" w:rsidP="009E2004">
                  <w:pPr>
                    <w:spacing w:line="240" w:lineRule="auto"/>
                    <w:jc w:val="both"/>
                    <w:rPr>
                      <w:b/>
                      <w:bCs/>
                      <w:sz w:val="22"/>
                      <w:szCs w:val="22"/>
                      <w:lang w:val="en-US"/>
                    </w:rPr>
                  </w:pPr>
                  <w:r w:rsidRPr="00FE71D6">
                    <w:rPr>
                      <w:b/>
                      <w:bCs/>
                      <w:sz w:val="22"/>
                      <w:szCs w:val="22"/>
                      <w:lang w:val="en-US"/>
                    </w:rPr>
                    <w:t>Part 1-Supply Chain Management Practices:</w:t>
                  </w:r>
                </w:p>
                <w:p w:rsidR="009E2004" w:rsidRPr="00FE71D6" w:rsidRDefault="009E2004" w:rsidP="009E2004">
                  <w:pPr>
                    <w:spacing w:line="240" w:lineRule="auto"/>
                    <w:jc w:val="both"/>
                    <w:rPr>
                      <w:sz w:val="22"/>
                      <w:szCs w:val="22"/>
                      <w:lang w:val="en-US"/>
                    </w:rPr>
                  </w:pPr>
                  <w:r w:rsidRPr="00FE71D6">
                    <w:rPr>
                      <w:sz w:val="22"/>
                      <w:szCs w:val="22"/>
                      <w:lang w:val="en-US"/>
                    </w:rPr>
                    <w:t>The following descriptions are about your company's supply chain management practices, to which extent you agree with the descri</w:t>
                  </w:r>
                  <w:r w:rsidR="005C5545" w:rsidRPr="00FE71D6">
                    <w:rPr>
                      <w:sz w:val="22"/>
                      <w:szCs w:val="22"/>
                      <w:lang w:val="en-US"/>
                    </w:rPr>
                    <w:t xml:space="preserve">ptions. (1 = strongly disagree; </w:t>
                  </w:r>
                  <w:r w:rsidR="00062C77" w:rsidRPr="00FE71D6">
                    <w:rPr>
                      <w:sz w:val="22"/>
                      <w:szCs w:val="22"/>
                      <w:lang w:val="en-US"/>
                    </w:rPr>
                    <w:t xml:space="preserve">     </w:t>
                  </w:r>
                  <w:r w:rsidRPr="00FE71D6">
                    <w:rPr>
                      <w:sz w:val="22"/>
                      <w:szCs w:val="22"/>
                      <w:lang w:val="en-US"/>
                    </w:rPr>
                    <w:t>2 = disagree; 3 = neutral; 4 = agree; 5 = strongly agree)</w:t>
                  </w:r>
                </w:p>
                <w:tbl>
                  <w:tblPr>
                    <w:tblStyle w:val="TableGrid"/>
                    <w:tblW w:w="7565" w:type="dxa"/>
                    <w:tblInd w:w="108" w:type="dxa"/>
                    <w:tblLayout w:type="fixed"/>
                    <w:tblLook w:val="04A0" w:firstRow="1" w:lastRow="0" w:firstColumn="1" w:lastColumn="0" w:noHBand="0" w:noVBand="1"/>
                  </w:tblPr>
                  <w:tblGrid>
                    <w:gridCol w:w="5535"/>
                    <w:gridCol w:w="406"/>
                    <w:gridCol w:w="406"/>
                    <w:gridCol w:w="406"/>
                    <w:gridCol w:w="406"/>
                    <w:gridCol w:w="406"/>
                  </w:tblGrid>
                  <w:tr w:rsidR="00FE71D6" w:rsidRPr="00FE71D6" w:rsidTr="00310E17">
                    <w:trPr>
                      <w:trHeight w:val="302"/>
                    </w:trPr>
                    <w:tc>
                      <w:tcPr>
                        <w:tcW w:w="5535" w:type="dxa"/>
                        <w:vAlign w:val="bottom"/>
                      </w:tcPr>
                      <w:p w:rsidR="00724B95" w:rsidRPr="00FE71D6" w:rsidRDefault="009E2004" w:rsidP="00724B95">
                        <w:pPr>
                          <w:spacing w:line="240" w:lineRule="auto"/>
                          <w:rPr>
                            <w:rFonts w:ascii="Times New Roman" w:hAnsi="Times New Roman" w:cs="Times New Roman"/>
                            <w:b/>
                            <w:bCs/>
                            <w:sz w:val="22"/>
                            <w:szCs w:val="22"/>
                          </w:rPr>
                        </w:pPr>
                        <w:r w:rsidRPr="00FE71D6">
                          <w:rPr>
                            <w:rFonts w:ascii="Times New Roman" w:hAnsi="Times New Roman" w:cs="Times New Roman"/>
                            <w:b/>
                            <w:bCs/>
                            <w:sz w:val="22"/>
                            <w:szCs w:val="22"/>
                          </w:rPr>
                          <w:t>Supplier Partnership</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1</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2</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3</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4</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5</w:t>
                        </w:r>
                      </w:p>
                    </w:tc>
                  </w:tr>
                  <w:tr w:rsidR="00FE71D6" w:rsidRPr="00FE71D6" w:rsidTr="00310E17">
                    <w:trPr>
                      <w:trHeight w:val="153"/>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rPr>
                          <w:t>Quality is considered as number one criterion in selecting suppliers.</w:t>
                        </w:r>
                      </w:p>
                    </w:tc>
                    <w:tc>
                      <w:tcPr>
                        <w:tcW w:w="406" w:type="dxa"/>
                        <w:vAlign w:val="bottom"/>
                      </w:tcPr>
                      <w:p w:rsidR="009E2004" w:rsidRPr="00FE71D6" w:rsidRDefault="009E2004" w:rsidP="009E2004">
                        <w:pPr>
                          <w:spacing w:line="240" w:lineRule="auto"/>
                          <w:jc w:val="center"/>
                          <w:rPr>
                            <w:rFonts w:ascii="Times New Roman" w:hAnsi="Times New Roman" w:cs="Times New Roman"/>
                          </w:rPr>
                        </w:pPr>
                      </w:p>
                    </w:tc>
                    <w:tc>
                      <w:tcPr>
                        <w:tcW w:w="406" w:type="dxa"/>
                        <w:vAlign w:val="bottom"/>
                      </w:tcPr>
                      <w:p w:rsidR="009E2004" w:rsidRPr="00FE71D6" w:rsidRDefault="009E2004" w:rsidP="009E2004">
                        <w:pPr>
                          <w:spacing w:line="240" w:lineRule="auto"/>
                          <w:jc w:val="center"/>
                          <w:rPr>
                            <w:rFonts w:ascii="Times New Roman" w:hAnsi="Times New Roman" w:cs="Times New Roman"/>
                          </w:rPr>
                        </w:pPr>
                      </w:p>
                    </w:tc>
                    <w:tc>
                      <w:tcPr>
                        <w:tcW w:w="406" w:type="dxa"/>
                        <w:vAlign w:val="bottom"/>
                      </w:tcPr>
                      <w:p w:rsidR="009E2004" w:rsidRPr="00FE71D6" w:rsidRDefault="009E2004" w:rsidP="009E2004">
                        <w:pPr>
                          <w:spacing w:line="240" w:lineRule="auto"/>
                          <w:jc w:val="center"/>
                          <w:rPr>
                            <w:rFonts w:ascii="Times New Roman" w:hAnsi="Times New Roman" w:cs="Times New Roman"/>
                          </w:rPr>
                        </w:pPr>
                      </w:p>
                    </w:tc>
                    <w:tc>
                      <w:tcPr>
                        <w:tcW w:w="406" w:type="dxa"/>
                        <w:vAlign w:val="bottom"/>
                      </w:tcPr>
                      <w:p w:rsidR="009E2004" w:rsidRPr="00FE71D6" w:rsidRDefault="009E2004" w:rsidP="009E2004">
                        <w:pPr>
                          <w:spacing w:line="240" w:lineRule="auto"/>
                          <w:jc w:val="center"/>
                          <w:rPr>
                            <w:rFonts w:ascii="Times New Roman" w:hAnsi="Times New Roman" w:cs="Times New Roman"/>
                          </w:rPr>
                        </w:pPr>
                      </w:p>
                    </w:tc>
                    <w:tc>
                      <w:tcPr>
                        <w:tcW w:w="406" w:type="dxa"/>
                        <w:vAlign w:val="bottom"/>
                      </w:tcPr>
                      <w:p w:rsidR="009E2004" w:rsidRPr="00FE71D6" w:rsidRDefault="009E2004" w:rsidP="009E2004">
                        <w:pPr>
                          <w:spacing w:line="240" w:lineRule="auto"/>
                          <w:jc w:val="center"/>
                          <w:rPr>
                            <w:rFonts w:ascii="Times New Roman" w:hAnsi="Times New Roman" w:cs="Times New Roman"/>
                          </w:rPr>
                        </w:pPr>
                      </w:p>
                    </w:tc>
                  </w:tr>
                  <w:tr w:rsidR="00FE71D6" w:rsidRPr="00FE71D6" w:rsidTr="00310E17">
                    <w:trPr>
                      <w:trHeight w:val="226"/>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rPr>
                          <w:t>Problems are solved jointly with suppliers.</w:t>
                        </w:r>
                      </w:p>
                    </w:tc>
                    <w:tc>
                      <w:tcPr>
                        <w:tcW w:w="406" w:type="dxa"/>
                        <w:vAlign w:val="bottom"/>
                      </w:tcPr>
                      <w:p w:rsidR="009E2004" w:rsidRPr="00FE71D6" w:rsidRDefault="009E2004" w:rsidP="009E2004">
                        <w:pPr>
                          <w:spacing w:line="240" w:lineRule="auto"/>
                          <w:jc w:val="center"/>
                          <w:rPr>
                            <w:rFonts w:ascii="Times New Roman" w:hAnsi="Times New Roman" w:cs="Times New Roman"/>
                          </w:rPr>
                        </w:pPr>
                      </w:p>
                    </w:tc>
                    <w:tc>
                      <w:tcPr>
                        <w:tcW w:w="406" w:type="dxa"/>
                        <w:vAlign w:val="bottom"/>
                      </w:tcPr>
                      <w:p w:rsidR="009E2004" w:rsidRPr="00FE71D6" w:rsidRDefault="009E2004" w:rsidP="009E2004">
                        <w:pPr>
                          <w:spacing w:line="240" w:lineRule="auto"/>
                          <w:jc w:val="center"/>
                          <w:rPr>
                            <w:rFonts w:ascii="Times New Roman" w:hAnsi="Times New Roman" w:cs="Times New Roman"/>
                          </w:rPr>
                        </w:pPr>
                      </w:p>
                    </w:tc>
                    <w:tc>
                      <w:tcPr>
                        <w:tcW w:w="406" w:type="dxa"/>
                        <w:vAlign w:val="bottom"/>
                      </w:tcPr>
                      <w:p w:rsidR="009E2004" w:rsidRPr="00FE71D6" w:rsidRDefault="009E2004" w:rsidP="009E2004">
                        <w:pPr>
                          <w:spacing w:line="240" w:lineRule="auto"/>
                          <w:jc w:val="center"/>
                          <w:rPr>
                            <w:rFonts w:ascii="Times New Roman" w:hAnsi="Times New Roman" w:cs="Times New Roman"/>
                          </w:rPr>
                        </w:pPr>
                      </w:p>
                    </w:tc>
                    <w:tc>
                      <w:tcPr>
                        <w:tcW w:w="406" w:type="dxa"/>
                        <w:vAlign w:val="bottom"/>
                      </w:tcPr>
                      <w:p w:rsidR="009E2004" w:rsidRPr="00FE71D6" w:rsidRDefault="009E2004" w:rsidP="009E2004">
                        <w:pPr>
                          <w:spacing w:line="240" w:lineRule="auto"/>
                          <w:jc w:val="center"/>
                          <w:rPr>
                            <w:rFonts w:ascii="Times New Roman" w:hAnsi="Times New Roman" w:cs="Times New Roman"/>
                          </w:rPr>
                        </w:pPr>
                      </w:p>
                    </w:tc>
                    <w:tc>
                      <w:tcPr>
                        <w:tcW w:w="406" w:type="dxa"/>
                        <w:vAlign w:val="bottom"/>
                      </w:tcPr>
                      <w:p w:rsidR="009E2004" w:rsidRPr="00FE71D6" w:rsidRDefault="009E2004" w:rsidP="009E2004">
                        <w:pPr>
                          <w:spacing w:line="240" w:lineRule="auto"/>
                          <w:jc w:val="center"/>
                          <w:rPr>
                            <w:rFonts w:ascii="Times New Roman" w:hAnsi="Times New Roman" w:cs="Times New Roman"/>
                          </w:rPr>
                        </w:pPr>
                      </w:p>
                    </w:tc>
                  </w:tr>
                  <w:tr w:rsidR="00FE71D6" w:rsidRPr="00FE71D6" w:rsidTr="00310E17">
                    <w:trPr>
                      <w:trHeight w:val="54"/>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rPr>
                          <w:t>Suppliers are helped to improve their product quality.</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310E17">
                    <w:trPr>
                      <w:trHeight w:val="54"/>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rPr>
                          <w:t>Key suppliers are included in continuous improvement programs.</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310E17">
                    <w:trPr>
                      <w:trHeight w:val="81"/>
                    </w:trPr>
                    <w:tc>
                      <w:tcPr>
                        <w:tcW w:w="5535" w:type="dxa"/>
                        <w:vAlign w:val="center"/>
                      </w:tcPr>
                      <w:p w:rsidR="00724B95" w:rsidRPr="00FE71D6" w:rsidRDefault="009E2004" w:rsidP="00724B95">
                        <w:pPr>
                          <w:spacing w:line="240" w:lineRule="auto"/>
                          <w:rPr>
                            <w:rFonts w:ascii="Times New Roman" w:hAnsi="Times New Roman" w:cs="Times New Roman"/>
                            <w:sz w:val="20"/>
                            <w:szCs w:val="20"/>
                          </w:rPr>
                        </w:pPr>
                        <w:r w:rsidRPr="00FE71D6">
                          <w:rPr>
                            <w:rFonts w:ascii="Times New Roman" w:hAnsi="Times New Roman" w:cs="Times New Roman"/>
                            <w:sz w:val="20"/>
                            <w:szCs w:val="20"/>
                          </w:rPr>
                          <w:t>Key suppliers are included in planning and goal-setting activities.</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310E17">
                    <w:trPr>
                      <w:trHeight w:val="332"/>
                    </w:trPr>
                    <w:tc>
                      <w:tcPr>
                        <w:tcW w:w="5535" w:type="dxa"/>
                        <w:vAlign w:val="bottom"/>
                      </w:tcPr>
                      <w:p w:rsidR="00724B95" w:rsidRPr="00FE71D6" w:rsidRDefault="009E2004" w:rsidP="00724B95">
                        <w:pPr>
                          <w:spacing w:line="240" w:lineRule="auto"/>
                          <w:rPr>
                            <w:rFonts w:ascii="Times New Roman" w:hAnsi="Times New Roman" w:cs="Times New Roman"/>
                            <w:b/>
                            <w:bCs/>
                            <w:sz w:val="22"/>
                            <w:szCs w:val="22"/>
                          </w:rPr>
                        </w:pPr>
                        <w:r w:rsidRPr="00FE71D6">
                          <w:rPr>
                            <w:rFonts w:ascii="Times New Roman" w:hAnsi="Times New Roman" w:cs="Times New Roman"/>
                            <w:b/>
                            <w:bCs/>
                            <w:sz w:val="22"/>
                            <w:szCs w:val="22"/>
                          </w:rPr>
                          <w:t>Customer Relationship</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1</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2</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3</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4</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5</w:t>
                        </w:r>
                      </w:p>
                    </w:tc>
                  </w:tr>
                  <w:tr w:rsidR="00FE71D6" w:rsidRPr="00FE71D6" w:rsidTr="00310E17">
                    <w:trPr>
                      <w:trHeight w:val="81"/>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rPr>
                          <w:t>Customers are contacted to set reliability, responsiveness, and other standards.</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310E17">
                    <w:trPr>
                      <w:trHeight w:val="124"/>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rPr>
                          <w:t>Customer satisfaction is measured and evaluated.</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310E17">
                    <w:trPr>
                      <w:trHeight w:val="124"/>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rPr>
                          <w:t>Future customer expectations are determined.</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310E17">
                    <w:trPr>
                      <w:trHeight w:val="124"/>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rPr>
                          <w:t>Customers’ ability is facilitated to seek assistance.</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310E17">
                    <w:trPr>
                      <w:trHeight w:val="124"/>
                    </w:trPr>
                    <w:tc>
                      <w:tcPr>
                        <w:tcW w:w="5535" w:type="dxa"/>
                        <w:vAlign w:val="center"/>
                      </w:tcPr>
                      <w:p w:rsidR="00724B95" w:rsidRPr="00FE71D6" w:rsidRDefault="009E2004" w:rsidP="00724B95">
                        <w:pPr>
                          <w:spacing w:line="240" w:lineRule="auto"/>
                          <w:rPr>
                            <w:rFonts w:ascii="Times New Roman" w:hAnsi="Times New Roman" w:cs="Times New Roman"/>
                            <w:sz w:val="20"/>
                            <w:szCs w:val="20"/>
                          </w:rPr>
                        </w:pPr>
                        <w:r w:rsidRPr="00FE71D6">
                          <w:rPr>
                            <w:rFonts w:ascii="Times New Roman" w:hAnsi="Times New Roman" w:cs="Times New Roman"/>
                            <w:sz w:val="20"/>
                            <w:szCs w:val="20"/>
                          </w:rPr>
                          <w:t>The importance of relationship with customers is evaluated.</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310E17">
                    <w:trPr>
                      <w:trHeight w:val="359"/>
                    </w:trPr>
                    <w:tc>
                      <w:tcPr>
                        <w:tcW w:w="5535" w:type="dxa"/>
                        <w:vAlign w:val="bottom"/>
                      </w:tcPr>
                      <w:p w:rsidR="00724B95" w:rsidRPr="00FE71D6" w:rsidRDefault="009E2004" w:rsidP="00724B95">
                        <w:pPr>
                          <w:spacing w:line="240" w:lineRule="auto"/>
                          <w:rPr>
                            <w:rFonts w:ascii="Times New Roman" w:hAnsi="Times New Roman" w:cs="Times New Roman"/>
                            <w:b/>
                            <w:bCs/>
                            <w:sz w:val="22"/>
                            <w:szCs w:val="22"/>
                          </w:rPr>
                        </w:pPr>
                        <w:r w:rsidRPr="00FE71D6">
                          <w:rPr>
                            <w:rFonts w:ascii="Times New Roman" w:hAnsi="Times New Roman" w:cs="Times New Roman"/>
                            <w:b/>
                            <w:bCs/>
                            <w:sz w:val="22"/>
                            <w:szCs w:val="22"/>
                          </w:rPr>
                          <w:t>Information Sharing</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1</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2</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3</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4</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5</w:t>
                        </w:r>
                      </w:p>
                    </w:tc>
                  </w:tr>
                  <w:tr w:rsidR="00FE71D6" w:rsidRPr="00FE71D6" w:rsidTr="00310E17">
                    <w:trPr>
                      <w:trHeight w:val="124"/>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rPr>
                          <w:t>Trading partners are informed in advance of changing needs.</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310E17">
                    <w:trPr>
                      <w:trHeight w:val="124"/>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rPr>
                          <w:t>Trading partners share proprietary information.</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310E17">
                    <w:trPr>
                      <w:trHeight w:val="124"/>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lang w:val="en-GB"/>
                          </w:rPr>
                          <w:t>Trading</w:t>
                        </w:r>
                        <w:r w:rsidRPr="00FE71D6">
                          <w:rPr>
                            <w:rFonts w:ascii="Times New Roman" w:hAnsi="Times New Roman" w:cs="Times New Roman"/>
                            <w:sz w:val="20"/>
                            <w:szCs w:val="20"/>
                          </w:rPr>
                          <w:t xml:space="preserve"> partners share business knowledge of core business processes.</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310E17">
                    <w:trPr>
                      <w:trHeight w:val="124"/>
                    </w:trPr>
                    <w:tc>
                      <w:tcPr>
                        <w:tcW w:w="5535" w:type="dxa"/>
                        <w:vAlign w:val="center"/>
                      </w:tcPr>
                      <w:p w:rsidR="00310E17" w:rsidRPr="00FE71D6" w:rsidRDefault="009E2004" w:rsidP="005C5545">
                        <w:pPr>
                          <w:spacing w:line="240" w:lineRule="auto"/>
                          <w:rPr>
                            <w:rFonts w:ascii="Times New Roman" w:hAnsi="Times New Roman" w:cs="Times New Roman"/>
                            <w:sz w:val="20"/>
                            <w:szCs w:val="20"/>
                          </w:rPr>
                        </w:pPr>
                        <w:r w:rsidRPr="00FE71D6">
                          <w:rPr>
                            <w:rFonts w:ascii="Times New Roman" w:hAnsi="Times New Roman" w:cs="Times New Roman"/>
                            <w:sz w:val="20"/>
                            <w:szCs w:val="20"/>
                          </w:rPr>
                          <w:t>Trading partners are kept fully informed about issues that affect business.</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062C77">
                    <w:trPr>
                      <w:trHeight w:val="377"/>
                    </w:trPr>
                    <w:tc>
                      <w:tcPr>
                        <w:tcW w:w="5535" w:type="dxa"/>
                        <w:vAlign w:val="bottom"/>
                      </w:tcPr>
                      <w:p w:rsidR="00724B95" w:rsidRPr="00FE71D6" w:rsidRDefault="009E2004" w:rsidP="00724B95">
                        <w:pPr>
                          <w:spacing w:line="240" w:lineRule="auto"/>
                          <w:rPr>
                            <w:rFonts w:ascii="Times New Roman" w:hAnsi="Times New Roman" w:cs="Times New Roman"/>
                            <w:b/>
                            <w:bCs/>
                            <w:sz w:val="22"/>
                            <w:szCs w:val="22"/>
                          </w:rPr>
                        </w:pPr>
                        <w:r w:rsidRPr="00FE71D6">
                          <w:rPr>
                            <w:rFonts w:ascii="Times New Roman" w:hAnsi="Times New Roman" w:cs="Times New Roman"/>
                            <w:b/>
                            <w:bCs/>
                            <w:sz w:val="22"/>
                            <w:szCs w:val="22"/>
                          </w:rPr>
                          <w:t>Lean System</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1</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2</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3</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4</w:t>
                        </w:r>
                      </w:p>
                    </w:tc>
                    <w:tc>
                      <w:tcPr>
                        <w:tcW w:w="406" w:type="dxa"/>
                        <w:vAlign w:val="bottom"/>
                      </w:tcPr>
                      <w:p w:rsidR="009E2004" w:rsidRPr="00FE71D6" w:rsidRDefault="009E2004" w:rsidP="009E2004">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5</w:t>
                        </w:r>
                      </w:p>
                    </w:tc>
                  </w:tr>
                  <w:tr w:rsidR="00FE71D6" w:rsidRPr="00FE71D6" w:rsidTr="00310E17">
                    <w:trPr>
                      <w:trHeight w:val="124"/>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rPr>
                          <w:t>Suppliers are pushed for shorter lead-time (the time between the initiation and completion of a production process).</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310E17">
                    <w:trPr>
                      <w:trHeight w:val="124"/>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rPr>
                          <w:t>Pull production system is used (make to order in which the production is based on actual demand).</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310E17">
                    <w:trPr>
                      <w:trHeight w:val="124"/>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rPr>
                          <w:t>Suppliers are streamlined for ordering, receiving, and other paperwork.</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310E17">
                    <w:trPr>
                      <w:trHeight w:val="124"/>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rPr>
                          <w:t>Inspection of incoming materials is reduced.</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r w:rsidR="00FE71D6" w:rsidRPr="00FE71D6" w:rsidTr="00310E17">
                    <w:trPr>
                      <w:trHeight w:val="124"/>
                    </w:trPr>
                    <w:tc>
                      <w:tcPr>
                        <w:tcW w:w="5535" w:type="dxa"/>
                        <w:vAlign w:val="center"/>
                      </w:tcPr>
                      <w:p w:rsidR="009E2004" w:rsidRPr="00FE71D6" w:rsidRDefault="009E2004" w:rsidP="009E2004">
                        <w:pPr>
                          <w:spacing w:line="240" w:lineRule="auto"/>
                          <w:rPr>
                            <w:rFonts w:ascii="Times New Roman" w:hAnsi="Times New Roman" w:cs="Times New Roman"/>
                            <w:sz w:val="20"/>
                            <w:szCs w:val="20"/>
                          </w:rPr>
                        </w:pPr>
                        <w:r w:rsidRPr="00FE71D6">
                          <w:rPr>
                            <w:rFonts w:ascii="Times New Roman" w:hAnsi="Times New Roman" w:cs="Times New Roman"/>
                            <w:sz w:val="20"/>
                            <w:szCs w:val="20"/>
                          </w:rPr>
                          <w:t>Inspection of outbound materials is reduced.</w:t>
                        </w: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c>
                      <w:tcPr>
                        <w:tcW w:w="406" w:type="dxa"/>
                        <w:vAlign w:val="bottom"/>
                      </w:tcPr>
                      <w:p w:rsidR="009E2004" w:rsidRPr="00FE71D6" w:rsidRDefault="009E2004" w:rsidP="009E2004">
                        <w:pPr>
                          <w:spacing w:line="240" w:lineRule="auto"/>
                          <w:jc w:val="center"/>
                          <w:rPr>
                            <w:rFonts w:ascii="Times New Roman" w:hAnsi="Times New Roman" w:cs="Times New Roman"/>
                            <w:b/>
                            <w:bCs/>
                          </w:rPr>
                        </w:pPr>
                      </w:p>
                    </w:tc>
                  </w:tr>
                </w:tbl>
                <w:p w:rsidR="009E2004" w:rsidRPr="00FE71D6" w:rsidRDefault="009E2004" w:rsidP="009E2004">
                  <w:pPr>
                    <w:spacing w:line="240" w:lineRule="auto"/>
                    <w:contextualSpacing/>
                    <w:jc w:val="both"/>
                    <w:rPr>
                      <w:b/>
                      <w:bCs/>
                    </w:rPr>
                  </w:pPr>
                </w:p>
                <w:p w:rsidR="009E2004" w:rsidRPr="00FE71D6" w:rsidRDefault="009E2004" w:rsidP="009E2004">
                  <w:pPr>
                    <w:spacing w:line="240" w:lineRule="auto"/>
                    <w:contextualSpacing/>
                    <w:jc w:val="both"/>
                    <w:rPr>
                      <w:b/>
                      <w:bCs/>
                      <w:sz w:val="22"/>
                      <w:szCs w:val="22"/>
                      <w:lang w:val="en-US"/>
                    </w:rPr>
                  </w:pPr>
                  <w:r w:rsidRPr="00FE71D6">
                    <w:rPr>
                      <w:b/>
                      <w:bCs/>
                      <w:sz w:val="22"/>
                      <w:szCs w:val="22"/>
                      <w:lang w:val="en-US"/>
                    </w:rPr>
                    <w:t xml:space="preserve">Part 2-Net Trade Cycle: </w:t>
                  </w:r>
                </w:p>
                <w:p w:rsidR="009E2004" w:rsidRPr="00FE71D6" w:rsidRDefault="009E2004" w:rsidP="009E2004">
                  <w:pPr>
                    <w:spacing w:line="240" w:lineRule="auto"/>
                    <w:contextualSpacing/>
                    <w:jc w:val="both"/>
                    <w:rPr>
                      <w:sz w:val="22"/>
                      <w:szCs w:val="22"/>
                      <w:lang w:val="en-US"/>
                    </w:rPr>
                  </w:pPr>
                  <w:r w:rsidRPr="00FE71D6">
                    <w:rPr>
                      <w:sz w:val="22"/>
                      <w:szCs w:val="22"/>
                      <w:lang w:val="en-US"/>
                    </w:rPr>
                    <w:t xml:space="preserve">As a result of supply chain management practices in your company, please circle appropriate number which best indicates your company’s net trade cycle. </w:t>
                  </w:r>
                  <w:r w:rsidR="00513DA7" w:rsidRPr="00FE71D6">
                    <w:rPr>
                      <w:sz w:val="22"/>
                      <w:szCs w:val="22"/>
                      <w:lang w:val="en-US"/>
                    </w:rPr>
                    <w:t xml:space="preserve">                 </w:t>
                  </w:r>
                  <w:r w:rsidRPr="00FE71D6">
                    <w:rPr>
                      <w:sz w:val="22"/>
                      <w:szCs w:val="22"/>
                      <w:lang w:val="en-US"/>
                    </w:rPr>
                    <w:t xml:space="preserve">(1 = significantly worsen; 2 = worsen; 3 = same as before; 4 = improve; </w:t>
                  </w:r>
                  <w:r w:rsidR="00513DA7" w:rsidRPr="00FE71D6">
                    <w:rPr>
                      <w:sz w:val="22"/>
                      <w:szCs w:val="22"/>
                      <w:lang w:val="en-US"/>
                    </w:rPr>
                    <w:t xml:space="preserve">                    </w:t>
                  </w:r>
                  <w:r w:rsidRPr="00FE71D6">
                    <w:rPr>
                      <w:sz w:val="22"/>
                      <w:szCs w:val="22"/>
                      <w:lang w:val="en-US"/>
                    </w:rPr>
                    <w:t>5 = significantly improve)</w:t>
                  </w:r>
                </w:p>
                <w:tbl>
                  <w:tblPr>
                    <w:tblStyle w:val="TableGrid"/>
                    <w:tblW w:w="7562" w:type="dxa"/>
                    <w:tblInd w:w="108" w:type="dxa"/>
                    <w:tblLayout w:type="fixed"/>
                    <w:tblLook w:val="04A0" w:firstRow="1" w:lastRow="0" w:firstColumn="1" w:lastColumn="0" w:noHBand="0" w:noVBand="1"/>
                  </w:tblPr>
                  <w:tblGrid>
                    <w:gridCol w:w="5537"/>
                    <w:gridCol w:w="405"/>
                    <w:gridCol w:w="405"/>
                    <w:gridCol w:w="405"/>
                    <w:gridCol w:w="405"/>
                    <w:gridCol w:w="405"/>
                  </w:tblGrid>
                  <w:tr w:rsidR="00FE71D6" w:rsidRPr="00FE71D6" w:rsidTr="00310E17">
                    <w:trPr>
                      <w:trHeight w:val="412"/>
                    </w:trPr>
                    <w:tc>
                      <w:tcPr>
                        <w:tcW w:w="5537" w:type="dxa"/>
                      </w:tcPr>
                      <w:p w:rsidR="009E2004" w:rsidRPr="00FE71D6" w:rsidRDefault="009E2004" w:rsidP="008A5A6B">
                        <w:pPr>
                          <w:spacing w:line="360" w:lineRule="auto"/>
                          <w:rPr>
                            <w:rFonts w:ascii="Times New Roman" w:hAnsi="Times New Roman" w:cs="Times New Roman"/>
                            <w:b/>
                            <w:bCs/>
                          </w:rPr>
                        </w:pPr>
                      </w:p>
                    </w:tc>
                    <w:tc>
                      <w:tcPr>
                        <w:tcW w:w="405" w:type="dxa"/>
                        <w:vAlign w:val="bottom"/>
                      </w:tcPr>
                      <w:p w:rsidR="009E2004" w:rsidRPr="00FE71D6" w:rsidRDefault="009E2004" w:rsidP="008A5A6B">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1</w:t>
                        </w:r>
                      </w:p>
                    </w:tc>
                    <w:tc>
                      <w:tcPr>
                        <w:tcW w:w="405" w:type="dxa"/>
                        <w:vAlign w:val="bottom"/>
                      </w:tcPr>
                      <w:p w:rsidR="009E2004" w:rsidRPr="00FE71D6" w:rsidRDefault="009E2004" w:rsidP="008A5A6B">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2</w:t>
                        </w:r>
                      </w:p>
                    </w:tc>
                    <w:tc>
                      <w:tcPr>
                        <w:tcW w:w="405" w:type="dxa"/>
                        <w:vAlign w:val="bottom"/>
                      </w:tcPr>
                      <w:p w:rsidR="009E2004" w:rsidRPr="00FE71D6" w:rsidRDefault="009E2004" w:rsidP="008A5A6B">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3</w:t>
                        </w:r>
                      </w:p>
                    </w:tc>
                    <w:tc>
                      <w:tcPr>
                        <w:tcW w:w="405" w:type="dxa"/>
                        <w:vAlign w:val="bottom"/>
                      </w:tcPr>
                      <w:p w:rsidR="009E2004" w:rsidRPr="00FE71D6" w:rsidRDefault="009E2004" w:rsidP="008A5A6B">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4</w:t>
                        </w:r>
                      </w:p>
                    </w:tc>
                    <w:tc>
                      <w:tcPr>
                        <w:tcW w:w="405" w:type="dxa"/>
                        <w:vAlign w:val="bottom"/>
                      </w:tcPr>
                      <w:p w:rsidR="009E2004" w:rsidRPr="00FE71D6" w:rsidRDefault="009E2004" w:rsidP="008A5A6B">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5</w:t>
                        </w:r>
                      </w:p>
                    </w:tc>
                  </w:tr>
                  <w:tr w:rsidR="00FE71D6" w:rsidRPr="00FE71D6" w:rsidTr="00310E17">
                    <w:trPr>
                      <w:trHeight w:val="412"/>
                    </w:trPr>
                    <w:tc>
                      <w:tcPr>
                        <w:tcW w:w="5537" w:type="dxa"/>
                        <w:vAlign w:val="center"/>
                      </w:tcPr>
                      <w:p w:rsidR="009E2004" w:rsidRPr="00FE71D6" w:rsidRDefault="009E2004" w:rsidP="008A5A6B">
                        <w:pPr>
                          <w:spacing w:line="240" w:lineRule="auto"/>
                          <w:rPr>
                            <w:rFonts w:ascii="Times New Roman" w:hAnsi="Times New Roman" w:cs="Times New Roman"/>
                            <w:sz w:val="20"/>
                            <w:szCs w:val="20"/>
                          </w:rPr>
                        </w:pPr>
                        <w:r w:rsidRPr="00FE71D6">
                          <w:rPr>
                            <w:rFonts w:ascii="Times New Roman" w:hAnsi="Times New Roman" w:cs="Times New Roman"/>
                            <w:sz w:val="20"/>
                            <w:szCs w:val="20"/>
                          </w:rPr>
                          <w:t>Shortening number of days it takes for a company’s trade debtors to pay their dues.</w:t>
                        </w: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r>
                  <w:tr w:rsidR="00FE71D6" w:rsidRPr="00FE71D6" w:rsidTr="00310E17">
                    <w:trPr>
                      <w:trHeight w:val="412"/>
                    </w:trPr>
                    <w:tc>
                      <w:tcPr>
                        <w:tcW w:w="5537" w:type="dxa"/>
                        <w:vAlign w:val="center"/>
                      </w:tcPr>
                      <w:p w:rsidR="009E2004" w:rsidRPr="00FE71D6" w:rsidRDefault="009E2004" w:rsidP="008A5A6B">
                        <w:pPr>
                          <w:spacing w:line="240" w:lineRule="auto"/>
                          <w:rPr>
                            <w:rFonts w:ascii="Times New Roman" w:hAnsi="Times New Roman" w:cs="Times New Roman"/>
                            <w:sz w:val="20"/>
                            <w:szCs w:val="20"/>
                            <w:lang w:val="en-GB"/>
                          </w:rPr>
                        </w:pPr>
                        <w:r w:rsidRPr="00FE71D6">
                          <w:rPr>
                            <w:rFonts w:ascii="Times New Roman" w:hAnsi="Times New Roman" w:cs="Times New Roman"/>
                            <w:sz w:val="20"/>
                            <w:szCs w:val="20"/>
                          </w:rPr>
                          <w:t>Shortening number of days a company ties its funds to inventory.</w:t>
                        </w:r>
                      </w:p>
                    </w:tc>
                    <w:tc>
                      <w:tcPr>
                        <w:tcW w:w="405" w:type="dxa"/>
                        <w:vAlign w:val="bottom"/>
                      </w:tcPr>
                      <w:p w:rsidR="009E2004" w:rsidRPr="00FE71D6" w:rsidRDefault="009E2004" w:rsidP="008A5A6B">
                        <w:pPr>
                          <w:spacing w:line="360" w:lineRule="auto"/>
                          <w:jc w:val="center"/>
                          <w:rPr>
                            <w:rFonts w:ascii="Times New Roman" w:hAnsi="Times New Roman" w:cs="Times New Roman"/>
                            <w:b/>
                            <w:bCs/>
                            <w:lang w:val="en-GB"/>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r>
                  <w:tr w:rsidR="00FE71D6" w:rsidRPr="00FE71D6" w:rsidTr="00310E17">
                    <w:trPr>
                      <w:trHeight w:val="412"/>
                    </w:trPr>
                    <w:tc>
                      <w:tcPr>
                        <w:tcW w:w="5537" w:type="dxa"/>
                        <w:vAlign w:val="center"/>
                      </w:tcPr>
                      <w:p w:rsidR="009E2004" w:rsidRPr="00FE71D6" w:rsidRDefault="009E2004" w:rsidP="008A5A6B">
                        <w:pPr>
                          <w:spacing w:line="240" w:lineRule="auto"/>
                          <w:rPr>
                            <w:rFonts w:ascii="Times New Roman" w:hAnsi="Times New Roman" w:cs="Times New Roman"/>
                            <w:sz w:val="20"/>
                            <w:szCs w:val="20"/>
                          </w:rPr>
                        </w:pPr>
                        <w:r w:rsidRPr="00FE71D6">
                          <w:rPr>
                            <w:rFonts w:ascii="Times New Roman" w:hAnsi="Times New Roman" w:cs="Times New Roman"/>
                            <w:sz w:val="20"/>
                            <w:szCs w:val="20"/>
                          </w:rPr>
                          <w:t>Extending number of days a company defers payments to its suppliers and other creditors.</w:t>
                        </w: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r>
                  <w:tr w:rsidR="00FE71D6" w:rsidRPr="00FE71D6" w:rsidTr="00310E17">
                    <w:trPr>
                      <w:trHeight w:val="412"/>
                    </w:trPr>
                    <w:tc>
                      <w:tcPr>
                        <w:tcW w:w="5537" w:type="dxa"/>
                        <w:vAlign w:val="center"/>
                      </w:tcPr>
                      <w:p w:rsidR="009E2004" w:rsidRPr="00FE71D6" w:rsidRDefault="009E2004" w:rsidP="008A5A6B">
                        <w:pPr>
                          <w:spacing w:line="240" w:lineRule="auto"/>
                          <w:rPr>
                            <w:rFonts w:ascii="Times New Roman" w:hAnsi="Times New Roman" w:cs="Times New Roman"/>
                            <w:sz w:val="20"/>
                            <w:szCs w:val="20"/>
                          </w:rPr>
                        </w:pPr>
                        <w:r w:rsidRPr="00FE71D6">
                          <w:rPr>
                            <w:rFonts w:ascii="Times New Roman" w:hAnsi="Times New Roman" w:cs="Times New Roman"/>
                            <w:sz w:val="20"/>
                            <w:szCs w:val="20"/>
                          </w:rPr>
                          <w:t>Shortening number of days of sales that it consumes for a company to transfer resource inputs into cash flows.</w:t>
                        </w: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c>
                      <w:tcPr>
                        <w:tcW w:w="405" w:type="dxa"/>
                        <w:vAlign w:val="bottom"/>
                      </w:tcPr>
                      <w:p w:rsidR="009E2004" w:rsidRPr="00FE71D6" w:rsidRDefault="009E2004" w:rsidP="008A5A6B">
                        <w:pPr>
                          <w:spacing w:line="360" w:lineRule="auto"/>
                          <w:jc w:val="center"/>
                          <w:rPr>
                            <w:rFonts w:ascii="Times New Roman" w:hAnsi="Times New Roman" w:cs="Times New Roman"/>
                            <w:b/>
                            <w:bCs/>
                          </w:rPr>
                        </w:pPr>
                      </w:p>
                    </w:tc>
                  </w:tr>
                </w:tbl>
                <w:p w:rsidR="009E2004" w:rsidRPr="00FE71D6" w:rsidRDefault="009E2004" w:rsidP="009E2004">
                  <w:pPr>
                    <w:spacing w:line="360" w:lineRule="auto"/>
                    <w:contextualSpacing/>
                    <w:rPr>
                      <w:b/>
                      <w:bCs/>
                    </w:rPr>
                  </w:pPr>
                </w:p>
                <w:p w:rsidR="009E2004" w:rsidRPr="00FE71D6" w:rsidRDefault="009E2004" w:rsidP="009E2004">
                  <w:pPr>
                    <w:spacing w:line="240" w:lineRule="auto"/>
                    <w:contextualSpacing/>
                    <w:jc w:val="both"/>
                    <w:rPr>
                      <w:b/>
                      <w:bCs/>
                      <w:sz w:val="22"/>
                      <w:szCs w:val="22"/>
                      <w:lang w:val="en-US"/>
                    </w:rPr>
                  </w:pPr>
                  <w:r w:rsidRPr="00FE71D6">
                    <w:rPr>
                      <w:b/>
                      <w:bCs/>
                      <w:sz w:val="22"/>
                      <w:szCs w:val="22"/>
                      <w:lang w:val="en-US"/>
                    </w:rPr>
                    <w:t xml:space="preserve">Part 3-Financial Performance: </w:t>
                  </w:r>
                </w:p>
                <w:p w:rsidR="009E2004" w:rsidRPr="00FE71D6" w:rsidRDefault="009E2004" w:rsidP="009E2004">
                  <w:pPr>
                    <w:spacing w:line="240" w:lineRule="auto"/>
                    <w:contextualSpacing/>
                    <w:jc w:val="both"/>
                    <w:rPr>
                      <w:sz w:val="22"/>
                      <w:szCs w:val="22"/>
                      <w:lang w:val="en-US"/>
                    </w:rPr>
                  </w:pPr>
                  <w:r w:rsidRPr="00FE71D6">
                    <w:rPr>
                      <w:sz w:val="22"/>
                      <w:szCs w:val="22"/>
                      <w:lang w:val="en-US"/>
                    </w:rPr>
                    <w:t xml:space="preserve">This part is concerned with the performance of your organization in the past five years. To the best of your knowledge, please tick the number best estimating how your organization compares to close competitors in your industry in terms of: </w:t>
                  </w:r>
                  <w:r w:rsidR="00513DA7" w:rsidRPr="00FE71D6">
                    <w:rPr>
                      <w:sz w:val="22"/>
                      <w:szCs w:val="22"/>
                      <w:lang w:val="en-US"/>
                    </w:rPr>
                    <w:t xml:space="preserve">          </w:t>
                  </w:r>
                  <w:r w:rsidRPr="00FE71D6">
                    <w:rPr>
                      <w:sz w:val="22"/>
                      <w:szCs w:val="22"/>
                      <w:lang w:val="en-US"/>
                    </w:rPr>
                    <w:t>(1 = lowest 20%; 2 = lower 20%; 3 = middle 20%; 4 = next 20%; 5 = top 20%)</w:t>
                  </w:r>
                </w:p>
                <w:tbl>
                  <w:tblPr>
                    <w:tblStyle w:val="TableGrid"/>
                    <w:tblW w:w="7570" w:type="dxa"/>
                    <w:tblInd w:w="108" w:type="dxa"/>
                    <w:tblLayout w:type="fixed"/>
                    <w:tblLook w:val="04A0" w:firstRow="1" w:lastRow="0" w:firstColumn="1" w:lastColumn="0" w:noHBand="0" w:noVBand="1"/>
                  </w:tblPr>
                  <w:tblGrid>
                    <w:gridCol w:w="5540"/>
                    <w:gridCol w:w="406"/>
                    <w:gridCol w:w="406"/>
                    <w:gridCol w:w="406"/>
                    <w:gridCol w:w="406"/>
                    <w:gridCol w:w="406"/>
                  </w:tblGrid>
                  <w:tr w:rsidR="00FE71D6" w:rsidRPr="00FE71D6" w:rsidTr="00310E17">
                    <w:trPr>
                      <w:trHeight w:val="424"/>
                    </w:trPr>
                    <w:tc>
                      <w:tcPr>
                        <w:tcW w:w="5540" w:type="dxa"/>
                      </w:tcPr>
                      <w:p w:rsidR="009E2004" w:rsidRPr="00FE71D6" w:rsidRDefault="009E2004" w:rsidP="008A5A6B">
                        <w:pPr>
                          <w:spacing w:line="360" w:lineRule="auto"/>
                          <w:rPr>
                            <w:rFonts w:ascii="Times New Roman" w:hAnsi="Times New Roman" w:cs="Times New Roman"/>
                            <w:b/>
                            <w:bCs/>
                          </w:rPr>
                        </w:pPr>
                      </w:p>
                    </w:tc>
                    <w:tc>
                      <w:tcPr>
                        <w:tcW w:w="406" w:type="dxa"/>
                        <w:vAlign w:val="bottom"/>
                      </w:tcPr>
                      <w:p w:rsidR="009E2004" w:rsidRPr="00FE71D6" w:rsidRDefault="009E2004" w:rsidP="008A5A6B">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1</w:t>
                        </w:r>
                      </w:p>
                    </w:tc>
                    <w:tc>
                      <w:tcPr>
                        <w:tcW w:w="406" w:type="dxa"/>
                        <w:vAlign w:val="bottom"/>
                      </w:tcPr>
                      <w:p w:rsidR="009E2004" w:rsidRPr="00FE71D6" w:rsidRDefault="009E2004" w:rsidP="008A5A6B">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2</w:t>
                        </w:r>
                      </w:p>
                    </w:tc>
                    <w:tc>
                      <w:tcPr>
                        <w:tcW w:w="406" w:type="dxa"/>
                        <w:vAlign w:val="bottom"/>
                      </w:tcPr>
                      <w:p w:rsidR="009E2004" w:rsidRPr="00FE71D6" w:rsidRDefault="009E2004" w:rsidP="008A5A6B">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3</w:t>
                        </w:r>
                      </w:p>
                    </w:tc>
                    <w:tc>
                      <w:tcPr>
                        <w:tcW w:w="406" w:type="dxa"/>
                        <w:vAlign w:val="bottom"/>
                      </w:tcPr>
                      <w:p w:rsidR="009E2004" w:rsidRPr="00FE71D6" w:rsidRDefault="009E2004" w:rsidP="008A5A6B">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4</w:t>
                        </w:r>
                      </w:p>
                    </w:tc>
                    <w:tc>
                      <w:tcPr>
                        <w:tcW w:w="406" w:type="dxa"/>
                        <w:vAlign w:val="bottom"/>
                      </w:tcPr>
                      <w:p w:rsidR="009E2004" w:rsidRPr="00FE71D6" w:rsidRDefault="009E2004" w:rsidP="008A5A6B">
                        <w:pPr>
                          <w:spacing w:line="240" w:lineRule="auto"/>
                          <w:jc w:val="center"/>
                          <w:rPr>
                            <w:rFonts w:ascii="Times New Roman" w:hAnsi="Times New Roman" w:cs="Times New Roman"/>
                            <w:b/>
                            <w:bCs/>
                            <w:sz w:val="22"/>
                            <w:szCs w:val="22"/>
                          </w:rPr>
                        </w:pPr>
                        <w:r w:rsidRPr="00FE71D6">
                          <w:rPr>
                            <w:rFonts w:ascii="Times New Roman" w:hAnsi="Times New Roman" w:cs="Times New Roman"/>
                            <w:b/>
                            <w:bCs/>
                            <w:sz w:val="22"/>
                            <w:szCs w:val="22"/>
                          </w:rPr>
                          <w:t>5</w:t>
                        </w:r>
                      </w:p>
                    </w:tc>
                  </w:tr>
                  <w:tr w:rsidR="00FE71D6" w:rsidRPr="00FE71D6" w:rsidTr="00310E17">
                    <w:trPr>
                      <w:trHeight w:val="424"/>
                    </w:trPr>
                    <w:tc>
                      <w:tcPr>
                        <w:tcW w:w="5540" w:type="dxa"/>
                        <w:vAlign w:val="center"/>
                      </w:tcPr>
                      <w:p w:rsidR="009E2004" w:rsidRPr="00FE71D6" w:rsidRDefault="009E2004" w:rsidP="008A5A6B">
                        <w:pPr>
                          <w:spacing w:line="240" w:lineRule="auto"/>
                          <w:rPr>
                            <w:rFonts w:ascii="Times New Roman" w:hAnsi="Times New Roman" w:cs="Times New Roman"/>
                            <w:sz w:val="20"/>
                            <w:szCs w:val="20"/>
                          </w:rPr>
                        </w:pPr>
                        <w:r w:rsidRPr="00FE71D6">
                          <w:rPr>
                            <w:rFonts w:ascii="Times New Roman" w:hAnsi="Times New Roman" w:cs="Times New Roman"/>
                            <w:sz w:val="20"/>
                            <w:szCs w:val="20"/>
                          </w:rPr>
                          <w:t>Return on assets</w:t>
                        </w: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r>
                  <w:tr w:rsidR="00FE71D6" w:rsidRPr="00FE71D6" w:rsidTr="00310E17">
                    <w:trPr>
                      <w:trHeight w:val="424"/>
                    </w:trPr>
                    <w:tc>
                      <w:tcPr>
                        <w:tcW w:w="5540" w:type="dxa"/>
                        <w:vAlign w:val="center"/>
                      </w:tcPr>
                      <w:p w:rsidR="009E2004" w:rsidRPr="00FE71D6" w:rsidRDefault="009E2004" w:rsidP="008A5A6B">
                        <w:pPr>
                          <w:spacing w:line="240" w:lineRule="auto"/>
                          <w:rPr>
                            <w:rFonts w:ascii="Times New Roman" w:hAnsi="Times New Roman" w:cs="Times New Roman"/>
                            <w:sz w:val="20"/>
                            <w:szCs w:val="20"/>
                          </w:rPr>
                        </w:pPr>
                        <w:r w:rsidRPr="00FE71D6">
                          <w:rPr>
                            <w:rFonts w:ascii="Times New Roman" w:hAnsi="Times New Roman" w:cs="Times New Roman"/>
                            <w:sz w:val="20"/>
                            <w:szCs w:val="20"/>
                          </w:rPr>
                          <w:t>Return on equity</w:t>
                        </w: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r>
                  <w:tr w:rsidR="00FE71D6" w:rsidRPr="00FE71D6" w:rsidTr="00310E17">
                    <w:trPr>
                      <w:trHeight w:val="424"/>
                    </w:trPr>
                    <w:tc>
                      <w:tcPr>
                        <w:tcW w:w="5540" w:type="dxa"/>
                        <w:vAlign w:val="center"/>
                      </w:tcPr>
                      <w:p w:rsidR="009E2004" w:rsidRPr="00FE71D6" w:rsidRDefault="009E2004" w:rsidP="008A5A6B">
                        <w:pPr>
                          <w:spacing w:line="240" w:lineRule="auto"/>
                          <w:rPr>
                            <w:rFonts w:ascii="Times New Roman" w:hAnsi="Times New Roman" w:cs="Times New Roman"/>
                            <w:sz w:val="20"/>
                            <w:szCs w:val="20"/>
                          </w:rPr>
                        </w:pPr>
                        <w:r w:rsidRPr="00FE71D6">
                          <w:rPr>
                            <w:rFonts w:ascii="Times New Roman" w:hAnsi="Times New Roman" w:cs="Times New Roman"/>
                            <w:sz w:val="20"/>
                            <w:szCs w:val="20"/>
                          </w:rPr>
                          <w:t>Operational profit margin</w:t>
                        </w: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r>
                  <w:tr w:rsidR="00FE71D6" w:rsidRPr="00FE71D6" w:rsidTr="00310E17">
                    <w:trPr>
                      <w:trHeight w:val="424"/>
                    </w:trPr>
                    <w:tc>
                      <w:tcPr>
                        <w:tcW w:w="5540" w:type="dxa"/>
                        <w:vAlign w:val="center"/>
                      </w:tcPr>
                      <w:p w:rsidR="009E2004" w:rsidRPr="00FE71D6" w:rsidRDefault="009E2004" w:rsidP="008A5A6B">
                        <w:pPr>
                          <w:spacing w:line="240" w:lineRule="auto"/>
                          <w:rPr>
                            <w:rFonts w:ascii="Times New Roman" w:hAnsi="Times New Roman" w:cs="Times New Roman"/>
                            <w:sz w:val="20"/>
                            <w:szCs w:val="20"/>
                          </w:rPr>
                        </w:pPr>
                        <w:r w:rsidRPr="00FE71D6">
                          <w:rPr>
                            <w:rFonts w:ascii="Times New Roman" w:hAnsi="Times New Roman" w:cs="Times New Roman"/>
                            <w:sz w:val="20"/>
                            <w:szCs w:val="20"/>
                          </w:rPr>
                          <w:t>Competitive position</w:t>
                        </w: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c>
                      <w:tcPr>
                        <w:tcW w:w="406" w:type="dxa"/>
                        <w:vAlign w:val="bottom"/>
                      </w:tcPr>
                      <w:p w:rsidR="009E2004" w:rsidRPr="00FE71D6" w:rsidRDefault="009E2004" w:rsidP="008A5A6B">
                        <w:pPr>
                          <w:spacing w:line="360" w:lineRule="auto"/>
                          <w:jc w:val="center"/>
                          <w:rPr>
                            <w:rFonts w:ascii="Times New Roman" w:hAnsi="Times New Roman" w:cs="Times New Roman"/>
                            <w:b/>
                            <w:bCs/>
                          </w:rPr>
                        </w:pPr>
                      </w:p>
                    </w:tc>
                  </w:tr>
                </w:tbl>
                <w:p w:rsidR="009E2004" w:rsidRPr="00FE71D6" w:rsidRDefault="009E2004" w:rsidP="009E2004">
                  <w:pPr>
                    <w:spacing w:line="360" w:lineRule="auto"/>
                    <w:ind w:left="720" w:hanging="720"/>
                    <w:contextualSpacing/>
                  </w:pPr>
                </w:p>
                <w:p w:rsidR="009E2004" w:rsidRPr="00FE71D6" w:rsidRDefault="009E2004" w:rsidP="009E2004">
                  <w:pPr>
                    <w:spacing w:line="360" w:lineRule="auto"/>
                    <w:ind w:left="720" w:hanging="720"/>
                    <w:contextualSpacing/>
                    <w:jc w:val="both"/>
                    <w:rPr>
                      <w:sz w:val="22"/>
                      <w:szCs w:val="22"/>
                    </w:rPr>
                  </w:pPr>
                  <w:r w:rsidRPr="00FE71D6">
                    <w:rPr>
                      <w:sz w:val="22"/>
                      <w:szCs w:val="22"/>
                    </w:rPr>
                    <w:t>Thank you for your time and effort.</w:t>
                  </w:r>
                </w:p>
                <w:p w:rsidR="00267245" w:rsidRPr="00FE71D6" w:rsidRDefault="009E2004" w:rsidP="00A00998">
                  <w:pPr>
                    <w:spacing w:line="240" w:lineRule="auto"/>
                    <w:ind w:left="720" w:hanging="720"/>
                    <w:contextualSpacing/>
                    <w:jc w:val="both"/>
                  </w:pPr>
                  <w:r w:rsidRPr="00FE71D6">
                    <w:rPr>
                      <w:sz w:val="22"/>
                      <w:szCs w:val="22"/>
                    </w:rPr>
                    <w:t>The Researcher</w:t>
                  </w:r>
                </w:p>
              </w:sdtContent>
            </w:sdt>
          </w:sdtContent>
        </w:sdt>
      </w:sdtContent>
    </w:sdt>
    <w:sectPr w:rsidR="00267245" w:rsidRPr="00FE71D6" w:rsidSect="00CC1BE1">
      <w:pgSz w:w="11901" w:h="16840" w:code="9"/>
      <w:pgMar w:top="1800" w:right="2160" w:bottom="1800" w:left="216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F63" w:rsidRDefault="00017F63" w:rsidP="00AF2C92">
      <w:r>
        <w:separator/>
      </w:r>
    </w:p>
  </w:endnote>
  <w:endnote w:type="continuationSeparator" w:id="0">
    <w:p w:rsidR="00017F63" w:rsidRDefault="00017F63"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New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2801935"/>
      <w:docPartObj>
        <w:docPartGallery w:val="Page Numbers (Bottom of Page)"/>
        <w:docPartUnique/>
      </w:docPartObj>
    </w:sdtPr>
    <w:sdtEndPr>
      <w:rPr>
        <w:noProof/>
      </w:rPr>
    </w:sdtEndPr>
    <w:sdtContent>
      <w:p w:rsidR="00583EEA" w:rsidRDefault="00583EEA">
        <w:pPr>
          <w:pStyle w:val="Footer"/>
          <w:jc w:val="center"/>
        </w:pPr>
        <w:r>
          <w:fldChar w:fldCharType="begin"/>
        </w:r>
        <w:r>
          <w:instrText xml:space="preserve"> PAGE   \* MERGEFORMAT </w:instrText>
        </w:r>
        <w:r>
          <w:fldChar w:fldCharType="separate"/>
        </w:r>
        <w:r w:rsidR="008E02F9">
          <w:rPr>
            <w:noProof/>
          </w:rPr>
          <w:t>12</w:t>
        </w:r>
        <w:r>
          <w:rPr>
            <w:noProof/>
          </w:rPr>
          <w:fldChar w:fldCharType="end"/>
        </w:r>
      </w:p>
    </w:sdtContent>
  </w:sdt>
  <w:p w:rsidR="00583EEA" w:rsidRDefault="00583EEA" w:rsidP="001209FB">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EA" w:rsidRDefault="00583EEA" w:rsidP="00E40AD4">
    <w:pPr>
      <w:pStyle w:val="Footer"/>
      <w:tabs>
        <w:tab w:val="left" w:pos="6390"/>
      </w:tabs>
      <w:jc w:val="center"/>
    </w:pPr>
  </w:p>
  <w:p w:rsidR="00583EEA" w:rsidRDefault="00583E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F63" w:rsidRDefault="00017F63" w:rsidP="00AF2C92">
      <w:r>
        <w:separator/>
      </w:r>
    </w:p>
  </w:footnote>
  <w:footnote w:type="continuationSeparator" w:id="0">
    <w:p w:rsidR="00017F63" w:rsidRDefault="00017F63" w:rsidP="00AF2C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EA" w:rsidRPr="00A84C19" w:rsidRDefault="00583EEA" w:rsidP="00B23971">
    <w:pPr>
      <w:spacing w:line="240" w:lineRule="auto"/>
      <w:rPr>
        <w:rFonts w:asciiTheme="majorBidi" w:hAnsiTheme="majorBidi" w:cstheme="majorBidi"/>
        <w:sz w:val="22"/>
        <w:szCs w:val="22"/>
        <w:u w:val="single"/>
      </w:rPr>
    </w:pPr>
    <w:r w:rsidRPr="00A84C19">
      <w:rPr>
        <w:rFonts w:asciiTheme="majorBidi" w:hAnsiTheme="majorBidi" w:cstheme="majorBidi"/>
        <w:u w:val="single"/>
      </w:rPr>
      <w:t>Fadhel Juma Abbas</w:t>
    </w:r>
    <w:r w:rsidRPr="00A84C19">
      <w:rPr>
        <w:rFonts w:asciiTheme="majorBidi" w:hAnsiTheme="majorBidi" w:cstheme="majorBidi"/>
        <w:sz w:val="22"/>
        <w:szCs w:val="22"/>
        <w:u w:val="single"/>
      </w:rPr>
      <w:ptab w:relativeTo="margin" w:alignment="center" w:leader="none"/>
    </w:r>
    <w:r w:rsidRPr="00A84C19">
      <w:rPr>
        <w:rFonts w:asciiTheme="majorBidi" w:hAnsiTheme="majorBidi" w:cstheme="majorBidi"/>
        <w:sz w:val="22"/>
        <w:szCs w:val="22"/>
        <w:u w:val="single"/>
      </w:rPr>
      <w:ptab w:relativeTo="margin" w:alignment="right" w:leader="none"/>
    </w:r>
    <w:r w:rsidRPr="00A84C19">
      <w:rPr>
        <w:rFonts w:asciiTheme="majorBidi" w:hAnsiTheme="majorBidi" w:cstheme="majorBidi"/>
        <w:sz w:val="22"/>
        <w:szCs w:val="22"/>
        <w:u w:val="single"/>
      </w:rPr>
      <w:t xml:space="preserve">    Dissertation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5B219A"/>
    <w:multiLevelType w:val="hybridMultilevel"/>
    <w:tmpl w:val="61DCB56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7C6549A"/>
    <w:multiLevelType w:val="hybridMultilevel"/>
    <w:tmpl w:val="D30E36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5572F28"/>
    <w:multiLevelType w:val="hybridMultilevel"/>
    <w:tmpl w:val="44D4C5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05421F"/>
    <w:multiLevelType w:val="hybridMultilevel"/>
    <w:tmpl w:val="C44E64F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22"/>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9"/>
  </w:num>
  <w:num w:numId="14">
    <w:abstractNumId w:val="23"/>
  </w:num>
  <w:num w:numId="15">
    <w:abstractNumId w:val="15"/>
  </w:num>
  <w:num w:numId="16">
    <w:abstractNumId w:val="18"/>
  </w:num>
  <w:num w:numId="17">
    <w:abstractNumId w:val="11"/>
  </w:num>
  <w:num w:numId="18">
    <w:abstractNumId w:val="0"/>
  </w:num>
  <w:num w:numId="19">
    <w:abstractNumId w:val="12"/>
  </w:num>
  <w:num w:numId="20">
    <w:abstractNumId w:val="23"/>
  </w:num>
  <w:num w:numId="21">
    <w:abstractNumId w:val="23"/>
  </w:num>
  <w:num w:numId="22">
    <w:abstractNumId w:val="23"/>
  </w:num>
  <w:num w:numId="23">
    <w:abstractNumId w:val="23"/>
  </w:num>
  <w:num w:numId="24">
    <w:abstractNumId w:val="19"/>
  </w:num>
  <w:num w:numId="25">
    <w:abstractNumId w:val="20"/>
  </w:num>
  <w:num w:numId="26">
    <w:abstractNumId w:val="24"/>
  </w:num>
  <w:num w:numId="27">
    <w:abstractNumId w:val="25"/>
  </w:num>
  <w:num w:numId="28">
    <w:abstractNumId w:val="23"/>
  </w:num>
  <w:num w:numId="29">
    <w:abstractNumId w:val="14"/>
  </w:num>
  <w:num w:numId="30">
    <w:abstractNumId w:val="27"/>
  </w:num>
  <w:num w:numId="31">
    <w:abstractNumId w:val="17"/>
  </w:num>
  <w:num w:numId="32">
    <w:abstractNumId w:val="26"/>
  </w:num>
  <w:num w:numId="33">
    <w:abstractNumId w:val="13"/>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C3MDM3szA2MzQxMzVQ0lEKTi0uzszPAykwrAUAd5LSgSwAAAA="/>
  </w:docVars>
  <w:rsids>
    <w:rsidRoot w:val="00F06458"/>
    <w:rsid w:val="000006A8"/>
    <w:rsid w:val="000006EE"/>
    <w:rsid w:val="00000C41"/>
    <w:rsid w:val="00000DB1"/>
    <w:rsid w:val="000012F1"/>
    <w:rsid w:val="00001899"/>
    <w:rsid w:val="00001BA9"/>
    <w:rsid w:val="00003479"/>
    <w:rsid w:val="00003530"/>
    <w:rsid w:val="00003B22"/>
    <w:rsid w:val="0000490A"/>
    <w:rsid w:val="000049AD"/>
    <w:rsid w:val="00005E84"/>
    <w:rsid w:val="00005E96"/>
    <w:rsid w:val="00006037"/>
    <w:rsid w:val="000066C4"/>
    <w:rsid w:val="0000681B"/>
    <w:rsid w:val="000070B7"/>
    <w:rsid w:val="00007C7E"/>
    <w:rsid w:val="0001150E"/>
    <w:rsid w:val="000120D0"/>
    <w:rsid w:val="00012C07"/>
    <w:rsid w:val="000133C0"/>
    <w:rsid w:val="000133FE"/>
    <w:rsid w:val="000134DA"/>
    <w:rsid w:val="00014B8C"/>
    <w:rsid w:val="00014C4E"/>
    <w:rsid w:val="00015481"/>
    <w:rsid w:val="00015ABE"/>
    <w:rsid w:val="00015B09"/>
    <w:rsid w:val="00017107"/>
    <w:rsid w:val="00017299"/>
    <w:rsid w:val="00017E73"/>
    <w:rsid w:val="00017EF6"/>
    <w:rsid w:val="00017F63"/>
    <w:rsid w:val="000202E2"/>
    <w:rsid w:val="000206C7"/>
    <w:rsid w:val="000209F3"/>
    <w:rsid w:val="00020DBD"/>
    <w:rsid w:val="00022441"/>
    <w:rsid w:val="0002261E"/>
    <w:rsid w:val="00023AF4"/>
    <w:rsid w:val="00024252"/>
    <w:rsid w:val="00024839"/>
    <w:rsid w:val="00025081"/>
    <w:rsid w:val="00025716"/>
    <w:rsid w:val="00025BBB"/>
    <w:rsid w:val="00026003"/>
    <w:rsid w:val="000263AA"/>
    <w:rsid w:val="00026608"/>
    <w:rsid w:val="000266C8"/>
    <w:rsid w:val="00026871"/>
    <w:rsid w:val="0002694B"/>
    <w:rsid w:val="00027186"/>
    <w:rsid w:val="0002720A"/>
    <w:rsid w:val="000275B6"/>
    <w:rsid w:val="00027BD0"/>
    <w:rsid w:val="00027E76"/>
    <w:rsid w:val="00030BC2"/>
    <w:rsid w:val="0003129B"/>
    <w:rsid w:val="00031ADB"/>
    <w:rsid w:val="00031D1D"/>
    <w:rsid w:val="00032752"/>
    <w:rsid w:val="000339DA"/>
    <w:rsid w:val="00034178"/>
    <w:rsid w:val="00034DCF"/>
    <w:rsid w:val="0003540F"/>
    <w:rsid w:val="00035FE5"/>
    <w:rsid w:val="00036043"/>
    <w:rsid w:val="00036260"/>
    <w:rsid w:val="0003633C"/>
    <w:rsid w:val="00036656"/>
    <w:rsid w:val="000377B8"/>
    <w:rsid w:val="00037A98"/>
    <w:rsid w:val="000427FB"/>
    <w:rsid w:val="00042935"/>
    <w:rsid w:val="000429AE"/>
    <w:rsid w:val="00043A64"/>
    <w:rsid w:val="0004455E"/>
    <w:rsid w:val="00044839"/>
    <w:rsid w:val="0004633D"/>
    <w:rsid w:val="000474F4"/>
    <w:rsid w:val="00047CB5"/>
    <w:rsid w:val="00047CBB"/>
    <w:rsid w:val="000500B0"/>
    <w:rsid w:val="000504F4"/>
    <w:rsid w:val="00050925"/>
    <w:rsid w:val="00050937"/>
    <w:rsid w:val="00050BB4"/>
    <w:rsid w:val="000519D9"/>
    <w:rsid w:val="00051FAA"/>
    <w:rsid w:val="000524DD"/>
    <w:rsid w:val="000525D3"/>
    <w:rsid w:val="00053126"/>
    <w:rsid w:val="00053544"/>
    <w:rsid w:val="0005375E"/>
    <w:rsid w:val="00053FC3"/>
    <w:rsid w:val="00053FDE"/>
    <w:rsid w:val="000548F5"/>
    <w:rsid w:val="00054EE6"/>
    <w:rsid w:val="0005517D"/>
    <w:rsid w:val="00055D40"/>
    <w:rsid w:val="000572A9"/>
    <w:rsid w:val="00057C84"/>
    <w:rsid w:val="00060F98"/>
    <w:rsid w:val="0006110D"/>
    <w:rsid w:val="00061136"/>
    <w:rsid w:val="00061325"/>
    <w:rsid w:val="00061B0F"/>
    <w:rsid w:val="00061DEB"/>
    <w:rsid w:val="00062708"/>
    <w:rsid w:val="00062C77"/>
    <w:rsid w:val="00063AD5"/>
    <w:rsid w:val="00063B6C"/>
    <w:rsid w:val="000643D6"/>
    <w:rsid w:val="00064831"/>
    <w:rsid w:val="00064AC4"/>
    <w:rsid w:val="0006575F"/>
    <w:rsid w:val="00065936"/>
    <w:rsid w:val="0006621E"/>
    <w:rsid w:val="00067168"/>
    <w:rsid w:val="0006769E"/>
    <w:rsid w:val="00067CBC"/>
    <w:rsid w:val="00070454"/>
    <w:rsid w:val="000704D8"/>
    <w:rsid w:val="00070A0A"/>
    <w:rsid w:val="00070A3C"/>
    <w:rsid w:val="00072004"/>
    <w:rsid w:val="000723AC"/>
    <w:rsid w:val="00072472"/>
    <w:rsid w:val="00072757"/>
    <w:rsid w:val="00072A3B"/>
    <w:rsid w:val="000733AC"/>
    <w:rsid w:val="0007340C"/>
    <w:rsid w:val="0007345B"/>
    <w:rsid w:val="00074957"/>
    <w:rsid w:val="00074B81"/>
    <w:rsid w:val="00074D22"/>
    <w:rsid w:val="00074E66"/>
    <w:rsid w:val="00075081"/>
    <w:rsid w:val="0007528A"/>
    <w:rsid w:val="000753B6"/>
    <w:rsid w:val="000753DD"/>
    <w:rsid w:val="0007551D"/>
    <w:rsid w:val="00075BA6"/>
    <w:rsid w:val="00075E90"/>
    <w:rsid w:val="00076470"/>
    <w:rsid w:val="00076660"/>
    <w:rsid w:val="00076EDF"/>
    <w:rsid w:val="00077CF5"/>
    <w:rsid w:val="000811AB"/>
    <w:rsid w:val="0008123A"/>
    <w:rsid w:val="00081637"/>
    <w:rsid w:val="00082F73"/>
    <w:rsid w:val="00083C51"/>
    <w:rsid w:val="00083C5F"/>
    <w:rsid w:val="00084354"/>
    <w:rsid w:val="0008473A"/>
    <w:rsid w:val="000855B6"/>
    <w:rsid w:val="000855CB"/>
    <w:rsid w:val="000861CA"/>
    <w:rsid w:val="00086CA6"/>
    <w:rsid w:val="00087AD6"/>
    <w:rsid w:val="000906A0"/>
    <w:rsid w:val="000906F1"/>
    <w:rsid w:val="0009154D"/>
    <w:rsid w:val="0009172C"/>
    <w:rsid w:val="00092574"/>
    <w:rsid w:val="0009299C"/>
    <w:rsid w:val="00092CB3"/>
    <w:rsid w:val="00092D6F"/>
    <w:rsid w:val="000930EC"/>
    <w:rsid w:val="00093A45"/>
    <w:rsid w:val="000954A3"/>
    <w:rsid w:val="00095760"/>
    <w:rsid w:val="00095D5D"/>
    <w:rsid w:val="00095DC2"/>
    <w:rsid w:val="00095E61"/>
    <w:rsid w:val="000966C1"/>
    <w:rsid w:val="00096E56"/>
    <w:rsid w:val="000970AC"/>
    <w:rsid w:val="00097DB4"/>
    <w:rsid w:val="000A0F65"/>
    <w:rsid w:val="000A1167"/>
    <w:rsid w:val="000A15DE"/>
    <w:rsid w:val="000A1896"/>
    <w:rsid w:val="000A1D43"/>
    <w:rsid w:val="000A1E3A"/>
    <w:rsid w:val="000A272E"/>
    <w:rsid w:val="000A2C2F"/>
    <w:rsid w:val="000A2DD8"/>
    <w:rsid w:val="000A388D"/>
    <w:rsid w:val="000A3B75"/>
    <w:rsid w:val="000A3FCC"/>
    <w:rsid w:val="000A403A"/>
    <w:rsid w:val="000A4428"/>
    <w:rsid w:val="000A478E"/>
    <w:rsid w:val="000A4B83"/>
    <w:rsid w:val="000A4EED"/>
    <w:rsid w:val="000A5115"/>
    <w:rsid w:val="000A61FA"/>
    <w:rsid w:val="000A6337"/>
    <w:rsid w:val="000A6B5D"/>
    <w:rsid w:val="000A6D40"/>
    <w:rsid w:val="000A7852"/>
    <w:rsid w:val="000A7BC3"/>
    <w:rsid w:val="000B0485"/>
    <w:rsid w:val="000B0C8D"/>
    <w:rsid w:val="000B1661"/>
    <w:rsid w:val="000B1BCA"/>
    <w:rsid w:val="000B1EAE"/>
    <w:rsid w:val="000B1F0B"/>
    <w:rsid w:val="000B2DEE"/>
    <w:rsid w:val="000B2E88"/>
    <w:rsid w:val="000B30D8"/>
    <w:rsid w:val="000B4603"/>
    <w:rsid w:val="000B4E6D"/>
    <w:rsid w:val="000B4EE9"/>
    <w:rsid w:val="000B5014"/>
    <w:rsid w:val="000B6580"/>
    <w:rsid w:val="000B75C8"/>
    <w:rsid w:val="000B7812"/>
    <w:rsid w:val="000B7C66"/>
    <w:rsid w:val="000C09BE"/>
    <w:rsid w:val="000C1380"/>
    <w:rsid w:val="000C140E"/>
    <w:rsid w:val="000C276F"/>
    <w:rsid w:val="000C2B01"/>
    <w:rsid w:val="000C2C10"/>
    <w:rsid w:val="000C3D0B"/>
    <w:rsid w:val="000C425C"/>
    <w:rsid w:val="000C42C3"/>
    <w:rsid w:val="000C430C"/>
    <w:rsid w:val="000C554F"/>
    <w:rsid w:val="000C60B8"/>
    <w:rsid w:val="000C7AD3"/>
    <w:rsid w:val="000C7FC3"/>
    <w:rsid w:val="000D0C8A"/>
    <w:rsid w:val="000D0DC5"/>
    <w:rsid w:val="000D0E20"/>
    <w:rsid w:val="000D15FF"/>
    <w:rsid w:val="000D1B57"/>
    <w:rsid w:val="000D1C57"/>
    <w:rsid w:val="000D260D"/>
    <w:rsid w:val="000D26EF"/>
    <w:rsid w:val="000D28DF"/>
    <w:rsid w:val="000D2936"/>
    <w:rsid w:val="000D2D3F"/>
    <w:rsid w:val="000D325D"/>
    <w:rsid w:val="000D34E6"/>
    <w:rsid w:val="000D385F"/>
    <w:rsid w:val="000D3C9A"/>
    <w:rsid w:val="000D479D"/>
    <w:rsid w:val="000D47DD"/>
    <w:rsid w:val="000D4882"/>
    <w:rsid w:val="000D488B"/>
    <w:rsid w:val="000D491D"/>
    <w:rsid w:val="000D6362"/>
    <w:rsid w:val="000D6381"/>
    <w:rsid w:val="000D68DF"/>
    <w:rsid w:val="000D6BDD"/>
    <w:rsid w:val="000D7419"/>
    <w:rsid w:val="000D784B"/>
    <w:rsid w:val="000D79F4"/>
    <w:rsid w:val="000E099F"/>
    <w:rsid w:val="000E0CF3"/>
    <w:rsid w:val="000E0DD5"/>
    <w:rsid w:val="000E0E34"/>
    <w:rsid w:val="000E10D8"/>
    <w:rsid w:val="000E138D"/>
    <w:rsid w:val="000E187A"/>
    <w:rsid w:val="000E293B"/>
    <w:rsid w:val="000E2A88"/>
    <w:rsid w:val="000E2BB7"/>
    <w:rsid w:val="000E2D61"/>
    <w:rsid w:val="000E37DB"/>
    <w:rsid w:val="000E4136"/>
    <w:rsid w:val="000E4298"/>
    <w:rsid w:val="000E450E"/>
    <w:rsid w:val="000E4B69"/>
    <w:rsid w:val="000E5E07"/>
    <w:rsid w:val="000E6259"/>
    <w:rsid w:val="000E63E1"/>
    <w:rsid w:val="000E63FD"/>
    <w:rsid w:val="000E649C"/>
    <w:rsid w:val="000F01D8"/>
    <w:rsid w:val="000F04F1"/>
    <w:rsid w:val="000F071C"/>
    <w:rsid w:val="000F0FC9"/>
    <w:rsid w:val="000F1F04"/>
    <w:rsid w:val="000F29AB"/>
    <w:rsid w:val="000F2E6A"/>
    <w:rsid w:val="000F3733"/>
    <w:rsid w:val="000F3827"/>
    <w:rsid w:val="000F40A7"/>
    <w:rsid w:val="000F4677"/>
    <w:rsid w:val="000F4BF4"/>
    <w:rsid w:val="000F5BE0"/>
    <w:rsid w:val="000F6714"/>
    <w:rsid w:val="000F71C5"/>
    <w:rsid w:val="000F7341"/>
    <w:rsid w:val="000F77E4"/>
    <w:rsid w:val="0010019C"/>
    <w:rsid w:val="00100587"/>
    <w:rsid w:val="00100D7D"/>
    <w:rsid w:val="00100EBB"/>
    <w:rsid w:val="0010284E"/>
    <w:rsid w:val="00103122"/>
    <w:rsid w:val="0010336A"/>
    <w:rsid w:val="0010351A"/>
    <w:rsid w:val="00103FEB"/>
    <w:rsid w:val="001050F1"/>
    <w:rsid w:val="00105A74"/>
    <w:rsid w:val="00105AEA"/>
    <w:rsid w:val="00105F79"/>
    <w:rsid w:val="001069CA"/>
    <w:rsid w:val="00106DAF"/>
    <w:rsid w:val="001101F9"/>
    <w:rsid w:val="00111B1E"/>
    <w:rsid w:val="00113095"/>
    <w:rsid w:val="00114A34"/>
    <w:rsid w:val="00114ABE"/>
    <w:rsid w:val="00114FA7"/>
    <w:rsid w:val="00115178"/>
    <w:rsid w:val="00115E33"/>
    <w:rsid w:val="00116023"/>
    <w:rsid w:val="0011644D"/>
    <w:rsid w:val="001164B8"/>
    <w:rsid w:val="001171E5"/>
    <w:rsid w:val="001176E3"/>
    <w:rsid w:val="001208B8"/>
    <w:rsid w:val="001209FB"/>
    <w:rsid w:val="00120AE8"/>
    <w:rsid w:val="00120DCA"/>
    <w:rsid w:val="001217D4"/>
    <w:rsid w:val="00121832"/>
    <w:rsid w:val="00122535"/>
    <w:rsid w:val="00122E28"/>
    <w:rsid w:val="0012312C"/>
    <w:rsid w:val="0012472E"/>
    <w:rsid w:val="001249F1"/>
    <w:rsid w:val="0012516D"/>
    <w:rsid w:val="001254A7"/>
    <w:rsid w:val="001259A4"/>
    <w:rsid w:val="00125D60"/>
    <w:rsid w:val="001261CB"/>
    <w:rsid w:val="00126CA4"/>
    <w:rsid w:val="00126D1E"/>
    <w:rsid w:val="001270D7"/>
    <w:rsid w:val="0012716D"/>
    <w:rsid w:val="001274B9"/>
    <w:rsid w:val="00127BEA"/>
    <w:rsid w:val="001300DB"/>
    <w:rsid w:val="001311EE"/>
    <w:rsid w:val="001316F1"/>
    <w:rsid w:val="00131880"/>
    <w:rsid w:val="00131F15"/>
    <w:rsid w:val="00131F1C"/>
    <w:rsid w:val="0013271F"/>
    <w:rsid w:val="00134797"/>
    <w:rsid w:val="001348F0"/>
    <w:rsid w:val="00134A51"/>
    <w:rsid w:val="00134BBC"/>
    <w:rsid w:val="00134E21"/>
    <w:rsid w:val="00134EE7"/>
    <w:rsid w:val="00135414"/>
    <w:rsid w:val="00135551"/>
    <w:rsid w:val="00135F5B"/>
    <w:rsid w:val="00136DAA"/>
    <w:rsid w:val="00137729"/>
    <w:rsid w:val="001402A5"/>
    <w:rsid w:val="00140727"/>
    <w:rsid w:val="001416BB"/>
    <w:rsid w:val="001419D8"/>
    <w:rsid w:val="001420D1"/>
    <w:rsid w:val="00142DE6"/>
    <w:rsid w:val="001435D2"/>
    <w:rsid w:val="0014377E"/>
    <w:rsid w:val="00143B79"/>
    <w:rsid w:val="00143E97"/>
    <w:rsid w:val="001441A7"/>
    <w:rsid w:val="001453DA"/>
    <w:rsid w:val="0014561F"/>
    <w:rsid w:val="00145E43"/>
    <w:rsid w:val="001461F3"/>
    <w:rsid w:val="00146208"/>
    <w:rsid w:val="00146239"/>
    <w:rsid w:val="00146447"/>
    <w:rsid w:val="00146586"/>
    <w:rsid w:val="00146867"/>
    <w:rsid w:val="001472A3"/>
    <w:rsid w:val="001472EF"/>
    <w:rsid w:val="00147756"/>
    <w:rsid w:val="00147D14"/>
    <w:rsid w:val="001503E6"/>
    <w:rsid w:val="00151938"/>
    <w:rsid w:val="001530E0"/>
    <w:rsid w:val="00153B10"/>
    <w:rsid w:val="001544D6"/>
    <w:rsid w:val="00154511"/>
    <w:rsid w:val="0015477C"/>
    <w:rsid w:val="00154F5A"/>
    <w:rsid w:val="00155888"/>
    <w:rsid w:val="001559D3"/>
    <w:rsid w:val="00156285"/>
    <w:rsid w:val="0015664C"/>
    <w:rsid w:val="00157CB7"/>
    <w:rsid w:val="00157FA5"/>
    <w:rsid w:val="00160628"/>
    <w:rsid w:val="00160975"/>
    <w:rsid w:val="0016130A"/>
    <w:rsid w:val="00161344"/>
    <w:rsid w:val="00161A12"/>
    <w:rsid w:val="00161A82"/>
    <w:rsid w:val="00162195"/>
    <w:rsid w:val="0016231D"/>
    <w:rsid w:val="00162E99"/>
    <w:rsid w:val="00163024"/>
    <w:rsid w:val="0016312E"/>
    <w:rsid w:val="0016322A"/>
    <w:rsid w:val="00163E75"/>
    <w:rsid w:val="001642B2"/>
    <w:rsid w:val="001643B4"/>
    <w:rsid w:val="001646CE"/>
    <w:rsid w:val="00164C78"/>
    <w:rsid w:val="00164D04"/>
    <w:rsid w:val="001658FD"/>
    <w:rsid w:val="00165A21"/>
    <w:rsid w:val="00166D18"/>
    <w:rsid w:val="001670DA"/>
    <w:rsid w:val="001679C5"/>
    <w:rsid w:val="00167B00"/>
    <w:rsid w:val="00167C5C"/>
    <w:rsid w:val="001705CE"/>
    <w:rsid w:val="00170754"/>
    <w:rsid w:val="001717A9"/>
    <w:rsid w:val="00171840"/>
    <w:rsid w:val="001722E1"/>
    <w:rsid w:val="001728EF"/>
    <w:rsid w:val="00173442"/>
    <w:rsid w:val="001735A6"/>
    <w:rsid w:val="00173F18"/>
    <w:rsid w:val="00174C42"/>
    <w:rsid w:val="00174FA4"/>
    <w:rsid w:val="001757BC"/>
    <w:rsid w:val="00176172"/>
    <w:rsid w:val="001761B8"/>
    <w:rsid w:val="00176A04"/>
    <w:rsid w:val="0017714B"/>
    <w:rsid w:val="00177468"/>
    <w:rsid w:val="00177EA1"/>
    <w:rsid w:val="001804DF"/>
    <w:rsid w:val="00180C22"/>
    <w:rsid w:val="00181BDC"/>
    <w:rsid w:val="00181DB0"/>
    <w:rsid w:val="001825F0"/>
    <w:rsid w:val="0018299E"/>
    <w:rsid w:val="001829E3"/>
    <w:rsid w:val="00182AA8"/>
    <w:rsid w:val="001831AF"/>
    <w:rsid w:val="00183272"/>
    <w:rsid w:val="00183B3B"/>
    <w:rsid w:val="00184CD5"/>
    <w:rsid w:val="0018519F"/>
    <w:rsid w:val="00185BFF"/>
    <w:rsid w:val="001862B6"/>
    <w:rsid w:val="0018686F"/>
    <w:rsid w:val="00186BE2"/>
    <w:rsid w:val="0018709C"/>
    <w:rsid w:val="001875DB"/>
    <w:rsid w:val="0018774F"/>
    <w:rsid w:val="00190217"/>
    <w:rsid w:val="00190B28"/>
    <w:rsid w:val="00191A4D"/>
    <w:rsid w:val="001924C0"/>
    <w:rsid w:val="00193A74"/>
    <w:rsid w:val="0019471A"/>
    <w:rsid w:val="00194D28"/>
    <w:rsid w:val="00194EE0"/>
    <w:rsid w:val="001956A1"/>
    <w:rsid w:val="001960B3"/>
    <w:rsid w:val="0019692C"/>
    <w:rsid w:val="00197032"/>
    <w:rsid w:val="00197095"/>
    <w:rsid w:val="0019731E"/>
    <w:rsid w:val="00197A77"/>
    <w:rsid w:val="001A09FE"/>
    <w:rsid w:val="001A1391"/>
    <w:rsid w:val="001A16D3"/>
    <w:rsid w:val="001A21D3"/>
    <w:rsid w:val="001A24EF"/>
    <w:rsid w:val="001A2992"/>
    <w:rsid w:val="001A2A86"/>
    <w:rsid w:val="001A41DE"/>
    <w:rsid w:val="001A4231"/>
    <w:rsid w:val="001A4F5B"/>
    <w:rsid w:val="001A52DF"/>
    <w:rsid w:val="001A58DC"/>
    <w:rsid w:val="001A5A65"/>
    <w:rsid w:val="001A5B2B"/>
    <w:rsid w:val="001A67C9"/>
    <w:rsid w:val="001A6903"/>
    <w:rsid w:val="001A6926"/>
    <w:rsid w:val="001A69DE"/>
    <w:rsid w:val="001A713C"/>
    <w:rsid w:val="001A751C"/>
    <w:rsid w:val="001B0260"/>
    <w:rsid w:val="001B0559"/>
    <w:rsid w:val="001B14FB"/>
    <w:rsid w:val="001B1C7C"/>
    <w:rsid w:val="001B1E51"/>
    <w:rsid w:val="001B2115"/>
    <w:rsid w:val="001B398F"/>
    <w:rsid w:val="001B46C6"/>
    <w:rsid w:val="001B4B48"/>
    <w:rsid w:val="001B4D1F"/>
    <w:rsid w:val="001B530E"/>
    <w:rsid w:val="001B560A"/>
    <w:rsid w:val="001B5BAE"/>
    <w:rsid w:val="001B5C3D"/>
    <w:rsid w:val="001B7681"/>
    <w:rsid w:val="001B7840"/>
    <w:rsid w:val="001B7CAE"/>
    <w:rsid w:val="001B7D22"/>
    <w:rsid w:val="001C00EF"/>
    <w:rsid w:val="001C0772"/>
    <w:rsid w:val="001C0808"/>
    <w:rsid w:val="001C0A93"/>
    <w:rsid w:val="001C0CAD"/>
    <w:rsid w:val="001C0CFB"/>
    <w:rsid w:val="001C0D4F"/>
    <w:rsid w:val="001C0DB4"/>
    <w:rsid w:val="001C0EA1"/>
    <w:rsid w:val="001C1BA3"/>
    <w:rsid w:val="001C1DEC"/>
    <w:rsid w:val="001C268E"/>
    <w:rsid w:val="001C278A"/>
    <w:rsid w:val="001C30B8"/>
    <w:rsid w:val="001C316A"/>
    <w:rsid w:val="001C3AC0"/>
    <w:rsid w:val="001C3BED"/>
    <w:rsid w:val="001C4CCB"/>
    <w:rsid w:val="001C5060"/>
    <w:rsid w:val="001C5299"/>
    <w:rsid w:val="001C5385"/>
    <w:rsid w:val="001C55AF"/>
    <w:rsid w:val="001C5736"/>
    <w:rsid w:val="001C636A"/>
    <w:rsid w:val="001C6C0B"/>
    <w:rsid w:val="001C7201"/>
    <w:rsid w:val="001C7271"/>
    <w:rsid w:val="001C76DC"/>
    <w:rsid w:val="001D0064"/>
    <w:rsid w:val="001D085A"/>
    <w:rsid w:val="001D0948"/>
    <w:rsid w:val="001D0B42"/>
    <w:rsid w:val="001D0D42"/>
    <w:rsid w:val="001D0D71"/>
    <w:rsid w:val="001D135D"/>
    <w:rsid w:val="001D1967"/>
    <w:rsid w:val="001D33EE"/>
    <w:rsid w:val="001D48D7"/>
    <w:rsid w:val="001D5E77"/>
    <w:rsid w:val="001D5F41"/>
    <w:rsid w:val="001D647F"/>
    <w:rsid w:val="001D6857"/>
    <w:rsid w:val="001D74D0"/>
    <w:rsid w:val="001D7DF3"/>
    <w:rsid w:val="001E0501"/>
    <w:rsid w:val="001E0572"/>
    <w:rsid w:val="001E0676"/>
    <w:rsid w:val="001E07F7"/>
    <w:rsid w:val="001E0923"/>
    <w:rsid w:val="001E09F1"/>
    <w:rsid w:val="001E0A67"/>
    <w:rsid w:val="001E1028"/>
    <w:rsid w:val="001E10F3"/>
    <w:rsid w:val="001E14E2"/>
    <w:rsid w:val="001E16E1"/>
    <w:rsid w:val="001E2B87"/>
    <w:rsid w:val="001E2E24"/>
    <w:rsid w:val="001E3474"/>
    <w:rsid w:val="001E3E6B"/>
    <w:rsid w:val="001E4C19"/>
    <w:rsid w:val="001E591E"/>
    <w:rsid w:val="001E6228"/>
    <w:rsid w:val="001E6302"/>
    <w:rsid w:val="001E6352"/>
    <w:rsid w:val="001E6617"/>
    <w:rsid w:val="001E67EB"/>
    <w:rsid w:val="001E6811"/>
    <w:rsid w:val="001E694D"/>
    <w:rsid w:val="001E79A3"/>
    <w:rsid w:val="001E7DCB"/>
    <w:rsid w:val="001F0289"/>
    <w:rsid w:val="001F06E9"/>
    <w:rsid w:val="001F09A1"/>
    <w:rsid w:val="001F1175"/>
    <w:rsid w:val="001F2649"/>
    <w:rsid w:val="001F27DC"/>
    <w:rsid w:val="001F2830"/>
    <w:rsid w:val="001F2C99"/>
    <w:rsid w:val="001F2CA9"/>
    <w:rsid w:val="001F319A"/>
    <w:rsid w:val="001F3249"/>
    <w:rsid w:val="001F3258"/>
    <w:rsid w:val="001F3411"/>
    <w:rsid w:val="001F362B"/>
    <w:rsid w:val="001F36C7"/>
    <w:rsid w:val="001F3734"/>
    <w:rsid w:val="001F4287"/>
    <w:rsid w:val="001F4422"/>
    <w:rsid w:val="001F4C1D"/>
    <w:rsid w:val="001F4DBA"/>
    <w:rsid w:val="001F5FA9"/>
    <w:rsid w:val="001F622E"/>
    <w:rsid w:val="001F64AA"/>
    <w:rsid w:val="001F6538"/>
    <w:rsid w:val="001F676E"/>
    <w:rsid w:val="001F768C"/>
    <w:rsid w:val="002002D3"/>
    <w:rsid w:val="0020083C"/>
    <w:rsid w:val="00200AAC"/>
    <w:rsid w:val="002018C6"/>
    <w:rsid w:val="00201B68"/>
    <w:rsid w:val="00202022"/>
    <w:rsid w:val="0020262D"/>
    <w:rsid w:val="00202710"/>
    <w:rsid w:val="002028AA"/>
    <w:rsid w:val="00202D80"/>
    <w:rsid w:val="00203336"/>
    <w:rsid w:val="00203D99"/>
    <w:rsid w:val="0020415E"/>
    <w:rsid w:val="0020427F"/>
    <w:rsid w:val="00204FF4"/>
    <w:rsid w:val="002068D1"/>
    <w:rsid w:val="00206AC6"/>
    <w:rsid w:val="00206CF3"/>
    <w:rsid w:val="00207369"/>
    <w:rsid w:val="00207595"/>
    <w:rsid w:val="0020773B"/>
    <w:rsid w:val="00207CD5"/>
    <w:rsid w:val="0021056E"/>
    <w:rsid w:val="0021075D"/>
    <w:rsid w:val="00210DAA"/>
    <w:rsid w:val="002111FA"/>
    <w:rsid w:val="0021165A"/>
    <w:rsid w:val="00211BC9"/>
    <w:rsid w:val="0021227B"/>
    <w:rsid w:val="002122FA"/>
    <w:rsid w:val="0021597B"/>
    <w:rsid w:val="002160C5"/>
    <w:rsid w:val="0021617F"/>
    <w:rsid w:val="0021620C"/>
    <w:rsid w:val="002165B4"/>
    <w:rsid w:val="002167AC"/>
    <w:rsid w:val="00216E78"/>
    <w:rsid w:val="00216F87"/>
    <w:rsid w:val="00217275"/>
    <w:rsid w:val="002175DB"/>
    <w:rsid w:val="00217942"/>
    <w:rsid w:val="00217BF8"/>
    <w:rsid w:val="00217EAF"/>
    <w:rsid w:val="00217F39"/>
    <w:rsid w:val="002203F0"/>
    <w:rsid w:val="00220818"/>
    <w:rsid w:val="00220A41"/>
    <w:rsid w:val="00221886"/>
    <w:rsid w:val="00221A0C"/>
    <w:rsid w:val="00222BDB"/>
    <w:rsid w:val="0022337B"/>
    <w:rsid w:val="00223C3F"/>
    <w:rsid w:val="00224196"/>
    <w:rsid w:val="0022489C"/>
    <w:rsid w:val="00225B52"/>
    <w:rsid w:val="0022635E"/>
    <w:rsid w:val="0022672A"/>
    <w:rsid w:val="0022779A"/>
    <w:rsid w:val="00227829"/>
    <w:rsid w:val="00227B9A"/>
    <w:rsid w:val="002309BE"/>
    <w:rsid w:val="00231A1E"/>
    <w:rsid w:val="00231F9C"/>
    <w:rsid w:val="0023275B"/>
    <w:rsid w:val="0023354B"/>
    <w:rsid w:val="00234126"/>
    <w:rsid w:val="00234C5B"/>
    <w:rsid w:val="00235474"/>
    <w:rsid w:val="00236974"/>
    <w:rsid w:val="00236DDD"/>
    <w:rsid w:val="00236F4B"/>
    <w:rsid w:val="0024175A"/>
    <w:rsid w:val="00241991"/>
    <w:rsid w:val="00241CB8"/>
    <w:rsid w:val="002427AA"/>
    <w:rsid w:val="002428F4"/>
    <w:rsid w:val="00242B0D"/>
    <w:rsid w:val="00242B6F"/>
    <w:rsid w:val="00243648"/>
    <w:rsid w:val="002437ED"/>
    <w:rsid w:val="00243CB5"/>
    <w:rsid w:val="00243CC1"/>
    <w:rsid w:val="00243E95"/>
    <w:rsid w:val="0024441B"/>
    <w:rsid w:val="00244A60"/>
    <w:rsid w:val="002453F6"/>
    <w:rsid w:val="002454DE"/>
    <w:rsid w:val="0024661F"/>
    <w:rsid w:val="00246792"/>
    <w:rsid w:val="002467C6"/>
    <w:rsid w:val="0024692A"/>
    <w:rsid w:val="00247581"/>
    <w:rsid w:val="00247C40"/>
    <w:rsid w:val="00250060"/>
    <w:rsid w:val="00250D40"/>
    <w:rsid w:val="00250F63"/>
    <w:rsid w:val="00251665"/>
    <w:rsid w:val="00252BB6"/>
    <w:rsid w:val="00252BBA"/>
    <w:rsid w:val="00252EBE"/>
    <w:rsid w:val="00253123"/>
    <w:rsid w:val="00253552"/>
    <w:rsid w:val="00254364"/>
    <w:rsid w:val="0025502A"/>
    <w:rsid w:val="002551C4"/>
    <w:rsid w:val="00255633"/>
    <w:rsid w:val="00256314"/>
    <w:rsid w:val="002569C2"/>
    <w:rsid w:val="00257B79"/>
    <w:rsid w:val="0026023D"/>
    <w:rsid w:val="00260836"/>
    <w:rsid w:val="002613BC"/>
    <w:rsid w:val="002621D5"/>
    <w:rsid w:val="0026254D"/>
    <w:rsid w:val="002627EA"/>
    <w:rsid w:val="00263024"/>
    <w:rsid w:val="00264001"/>
    <w:rsid w:val="0026409F"/>
    <w:rsid w:val="002653E1"/>
    <w:rsid w:val="002653ED"/>
    <w:rsid w:val="00265E23"/>
    <w:rsid w:val="00266354"/>
    <w:rsid w:val="00266F43"/>
    <w:rsid w:val="00267245"/>
    <w:rsid w:val="00267A18"/>
    <w:rsid w:val="0027029E"/>
    <w:rsid w:val="0027112E"/>
    <w:rsid w:val="00271146"/>
    <w:rsid w:val="002723F6"/>
    <w:rsid w:val="0027249E"/>
    <w:rsid w:val="00272763"/>
    <w:rsid w:val="00272A74"/>
    <w:rsid w:val="00273462"/>
    <w:rsid w:val="0027395B"/>
    <w:rsid w:val="00274370"/>
    <w:rsid w:val="00274511"/>
    <w:rsid w:val="00275541"/>
    <w:rsid w:val="00275742"/>
    <w:rsid w:val="00275854"/>
    <w:rsid w:val="0027744E"/>
    <w:rsid w:val="00277BC8"/>
    <w:rsid w:val="002810BD"/>
    <w:rsid w:val="00281D27"/>
    <w:rsid w:val="00282299"/>
    <w:rsid w:val="00282454"/>
    <w:rsid w:val="00282674"/>
    <w:rsid w:val="00282F32"/>
    <w:rsid w:val="00283085"/>
    <w:rsid w:val="00283B41"/>
    <w:rsid w:val="00283CDF"/>
    <w:rsid w:val="00283FC8"/>
    <w:rsid w:val="00284AC9"/>
    <w:rsid w:val="00285398"/>
    <w:rsid w:val="00285F28"/>
    <w:rsid w:val="0028605E"/>
    <w:rsid w:val="00286398"/>
    <w:rsid w:val="00286582"/>
    <w:rsid w:val="00286A70"/>
    <w:rsid w:val="00286B40"/>
    <w:rsid w:val="00287AD6"/>
    <w:rsid w:val="00287EA9"/>
    <w:rsid w:val="00290274"/>
    <w:rsid w:val="00290537"/>
    <w:rsid w:val="002920B3"/>
    <w:rsid w:val="002924F8"/>
    <w:rsid w:val="002925CE"/>
    <w:rsid w:val="002958A8"/>
    <w:rsid w:val="002964B9"/>
    <w:rsid w:val="00297534"/>
    <w:rsid w:val="00297631"/>
    <w:rsid w:val="002A01A1"/>
    <w:rsid w:val="002A0433"/>
    <w:rsid w:val="002A285D"/>
    <w:rsid w:val="002A3C42"/>
    <w:rsid w:val="002A3E76"/>
    <w:rsid w:val="002A439F"/>
    <w:rsid w:val="002A4460"/>
    <w:rsid w:val="002A4BF1"/>
    <w:rsid w:val="002A5D75"/>
    <w:rsid w:val="002A6550"/>
    <w:rsid w:val="002A6864"/>
    <w:rsid w:val="002A6E19"/>
    <w:rsid w:val="002A6F44"/>
    <w:rsid w:val="002A71C1"/>
    <w:rsid w:val="002A7C57"/>
    <w:rsid w:val="002B0032"/>
    <w:rsid w:val="002B044E"/>
    <w:rsid w:val="002B10FC"/>
    <w:rsid w:val="002B1181"/>
    <w:rsid w:val="002B119A"/>
    <w:rsid w:val="002B1B0D"/>
    <w:rsid w:val="002B1B1A"/>
    <w:rsid w:val="002B1C86"/>
    <w:rsid w:val="002B1F47"/>
    <w:rsid w:val="002B2875"/>
    <w:rsid w:val="002B301B"/>
    <w:rsid w:val="002B3B3D"/>
    <w:rsid w:val="002B3BF3"/>
    <w:rsid w:val="002B3D2D"/>
    <w:rsid w:val="002B4409"/>
    <w:rsid w:val="002B4BBF"/>
    <w:rsid w:val="002B52DC"/>
    <w:rsid w:val="002B5C56"/>
    <w:rsid w:val="002B7228"/>
    <w:rsid w:val="002B7ED3"/>
    <w:rsid w:val="002C0AE5"/>
    <w:rsid w:val="002C33D6"/>
    <w:rsid w:val="002C4B47"/>
    <w:rsid w:val="002C53EE"/>
    <w:rsid w:val="002C5E1F"/>
    <w:rsid w:val="002C64A7"/>
    <w:rsid w:val="002C6933"/>
    <w:rsid w:val="002C6A8A"/>
    <w:rsid w:val="002C733B"/>
    <w:rsid w:val="002C7641"/>
    <w:rsid w:val="002C7C16"/>
    <w:rsid w:val="002D0CF7"/>
    <w:rsid w:val="002D13AA"/>
    <w:rsid w:val="002D1F70"/>
    <w:rsid w:val="002D24F7"/>
    <w:rsid w:val="002D2799"/>
    <w:rsid w:val="002D2CD7"/>
    <w:rsid w:val="002D2FBC"/>
    <w:rsid w:val="002D424A"/>
    <w:rsid w:val="002D476E"/>
    <w:rsid w:val="002D4DDC"/>
    <w:rsid w:val="002D4F75"/>
    <w:rsid w:val="002D5292"/>
    <w:rsid w:val="002D6493"/>
    <w:rsid w:val="002D6FAA"/>
    <w:rsid w:val="002D776C"/>
    <w:rsid w:val="002D7AB6"/>
    <w:rsid w:val="002E037E"/>
    <w:rsid w:val="002E06D0"/>
    <w:rsid w:val="002E1024"/>
    <w:rsid w:val="002E3439"/>
    <w:rsid w:val="002E39EA"/>
    <w:rsid w:val="002E3C27"/>
    <w:rsid w:val="002E403A"/>
    <w:rsid w:val="002E475A"/>
    <w:rsid w:val="002E49D7"/>
    <w:rsid w:val="002E4BAD"/>
    <w:rsid w:val="002E5FF1"/>
    <w:rsid w:val="002E6468"/>
    <w:rsid w:val="002E6597"/>
    <w:rsid w:val="002E6731"/>
    <w:rsid w:val="002E6D6D"/>
    <w:rsid w:val="002E74FC"/>
    <w:rsid w:val="002E780C"/>
    <w:rsid w:val="002E7F3A"/>
    <w:rsid w:val="002F13AF"/>
    <w:rsid w:val="002F255B"/>
    <w:rsid w:val="002F43F1"/>
    <w:rsid w:val="002F45A4"/>
    <w:rsid w:val="002F46A2"/>
    <w:rsid w:val="002F4EDB"/>
    <w:rsid w:val="002F5076"/>
    <w:rsid w:val="002F5704"/>
    <w:rsid w:val="002F5AB0"/>
    <w:rsid w:val="002F5ECB"/>
    <w:rsid w:val="002F6054"/>
    <w:rsid w:val="002F6518"/>
    <w:rsid w:val="002F6579"/>
    <w:rsid w:val="002F71FE"/>
    <w:rsid w:val="002F74E1"/>
    <w:rsid w:val="002F751C"/>
    <w:rsid w:val="00300356"/>
    <w:rsid w:val="003004CC"/>
    <w:rsid w:val="0030080E"/>
    <w:rsid w:val="00301635"/>
    <w:rsid w:val="00301B00"/>
    <w:rsid w:val="00302801"/>
    <w:rsid w:val="00302FE5"/>
    <w:rsid w:val="003044B4"/>
    <w:rsid w:val="00304C09"/>
    <w:rsid w:val="00305907"/>
    <w:rsid w:val="00305DAA"/>
    <w:rsid w:val="00306194"/>
    <w:rsid w:val="00306C57"/>
    <w:rsid w:val="00306E5D"/>
    <w:rsid w:val="003077D4"/>
    <w:rsid w:val="0031011B"/>
    <w:rsid w:val="003104B1"/>
    <w:rsid w:val="00310E13"/>
    <w:rsid w:val="00310E17"/>
    <w:rsid w:val="00311526"/>
    <w:rsid w:val="00311B3D"/>
    <w:rsid w:val="00311C16"/>
    <w:rsid w:val="003123E4"/>
    <w:rsid w:val="00313AF0"/>
    <w:rsid w:val="00313DAD"/>
    <w:rsid w:val="00315713"/>
    <w:rsid w:val="0031578E"/>
    <w:rsid w:val="003159A2"/>
    <w:rsid w:val="00315E98"/>
    <w:rsid w:val="00316073"/>
    <w:rsid w:val="0031686C"/>
    <w:rsid w:val="00316FE0"/>
    <w:rsid w:val="00317E6B"/>
    <w:rsid w:val="003204D2"/>
    <w:rsid w:val="0032200F"/>
    <w:rsid w:val="00323A55"/>
    <w:rsid w:val="00323BCD"/>
    <w:rsid w:val="003244E1"/>
    <w:rsid w:val="00324DCB"/>
    <w:rsid w:val="00325581"/>
    <w:rsid w:val="0032605E"/>
    <w:rsid w:val="0032634F"/>
    <w:rsid w:val="00326411"/>
    <w:rsid w:val="00326997"/>
    <w:rsid w:val="00326D29"/>
    <w:rsid w:val="003275D1"/>
    <w:rsid w:val="00327657"/>
    <w:rsid w:val="00327B4A"/>
    <w:rsid w:val="0033097E"/>
    <w:rsid w:val="00330B2A"/>
    <w:rsid w:val="00331E17"/>
    <w:rsid w:val="00332119"/>
    <w:rsid w:val="003325AF"/>
    <w:rsid w:val="00332F36"/>
    <w:rsid w:val="00333063"/>
    <w:rsid w:val="003331A9"/>
    <w:rsid w:val="00334084"/>
    <w:rsid w:val="003343CD"/>
    <w:rsid w:val="003350E4"/>
    <w:rsid w:val="003356BB"/>
    <w:rsid w:val="003357FC"/>
    <w:rsid w:val="00335A1F"/>
    <w:rsid w:val="00335C04"/>
    <w:rsid w:val="00336E69"/>
    <w:rsid w:val="003403FA"/>
    <w:rsid w:val="0034052F"/>
    <w:rsid w:val="00340875"/>
    <w:rsid w:val="003408E3"/>
    <w:rsid w:val="00340F5C"/>
    <w:rsid w:val="00341791"/>
    <w:rsid w:val="00342360"/>
    <w:rsid w:val="00343480"/>
    <w:rsid w:val="00343E04"/>
    <w:rsid w:val="0034400B"/>
    <w:rsid w:val="00344558"/>
    <w:rsid w:val="0034479D"/>
    <w:rsid w:val="00344C55"/>
    <w:rsid w:val="00344FC4"/>
    <w:rsid w:val="00345E89"/>
    <w:rsid w:val="0034791A"/>
    <w:rsid w:val="00351CBA"/>
    <w:rsid w:val="00352182"/>
    <w:rsid w:val="003522A1"/>
    <w:rsid w:val="0035254B"/>
    <w:rsid w:val="0035347C"/>
    <w:rsid w:val="0035348F"/>
    <w:rsid w:val="00353555"/>
    <w:rsid w:val="0035360E"/>
    <w:rsid w:val="0035452D"/>
    <w:rsid w:val="003555B2"/>
    <w:rsid w:val="00355625"/>
    <w:rsid w:val="003558E7"/>
    <w:rsid w:val="00355FD4"/>
    <w:rsid w:val="003565D4"/>
    <w:rsid w:val="00357B90"/>
    <w:rsid w:val="00357C95"/>
    <w:rsid w:val="00357F03"/>
    <w:rsid w:val="003607FB"/>
    <w:rsid w:val="0036092C"/>
    <w:rsid w:val="00360DEE"/>
    <w:rsid w:val="00360FD5"/>
    <w:rsid w:val="00361811"/>
    <w:rsid w:val="00361A93"/>
    <w:rsid w:val="00362051"/>
    <w:rsid w:val="003621F0"/>
    <w:rsid w:val="003627B7"/>
    <w:rsid w:val="0036340D"/>
    <w:rsid w:val="003634A5"/>
    <w:rsid w:val="003634B0"/>
    <w:rsid w:val="00364FE5"/>
    <w:rsid w:val="00365274"/>
    <w:rsid w:val="00365A9E"/>
    <w:rsid w:val="00365CEF"/>
    <w:rsid w:val="00365D52"/>
    <w:rsid w:val="00366868"/>
    <w:rsid w:val="00367506"/>
    <w:rsid w:val="00370085"/>
    <w:rsid w:val="003703BF"/>
    <w:rsid w:val="00370838"/>
    <w:rsid w:val="003708D6"/>
    <w:rsid w:val="0037136B"/>
    <w:rsid w:val="0037143E"/>
    <w:rsid w:val="00372157"/>
    <w:rsid w:val="00372286"/>
    <w:rsid w:val="00372452"/>
    <w:rsid w:val="0037245E"/>
    <w:rsid w:val="003736DB"/>
    <w:rsid w:val="0037392D"/>
    <w:rsid w:val="003744A7"/>
    <w:rsid w:val="00374DC9"/>
    <w:rsid w:val="00375D89"/>
    <w:rsid w:val="00376235"/>
    <w:rsid w:val="00380B65"/>
    <w:rsid w:val="00381152"/>
    <w:rsid w:val="0038144F"/>
    <w:rsid w:val="00381462"/>
    <w:rsid w:val="00381520"/>
    <w:rsid w:val="00381DED"/>
    <w:rsid w:val="00381FB6"/>
    <w:rsid w:val="00381FBE"/>
    <w:rsid w:val="003836D3"/>
    <w:rsid w:val="00383A1B"/>
    <w:rsid w:val="00383A52"/>
    <w:rsid w:val="00384825"/>
    <w:rsid w:val="00384B77"/>
    <w:rsid w:val="00385311"/>
    <w:rsid w:val="003854EB"/>
    <w:rsid w:val="003856CD"/>
    <w:rsid w:val="003857DE"/>
    <w:rsid w:val="00385EB7"/>
    <w:rsid w:val="003864DA"/>
    <w:rsid w:val="003866B0"/>
    <w:rsid w:val="00386D56"/>
    <w:rsid w:val="0038700B"/>
    <w:rsid w:val="00387252"/>
    <w:rsid w:val="003902B0"/>
    <w:rsid w:val="00390314"/>
    <w:rsid w:val="00390569"/>
    <w:rsid w:val="00390DEC"/>
    <w:rsid w:val="003913D2"/>
    <w:rsid w:val="00391652"/>
    <w:rsid w:val="00391BFC"/>
    <w:rsid w:val="00391DD4"/>
    <w:rsid w:val="00392812"/>
    <w:rsid w:val="003928BF"/>
    <w:rsid w:val="00392A40"/>
    <w:rsid w:val="00392F79"/>
    <w:rsid w:val="003932D2"/>
    <w:rsid w:val="00394BF3"/>
    <w:rsid w:val="0039507F"/>
    <w:rsid w:val="003951E8"/>
    <w:rsid w:val="0039552F"/>
    <w:rsid w:val="003959D4"/>
    <w:rsid w:val="00395E1B"/>
    <w:rsid w:val="00396C95"/>
    <w:rsid w:val="00396CC6"/>
    <w:rsid w:val="00397081"/>
    <w:rsid w:val="00397342"/>
    <w:rsid w:val="003976E4"/>
    <w:rsid w:val="003A0370"/>
    <w:rsid w:val="003A1260"/>
    <w:rsid w:val="003A1540"/>
    <w:rsid w:val="003A1B27"/>
    <w:rsid w:val="003A1C20"/>
    <w:rsid w:val="003A295F"/>
    <w:rsid w:val="003A29B2"/>
    <w:rsid w:val="003A2DA0"/>
    <w:rsid w:val="003A3B68"/>
    <w:rsid w:val="003A41DD"/>
    <w:rsid w:val="003A50ED"/>
    <w:rsid w:val="003A5D11"/>
    <w:rsid w:val="003A6936"/>
    <w:rsid w:val="003A6DA6"/>
    <w:rsid w:val="003A7033"/>
    <w:rsid w:val="003A7A77"/>
    <w:rsid w:val="003B0475"/>
    <w:rsid w:val="003B120B"/>
    <w:rsid w:val="003B253F"/>
    <w:rsid w:val="003B2907"/>
    <w:rsid w:val="003B2DEB"/>
    <w:rsid w:val="003B30C3"/>
    <w:rsid w:val="003B30DF"/>
    <w:rsid w:val="003B375B"/>
    <w:rsid w:val="003B47FE"/>
    <w:rsid w:val="003B4AD1"/>
    <w:rsid w:val="003B4E56"/>
    <w:rsid w:val="003B5019"/>
    <w:rsid w:val="003B5673"/>
    <w:rsid w:val="003B6062"/>
    <w:rsid w:val="003B6287"/>
    <w:rsid w:val="003B62C9"/>
    <w:rsid w:val="003B6B86"/>
    <w:rsid w:val="003B6C3B"/>
    <w:rsid w:val="003B766F"/>
    <w:rsid w:val="003B7DE5"/>
    <w:rsid w:val="003C1B54"/>
    <w:rsid w:val="003C1D12"/>
    <w:rsid w:val="003C21DC"/>
    <w:rsid w:val="003C2995"/>
    <w:rsid w:val="003C3FE5"/>
    <w:rsid w:val="003C4607"/>
    <w:rsid w:val="003C4FCC"/>
    <w:rsid w:val="003C5013"/>
    <w:rsid w:val="003C56A5"/>
    <w:rsid w:val="003C63E3"/>
    <w:rsid w:val="003C6685"/>
    <w:rsid w:val="003C713C"/>
    <w:rsid w:val="003C7176"/>
    <w:rsid w:val="003C738C"/>
    <w:rsid w:val="003D04B7"/>
    <w:rsid w:val="003D0929"/>
    <w:rsid w:val="003D10BF"/>
    <w:rsid w:val="003D15CC"/>
    <w:rsid w:val="003D1706"/>
    <w:rsid w:val="003D1A12"/>
    <w:rsid w:val="003D4729"/>
    <w:rsid w:val="003D4CD3"/>
    <w:rsid w:val="003D5B6D"/>
    <w:rsid w:val="003D5F96"/>
    <w:rsid w:val="003D6212"/>
    <w:rsid w:val="003D71E3"/>
    <w:rsid w:val="003D7256"/>
    <w:rsid w:val="003D7DD6"/>
    <w:rsid w:val="003E03A5"/>
    <w:rsid w:val="003E043C"/>
    <w:rsid w:val="003E0D11"/>
    <w:rsid w:val="003E0EA3"/>
    <w:rsid w:val="003E10D9"/>
    <w:rsid w:val="003E20D0"/>
    <w:rsid w:val="003E2422"/>
    <w:rsid w:val="003E3A66"/>
    <w:rsid w:val="003E4A7B"/>
    <w:rsid w:val="003E5A0D"/>
    <w:rsid w:val="003E5AAF"/>
    <w:rsid w:val="003E5F85"/>
    <w:rsid w:val="003E600D"/>
    <w:rsid w:val="003E62E3"/>
    <w:rsid w:val="003E641D"/>
    <w:rsid w:val="003E64DF"/>
    <w:rsid w:val="003E6A5D"/>
    <w:rsid w:val="003E6EBB"/>
    <w:rsid w:val="003E6F80"/>
    <w:rsid w:val="003E750D"/>
    <w:rsid w:val="003F0C18"/>
    <w:rsid w:val="003F0E31"/>
    <w:rsid w:val="003F0FAE"/>
    <w:rsid w:val="003F193A"/>
    <w:rsid w:val="003F1FCB"/>
    <w:rsid w:val="003F2ADC"/>
    <w:rsid w:val="003F2FDE"/>
    <w:rsid w:val="003F4207"/>
    <w:rsid w:val="003F44B1"/>
    <w:rsid w:val="003F4C50"/>
    <w:rsid w:val="003F55CF"/>
    <w:rsid w:val="003F5C46"/>
    <w:rsid w:val="003F5EEB"/>
    <w:rsid w:val="003F7CBB"/>
    <w:rsid w:val="003F7D34"/>
    <w:rsid w:val="00401485"/>
    <w:rsid w:val="0040284C"/>
    <w:rsid w:val="0040316D"/>
    <w:rsid w:val="004033BC"/>
    <w:rsid w:val="00403783"/>
    <w:rsid w:val="00404C72"/>
    <w:rsid w:val="00404F28"/>
    <w:rsid w:val="00405CAA"/>
    <w:rsid w:val="00405FCB"/>
    <w:rsid w:val="00406895"/>
    <w:rsid w:val="00407EF9"/>
    <w:rsid w:val="00410723"/>
    <w:rsid w:val="00411A17"/>
    <w:rsid w:val="00411A93"/>
    <w:rsid w:val="00411B48"/>
    <w:rsid w:val="00411C38"/>
    <w:rsid w:val="0041279E"/>
    <w:rsid w:val="004127DE"/>
    <w:rsid w:val="00412C2B"/>
    <w:rsid w:val="00412C8E"/>
    <w:rsid w:val="00412DCC"/>
    <w:rsid w:val="00412EB3"/>
    <w:rsid w:val="00414C6C"/>
    <w:rsid w:val="0041518D"/>
    <w:rsid w:val="004159BB"/>
    <w:rsid w:val="00416A69"/>
    <w:rsid w:val="00417990"/>
    <w:rsid w:val="004179A6"/>
    <w:rsid w:val="00421335"/>
    <w:rsid w:val="004215D8"/>
    <w:rsid w:val="004216A9"/>
    <w:rsid w:val="00421A47"/>
    <w:rsid w:val="00421CA0"/>
    <w:rsid w:val="0042221D"/>
    <w:rsid w:val="0042295D"/>
    <w:rsid w:val="004235EC"/>
    <w:rsid w:val="004243EC"/>
    <w:rsid w:val="0042471F"/>
    <w:rsid w:val="00424CB9"/>
    <w:rsid w:val="00424DD3"/>
    <w:rsid w:val="00425004"/>
    <w:rsid w:val="00425A08"/>
    <w:rsid w:val="00425FD5"/>
    <w:rsid w:val="004269C5"/>
    <w:rsid w:val="00426AFD"/>
    <w:rsid w:val="004271D3"/>
    <w:rsid w:val="00427657"/>
    <w:rsid w:val="00430E79"/>
    <w:rsid w:val="0043113F"/>
    <w:rsid w:val="004317DB"/>
    <w:rsid w:val="00432432"/>
    <w:rsid w:val="004328F9"/>
    <w:rsid w:val="004331CA"/>
    <w:rsid w:val="00433604"/>
    <w:rsid w:val="00434390"/>
    <w:rsid w:val="004343C8"/>
    <w:rsid w:val="00435112"/>
    <w:rsid w:val="00435858"/>
    <w:rsid w:val="00435939"/>
    <w:rsid w:val="00436881"/>
    <w:rsid w:val="00436CDC"/>
    <w:rsid w:val="00437CC7"/>
    <w:rsid w:val="00440E1E"/>
    <w:rsid w:val="00441516"/>
    <w:rsid w:val="00442B9C"/>
    <w:rsid w:val="0044479D"/>
    <w:rsid w:val="00444BDD"/>
    <w:rsid w:val="00445211"/>
    <w:rsid w:val="0044523F"/>
    <w:rsid w:val="004454D6"/>
    <w:rsid w:val="004455DA"/>
    <w:rsid w:val="0044578C"/>
    <w:rsid w:val="00445EFA"/>
    <w:rsid w:val="00446569"/>
    <w:rsid w:val="00446772"/>
    <w:rsid w:val="0044738A"/>
    <w:rsid w:val="004473D3"/>
    <w:rsid w:val="00447E83"/>
    <w:rsid w:val="004500A0"/>
    <w:rsid w:val="00450DEF"/>
    <w:rsid w:val="00450E73"/>
    <w:rsid w:val="00450FA7"/>
    <w:rsid w:val="00451296"/>
    <w:rsid w:val="00451D4E"/>
    <w:rsid w:val="00452231"/>
    <w:rsid w:val="00452661"/>
    <w:rsid w:val="004535F1"/>
    <w:rsid w:val="0045379F"/>
    <w:rsid w:val="00453A3F"/>
    <w:rsid w:val="0045575D"/>
    <w:rsid w:val="004558F7"/>
    <w:rsid w:val="00455F61"/>
    <w:rsid w:val="004564BB"/>
    <w:rsid w:val="004565D9"/>
    <w:rsid w:val="00456941"/>
    <w:rsid w:val="00457A85"/>
    <w:rsid w:val="00457DCC"/>
    <w:rsid w:val="00460C13"/>
    <w:rsid w:val="0046177A"/>
    <w:rsid w:val="00461C0A"/>
    <w:rsid w:val="00462A7D"/>
    <w:rsid w:val="00462F4B"/>
    <w:rsid w:val="00463228"/>
    <w:rsid w:val="00463782"/>
    <w:rsid w:val="004643DB"/>
    <w:rsid w:val="00464BF5"/>
    <w:rsid w:val="00464C85"/>
    <w:rsid w:val="004653D2"/>
    <w:rsid w:val="00466148"/>
    <w:rsid w:val="004667E0"/>
    <w:rsid w:val="00466CED"/>
    <w:rsid w:val="00466F7C"/>
    <w:rsid w:val="0046760E"/>
    <w:rsid w:val="004701CC"/>
    <w:rsid w:val="004702ED"/>
    <w:rsid w:val="004704A1"/>
    <w:rsid w:val="00470A86"/>
    <w:rsid w:val="00470E10"/>
    <w:rsid w:val="0047246D"/>
    <w:rsid w:val="0047309D"/>
    <w:rsid w:val="004731BD"/>
    <w:rsid w:val="004748F7"/>
    <w:rsid w:val="00474E9A"/>
    <w:rsid w:val="00476453"/>
    <w:rsid w:val="00476AA3"/>
    <w:rsid w:val="00477339"/>
    <w:rsid w:val="0047786F"/>
    <w:rsid w:val="00477A97"/>
    <w:rsid w:val="00481343"/>
    <w:rsid w:val="0048184D"/>
    <w:rsid w:val="00482091"/>
    <w:rsid w:val="00482248"/>
    <w:rsid w:val="00482436"/>
    <w:rsid w:val="00482538"/>
    <w:rsid w:val="00482703"/>
    <w:rsid w:val="004838FD"/>
    <w:rsid w:val="00483A7A"/>
    <w:rsid w:val="00483BC7"/>
    <w:rsid w:val="00484281"/>
    <w:rsid w:val="00484AC9"/>
    <w:rsid w:val="0048549E"/>
    <w:rsid w:val="00485E1C"/>
    <w:rsid w:val="00485F38"/>
    <w:rsid w:val="00485F6E"/>
    <w:rsid w:val="00487025"/>
    <w:rsid w:val="00487A61"/>
    <w:rsid w:val="00487DE5"/>
    <w:rsid w:val="004902A1"/>
    <w:rsid w:val="00490491"/>
    <w:rsid w:val="004904B4"/>
    <w:rsid w:val="00491454"/>
    <w:rsid w:val="00491763"/>
    <w:rsid w:val="00491ECE"/>
    <w:rsid w:val="00491F25"/>
    <w:rsid w:val="00493347"/>
    <w:rsid w:val="00493942"/>
    <w:rsid w:val="004946E6"/>
    <w:rsid w:val="004950BC"/>
    <w:rsid w:val="004952D9"/>
    <w:rsid w:val="0049530B"/>
    <w:rsid w:val="004954B1"/>
    <w:rsid w:val="00496051"/>
    <w:rsid w:val="00496092"/>
    <w:rsid w:val="0049624E"/>
    <w:rsid w:val="004A0333"/>
    <w:rsid w:val="004A08DB"/>
    <w:rsid w:val="004A09DB"/>
    <w:rsid w:val="004A14D4"/>
    <w:rsid w:val="004A15BA"/>
    <w:rsid w:val="004A19FD"/>
    <w:rsid w:val="004A25D0"/>
    <w:rsid w:val="004A25FC"/>
    <w:rsid w:val="004A26CB"/>
    <w:rsid w:val="004A27F1"/>
    <w:rsid w:val="004A3100"/>
    <w:rsid w:val="004A3652"/>
    <w:rsid w:val="004A37E8"/>
    <w:rsid w:val="004A39BA"/>
    <w:rsid w:val="004A4542"/>
    <w:rsid w:val="004A4C1B"/>
    <w:rsid w:val="004A6868"/>
    <w:rsid w:val="004A68F0"/>
    <w:rsid w:val="004A7549"/>
    <w:rsid w:val="004A7A5D"/>
    <w:rsid w:val="004B09D4"/>
    <w:rsid w:val="004B1AD2"/>
    <w:rsid w:val="004B2103"/>
    <w:rsid w:val="004B21E0"/>
    <w:rsid w:val="004B25F4"/>
    <w:rsid w:val="004B309D"/>
    <w:rsid w:val="004B330A"/>
    <w:rsid w:val="004B342D"/>
    <w:rsid w:val="004B3791"/>
    <w:rsid w:val="004B450E"/>
    <w:rsid w:val="004B4DFB"/>
    <w:rsid w:val="004B4F62"/>
    <w:rsid w:val="004B54D8"/>
    <w:rsid w:val="004B7A3A"/>
    <w:rsid w:val="004B7C8E"/>
    <w:rsid w:val="004C04CD"/>
    <w:rsid w:val="004C0751"/>
    <w:rsid w:val="004C09D0"/>
    <w:rsid w:val="004C1610"/>
    <w:rsid w:val="004C1BF1"/>
    <w:rsid w:val="004C1F5E"/>
    <w:rsid w:val="004C2593"/>
    <w:rsid w:val="004C277B"/>
    <w:rsid w:val="004C2F80"/>
    <w:rsid w:val="004C3387"/>
    <w:rsid w:val="004C357A"/>
    <w:rsid w:val="004C3D3C"/>
    <w:rsid w:val="004C5BC7"/>
    <w:rsid w:val="004C6A83"/>
    <w:rsid w:val="004C6FF9"/>
    <w:rsid w:val="004C7BAC"/>
    <w:rsid w:val="004C7BBD"/>
    <w:rsid w:val="004C7E95"/>
    <w:rsid w:val="004D0BFC"/>
    <w:rsid w:val="004D0EDC"/>
    <w:rsid w:val="004D0F53"/>
    <w:rsid w:val="004D11D5"/>
    <w:rsid w:val="004D1220"/>
    <w:rsid w:val="004D14B3"/>
    <w:rsid w:val="004D1529"/>
    <w:rsid w:val="004D209A"/>
    <w:rsid w:val="004D2253"/>
    <w:rsid w:val="004D2975"/>
    <w:rsid w:val="004D36E0"/>
    <w:rsid w:val="004D3C59"/>
    <w:rsid w:val="004D49E0"/>
    <w:rsid w:val="004D5514"/>
    <w:rsid w:val="004D56C3"/>
    <w:rsid w:val="004D5998"/>
    <w:rsid w:val="004D5BCD"/>
    <w:rsid w:val="004D5F0A"/>
    <w:rsid w:val="004D6105"/>
    <w:rsid w:val="004D6CF0"/>
    <w:rsid w:val="004D7116"/>
    <w:rsid w:val="004D7864"/>
    <w:rsid w:val="004D7BD2"/>
    <w:rsid w:val="004E0338"/>
    <w:rsid w:val="004E0769"/>
    <w:rsid w:val="004E077D"/>
    <w:rsid w:val="004E1031"/>
    <w:rsid w:val="004E1293"/>
    <w:rsid w:val="004E1FA4"/>
    <w:rsid w:val="004E23B8"/>
    <w:rsid w:val="004E25D8"/>
    <w:rsid w:val="004E29CF"/>
    <w:rsid w:val="004E4947"/>
    <w:rsid w:val="004E4FF3"/>
    <w:rsid w:val="004E56A8"/>
    <w:rsid w:val="004E59C9"/>
    <w:rsid w:val="004E5A27"/>
    <w:rsid w:val="004E5F93"/>
    <w:rsid w:val="004E7379"/>
    <w:rsid w:val="004E789B"/>
    <w:rsid w:val="004F1526"/>
    <w:rsid w:val="004F1C4A"/>
    <w:rsid w:val="004F2286"/>
    <w:rsid w:val="004F27D8"/>
    <w:rsid w:val="004F29AA"/>
    <w:rsid w:val="004F3B55"/>
    <w:rsid w:val="004F476E"/>
    <w:rsid w:val="004F4B8A"/>
    <w:rsid w:val="004F4E29"/>
    <w:rsid w:val="004F4E46"/>
    <w:rsid w:val="004F585F"/>
    <w:rsid w:val="004F597A"/>
    <w:rsid w:val="004F5C4D"/>
    <w:rsid w:val="004F6B7D"/>
    <w:rsid w:val="004F6C0D"/>
    <w:rsid w:val="004F7D33"/>
    <w:rsid w:val="004F7E7A"/>
    <w:rsid w:val="004F7E89"/>
    <w:rsid w:val="0050066A"/>
    <w:rsid w:val="0050087E"/>
    <w:rsid w:val="00500D1C"/>
    <w:rsid w:val="00500D48"/>
    <w:rsid w:val="005012D1"/>
    <w:rsid w:val="005015F6"/>
    <w:rsid w:val="00501715"/>
    <w:rsid w:val="0050250B"/>
    <w:rsid w:val="00502634"/>
    <w:rsid w:val="005030C4"/>
    <w:rsid w:val="005031C5"/>
    <w:rsid w:val="00503855"/>
    <w:rsid w:val="005040EF"/>
    <w:rsid w:val="0050420B"/>
    <w:rsid w:val="00504542"/>
    <w:rsid w:val="005049AD"/>
    <w:rsid w:val="00504FDC"/>
    <w:rsid w:val="00505957"/>
    <w:rsid w:val="005068F0"/>
    <w:rsid w:val="00506C38"/>
    <w:rsid w:val="005070E8"/>
    <w:rsid w:val="0050788B"/>
    <w:rsid w:val="00507A52"/>
    <w:rsid w:val="00510D96"/>
    <w:rsid w:val="005120CC"/>
    <w:rsid w:val="005121D3"/>
    <w:rsid w:val="0051248E"/>
    <w:rsid w:val="00512B7B"/>
    <w:rsid w:val="00512E6E"/>
    <w:rsid w:val="0051322D"/>
    <w:rsid w:val="00513D14"/>
    <w:rsid w:val="00513DA7"/>
    <w:rsid w:val="005140EB"/>
    <w:rsid w:val="0051450A"/>
    <w:rsid w:val="0051470A"/>
    <w:rsid w:val="00514DA6"/>
    <w:rsid w:val="00514EA1"/>
    <w:rsid w:val="00515748"/>
    <w:rsid w:val="00515A2D"/>
    <w:rsid w:val="00515BEC"/>
    <w:rsid w:val="00516A5F"/>
    <w:rsid w:val="00516EDD"/>
    <w:rsid w:val="00516FEE"/>
    <w:rsid w:val="0051798B"/>
    <w:rsid w:val="00520522"/>
    <w:rsid w:val="00521F5A"/>
    <w:rsid w:val="00522EA3"/>
    <w:rsid w:val="005232D9"/>
    <w:rsid w:val="005233C4"/>
    <w:rsid w:val="00523ECE"/>
    <w:rsid w:val="00524256"/>
    <w:rsid w:val="00525E06"/>
    <w:rsid w:val="00526265"/>
    <w:rsid w:val="00526454"/>
    <w:rsid w:val="0052651E"/>
    <w:rsid w:val="0052652B"/>
    <w:rsid w:val="005269BA"/>
    <w:rsid w:val="00526C33"/>
    <w:rsid w:val="005301EB"/>
    <w:rsid w:val="005310BB"/>
    <w:rsid w:val="0053162C"/>
    <w:rsid w:val="00531823"/>
    <w:rsid w:val="005320D0"/>
    <w:rsid w:val="00532D25"/>
    <w:rsid w:val="00532F9C"/>
    <w:rsid w:val="00532FA7"/>
    <w:rsid w:val="00533824"/>
    <w:rsid w:val="00533B58"/>
    <w:rsid w:val="00534B0C"/>
    <w:rsid w:val="00534ECC"/>
    <w:rsid w:val="00535015"/>
    <w:rsid w:val="00535885"/>
    <w:rsid w:val="005365C6"/>
    <w:rsid w:val="0053720D"/>
    <w:rsid w:val="005372B7"/>
    <w:rsid w:val="005372FD"/>
    <w:rsid w:val="005406E1"/>
    <w:rsid w:val="00540EF5"/>
    <w:rsid w:val="00541081"/>
    <w:rsid w:val="00541BF3"/>
    <w:rsid w:val="00541CD3"/>
    <w:rsid w:val="00543FE5"/>
    <w:rsid w:val="005440D3"/>
    <w:rsid w:val="00544125"/>
    <w:rsid w:val="00544A56"/>
    <w:rsid w:val="00544AD1"/>
    <w:rsid w:val="00544D7C"/>
    <w:rsid w:val="005451B7"/>
    <w:rsid w:val="005460B1"/>
    <w:rsid w:val="0054688B"/>
    <w:rsid w:val="005476FA"/>
    <w:rsid w:val="00547D0B"/>
    <w:rsid w:val="00547FF6"/>
    <w:rsid w:val="0055033F"/>
    <w:rsid w:val="0055117F"/>
    <w:rsid w:val="005521C0"/>
    <w:rsid w:val="0055227E"/>
    <w:rsid w:val="00553A18"/>
    <w:rsid w:val="00553E7C"/>
    <w:rsid w:val="00554518"/>
    <w:rsid w:val="00554860"/>
    <w:rsid w:val="005548AD"/>
    <w:rsid w:val="00554EB6"/>
    <w:rsid w:val="005557DA"/>
    <w:rsid w:val="0055595E"/>
    <w:rsid w:val="00555B5C"/>
    <w:rsid w:val="005573AE"/>
    <w:rsid w:val="005574BF"/>
    <w:rsid w:val="00557601"/>
    <w:rsid w:val="00557988"/>
    <w:rsid w:val="00557B1F"/>
    <w:rsid w:val="00560A51"/>
    <w:rsid w:val="00561140"/>
    <w:rsid w:val="005614ED"/>
    <w:rsid w:val="005618E7"/>
    <w:rsid w:val="00561A6F"/>
    <w:rsid w:val="00562933"/>
    <w:rsid w:val="00562C49"/>
    <w:rsid w:val="00562C6D"/>
    <w:rsid w:val="00562DEF"/>
    <w:rsid w:val="00563065"/>
    <w:rsid w:val="0056321A"/>
    <w:rsid w:val="005632A1"/>
    <w:rsid w:val="00563A35"/>
    <w:rsid w:val="00563FF5"/>
    <w:rsid w:val="005643C0"/>
    <w:rsid w:val="00565BB1"/>
    <w:rsid w:val="00565BFA"/>
    <w:rsid w:val="00565C72"/>
    <w:rsid w:val="00566596"/>
    <w:rsid w:val="0056662A"/>
    <w:rsid w:val="005667E5"/>
    <w:rsid w:val="00566961"/>
    <w:rsid w:val="00567342"/>
    <w:rsid w:val="00567BB9"/>
    <w:rsid w:val="00570BDA"/>
    <w:rsid w:val="00571D0C"/>
    <w:rsid w:val="00571DD9"/>
    <w:rsid w:val="0057274E"/>
    <w:rsid w:val="00572DC1"/>
    <w:rsid w:val="00573216"/>
    <w:rsid w:val="005736D0"/>
    <w:rsid w:val="005741E9"/>
    <w:rsid w:val="0057464A"/>
    <w:rsid w:val="0057478E"/>
    <w:rsid w:val="00574804"/>
    <w:rsid w:val="005748CF"/>
    <w:rsid w:val="005753EE"/>
    <w:rsid w:val="0057597F"/>
    <w:rsid w:val="00575CD3"/>
    <w:rsid w:val="00576573"/>
    <w:rsid w:val="00577CB2"/>
    <w:rsid w:val="00577EE2"/>
    <w:rsid w:val="00581348"/>
    <w:rsid w:val="005815CF"/>
    <w:rsid w:val="0058216E"/>
    <w:rsid w:val="005823B9"/>
    <w:rsid w:val="005824C9"/>
    <w:rsid w:val="005828A3"/>
    <w:rsid w:val="00582B92"/>
    <w:rsid w:val="00582BBA"/>
    <w:rsid w:val="00583956"/>
    <w:rsid w:val="00583A05"/>
    <w:rsid w:val="00583B9D"/>
    <w:rsid w:val="00583BD4"/>
    <w:rsid w:val="00583D80"/>
    <w:rsid w:val="00583EEA"/>
    <w:rsid w:val="00584270"/>
    <w:rsid w:val="00584340"/>
    <w:rsid w:val="00584738"/>
    <w:rsid w:val="0058497F"/>
    <w:rsid w:val="0058521E"/>
    <w:rsid w:val="005858CB"/>
    <w:rsid w:val="00586481"/>
    <w:rsid w:val="00586FDB"/>
    <w:rsid w:val="00586FF6"/>
    <w:rsid w:val="0059037E"/>
    <w:rsid w:val="00591217"/>
    <w:rsid w:val="00591B41"/>
    <w:rsid w:val="005920B0"/>
    <w:rsid w:val="00592610"/>
    <w:rsid w:val="00592A2C"/>
    <w:rsid w:val="00592F43"/>
    <w:rsid w:val="0059352B"/>
    <w:rsid w:val="00593553"/>
    <w:rsid w:val="0059380D"/>
    <w:rsid w:val="00593F86"/>
    <w:rsid w:val="00594063"/>
    <w:rsid w:val="00594090"/>
    <w:rsid w:val="00594095"/>
    <w:rsid w:val="00594923"/>
    <w:rsid w:val="00595781"/>
    <w:rsid w:val="00595A8F"/>
    <w:rsid w:val="00595E45"/>
    <w:rsid w:val="00595F1D"/>
    <w:rsid w:val="00596386"/>
    <w:rsid w:val="00596D57"/>
    <w:rsid w:val="0059721F"/>
    <w:rsid w:val="005977C2"/>
    <w:rsid w:val="00597853"/>
    <w:rsid w:val="00597BF2"/>
    <w:rsid w:val="00597CCE"/>
    <w:rsid w:val="005A1ABC"/>
    <w:rsid w:val="005A1F96"/>
    <w:rsid w:val="005A319F"/>
    <w:rsid w:val="005A422B"/>
    <w:rsid w:val="005A43AF"/>
    <w:rsid w:val="005A44DB"/>
    <w:rsid w:val="005A4B73"/>
    <w:rsid w:val="005A59C2"/>
    <w:rsid w:val="005A5C88"/>
    <w:rsid w:val="005A6B6C"/>
    <w:rsid w:val="005A6D05"/>
    <w:rsid w:val="005A70F7"/>
    <w:rsid w:val="005A768E"/>
    <w:rsid w:val="005A7A0A"/>
    <w:rsid w:val="005B0446"/>
    <w:rsid w:val="005B05D1"/>
    <w:rsid w:val="005B134E"/>
    <w:rsid w:val="005B18FB"/>
    <w:rsid w:val="005B19F4"/>
    <w:rsid w:val="005B1A58"/>
    <w:rsid w:val="005B2039"/>
    <w:rsid w:val="005B297A"/>
    <w:rsid w:val="005B2FD3"/>
    <w:rsid w:val="005B344F"/>
    <w:rsid w:val="005B350D"/>
    <w:rsid w:val="005B3B98"/>
    <w:rsid w:val="005B3FBA"/>
    <w:rsid w:val="005B47D1"/>
    <w:rsid w:val="005B4A1D"/>
    <w:rsid w:val="005B5708"/>
    <w:rsid w:val="005B64BD"/>
    <w:rsid w:val="005B674D"/>
    <w:rsid w:val="005B6D1A"/>
    <w:rsid w:val="005B79EA"/>
    <w:rsid w:val="005B7CB3"/>
    <w:rsid w:val="005C0340"/>
    <w:rsid w:val="005C044F"/>
    <w:rsid w:val="005C05E7"/>
    <w:rsid w:val="005C064B"/>
    <w:rsid w:val="005C0CBE"/>
    <w:rsid w:val="005C1FCF"/>
    <w:rsid w:val="005C265F"/>
    <w:rsid w:val="005C2A2C"/>
    <w:rsid w:val="005C2F6C"/>
    <w:rsid w:val="005C2FD2"/>
    <w:rsid w:val="005C3721"/>
    <w:rsid w:val="005C3725"/>
    <w:rsid w:val="005C396D"/>
    <w:rsid w:val="005C3A50"/>
    <w:rsid w:val="005C3F6F"/>
    <w:rsid w:val="005C42AF"/>
    <w:rsid w:val="005C4C89"/>
    <w:rsid w:val="005C5545"/>
    <w:rsid w:val="005C6584"/>
    <w:rsid w:val="005C6733"/>
    <w:rsid w:val="005C6F3A"/>
    <w:rsid w:val="005C70FA"/>
    <w:rsid w:val="005C7575"/>
    <w:rsid w:val="005C7B78"/>
    <w:rsid w:val="005C7F08"/>
    <w:rsid w:val="005D0083"/>
    <w:rsid w:val="005D0737"/>
    <w:rsid w:val="005D17F9"/>
    <w:rsid w:val="005D1843"/>
    <w:rsid w:val="005D1885"/>
    <w:rsid w:val="005D1913"/>
    <w:rsid w:val="005D1F8F"/>
    <w:rsid w:val="005D2962"/>
    <w:rsid w:val="005D2B63"/>
    <w:rsid w:val="005D325B"/>
    <w:rsid w:val="005D34EA"/>
    <w:rsid w:val="005D3C57"/>
    <w:rsid w:val="005D450F"/>
    <w:rsid w:val="005D47C2"/>
    <w:rsid w:val="005D4A38"/>
    <w:rsid w:val="005D4D6D"/>
    <w:rsid w:val="005D66DB"/>
    <w:rsid w:val="005D6DDC"/>
    <w:rsid w:val="005D74B2"/>
    <w:rsid w:val="005E0CA6"/>
    <w:rsid w:val="005E1A33"/>
    <w:rsid w:val="005E21CF"/>
    <w:rsid w:val="005E27CB"/>
    <w:rsid w:val="005E2EEA"/>
    <w:rsid w:val="005E312F"/>
    <w:rsid w:val="005E3708"/>
    <w:rsid w:val="005E3ADF"/>
    <w:rsid w:val="005E3CCD"/>
    <w:rsid w:val="005E3D6B"/>
    <w:rsid w:val="005E3DC3"/>
    <w:rsid w:val="005E4080"/>
    <w:rsid w:val="005E4C88"/>
    <w:rsid w:val="005E5B55"/>
    <w:rsid w:val="005E5D2F"/>
    <w:rsid w:val="005E5E4A"/>
    <w:rsid w:val="005E693D"/>
    <w:rsid w:val="005E70AC"/>
    <w:rsid w:val="005E722E"/>
    <w:rsid w:val="005E73D8"/>
    <w:rsid w:val="005E75BF"/>
    <w:rsid w:val="005E794D"/>
    <w:rsid w:val="005E7C83"/>
    <w:rsid w:val="005E7EB9"/>
    <w:rsid w:val="005F17A4"/>
    <w:rsid w:val="005F21F4"/>
    <w:rsid w:val="005F3360"/>
    <w:rsid w:val="005F347C"/>
    <w:rsid w:val="005F4C9D"/>
    <w:rsid w:val="005F57BA"/>
    <w:rsid w:val="005F61E6"/>
    <w:rsid w:val="005F6582"/>
    <w:rsid w:val="005F6C45"/>
    <w:rsid w:val="005F6F1A"/>
    <w:rsid w:val="005F704E"/>
    <w:rsid w:val="0060030C"/>
    <w:rsid w:val="0060061F"/>
    <w:rsid w:val="00600F17"/>
    <w:rsid w:val="0060111C"/>
    <w:rsid w:val="0060129C"/>
    <w:rsid w:val="0060139E"/>
    <w:rsid w:val="00601AB6"/>
    <w:rsid w:val="006027C2"/>
    <w:rsid w:val="00603387"/>
    <w:rsid w:val="006034AC"/>
    <w:rsid w:val="00603F2E"/>
    <w:rsid w:val="0060434F"/>
    <w:rsid w:val="00604539"/>
    <w:rsid w:val="006047E4"/>
    <w:rsid w:val="00604828"/>
    <w:rsid w:val="00604B12"/>
    <w:rsid w:val="006050C0"/>
    <w:rsid w:val="006052A4"/>
    <w:rsid w:val="006053B4"/>
    <w:rsid w:val="00605A69"/>
    <w:rsid w:val="00605B7D"/>
    <w:rsid w:val="00605D52"/>
    <w:rsid w:val="00606B45"/>
    <w:rsid w:val="00606C54"/>
    <w:rsid w:val="00607604"/>
    <w:rsid w:val="00611A83"/>
    <w:rsid w:val="00611EFB"/>
    <w:rsid w:val="00612253"/>
    <w:rsid w:val="0061317A"/>
    <w:rsid w:val="006135DE"/>
    <w:rsid w:val="00613A1C"/>
    <w:rsid w:val="00614375"/>
    <w:rsid w:val="00614673"/>
    <w:rsid w:val="00614935"/>
    <w:rsid w:val="00615B0A"/>
    <w:rsid w:val="00615DA7"/>
    <w:rsid w:val="006168CF"/>
    <w:rsid w:val="006171C3"/>
    <w:rsid w:val="0062011B"/>
    <w:rsid w:val="00620BA1"/>
    <w:rsid w:val="006212B1"/>
    <w:rsid w:val="00621A56"/>
    <w:rsid w:val="00621D70"/>
    <w:rsid w:val="0062314F"/>
    <w:rsid w:val="00623679"/>
    <w:rsid w:val="0062390E"/>
    <w:rsid w:val="00623B29"/>
    <w:rsid w:val="00624005"/>
    <w:rsid w:val="006241E8"/>
    <w:rsid w:val="0062665B"/>
    <w:rsid w:val="00626DE0"/>
    <w:rsid w:val="0062755F"/>
    <w:rsid w:val="00627A9E"/>
    <w:rsid w:val="0063081B"/>
    <w:rsid w:val="00630901"/>
    <w:rsid w:val="006313D1"/>
    <w:rsid w:val="00631671"/>
    <w:rsid w:val="00631F8E"/>
    <w:rsid w:val="00632260"/>
    <w:rsid w:val="00632B91"/>
    <w:rsid w:val="006334A7"/>
    <w:rsid w:val="00634888"/>
    <w:rsid w:val="00634A85"/>
    <w:rsid w:val="006355BD"/>
    <w:rsid w:val="006356CB"/>
    <w:rsid w:val="00635AA6"/>
    <w:rsid w:val="00636DE2"/>
    <w:rsid w:val="00636EE9"/>
    <w:rsid w:val="0063724F"/>
    <w:rsid w:val="00637269"/>
    <w:rsid w:val="006376D8"/>
    <w:rsid w:val="00637745"/>
    <w:rsid w:val="0063788D"/>
    <w:rsid w:val="00640648"/>
    <w:rsid w:val="00640950"/>
    <w:rsid w:val="00640D4A"/>
    <w:rsid w:val="006413C5"/>
    <w:rsid w:val="00641516"/>
    <w:rsid w:val="0064187E"/>
    <w:rsid w:val="00641AE7"/>
    <w:rsid w:val="00641FF8"/>
    <w:rsid w:val="0064236F"/>
    <w:rsid w:val="00642629"/>
    <w:rsid w:val="00642944"/>
    <w:rsid w:val="0064297B"/>
    <w:rsid w:val="00642A1D"/>
    <w:rsid w:val="00643B3F"/>
    <w:rsid w:val="00644347"/>
    <w:rsid w:val="00644E16"/>
    <w:rsid w:val="0064509B"/>
    <w:rsid w:val="00645926"/>
    <w:rsid w:val="00645CB9"/>
    <w:rsid w:val="00645FF7"/>
    <w:rsid w:val="0064617E"/>
    <w:rsid w:val="00646197"/>
    <w:rsid w:val="00646313"/>
    <w:rsid w:val="00646B56"/>
    <w:rsid w:val="006470F8"/>
    <w:rsid w:val="00647F23"/>
    <w:rsid w:val="006501AD"/>
    <w:rsid w:val="00650315"/>
    <w:rsid w:val="00650E14"/>
    <w:rsid w:val="00651B32"/>
    <w:rsid w:val="00651E84"/>
    <w:rsid w:val="00652923"/>
    <w:rsid w:val="0065293D"/>
    <w:rsid w:val="006529C7"/>
    <w:rsid w:val="00652ABD"/>
    <w:rsid w:val="00653596"/>
    <w:rsid w:val="00653B47"/>
    <w:rsid w:val="00653D4D"/>
    <w:rsid w:val="00653E0B"/>
    <w:rsid w:val="00653EFC"/>
    <w:rsid w:val="00654021"/>
    <w:rsid w:val="0065406B"/>
    <w:rsid w:val="006545F7"/>
    <w:rsid w:val="00655856"/>
    <w:rsid w:val="006566B5"/>
    <w:rsid w:val="00656B0F"/>
    <w:rsid w:val="00656F47"/>
    <w:rsid w:val="00657495"/>
    <w:rsid w:val="006575D1"/>
    <w:rsid w:val="00657EF3"/>
    <w:rsid w:val="00660FF7"/>
    <w:rsid w:val="00661045"/>
    <w:rsid w:val="0066110B"/>
    <w:rsid w:val="00661632"/>
    <w:rsid w:val="00662370"/>
    <w:rsid w:val="00662435"/>
    <w:rsid w:val="006624E1"/>
    <w:rsid w:val="006625C8"/>
    <w:rsid w:val="00662D97"/>
    <w:rsid w:val="00663379"/>
    <w:rsid w:val="0066381D"/>
    <w:rsid w:val="00665C54"/>
    <w:rsid w:val="00666AEB"/>
    <w:rsid w:val="00666CBA"/>
    <w:rsid w:val="00666CD2"/>
    <w:rsid w:val="00666DA8"/>
    <w:rsid w:val="00667345"/>
    <w:rsid w:val="00667A08"/>
    <w:rsid w:val="00667D6B"/>
    <w:rsid w:val="00670049"/>
    <w:rsid w:val="00671057"/>
    <w:rsid w:val="00671174"/>
    <w:rsid w:val="006712EE"/>
    <w:rsid w:val="00671728"/>
    <w:rsid w:val="00671AEF"/>
    <w:rsid w:val="00671D83"/>
    <w:rsid w:val="00671F19"/>
    <w:rsid w:val="00672284"/>
    <w:rsid w:val="00672381"/>
    <w:rsid w:val="0067295F"/>
    <w:rsid w:val="00673306"/>
    <w:rsid w:val="00673748"/>
    <w:rsid w:val="00673F45"/>
    <w:rsid w:val="00675581"/>
    <w:rsid w:val="00675AAF"/>
    <w:rsid w:val="00675E2D"/>
    <w:rsid w:val="00675F0E"/>
    <w:rsid w:val="0067658B"/>
    <w:rsid w:val="00676DA5"/>
    <w:rsid w:val="006778E2"/>
    <w:rsid w:val="00677B09"/>
    <w:rsid w:val="00677C0A"/>
    <w:rsid w:val="00677FF8"/>
    <w:rsid w:val="0068031A"/>
    <w:rsid w:val="00680967"/>
    <w:rsid w:val="00680BF8"/>
    <w:rsid w:val="00681567"/>
    <w:rsid w:val="006817E8"/>
    <w:rsid w:val="00681AAF"/>
    <w:rsid w:val="00681B2F"/>
    <w:rsid w:val="00681E76"/>
    <w:rsid w:val="00682893"/>
    <w:rsid w:val="006830D6"/>
    <w:rsid w:val="0068335F"/>
    <w:rsid w:val="00683E73"/>
    <w:rsid w:val="00684838"/>
    <w:rsid w:val="00685FF0"/>
    <w:rsid w:val="0068640E"/>
    <w:rsid w:val="00687217"/>
    <w:rsid w:val="0068726E"/>
    <w:rsid w:val="00687506"/>
    <w:rsid w:val="0068768D"/>
    <w:rsid w:val="00687738"/>
    <w:rsid w:val="00690369"/>
    <w:rsid w:val="00690E88"/>
    <w:rsid w:val="00690F59"/>
    <w:rsid w:val="00691525"/>
    <w:rsid w:val="00691639"/>
    <w:rsid w:val="00691B9C"/>
    <w:rsid w:val="00693302"/>
    <w:rsid w:val="00693909"/>
    <w:rsid w:val="00693F29"/>
    <w:rsid w:val="00694177"/>
    <w:rsid w:val="00694D20"/>
    <w:rsid w:val="00695229"/>
    <w:rsid w:val="006958FB"/>
    <w:rsid w:val="0069640B"/>
    <w:rsid w:val="00696FE8"/>
    <w:rsid w:val="0069746A"/>
    <w:rsid w:val="006A099B"/>
    <w:rsid w:val="006A1208"/>
    <w:rsid w:val="006A127C"/>
    <w:rsid w:val="006A1B83"/>
    <w:rsid w:val="006A1DD1"/>
    <w:rsid w:val="006A21CD"/>
    <w:rsid w:val="006A26FE"/>
    <w:rsid w:val="006A2EB1"/>
    <w:rsid w:val="006A349D"/>
    <w:rsid w:val="006A3F90"/>
    <w:rsid w:val="006A4102"/>
    <w:rsid w:val="006A4F8B"/>
    <w:rsid w:val="006A5294"/>
    <w:rsid w:val="006A56BB"/>
    <w:rsid w:val="006A5750"/>
    <w:rsid w:val="006A5918"/>
    <w:rsid w:val="006A5C5E"/>
    <w:rsid w:val="006A615C"/>
    <w:rsid w:val="006A739C"/>
    <w:rsid w:val="006A7BB6"/>
    <w:rsid w:val="006B02A4"/>
    <w:rsid w:val="006B089A"/>
    <w:rsid w:val="006B0BBF"/>
    <w:rsid w:val="006B14CE"/>
    <w:rsid w:val="006B21B2"/>
    <w:rsid w:val="006B33A7"/>
    <w:rsid w:val="006B37EA"/>
    <w:rsid w:val="006B42B7"/>
    <w:rsid w:val="006B4A4A"/>
    <w:rsid w:val="006B653C"/>
    <w:rsid w:val="006B68CA"/>
    <w:rsid w:val="006B78A4"/>
    <w:rsid w:val="006C10B5"/>
    <w:rsid w:val="006C137A"/>
    <w:rsid w:val="006C19B2"/>
    <w:rsid w:val="006C1B27"/>
    <w:rsid w:val="006C32F9"/>
    <w:rsid w:val="006C36A9"/>
    <w:rsid w:val="006C39DE"/>
    <w:rsid w:val="006C4409"/>
    <w:rsid w:val="006C4418"/>
    <w:rsid w:val="006C46FC"/>
    <w:rsid w:val="006C4F8D"/>
    <w:rsid w:val="006C5435"/>
    <w:rsid w:val="006C5BB8"/>
    <w:rsid w:val="006C5D4C"/>
    <w:rsid w:val="006C6936"/>
    <w:rsid w:val="006C6C08"/>
    <w:rsid w:val="006C6EFC"/>
    <w:rsid w:val="006C6FFD"/>
    <w:rsid w:val="006C772E"/>
    <w:rsid w:val="006C7969"/>
    <w:rsid w:val="006C79C5"/>
    <w:rsid w:val="006C7B01"/>
    <w:rsid w:val="006C7C30"/>
    <w:rsid w:val="006D0392"/>
    <w:rsid w:val="006D0494"/>
    <w:rsid w:val="006D0597"/>
    <w:rsid w:val="006D0C38"/>
    <w:rsid w:val="006D0FD8"/>
    <w:rsid w:val="006D0FE8"/>
    <w:rsid w:val="006D1302"/>
    <w:rsid w:val="006D1524"/>
    <w:rsid w:val="006D1EAE"/>
    <w:rsid w:val="006D224D"/>
    <w:rsid w:val="006D33A8"/>
    <w:rsid w:val="006D39E6"/>
    <w:rsid w:val="006D4286"/>
    <w:rsid w:val="006D4498"/>
    <w:rsid w:val="006D4576"/>
    <w:rsid w:val="006D4B2B"/>
    <w:rsid w:val="006D4F3C"/>
    <w:rsid w:val="006D5C66"/>
    <w:rsid w:val="006D5D7E"/>
    <w:rsid w:val="006D6EEF"/>
    <w:rsid w:val="006D7750"/>
    <w:rsid w:val="006E0398"/>
    <w:rsid w:val="006E0A9F"/>
    <w:rsid w:val="006E0EAE"/>
    <w:rsid w:val="006E199D"/>
    <w:rsid w:val="006E1B3C"/>
    <w:rsid w:val="006E22FF"/>
    <w:rsid w:val="006E23FB"/>
    <w:rsid w:val="006E325A"/>
    <w:rsid w:val="006E33EC"/>
    <w:rsid w:val="006E34E9"/>
    <w:rsid w:val="006E3802"/>
    <w:rsid w:val="006E3F0E"/>
    <w:rsid w:val="006E406A"/>
    <w:rsid w:val="006E41E8"/>
    <w:rsid w:val="006E41F0"/>
    <w:rsid w:val="006E4268"/>
    <w:rsid w:val="006E47B7"/>
    <w:rsid w:val="006E6B90"/>
    <w:rsid w:val="006E6C02"/>
    <w:rsid w:val="006E6C9E"/>
    <w:rsid w:val="006E76E3"/>
    <w:rsid w:val="006E7AFE"/>
    <w:rsid w:val="006F048A"/>
    <w:rsid w:val="006F052C"/>
    <w:rsid w:val="006F06C6"/>
    <w:rsid w:val="006F0B08"/>
    <w:rsid w:val="006F231A"/>
    <w:rsid w:val="006F23D2"/>
    <w:rsid w:val="006F39E1"/>
    <w:rsid w:val="006F3DB9"/>
    <w:rsid w:val="006F3E2B"/>
    <w:rsid w:val="006F4FB2"/>
    <w:rsid w:val="006F5AD6"/>
    <w:rsid w:val="006F64C3"/>
    <w:rsid w:val="006F6B55"/>
    <w:rsid w:val="006F7885"/>
    <w:rsid w:val="006F788D"/>
    <w:rsid w:val="006F78E1"/>
    <w:rsid w:val="006F7D52"/>
    <w:rsid w:val="007004B2"/>
    <w:rsid w:val="00701072"/>
    <w:rsid w:val="007010B9"/>
    <w:rsid w:val="007017DC"/>
    <w:rsid w:val="00701816"/>
    <w:rsid w:val="00701C4A"/>
    <w:rsid w:val="00702054"/>
    <w:rsid w:val="00702078"/>
    <w:rsid w:val="00702DEF"/>
    <w:rsid w:val="007035A4"/>
    <w:rsid w:val="00703FCC"/>
    <w:rsid w:val="00704BD9"/>
    <w:rsid w:val="007051D6"/>
    <w:rsid w:val="0070573E"/>
    <w:rsid w:val="00705800"/>
    <w:rsid w:val="0070694A"/>
    <w:rsid w:val="0070697E"/>
    <w:rsid w:val="007069A3"/>
    <w:rsid w:val="007109C5"/>
    <w:rsid w:val="00710AF6"/>
    <w:rsid w:val="00711799"/>
    <w:rsid w:val="00711978"/>
    <w:rsid w:val="00712B78"/>
    <w:rsid w:val="007137A5"/>
    <w:rsid w:val="0071393B"/>
    <w:rsid w:val="00713D2D"/>
    <w:rsid w:val="00713EE2"/>
    <w:rsid w:val="00715F02"/>
    <w:rsid w:val="00715F73"/>
    <w:rsid w:val="007171CB"/>
    <w:rsid w:val="007177B2"/>
    <w:rsid w:val="007177FC"/>
    <w:rsid w:val="00717C34"/>
    <w:rsid w:val="00720131"/>
    <w:rsid w:val="00720167"/>
    <w:rsid w:val="00720593"/>
    <w:rsid w:val="00720C5E"/>
    <w:rsid w:val="00721701"/>
    <w:rsid w:val="0072212B"/>
    <w:rsid w:val="0072236D"/>
    <w:rsid w:val="00722A0D"/>
    <w:rsid w:val="00722ED0"/>
    <w:rsid w:val="00722F36"/>
    <w:rsid w:val="0072339F"/>
    <w:rsid w:val="00724890"/>
    <w:rsid w:val="00724B95"/>
    <w:rsid w:val="0072509D"/>
    <w:rsid w:val="00726820"/>
    <w:rsid w:val="00726DA9"/>
    <w:rsid w:val="007303B1"/>
    <w:rsid w:val="0073052A"/>
    <w:rsid w:val="00731108"/>
    <w:rsid w:val="00731835"/>
    <w:rsid w:val="00731D74"/>
    <w:rsid w:val="00732BD9"/>
    <w:rsid w:val="00732C10"/>
    <w:rsid w:val="00732CF0"/>
    <w:rsid w:val="007341F8"/>
    <w:rsid w:val="00734372"/>
    <w:rsid w:val="00734EB8"/>
    <w:rsid w:val="007350D1"/>
    <w:rsid w:val="007350ED"/>
    <w:rsid w:val="00735F8B"/>
    <w:rsid w:val="00736037"/>
    <w:rsid w:val="007368A5"/>
    <w:rsid w:val="00736E29"/>
    <w:rsid w:val="0073715A"/>
    <w:rsid w:val="00737A2E"/>
    <w:rsid w:val="00741185"/>
    <w:rsid w:val="00741B74"/>
    <w:rsid w:val="00741B9E"/>
    <w:rsid w:val="007421DE"/>
    <w:rsid w:val="00742619"/>
    <w:rsid w:val="007429C8"/>
    <w:rsid w:val="00742D1F"/>
    <w:rsid w:val="00743AC0"/>
    <w:rsid w:val="00743EBA"/>
    <w:rsid w:val="007442E5"/>
    <w:rsid w:val="00744A80"/>
    <w:rsid w:val="00744B80"/>
    <w:rsid w:val="00744C8E"/>
    <w:rsid w:val="00744E9F"/>
    <w:rsid w:val="00745A97"/>
    <w:rsid w:val="00745E0A"/>
    <w:rsid w:val="007461E8"/>
    <w:rsid w:val="007465D3"/>
    <w:rsid w:val="00746A0A"/>
    <w:rsid w:val="00746E65"/>
    <w:rsid w:val="0074707E"/>
    <w:rsid w:val="00747ADA"/>
    <w:rsid w:val="00747B96"/>
    <w:rsid w:val="00747E6B"/>
    <w:rsid w:val="00750393"/>
    <w:rsid w:val="007511A8"/>
    <w:rsid w:val="007516DC"/>
    <w:rsid w:val="00752E58"/>
    <w:rsid w:val="007531C8"/>
    <w:rsid w:val="00754378"/>
    <w:rsid w:val="00754485"/>
    <w:rsid w:val="00754688"/>
    <w:rsid w:val="00754B56"/>
    <w:rsid w:val="00754B80"/>
    <w:rsid w:val="00754CDD"/>
    <w:rsid w:val="0075507E"/>
    <w:rsid w:val="007552F7"/>
    <w:rsid w:val="00755658"/>
    <w:rsid w:val="00755711"/>
    <w:rsid w:val="0075615B"/>
    <w:rsid w:val="007564DC"/>
    <w:rsid w:val="0075713C"/>
    <w:rsid w:val="007571AC"/>
    <w:rsid w:val="00757502"/>
    <w:rsid w:val="00757587"/>
    <w:rsid w:val="007605DF"/>
    <w:rsid w:val="00761918"/>
    <w:rsid w:val="00761B2B"/>
    <w:rsid w:val="00761C76"/>
    <w:rsid w:val="00762ABA"/>
    <w:rsid w:val="00762F03"/>
    <w:rsid w:val="00763213"/>
    <w:rsid w:val="0076321F"/>
    <w:rsid w:val="007638C5"/>
    <w:rsid w:val="00763B80"/>
    <w:rsid w:val="0076413B"/>
    <w:rsid w:val="007647BD"/>
    <w:rsid w:val="00764807"/>
    <w:rsid w:val="007648AE"/>
    <w:rsid w:val="00764B12"/>
    <w:rsid w:val="00764BF8"/>
    <w:rsid w:val="0076514D"/>
    <w:rsid w:val="007652D8"/>
    <w:rsid w:val="007656C5"/>
    <w:rsid w:val="007661F1"/>
    <w:rsid w:val="00767327"/>
    <w:rsid w:val="0077038D"/>
    <w:rsid w:val="007706C1"/>
    <w:rsid w:val="00770F88"/>
    <w:rsid w:val="00771048"/>
    <w:rsid w:val="00771209"/>
    <w:rsid w:val="00771338"/>
    <w:rsid w:val="00771AA5"/>
    <w:rsid w:val="00771DAF"/>
    <w:rsid w:val="0077257F"/>
    <w:rsid w:val="00772919"/>
    <w:rsid w:val="00773836"/>
    <w:rsid w:val="007739FC"/>
    <w:rsid w:val="00773D59"/>
    <w:rsid w:val="00774631"/>
    <w:rsid w:val="00774A3E"/>
    <w:rsid w:val="00774C42"/>
    <w:rsid w:val="0077554A"/>
    <w:rsid w:val="007764CF"/>
    <w:rsid w:val="00776530"/>
    <w:rsid w:val="00777063"/>
    <w:rsid w:val="0077733A"/>
    <w:rsid w:val="00777AFE"/>
    <w:rsid w:val="00780372"/>
    <w:rsid w:val="00780D3D"/>
    <w:rsid w:val="00780EAB"/>
    <w:rsid w:val="00781003"/>
    <w:rsid w:val="00781962"/>
    <w:rsid w:val="007819BB"/>
    <w:rsid w:val="00781CB3"/>
    <w:rsid w:val="00781DCC"/>
    <w:rsid w:val="007820D9"/>
    <w:rsid w:val="007825BA"/>
    <w:rsid w:val="00782684"/>
    <w:rsid w:val="00782A6B"/>
    <w:rsid w:val="00783064"/>
    <w:rsid w:val="007835E5"/>
    <w:rsid w:val="007846A5"/>
    <w:rsid w:val="00784811"/>
    <w:rsid w:val="007849E0"/>
    <w:rsid w:val="00785645"/>
    <w:rsid w:val="00786589"/>
    <w:rsid w:val="00786E73"/>
    <w:rsid w:val="00787713"/>
    <w:rsid w:val="007911FD"/>
    <w:rsid w:val="007919AB"/>
    <w:rsid w:val="00791AAB"/>
    <w:rsid w:val="007931D0"/>
    <w:rsid w:val="00793749"/>
    <w:rsid w:val="00793930"/>
    <w:rsid w:val="00793DD1"/>
    <w:rsid w:val="00794FEC"/>
    <w:rsid w:val="007956D2"/>
    <w:rsid w:val="00795A24"/>
    <w:rsid w:val="00796002"/>
    <w:rsid w:val="00797003"/>
    <w:rsid w:val="00797177"/>
    <w:rsid w:val="00797263"/>
    <w:rsid w:val="007A003E"/>
    <w:rsid w:val="007A0F93"/>
    <w:rsid w:val="007A1298"/>
    <w:rsid w:val="007A15B7"/>
    <w:rsid w:val="007A1604"/>
    <w:rsid w:val="007A1965"/>
    <w:rsid w:val="007A1DF4"/>
    <w:rsid w:val="007A21E8"/>
    <w:rsid w:val="007A221F"/>
    <w:rsid w:val="007A2669"/>
    <w:rsid w:val="007A2824"/>
    <w:rsid w:val="007A2ED1"/>
    <w:rsid w:val="007A3EE6"/>
    <w:rsid w:val="007A414F"/>
    <w:rsid w:val="007A456C"/>
    <w:rsid w:val="007A461F"/>
    <w:rsid w:val="007A4BE6"/>
    <w:rsid w:val="007A4CFE"/>
    <w:rsid w:val="007A579B"/>
    <w:rsid w:val="007A64E0"/>
    <w:rsid w:val="007A66AD"/>
    <w:rsid w:val="007A7537"/>
    <w:rsid w:val="007A76C3"/>
    <w:rsid w:val="007B0566"/>
    <w:rsid w:val="007B0BFD"/>
    <w:rsid w:val="007B0DC6"/>
    <w:rsid w:val="007B1094"/>
    <w:rsid w:val="007B1762"/>
    <w:rsid w:val="007B2091"/>
    <w:rsid w:val="007B24A4"/>
    <w:rsid w:val="007B2DCC"/>
    <w:rsid w:val="007B3052"/>
    <w:rsid w:val="007B3320"/>
    <w:rsid w:val="007B3BAB"/>
    <w:rsid w:val="007B3DB0"/>
    <w:rsid w:val="007B48CE"/>
    <w:rsid w:val="007B5B48"/>
    <w:rsid w:val="007B61A9"/>
    <w:rsid w:val="007B61CA"/>
    <w:rsid w:val="007C04BD"/>
    <w:rsid w:val="007C0C39"/>
    <w:rsid w:val="007C1BC1"/>
    <w:rsid w:val="007C301F"/>
    <w:rsid w:val="007C30F3"/>
    <w:rsid w:val="007C311D"/>
    <w:rsid w:val="007C40ED"/>
    <w:rsid w:val="007C452B"/>
    <w:rsid w:val="007C4540"/>
    <w:rsid w:val="007C4C9D"/>
    <w:rsid w:val="007C5397"/>
    <w:rsid w:val="007C561E"/>
    <w:rsid w:val="007C5B0A"/>
    <w:rsid w:val="007C5B8E"/>
    <w:rsid w:val="007C65AF"/>
    <w:rsid w:val="007C6641"/>
    <w:rsid w:val="007C69EE"/>
    <w:rsid w:val="007C6F09"/>
    <w:rsid w:val="007C7A00"/>
    <w:rsid w:val="007C7B61"/>
    <w:rsid w:val="007D04E9"/>
    <w:rsid w:val="007D0B5E"/>
    <w:rsid w:val="007D0BC0"/>
    <w:rsid w:val="007D0C82"/>
    <w:rsid w:val="007D12CE"/>
    <w:rsid w:val="007D135D"/>
    <w:rsid w:val="007D1B47"/>
    <w:rsid w:val="007D3238"/>
    <w:rsid w:val="007D5833"/>
    <w:rsid w:val="007D6E84"/>
    <w:rsid w:val="007D6F9C"/>
    <w:rsid w:val="007D730F"/>
    <w:rsid w:val="007D7464"/>
    <w:rsid w:val="007D7CD8"/>
    <w:rsid w:val="007E1104"/>
    <w:rsid w:val="007E115D"/>
    <w:rsid w:val="007E13F6"/>
    <w:rsid w:val="007E1ABE"/>
    <w:rsid w:val="007E1B71"/>
    <w:rsid w:val="007E1BCD"/>
    <w:rsid w:val="007E1CF0"/>
    <w:rsid w:val="007E1E1B"/>
    <w:rsid w:val="007E2489"/>
    <w:rsid w:val="007E2F04"/>
    <w:rsid w:val="007E329E"/>
    <w:rsid w:val="007E3387"/>
    <w:rsid w:val="007E3914"/>
    <w:rsid w:val="007E3AA7"/>
    <w:rsid w:val="007E5695"/>
    <w:rsid w:val="007E6C27"/>
    <w:rsid w:val="007E70C3"/>
    <w:rsid w:val="007F0A10"/>
    <w:rsid w:val="007F2173"/>
    <w:rsid w:val="007F2215"/>
    <w:rsid w:val="007F26BC"/>
    <w:rsid w:val="007F33B8"/>
    <w:rsid w:val="007F3455"/>
    <w:rsid w:val="007F4786"/>
    <w:rsid w:val="007F6AC2"/>
    <w:rsid w:val="007F720D"/>
    <w:rsid w:val="007F737D"/>
    <w:rsid w:val="007F748C"/>
    <w:rsid w:val="007F775D"/>
    <w:rsid w:val="008003D0"/>
    <w:rsid w:val="00800478"/>
    <w:rsid w:val="00801578"/>
    <w:rsid w:val="00801BD9"/>
    <w:rsid w:val="008024F5"/>
    <w:rsid w:val="0080287B"/>
    <w:rsid w:val="0080308E"/>
    <w:rsid w:val="00803D58"/>
    <w:rsid w:val="008051A2"/>
    <w:rsid w:val="00805303"/>
    <w:rsid w:val="00806599"/>
    <w:rsid w:val="00806705"/>
    <w:rsid w:val="00806738"/>
    <w:rsid w:val="00806CE8"/>
    <w:rsid w:val="00806F16"/>
    <w:rsid w:val="008101E5"/>
    <w:rsid w:val="00810A0D"/>
    <w:rsid w:val="00810BB6"/>
    <w:rsid w:val="008116E5"/>
    <w:rsid w:val="0081174C"/>
    <w:rsid w:val="00811A05"/>
    <w:rsid w:val="00811CBA"/>
    <w:rsid w:val="00812721"/>
    <w:rsid w:val="008130CC"/>
    <w:rsid w:val="008131EA"/>
    <w:rsid w:val="008136C5"/>
    <w:rsid w:val="00813E75"/>
    <w:rsid w:val="0081403D"/>
    <w:rsid w:val="00815B19"/>
    <w:rsid w:val="00816464"/>
    <w:rsid w:val="008167FC"/>
    <w:rsid w:val="00816EFE"/>
    <w:rsid w:val="008173E9"/>
    <w:rsid w:val="00817B00"/>
    <w:rsid w:val="00820671"/>
    <w:rsid w:val="008216D5"/>
    <w:rsid w:val="00821738"/>
    <w:rsid w:val="00821932"/>
    <w:rsid w:val="00821E57"/>
    <w:rsid w:val="00822D44"/>
    <w:rsid w:val="008231DB"/>
    <w:rsid w:val="008242FE"/>
    <w:rsid w:val="008249CE"/>
    <w:rsid w:val="00824F2F"/>
    <w:rsid w:val="0082513B"/>
    <w:rsid w:val="00825A60"/>
    <w:rsid w:val="00825CD6"/>
    <w:rsid w:val="00826185"/>
    <w:rsid w:val="00826937"/>
    <w:rsid w:val="00826C0B"/>
    <w:rsid w:val="00826F98"/>
    <w:rsid w:val="00827CBC"/>
    <w:rsid w:val="00827DCD"/>
    <w:rsid w:val="0083072E"/>
    <w:rsid w:val="00830DFF"/>
    <w:rsid w:val="00830F78"/>
    <w:rsid w:val="00831A50"/>
    <w:rsid w:val="00831B3C"/>
    <w:rsid w:val="00831C89"/>
    <w:rsid w:val="00832114"/>
    <w:rsid w:val="0083220D"/>
    <w:rsid w:val="00832680"/>
    <w:rsid w:val="00832BF6"/>
    <w:rsid w:val="00833067"/>
    <w:rsid w:val="008332D2"/>
    <w:rsid w:val="00833494"/>
    <w:rsid w:val="00833CE3"/>
    <w:rsid w:val="00834800"/>
    <w:rsid w:val="00834C46"/>
    <w:rsid w:val="00835031"/>
    <w:rsid w:val="00835460"/>
    <w:rsid w:val="008357CF"/>
    <w:rsid w:val="00835BCC"/>
    <w:rsid w:val="008366CB"/>
    <w:rsid w:val="00836A80"/>
    <w:rsid w:val="00836BB4"/>
    <w:rsid w:val="00837874"/>
    <w:rsid w:val="008406A6"/>
    <w:rsid w:val="00840858"/>
    <w:rsid w:val="0084093E"/>
    <w:rsid w:val="00840CAB"/>
    <w:rsid w:val="00840CE8"/>
    <w:rsid w:val="0084119A"/>
    <w:rsid w:val="008413EE"/>
    <w:rsid w:val="00841805"/>
    <w:rsid w:val="00841CE1"/>
    <w:rsid w:val="0084377B"/>
    <w:rsid w:val="00843881"/>
    <w:rsid w:val="00843D71"/>
    <w:rsid w:val="00844A70"/>
    <w:rsid w:val="00844DE4"/>
    <w:rsid w:val="008455AF"/>
    <w:rsid w:val="00845615"/>
    <w:rsid w:val="00846E78"/>
    <w:rsid w:val="008473D8"/>
    <w:rsid w:val="0084750D"/>
    <w:rsid w:val="0085016F"/>
    <w:rsid w:val="008505B8"/>
    <w:rsid w:val="008506BF"/>
    <w:rsid w:val="00851515"/>
    <w:rsid w:val="0085176C"/>
    <w:rsid w:val="00851933"/>
    <w:rsid w:val="00851BDD"/>
    <w:rsid w:val="00851C5C"/>
    <w:rsid w:val="00851FC4"/>
    <w:rsid w:val="0085232E"/>
    <w:rsid w:val="008523F8"/>
    <w:rsid w:val="00852534"/>
    <w:rsid w:val="008528DC"/>
    <w:rsid w:val="00852B19"/>
    <w:rsid w:val="00852B8C"/>
    <w:rsid w:val="00852CF5"/>
    <w:rsid w:val="00853555"/>
    <w:rsid w:val="00853CE3"/>
    <w:rsid w:val="00853EB1"/>
    <w:rsid w:val="00854981"/>
    <w:rsid w:val="00855CC4"/>
    <w:rsid w:val="00856771"/>
    <w:rsid w:val="00856F52"/>
    <w:rsid w:val="008609DD"/>
    <w:rsid w:val="00860CA5"/>
    <w:rsid w:val="008613B2"/>
    <w:rsid w:val="00861D5D"/>
    <w:rsid w:val="00861FDB"/>
    <w:rsid w:val="00863F83"/>
    <w:rsid w:val="008641A0"/>
    <w:rsid w:val="008642CA"/>
    <w:rsid w:val="0086436E"/>
    <w:rsid w:val="00864B2E"/>
    <w:rsid w:val="00864C7F"/>
    <w:rsid w:val="00864DF6"/>
    <w:rsid w:val="00865250"/>
    <w:rsid w:val="0086536A"/>
    <w:rsid w:val="00865963"/>
    <w:rsid w:val="00865B18"/>
    <w:rsid w:val="00865D31"/>
    <w:rsid w:val="00865E96"/>
    <w:rsid w:val="00866D3E"/>
    <w:rsid w:val="00866E12"/>
    <w:rsid w:val="00870A1F"/>
    <w:rsid w:val="00871144"/>
    <w:rsid w:val="008716FF"/>
    <w:rsid w:val="00871C1D"/>
    <w:rsid w:val="008726A2"/>
    <w:rsid w:val="00872FB8"/>
    <w:rsid w:val="008730CF"/>
    <w:rsid w:val="00873102"/>
    <w:rsid w:val="008731F2"/>
    <w:rsid w:val="00873255"/>
    <w:rsid w:val="0087376C"/>
    <w:rsid w:val="00873910"/>
    <w:rsid w:val="00873FCA"/>
    <w:rsid w:val="0087450E"/>
    <w:rsid w:val="008746EE"/>
    <w:rsid w:val="008749E1"/>
    <w:rsid w:val="0087522D"/>
    <w:rsid w:val="00875431"/>
    <w:rsid w:val="00875579"/>
    <w:rsid w:val="00875595"/>
    <w:rsid w:val="00875A82"/>
    <w:rsid w:val="0087622D"/>
    <w:rsid w:val="008768D1"/>
    <w:rsid w:val="00876CA3"/>
    <w:rsid w:val="008772ED"/>
    <w:rsid w:val="008772FE"/>
    <w:rsid w:val="008775F1"/>
    <w:rsid w:val="008805EF"/>
    <w:rsid w:val="00880747"/>
    <w:rsid w:val="008808CE"/>
    <w:rsid w:val="00880EBB"/>
    <w:rsid w:val="00881ECF"/>
    <w:rsid w:val="008821AE"/>
    <w:rsid w:val="0088225B"/>
    <w:rsid w:val="0088238A"/>
    <w:rsid w:val="00882B31"/>
    <w:rsid w:val="0088339B"/>
    <w:rsid w:val="00883B67"/>
    <w:rsid w:val="00883BF1"/>
    <w:rsid w:val="00883D3A"/>
    <w:rsid w:val="00883EA4"/>
    <w:rsid w:val="00883F48"/>
    <w:rsid w:val="00884858"/>
    <w:rsid w:val="00885074"/>
    <w:rsid w:val="0088545B"/>
    <w:rsid w:val="008854F7"/>
    <w:rsid w:val="00885A97"/>
    <w:rsid w:val="00885A9D"/>
    <w:rsid w:val="00885ACB"/>
    <w:rsid w:val="00886E84"/>
    <w:rsid w:val="00890F7B"/>
    <w:rsid w:val="00890FF5"/>
    <w:rsid w:val="008913DC"/>
    <w:rsid w:val="0089157D"/>
    <w:rsid w:val="008923B8"/>
    <w:rsid w:val="008929D2"/>
    <w:rsid w:val="00893636"/>
    <w:rsid w:val="00893B94"/>
    <w:rsid w:val="0089464E"/>
    <w:rsid w:val="00894788"/>
    <w:rsid w:val="00894D1D"/>
    <w:rsid w:val="00895BE0"/>
    <w:rsid w:val="00895E7D"/>
    <w:rsid w:val="00896114"/>
    <w:rsid w:val="00896491"/>
    <w:rsid w:val="008964D4"/>
    <w:rsid w:val="008969BD"/>
    <w:rsid w:val="00896BA3"/>
    <w:rsid w:val="00896DB7"/>
    <w:rsid w:val="00896E9D"/>
    <w:rsid w:val="00896F11"/>
    <w:rsid w:val="008A0763"/>
    <w:rsid w:val="008A0968"/>
    <w:rsid w:val="008A0B9C"/>
    <w:rsid w:val="008A0CB0"/>
    <w:rsid w:val="008A1049"/>
    <w:rsid w:val="008A1BB9"/>
    <w:rsid w:val="008A1C98"/>
    <w:rsid w:val="008A322D"/>
    <w:rsid w:val="008A4D72"/>
    <w:rsid w:val="008A510F"/>
    <w:rsid w:val="008A5413"/>
    <w:rsid w:val="008A5A6B"/>
    <w:rsid w:val="008A5FB3"/>
    <w:rsid w:val="008A6285"/>
    <w:rsid w:val="008A63B2"/>
    <w:rsid w:val="008A6438"/>
    <w:rsid w:val="008A74F6"/>
    <w:rsid w:val="008A783A"/>
    <w:rsid w:val="008A7AE3"/>
    <w:rsid w:val="008B08F1"/>
    <w:rsid w:val="008B0DCA"/>
    <w:rsid w:val="008B1470"/>
    <w:rsid w:val="008B2324"/>
    <w:rsid w:val="008B345D"/>
    <w:rsid w:val="008B350B"/>
    <w:rsid w:val="008B3A8F"/>
    <w:rsid w:val="008B3E82"/>
    <w:rsid w:val="008B3F3C"/>
    <w:rsid w:val="008B4AD5"/>
    <w:rsid w:val="008B4B63"/>
    <w:rsid w:val="008B5730"/>
    <w:rsid w:val="008B597A"/>
    <w:rsid w:val="008B5B46"/>
    <w:rsid w:val="008B63CB"/>
    <w:rsid w:val="008C057B"/>
    <w:rsid w:val="008C13F5"/>
    <w:rsid w:val="008C1492"/>
    <w:rsid w:val="008C1FC2"/>
    <w:rsid w:val="008C1FD6"/>
    <w:rsid w:val="008C2980"/>
    <w:rsid w:val="008C3452"/>
    <w:rsid w:val="008C3B8A"/>
    <w:rsid w:val="008C4DD6"/>
    <w:rsid w:val="008C50A4"/>
    <w:rsid w:val="008C53DC"/>
    <w:rsid w:val="008C5AFB"/>
    <w:rsid w:val="008C5D05"/>
    <w:rsid w:val="008C631F"/>
    <w:rsid w:val="008C6A7A"/>
    <w:rsid w:val="008C6D40"/>
    <w:rsid w:val="008C704D"/>
    <w:rsid w:val="008C7223"/>
    <w:rsid w:val="008C78E4"/>
    <w:rsid w:val="008C791F"/>
    <w:rsid w:val="008C7BEC"/>
    <w:rsid w:val="008C7CA7"/>
    <w:rsid w:val="008D058A"/>
    <w:rsid w:val="008D07FB"/>
    <w:rsid w:val="008D0C02"/>
    <w:rsid w:val="008D0E41"/>
    <w:rsid w:val="008D10D0"/>
    <w:rsid w:val="008D1349"/>
    <w:rsid w:val="008D1364"/>
    <w:rsid w:val="008D17C8"/>
    <w:rsid w:val="008D2A3A"/>
    <w:rsid w:val="008D357D"/>
    <w:rsid w:val="008D3F32"/>
    <w:rsid w:val="008D435A"/>
    <w:rsid w:val="008D73B9"/>
    <w:rsid w:val="008D7504"/>
    <w:rsid w:val="008D7A85"/>
    <w:rsid w:val="008D7AFF"/>
    <w:rsid w:val="008E02F9"/>
    <w:rsid w:val="008E072F"/>
    <w:rsid w:val="008E0B5C"/>
    <w:rsid w:val="008E1769"/>
    <w:rsid w:val="008E1DB6"/>
    <w:rsid w:val="008E226C"/>
    <w:rsid w:val="008E27AB"/>
    <w:rsid w:val="008E2AB5"/>
    <w:rsid w:val="008E35CE"/>
    <w:rsid w:val="008E387B"/>
    <w:rsid w:val="008E424F"/>
    <w:rsid w:val="008E592B"/>
    <w:rsid w:val="008E6087"/>
    <w:rsid w:val="008E69FF"/>
    <w:rsid w:val="008E758D"/>
    <w:rsid w:val="008E7ADE"/>
    <w:rsid w:val="008F0821"/>
    <w:rsid w:val="008F10A7"/>
    <w:rsid w:val="008F37AA"/>
    <w:rsid w:val="008F382A"/>
    <w:rsid w:val="008F3AB3"/>
    <w:rsid w:val="008F4117"/>
    <w:rsid w:val="008F49D6"/>
    <w:rsid w:val="008F5489"/>
    <w:rsid w:val="008F5543"/>
    <w:rsid w:val="008F5748"/>
    <w:rsid w:val="008F60C4"/>
    <w:rsid w:val="008F6789"/>
    <w:rsid w:val="008F72E1"/>
    <w:rsid w:val="008F755D"/>
    <w:rsid w:val="008F7A39"/>
    <w:rsid w:val="009001DF"/>
    <w:rsid w:val="00900310"/>
    <w:rsid w:val="0090052C"/>
    <w:rsid w:val="0090054D"/>
    <w:rsid w:val="009008DF"/>
    <w:rsid w:val="009019BC"/>
    <w:rsid w:val="009021E8"/>
    <w:rsid w:val="0090255B"/>
    <w:rsid w:val="00902E1F"/>
    <w:rsid w:val="009032B9"/>
    <w:rsid w:val="0090353F"/>
    <w:rsid w:val="009038E2"/>
    <w:rsid w:val="00904027"/>
    <w:rsid w:val="00904502"/>
    <w:rsid w:val="009045D2"/>
    <w:rsid w:val="00904677"/>
    <w:rsid w:val="00905285"/>
    <w:rsid w:val="00905700"/>
    <w:rsid w:val="00905EA4"/>
    <w:rsid w:val="00905EE2"/>
    <w:rsid w:val="0090739E"/>
    <w:rsid w:val="009102C4"/>
    <w:rsid w:val="009103A3"/>
    <w:rsid w:val="009108E2"/>
    <w:rsid w:val="00911440"/>
    <w:rsid w:val="00911712"/>
    <w:rsid w:val="00911B27"/>
    <w:rsid w:val="00912EB7"/>
    <w:rsid w:val="009130CF"/>
    <w:rsid w:val="009137A3"/>
    <w:rsid w:val="00913880"/>
    <w:rsid w:val="0091404C"/>
    <w:rsid w:val="00914110"/>
    <w:rsid w:val="0091453F"/>
    <w:rsid w:val="009151B8"/>
    <w:rsid w:val="009158C3"/>
    <w:rsid w:val="00915AAB"/>
    <w:rsid w:val="009170BE"/>
    <w:rsid w:val="0091712F"/>
    <w:rsid w:val="00920B55"/>
    <w:rsid w:val="00920B99"/>
    <w:rsid w:val="00920FD0"/>
    <w:rsid w:val="00921C8B"/>
    <w:rsid w:val="00921FC3"/>
    <w:rsid w:val="009229C9"/>
    <w:rsid w:val="00922DF4"/>
    <w:rsid w:val="009239CC"/>
    <w:rsid w:val="00923FAF"/>
    <w:rsid w:val="00924282"/>
    <w:rsid w:val="009254F9"/>
    <w:rsid w:val="00925663"/>
    <w:rsid w:val="00925A28"/>
    <w:rsid w:val="00925C0E"/>
    <w:rsid w:val="009262C9"/>
    <w:rsid w:val="009309BB"/>
    <w:rsid w:val="00930EB9"/>
    <w:rsid w:val="009313DE"/>
    <w:rsid w:val="009316F7"/>
    <w:rsid w:val="00931C1C"/>
    <w:rsid w:val="0093208B"/>
    <w:rsid w:val="009320BE"/>
    <w:rsid w:val="0093234E"/>
    <w:rsid w:val="0093274E"/>
    <w:rsid w:val="00932E5B"/>
    <w:rsid w:val="0093328E"/>
    <w:rsid w:val="00933CB5"/>
    <w:rsid w:val="00933DC7"/>
    <w:rsid w:val="009341B5"/>
    <w:rsid w:val="00934447"/>
    <w:rsid w:val="00934869"/>
    <w:rsid w:val="00934F9F"/>
    <w:rsid w:val="00936403"/>
    <w:rsid w:val="00936A25"/>
    <w:rsid w:val="009371A9"/>
    <w:rsid w:val="009372C4"/>
    <w:rsid w:val="00937EB4"/>
    <w:rsid w:val="0094069B"/>
    <w:rsid w:val="009409C0"/>
    <w:rsid w:val="00940B88"/>
    <w:rsid w:val="00941604"/>
    <w:rsid w:val="009418F4"/>
    <w:rsid w:val="009419CE"/>
    <w:rsid w:val="00941AE1"/>
    <w:rsid w:val="00941F78"/>
    <w:rsid w:val="00942021"/>
    <w:rsid w:val="00942BBC"/>
    <w:rsid w:val="009436CF"/>
    <w:rsid w:val="00944107"/>
    <w:rsid w:val="00944180"/>
    <w:rsid w:val="009443FC"/>
    <w:rsid w:val="0094440C"/>
    <w:rsid w:val="0094463F"/>
    <w:rsid w:val="009449D7"/>
    <w:rsid w:val="00944AA0"/>
    <w:rsid w:val="00945966"/>
    <w:rsid w:val="0094640D"/>
    <w:rsid w:val="0094682F"/>
    <w:rsid w:val="00947DA2"/>
    <w:rsid w:val="0095000F"/>
    <w:rsid w:val="00951177"/>
    <w:rsid w:val="00951422"/>
    <w:rsid w:val="009517CA"/>
    <w:rsid w:val="00951CD0"/>
    <w:rsid w:val="00952717"/>
    <w:rsid w:val="00952A24"/>
    <w:rsid w:val="00952A9F"/>
    <w:rsid w:val="00953518"/>
    <w:rsid w:val="00954C33"/>
    <w:rsid w:val="00954E10"/>
    <w:rsid w:val="009550EC"/>
    <w:rsid w:val="0095523B"/>
    <w:rsid w:val="009573B2"/>
    <w:rsid w:val="0095751F"/>
    <w:rsid w:val="009576B7"/>
    <w:rsid w:val="00957808"/>
    <w:rsid w:val="0096060E"/>
    <w:rsid w:val="009606E7"/>
    <w:rsid w:val="00961EA6"/>
    <w:rsid w:val="00962433"/>
    <w:rsid w:val="0096258B"/>
    <w:rsid w:val="009644CF"/>
    <w:rsid w:val="0096488B"/>
    <w:rsid w:val="00965525"/>
    <w:rsid w:val="0096567A"/>
    <w:rsid w:val="00965877"/>
    <w:rsid w:val="00965F15"/>
    <w:rsid w:val="0096632E"/>
    <w:rsid w:val="0096670C"/>
    <w:rsid w:val="00966812"/>
    <w:rsid w:val="00966B51"/>
    <w:rsid w:val="009673E8"/>
    <w:rsid w:val="00967FA2"/>
    <w:rsid w:val="009701BA"/>
    <w:rsid w:val="009706C7"/>
    <w:rsid w:val="00970BF7"/>
    <w:rsid w:val="00971213"/>
    <w:rsid w:val="00971CDE"/>
    <w:rsid w:val="00971DE9"/>
    <w:rsid w:val="00972AC6"/>
    <w:rsid w:val="00972CD4"/>
    <w:rsid w:val="0097377A"/>
    <w:rsid w:val="0097377C"/>
    <w:rsid w:val="009746DF"/>
    <w:rsid w:val="00974DB8"/>
    <w:rsid w:val="0097500F"/>
    <w:rsid w:val="00975856"/>
    <w:rsid w:val="00975B9E"/>
    <w:rsid w:val="0097764F"/>
    <w:rsid w:val="00980661"/>
    <w:rsid w:val="0098093B"/>
    <w:rsid w:val="00980CC7"/>
    <w:rsid w:val="009817AD"/>
    <w:rsid w:val="00981FF6"/>
    <w:rsid w:val="00982D5E"/>
    <w:rsid w:val="00983245"/>
    <w:rsid w:val="00983C9D"/>
    <w:rsid w:val="009841B3"/>
    <w:rsid w:val="00984E8E"/>
    <w:rsid w:val="0098537B"/>
    <w:rsid w:val="0098586A"/>
    <w:rsid w:val="00985C07"/>
    <w:rsid w:val="009871B5"/>
    <w:rsid w:val="009876D4"/>
    <w:rsid w:val="00987872"/>
    <w:rsid w:val="00987F96"/>
    <w:rsid w:val="0099084D"/>
    <w:rsid w:val="00990AAB"/>
    <w:rsid w:val="0099145F"/>
    <w:rsid w:val="009914A5"/>
    <w:rsid w:val="00993DE5"/>
    <w:rsid w:val="00993DF6"/>
    <w:rsid w:val="009947ED"/>
    <w:rsid w:val="00994AB7"/>
    <w:rsid w:val="00994D8E"/>
    <w:rsid w:val="00994FA0"/>
    <w:rsid w:val="009953F4"/>
    <w:rsid w:val="0099548E"/>
    <w:rsid w:val="00995E6F"/>
    <w:rsid w:val="00995E88"/>
    <w:rsid w:val="0099603A"/>
    <w:rsid w:val="00996456"/>
    <w:rsid w:val="00996A12"/>
    <w:rsid w:val="00997B0F"/>
    <w:rsid w:val="00997ED2"/>
    <w:rsid w:val="009A0377"/>
    <w:rsid w:val="009A062C"/>
    <w:rsid w:val="009A06B0"/>
    <w:rsid w:val="009A0CC3"/>
    <w:rsid w:val="009A11EE"/>
    <w:rsid w:val="009A1404"/>
    <w:rsid w:val="009A1687"/>
    <w:rsid w:val="009A1CAD"/>
    <w:rsid w:val="009A2191"/>
    <w:rsid w:val="009A22BB"/>
    <w:rsid w:val="009A2DEA"/>
    <w:rsid w:val="009A33DB"/>
    <w:rsid w:val="009A3440"/>
    <w:rsid w:val="009A3AA2"/>
    <w:rsid w:val="009A3F71"/>
    <w:rsid w:val="009A5832"/>
    <w:rsid w:val="009A65FB"/>
    <w:rsid w:val="009A6838"/>
    <w:rsid w:val="009A7434"/>
    <w:rsid w:val="009A7578"/>
    <w:rsid w:val="009A7824"/>
    <w:rsid w:val="009B07EF"/>
    <w:rsid w:val="009B1140"/>
    <w:rsid w:val="009B1C49"/>
    <w:rsid w:val="009B1E5A"/>
    <w:rsid w:val="009B24B5"/>
    <w:rsid w:val="009B2DCD"/>
    <w:rsid w:val="009B3EDC"/>
    <w:rsid w:val="009B4804"/>
    <w:rsid w:val="009B4EBC"/>
    <w:rsid w:val="009B523B"/>
    <w:rsid w:val="009B5621"/>
    <w:rsid w:val="009B58DA"/>
    <w:rsid w:val="009B5ABB"/>
    <w:rsid w:val="009B5AC6"/>
    <w:rsid w:val="009B6226"/>
    <w:rsid w:val="009B666D"/>
    <w:rsid w:val="009B70C3"/>
    <w:rsid w:val="009B7352"/>
    <w:rsid w:val="009B73CE"/>
    <w:rsid w:val="009B7C8C"/>
    <w:rsid w:val="009C0E2E"/>
    <w:rsid w:val="009C156C"/>
    <w:rsid w:val="009C2456"/>
    <w:rsid w:val="009C2461"/>
    <w:rsid w:val="009C309F"/>
    <w:rsid w:val="009C423F"/>
    <w:rsid w:val="009C4494"/>
    <w:rsid w:val="009C4D2C"/>
    <w:rsid w:val="009C507C"/>
    <w:rsid w:val="009C5293"/>
    <w:rsid w:val="009C52BE"/>
    <w:rsid w:val="009C55F4"/>
    <w:rsid w:val="009C647A"/>
    <w:rsid w:val="009C6A77"/>
    <w:rsid w:val="009C6DBD"/>
    <w:rsid w:val="009C6FE2"/>
    <w:rsid w:val="009C7062"/>
    <w:rsid w:val="009C7284"/>
    <w:rsid w:val="009C72D0"/>
    <w:rsid w:val="009C737D"/>
    <w:rsid w:val="009C7674"/>
    <w:rsid w:val="009C76DD"/>
    <w:rsid w:val="009D004A"/>
    <w:rsid w:val="009D0CE1"/>
    <w:rsid w:val="009D0E9B"/>
    <w:rsid w:val="009D0FB5"/>
    <w:rsid w:val="009D197E"/>
    <w:rsid w:val="009D230F"/>
    <w:rsid w:val="009D3720"/>
    <w:rsid w:val="009D3C92"/>
    <w:rsid w:val="009D3CE2"/>
    <w:rsid w:val="009D4007"/>
    <w:rsid w:val="009D4139"/>
    <w:rsid w:val="009D46FE"/>
    <w:rsid w:val="009D4FC8"/>
    <w:rsid w:val="009D549E"/>
    <w:rsid w:val="009D5880"/>
    <w:rsid w:val="009D626E"/>
    <w:rsid w:val="009D6DE2"/>
    <w:rsid w:val="009D76A5"/>
    <w:rsid w:val="009E012A"/>
    <w:rsid w:val="009E15EC"/>
    <w:rsid w:val="009E16E1"/>
    <w:rsid w:val="009E1AAC"/>
    <w:rsid w:val="009E1E9F"/>
    <w:rsid w:val="009E1FD4"/>
    <w:rsid w:val="009E2004"/>
    <w:rsid w:val="009E277B"/>
    <w:rsid w:val="009E3B07"/>
    <w:rsid w:val="009E407F"/>
    <w:rsid w:val="009E476C"/>
    <w:rsid w:val="009E51D1"/>
    <w:rsid w:val="009E5531"/>
    <w:rsid w:val="009E5ECF"/>
    <w:rsid w:val="009E5FFE"/>
    <w:rsid w:val="009E61DB"/>
    <w:rsid w:val="009E6D8E"/>
    <w:rsid w:val="009E6F22"/>
    <w:rsid w:val="009E7B2E"/>
    <w:rsid w:val="009F04ED"/>
    <w:rsid w:val="009F0699"/>
    <w:rsid w:val="009F0741"/>
    <w:rsid w:val="009F089E"/>
    <w:rsid w:val="009F0B47"/>
    <w:rsid w:val="009F16BF"/>
    <w:rsid w:val="009F171E"/>
    <w:rsid w:val="009F2073"/>
    <w:rsid w:val="009F28C5"/>
    <w:rsid w:val="009F3D2F"/>
    <w:rsid w:val="009F4C88"/>
    <w:rsid w:val="009F58D7"/>
    <w:rsid w:val="009F6164"/>
    <w:rsid w:val="009F7052"/>
    <w:rsid w:val="009F719F"/>
    <w:rsid w:val="009F7FCA"/>
    <w:rsid w:val="00A00998"/>
    <w:rsid w:val="00A0119A"/>
    <w:rsid w:val="00A01B2C"/>
    <w:rsid w:val="00A02668"/>
    <w:rsid w:val="00A02801"/>
    <w:rsid w:val="00A03176"/>
    <w:rsid w:val="00A03CE9"/>
    <w:rsid w:val="00A04576"/>
    <w:rsid w:val="00A04B2B"/>
    <w:rsid w:val="00A05056"/>
    <w:rsid w:val="00A065AE"/>
    <w:rsid w:val="00A06A39"/>
    <w:rsid w:val="00A06E53"/>
    <w:rsid w:val="00A07214"/>
    <w:rsid w:val="00A079CD"/>
    <w:rsid w:val="00A079F1"/>
    <w:rsid w:val="00A07F58"/>
    <w:rsid w:val="00A107A8"/>
    <w:rsid w:val="00A10C2F"/>
    <w:rsid w:val="00A11159"/>
    <w:rsid w:val="00A111CB"/>
    <w:rsid w:val="00A115E1"/>
    <w:rsid w:val="00A118DE"/>
    <w:rsid w:val="00A11BB1"/>
    <w:rsid w:val="00A12C41"/>
    <w:rsid w:val="00A131CB"/>
    <w:rsid w:val="00A13A3E"/>
    <w:rsid w:val="00A13BEF"/>
    <w:rsid w:val="00A13EDD"/>
    <w:rsid w:val="00A14847"/>
    <w:rsid w:val="00A14E9D"/>
    <w:rsid w:val="00A1521F"/>
    <w:rsid w:val="00A158F8"/>
    <w:rsid w:val="00A16D6D"/>
    <w:rsid w:val="00A16EB9"/>
    <w:rsid w:val="00A21383"/>
    <w:rsid w:val="00A2199F"/>
    <w:rsid w:val="00A21B11"/>
    <w:rsid w:val="00A21B31"/>
    <w:rsid w:val="00A21FD9"/>
    <w:rsid w:val="00A22338"/>
    <w:rsid w:val="00A22D22"/>
    <w:rsid w:val="00A2303A"/>
    <w:rsid w:val="00A2360E"/>
    <w:rsid w:val="00A24FB9"/>
    <w:rsid w:val="00A25B1C"/>
    <w:rsid w:val="00A26E0C"/>
    <w:rsid w:val="00A2733C"/>
    <w:rsid w:val="00A276D7"/>
    <w:rsid w:val="00A27975"/>
    <w:rsid w:val="00A303DB"/>
    <w:rsid w:val="00A30E71"/>
    <w:rsid w:val="00A32FCB"/>
    <w:rsid w:val="00A3363C"/>
    <w:rsid w:val="00A345A6"/>
    <w:rsid w:val="00A34C25"/>
    <w:rsid w:val="00A34F53"/>
    <w:rsid w:val="00A3507D"/>
    <w:rsid w:val="00A352A8"/>
    <w:rsid w:val="00A35448"/>
    <w:rsid w:val="00A3550E"/>
    <w:rsid w:val="00A35692"/>
    <w:rsid w:val="00A35A91"/>
    <w:rsid w:val="00A3615F"/>
    <w:rsid w:val="00A3717A"/>
    <w:rsid w:val="00A377AD"/>
    <w:rsid w:val="00A37B90"/>
    <w:rsid w:val="00A40129"/>
    <w:rsid w:val="00A4088C"/>
    <w:rsid w:val="00A429A9"/>
    <w:rsid w:val="00A42FE5"/>
    <w:rsid w:val="00A43054"/>
    <w:rsid w:val="00A433F3"/>
    <w:rsid w:val="00A43C09"/>
    <w:rsid w:val="00A440BD"/>
    <w:rsid w:val="00A4456B"/>
    <w:rsid w:val="00A445EB"/>
    <w:rsid w:val="00A448D4"/>
    <w:rsid w:val="00A44C34"/>
    <w:rsid w:val="00A452E0"/>
    <w:rsid w:val="00A46ECD"/>
    <w:rsid w:val="00A518A0"/>
    <w:rsid w:val="00A51C09"/>
    <w:rsid w:val="00A51EA5"/>
    <w:rsid w:val="00A51FCA"/>
    <w:rsid w:val="00A52FAB"/>
    <w:rsid w:val="00A53742"/>
    <w:rsid w:val="00A53A93"/>
    <w:rsid w:val="00A557A1"/>
    <w:rsid w:val="00A5584E"/>
    <w:rsid w:val="00A56595"/>
    <w:rsid w:val="00A574C6"/>
    <w:rsid w:val="00A5792D"/>
    <w:rsid w:val="00A57A5F"/>
    <w:rsid w:val="00A607F7"/>
    <w:rsid w:val="00A6081A"/>
    <w:rsid w:val="00A61846"/>
    <w:rsid w:val="00A61D4E"/>
    <w:rsid w:val="00A63059"/>
    <w:rsid w:val="00A6323F"/>
    <w:rsid w:val="00A63AE3"/>
    <w:rsid w:val="00A651A4"/>
    <w:rsid w:val="00A65A4F"/>
    <w:rsid w:val="00A6682E"/>
    <w:rsid w:val="00A67B86"/>
    <w:rsid w:val="00A70D5C"/>
    <w:rsid w:val="00A71320"/>
    <w:rsid w:val="00A71361"/>
    <w:rsid w:val="00A71477"/>
    <w:rsid w:val="00A720C3"/>
    <w:rsid w:val="00A73034"/>
    <w:rsid w:val="00A73A42"/>
    <w:rsid w:val="00A7419C"/>
    <w:rsid w:val="00A746E2"/>
    <w:rsid w:val="00A75016"/>
    <w:rsid w:val="00A754B5"/>
    <w:rsid w:val="00A75C24"/>
    <w:rsid w:val="00A75F1C"/>
    <w:rsid w:val="00A769AE"/>
    <w:rsid w:val="00A76BCA"/>
    <w:rsid w:val="00A76D1C"/>
    <w:rsid w:val="00A76F77"/>
    <w:rsid w:val="00A770EE"/>
    <w:rsid w:val="00A80D00"/>
    <w:rsid w:val="00A81256"/>
    <w:rsid w:val="00A81B09"/>
    <w:rsid w:val="00A81FF2"/>
    <w:rsid w:val="00A82154"/>
    <w:rsid w:val="00A821CC"/>
    <w:rsid w:val="00A82621"/>
    <w:rsid w:val="00A82736"/>
    <w:rsid w:val="00A830E2"/>
    <w:rsid w:val="00A834B3"/>
    <w:rsid w:val="00A837F3"/>
    <w:rsid w:val="00A83904"/>
    <w:rsid w:val="00A844C3"/>
    <w:rsid w:val="00A84743"/>
    <w:rsid w:val="00A848F8"/>
    <w:rsid w:val="00A84C19"/>
    <w:rsid w:val="00A85274"/>
    <w:rsid w:val="00A86691"/>
    <w:rsid w:val="00A87C56"/>
    <w:rsid w:val="00A900A5"/>
    <w:rsid w:val="00A903A1"/>
    <w:rsid w:val="00A90A42"/>
    <w:rsid w:val="00A90A79"/>
    <w:rsid w:val="00A924D8"/>
    <w:rsid w:val="00A93316"/>
    <w:rsid w:val="00A94271"/>
    <w:rsid w:val="00A949CB"/>
    <w:rsid w:val="00A956D1"/>
    <w:rsid w:val="00A96137"/>
    <w:rsid w:val="00A96B30"/>
    <w:rsid w:val="00A96C5D"/>
    <w:rsid w:val="00A97874"/>
    <w:rsid w:val="00A97E31"/>
    <w:rsid w:val="00AA0B49"/>
    <w:rsid w:val="00AA166E"/>
    <w:rsid w:val="00AA1C8F"/>
    <w:rsid w:val="00AA1FA7"/>
    <w:rsid w:val="00AA2014"/>
    <w:rsid w:val="00AA25BA"/>
    <w:rsid w:val="00AA565F"/>
    <w:rsid w:val="00AA5950"/>
    <w:rsid w:val="00AA59B5"/>
    <w:rsid w:val="00AA5AF2"/>
    <w:rsid w:val="00AA6D9F"/>
    <w:rsid w:val="00AA6F7C"/>
    <w:rsid w:val="00AA6F98"/>
    <w:rsid w:val="00AA6FFF"/>
    <w:rsid w:val="00AA7777"/>
    <w:rsid w:val="00AA77E0"/>
    <w:rsid w:val="00AA7B84"/>
    <w:rsid w:val="00AA7C81"/>
    <w:rsid w:val="00AA7F3F"/>
    <w:rsid w:val="00AB0A91"/>
    <w:rsid w:val="00AB0F79"/>
    <w:rsid w:val="00AB1379"/>
    <w:rsid w:val="00AB1877"/>
    <w:rsid w:val="00AB20D7"/>
    <w:rsid w:val="00AB3494"/>
    <w:rsid w:val="00AB3740"/>
    <w:rsid w:val="00AB478A"/>
    <w:rsid w:val="00AB47FF"/>
    <w:rsid w:val="00AB4A73"/>
    <w:rsid w:val="00AB5450"/>
    <w:rsid w:val="00AB6CEA"/>
    <w:rsid w:val="00AB70AA"/>
    <w:rsid w:val="00AB71E4"/>
    <w:rsid w:val="00AB7302"/>
    <w:rsid w:val="00AC0B4C"/>
    <w:rsid w:val="00AC0D11"/>
    <w:rsid w:val="00AC1164"/>
    <w:rsid w:val="00AC1FE5"/>
    <w:rsid w:val="00AC2296"/>
    <w:rsid w:val="00AC253C"/>
    <w:rsid w:val="00AC2754"/>
    <w:rsid w:val="00AC2BC8"/>
    <w:rsid w:val="00AC2C37"/>
    <w:rsid w:val="00AC2DEF"/>
    <w:rsid w:val="00AC35A5"/>
    <w:rsid w:val="00AC38EA"/>
    <w:rsid w:val="00AC3A9B"/>
    <w:rsid w:val="00AC4237"/>
    <w:rsid w:val="00AC46E9"/>
    <w:rsid w:val="00AC48B0"/>
    <w:rsid w:val="00AC4ACD"/>
    <w:rsid w:val="00AC5184"/>
    <w:rsid w:val="00AC53E6"/>
    <w:rsid w:val="00AC5BD4"/>
    <w:rsid w:val="00AC5D7C"/>
    <w:rsid w:val="00AC5DFB"/>
    <w:rsid w:val="00AC6330"/>
    <w:rsid w:val="00AC6BD9"/>
    <w:rsid w:val="00AC6FAC"/>
    <w:rsid w:val="00AC786F"/>
    <w:rsid w:val="00AC7DD5"/>
    <w:rsid w:val="00AD0167"/>
    <w:rsid w:val="00AD0406"/>
    <w:rsid w:val="00AD06F6"/>
    <w:rsid w:val="00AD13DC"/>
    <w:rsid w:val="00AD1D3F"/>
    <w:rsid w:val="00AD340C"/>
    <w:rsid w:val="00AD49F7"/>
    <w:rsid w:val="00AD4F55"/>
    <w:rsid w:val="00AD56C5"/>
    <w:rsid w:val="00AD599C"/>
    <w:rsid w:val="00AD5A69"/>
    <w:rsid w:val="00AD5AFD"/>
    <w:rsid w:val="00AD6A52"/>
    <w:rsid w:val="00AD6DE2"/>
    <w:rsid w:val="00AE03CE"/>
    <w:rsid w:val="00AE0A40"/>
    <w:rsid w:val="00AE1B78"/>
    <w:rsid w:val="00AE1DEC"/>
    <w:rsid w:val="00AE1E30"/>
    <w:rsid w:val="00AE1ED4"/>
    <w:rsid w:val="00AE21E1"/>
    <w:rsid w:val="00AE286B"/>
    <w:rsid w:val="00AE2F8D"/>
    <w:rsid w:val="00AE3722"/>
    <w:rsid w:val="00AE3BAE"/>
    <w:rsid w:val="00AE442C"/>
    <w:rsid w:val="00AE48BE"/>
    <w:rsid w:val="00AE549B"/>
    <w:rsid w:val="00AE5717"/>
    <w:rsid w:val="00AE5766"/>
    <w:rsid w:val="00AE5C85"/>
    <w:rsid w:val="00AE5CCB"/>
    <w:rsid w:val="00AE6885"/>
    <w:rsid w:val="00AE6A21"/>
    <w:rsid w:val="00AE6B45"/>
    <w:rsid w:val="00AE7761"/>
    <w:rsid w:val="00AE7A06"/>
    <w:rsid w:val="00AF06B8"/>
    <w:rsid w:val="00AF06F4"/>
    <w:rsid w:val="00AF1183"/>
    <w:rsid w:val="00AF14B2"/>
    <w:rsid w:val="00AF1C8F"/>
    <w:rsid w:val="00AF1EA3"/>
    <w:rsid w:val="00AF239A"/>
    <w:rsid w:val="00AF247E"/>
    <w:rsid w:val="00AF2B68"/>
    <w:rsid w:val="00AF2C92"/>
    <w:rsid w:val="00AF37E9"/>
    <w:rsid w:val="00AF3958"/>
    <w:rsid w:val="00AF3EC1"/>
    <w:rsid w:val="00AF5025"/>
    <w:rsid w:val="00AF519F"/>
    <w:rsid w:val="00AF5387"/>
    <w:rsid w:val="00AF55F5"/>
    <w:rsid w:val="00AF5D70"/>
    <w:rsid w:val="00AF6580"/>
    <w:rsid w:val="00AF6629"/>
    <w:rsid w:val="00AF6ED0"/>
    <w:rsid w:val="00AF78D1"/>
    <w:rsid w:val="00AF7963"/>
    <w:rsid w:val="00AF7E86"/>
    <w:rsid w:val="00B0052A"/>
    <w:rsid w:val="00B00ACA"/>
    <w:rsid w:val="00B00BBA"/>
    <w:rsid w:val="00B00D56"/>
    <w:rsid w:val="00B00D7B"/>
    <w:rsid w:val="00B00FC3"/>
    <w:rsid w:val="00B01BC6"/>
    <w:rsid w:val="00B024B9"/>
    <w:rsid w:val="00B04101"/>
    <w:rsid w:val="00B0455C"/>
    <w:rsid w:val="00B05706"/>
    <w:rsid w:val="00B0583F"/>
    <w:rsid w:val="00B077FA"/>
    <w:rsid w:val="00B104D2"/>
    <w:rsid w:val="00B10EBD"/>
    <w:rsid w:val="00B1139A"/>
    <w:rsid w:val="00B11434"/>
    <w:rsid w:val="00B11582"/>
    <w:rsid w:val="00B117ED"/>
    <w:rsid w:val="00B127D7"/>
    <w:rsid w:val="00B12DC6"/>
    <w:rsid w:val="00B13B0C"/>
    <w:rsid w:val="00B13E04"/>
    <w:rsid w:val="00B1453A"/>
    <w:rsid w:val="00B154EB"/>
    <w:rsid w:val="00B15504"/>
    <w:rsid w:val="00B158CD"/>
    <w:rsid w:val="00B1628B"/>
    <w:rsid w:val="00B1686C"/>
    <w:rsid w:val="00B17D2C"/>
    <w:rsid w:val="00B202EA"/>
    <w:rsid w:val="00B20934"/>
    <w:rsid w:val="00B20CEB"/>
    <w:rsid w:val="00B20F82"/>
    <w:rsid w:val="00B21D84"/>
    <w:rsid w:val="00B21F8A"/>
    <w:rsid w:val="00B2219B"/>
    <w:rsid w:val="00B222B0"/>
    <w:rsid w:val="00B224FC"/>
    <w:rsid w:val="00B23025"/>
    <w:rsid w:val="00B23971"/>
    <w:rsid w:val="00B23FD3"/>
    <w:rsid w:val="00B24F9E"/>
    <w:rsid w:val="00B25650"/>
    <w:rsid w:val="00B25BD5"/>
    <w:rsid w:val="00B26166"/>
    <w:rsid w:val="00B26BB8"/>
    <w:rsid w:val="00B26D6F"/>
    <w:rsid w:val="00B2714F"/>
    <w:rsid w:val="00B27326"/>
    <w:rsid w:val="00B3015B"/>
    <w:rsid w:val="00B31332"/>
    <w:rsid w:val="00B31A5A"/>
    <w:rsid w:val="00B32A60"/>
    <w:rsid w:val="00B32CF4"/>
    <w:rsid w:val="00B32EFD"/>
    <w:rsid w:val="00B34079"/>
    <w:rsid w:val="00B3461F"/>
    <w:rsid w:val="00B34891"/>
    <w:rsid w:val="00B3525B"/>
    <w:rsid w:val="00B354F3"/>
    <w:rsid w:val="00B35A7F"/>
    <w:rsid w:val="00B36233"/>
    <w:rsid w:val="00B36681"/>
    <w:rsid w:val="00B375E6"/>
    <w:rsid w:val="00B3793A"/>
    <w:rsid w:val="00B37A29"/>
    <w:rsid w:val="00B401BA"/>
    <w:rsid w:val="00B40502"/>
    <w:rsid w:val="00B407E4"/>
    <w:rsid w:val="00B411F0"/>
    <w:rsid w:val="00B42060"/>
    <w:rsid w:val="00B425B6"/>
    <w:rsid w:val="00B42A72"/>
    <w:rsid w:val="00B42BFF"/>
    <w:rsid w:val="00B4395C"/>
    <w:rsid w:val="00B43E88"/>
    <w:rsid w:val="00B44010"/>
    <w:rsid w:val="00B441AB"/>
    <w:rsid w:val="00B441AE"/>
    <w:rsid w:val="00B44DF0"/>
    <w:rsid w:val="00B44EB8"/>
    <w:rsid w:val="00B454A2"/>
    <w:rsid w:val="00B45A65"/>
    <w:rsid w:val="00B45F33"/>
    <w:rsid w:val="00B45F44"/>
    <w:rsid w:val="00B46AA9"/>
    <w:rsid w:val="00B46CAB"/>
    <w:rsid w:val="00B46D50"/>
    <w:rsid w:val="00B47387"/>
    <w:rsid w:val="00B47618"/>
    <w:rsid w:val="00B50754"/>
    <w:rsid w:val="00B50AFC"/>
    <w:rsid w:val="00B50CA7"/>
    <w:rsid w:val="00B5138B"/>
    <w:rsid w:val="00B518BA"/>
    <w:rsid w:val="00B51A27"/>
    <w:rsid w:val="00B51E2B"/>
    <w:rsid w:val="00B5218F"/>
    <w:rsid w:val="00B52853"/>
    <w:rsid w:val="00B52AC5"/>
    <w:rsid w:val="00B53170"/>
    <w:rsid w:val="00B53C39"/>
    <w:rsid w:val="00B5443D"/>
    <w:rsid w:val="00B546D7"/>
    <w:rsid w:val="00B548B9"/>
    <w:rsid w:val="00B54D34"/>
    <w:rsid w:val="00B54EC9"/>
    <w:rsid w:val="00B5565D"/>
    <w:rsid w:val="00B55E05"/>
    <w:rsid w:val="00B5612F"/>
    <w:rsid w:val="00B56DBE"/>
    <w:rsid w:val="00B56DFB"/>
    <w:rsid w:val="00B57334"/>
    <w:rsid w:val="00B60917"/>
    <w:rsid w:val="00B61C36"/>
    <w:rsid w:val="00B62999"/>
    <w:rsid w:val="00B629B4"/>
    <w:rsid w:val="00B63BE3"/>
    <w:rsid w:val="00B64885"/>
    <w:rsid w:val="00B64A80"/>
    <w:rsid w:val="00B64C7F"/>
    <w:rsid w:val="00B64DC9"/>
    <w:rsid w:val="00B65027"/>
    <w:rsid w:val="00B6582E"/>
    <w:rsid w:val="00B66333"/>
    <w:rsid w:val="00B6638D"/>
    <w:rsid w:val="00B66810"/>
    <w:rsid w:val="00B6682A"/>
    <w:rsid w:val="00B66E91"/>
    <w:rsid w:val="00B6758D"/>
    <w:rsid w:val="00B67925"/>
    <w:rsid w:val="00B67CAF"/>
    <w:rsid w:val="00B70ECA"/>
    <w:rsid w:val="00B7157E"/>
    <w:rsid w:val="00B71EED"/>
    <w:rsid w:val="00B7253D"/>
    <w:rsid w:val="00B72748"/>
    <w:rsid w:val="00B72BE3"/>
    <w:rsid w:val="00B731E3"/>
    <w:rsid w:val="00B733FF"/>
    <w:rsid w:val="00B73B36"/>
    <w:rsid w:val="00B73B80"/>
    <w:rsid w:val="00B743BE"/>
    <w:rsid w:val="00B743D1"/>
    <w:rsid w:val="00B7518F"/>
    <w:rsid w:val="00B75655"/>
    <w:rsid w:val="00B75A65"/>
    <w:rsid w:val="00B76F1E"/>
    <w:rsid w:val="00B770C7"/>
    <w:rsid w:val="00B777D4"/>
    <w:rsid w:val="00B77F79"/>
    <w:rsid w:val="00B80079"/>
    <w:rsid w:val="00B80F26"/>
    <w:rsid w:val="00B81383"/>
    <w:rsid w:val="00B821C9"/>
    <w:rsid w:val="00B822BD"/>
    <w:rsid w:val="00B82A8A"/>
    <w:rsid w:val="00B832B1"/>
    <w:rsid w:val="00B83A3E"/>
    <w:rsid w:val="00B8418E"/>
    <w:rsid w:val="00B84273"/>
    <w:rsid w:val="00B842F4"/>
    <w:rsid w:val="00B85134"/>
    <w:rsid w:val="00B86C63"/>
    <w:rsid w:val="00B86DD8"/>
    <w:rsid w:val="00B87464"/>
    <w:rsid w:val="00B878B1"/>
    <w:rsid w:val="00B87B6D"/>
    <w:rsid w:val="00B91A7B"/>
    <w:rsid w:val="00B92915"/>
    <w:rsid w:val="00B929DD"/>
    <w:rsid w:val="00B93030"/>
    <w:rsid w:val="00B931B7"/>
    <w:rsid w:val="00B93AF6"/>
    <w:rsid w:val="00B94837"/>
    <w:rsid w:val="00B95405"/>
    <w:rsid w:val="00B95B42"/>
    <w:rsid w:val="00B95C0F"/>
    <w:rsid w:val="00B9633C"/>
    <w:rsid w:val="00B963F1"/>
    <w:rsid w:val="00B9670A"/>
    <w:rsid w:val="00B96A9C"/>
    <w:rsid w:val="00BA020A"/>
    <w:rsid w:val="00BA033D"/>
    <w:rsid w:val="00BA0793"/>
    <w:rsid w:val="00BA086C"/>
    <w:rsid w:val="00BA0A0A"/>
    <w:rsid w:val="00BA0AD5"/>
    <w:rsid w:val="00BA1602"/>
    <w:rsid w:val="00BA1A00"/>
    <w:rsid w:val="00BA2BB0"/>
    <w:rsid w:val="00BA32B2"/>
    <w:rsid w:val="00BA3300"/>
    <w:rsid w:val="00BA35E6"/>
    <w:rsid w:val="00BA481C"/>
    <w:rsid w:val="00BA583D"/>
    <w:rsid w:val="00BA6420"/>
    <w:rsid w:val="00BA6685"/>
    <w:rsid w:val="00BA7FD5"/>
    <w:rsid w:val="00BB025A"/>
    <w:rsid w:val="00BB02A4"/>
    <w:rsid w:val="00BB117F"/>
    <w:rsid w:val="00BB1270"/>
    <w:rsid w:val="00BB1E44"/>
    <w:rsid w:val="00BB38C3"/>
    <w:rsid w:val="00BB3AFF"/>
    <w:rsid w:val="00BB5267"/>
    <w:rsid w:val="00BB52B8"/>
    <w:rsid w:val="00BB5533"/>
    <w:rsid w:val="00BB59D8"/>
    <w:rsid w:val="00BB6813"/>
    <w:rsid w:val="00BB6E83"/>
    <w:rsid w:val="00BB706F"/>
    <w:rsid w:val="00BB79A2"/>
    <w:rsid w:val="00BB7E69"/>
    <w:rsid w:val="00BC0193"/>
    <w:rsid w:val="00BC0C3D"/>
    <w:rsid w:val="00BC0E51"/>
    <w:rsid w:val="00BC246E"/>
    <w:rsid w:val="00BC28A2"/>
    <w:rsid w:val="00BC2C8D"/>
    <w:rsid w:val="00BC30FE"/>
    <w:rsid w:val="00BC345A"/>
    <w:rsid w:val="00BC3C1F"/>
    <w:rsid w:val="00BC4F8E"/>
    <w:rsid w:val="00BC6131"/>
    <w:rsid w:val="00BC7ADF"/>
    <w:rsid w:val="00BC7CE7"/>
    <w:rsid w:val="00BD077C"/>
    <w:rsid w:val="00BD1452"/>
    <w:rsid w:val="00BD1E07"/>
    <w:rsid w:val="00BD22C8"/>
    <w:rsid w:val="00BD295E"/>
    <w:rsid w:val="00BD2D25"/>
    <w:rsid w:val="00BD3BD4"/>
    <w:rsid w:val="00BD3DA8"/>
    <w:rsid w:val="00BD4664"/>
    <w:rsid w:val="00BD5DF3"/>
    <w:rsid w:val="00BD6A80"/>
    <w:rsid w:val="00BD7365"/>
    <w:rsid w:val="00BE0A86"/>
    <w:rsid w:val="00BE0B51"/>
    <w:rsid w:val="00BE0C3B"/>
    <w:rsid w:val="00BE1193"/>
    <w:rsid w:val="00BE15A9"/>
    <w:rsid w:val="00BE18B9"/>
    <w:rsid w:val="00BE1C5C"/>
    <w:rsid w:val="00BE23E6"/>
    <w:rsid w:val="00BE24D5"/>
    <w:rsid w:val="00BE48AC"/>
    <w:rsid w:val="00BE56F0"/>
    <w:rsid w:val="00BE5790"/>
    <w:rsid w:val="00BE6755"/>
    <w:rsid w:val="00BE6B50"/>
    <w:rsid w:val="00BF0C7D"/>
    <w:rsid w:val="00BF13E4"/>
    <w:rsid w:val="00BF1569"/>
    <w:rsid w:val="00BF2ECA"/>
    <w:rsid w:val="00BF3401"/>
    <w:rsid w:val="00BF4004"/>
    <w:rsid w:val="00BF4849"/>
    <w:rsid w:val="00BF49B6"/>
    <w:rsid w:val="00BF4D82"/>
    <w:rsid w:val="00BF4EA7"/>
    <w:rsid w:val="00BF58A2"/>
    <w:rsid w:val="00BF60CD"/>
    <w:rsid w:val="00BF66F3"/>
    <w:rsid w:val="00BF6819"/>
    <w:rsid w:val="00BF73B4"/>
    <w:rsid w:val="00C00087"/>
    <w:rsid w:val="00C0063F"/>
    <w:rsid w:val="00C00E8E"/>
    <w:rsid w:val="00C00EDB"/>
    <w:rsid w:val="00C0180A"/>
    <w:rsid w:val="00C01D45"/>
    <w:rsid w:val="00C02863"/>
    <w:rsid w:val="00C035D4"/>
    <w:rsid w:val="00C037DC"/>
    <w:rsid w:val="00C0383A"/>
    <w:rsid w:val="00C04032"/>
    <w:rsid w:val="00C05540"/>
    <w:rsid w:val="00C060B4"/>
    <w:rsid w:val="00C06362"/>
    <w:rsid w:val="00C067FF"/>
    <w:rsid w:val="00C06F82"/>
    <w:rsid w:val="00C0799A"/>
    <w:rsid w:val="00C07B22"/>
    <w:rsid w:val="00C10246"/>
    <w:rsid w:val="00C1112B"/>
    <w:rsid w:val="00C11337"/>
    <w:rsid w:val="00C1186C"/>
    <w:rsid w:val="00C1240C"/>
    <w:rsid w:val="00C1270E"/>
    <w:rsid w:val="00C12862"/>
    <w:rsid w:val="00C13457"/>
    <w:rsid w:val="00C13D28"/>
    <w:rsid w:val="00C13EA2"/>
    <w:rsid w:val="00C14585"/>
    <w:rsid w:val="00C149A8"/>
    <w:rsid w:val="00C14D00"/>
    <w:rsid w:val="00C15753"/>
    <w:rsid w:val="00C158DA"/>
    <w:rsid w:val="00C16070"/>
    <w:rsid w:val="00C164C5"/>
    <w:rsid w:val="00C165A0"/>
    <w:rsid w:val="00C166B1"/>
    <w:rsid w:val="00C16D4B"/>
    <w:rsid w:val="00C1730A"/>
    <w:rsid w:val="00C20588"/>
    <w:rsid w:val="00C2064A"/>
    <w:rsid w:val="00C216CE"/>
    <w:rsid w:val="00C2184F"/>
    <w:rsid w:val="00C22A78"/>
    <w:rsid w:val="00C22C77"/>
    <w:rsid w:val="00C23C7E"/>
    <w:rsid w:val="00C241B0"/>
    <w:rsid w:val="00C241D0"/>
    <w:rsid w:val="00C24680"/>
    <w:rsid w:val="00C246C5"/>
    <w:rsid w:val="00C24B85"/>
    <w:rsid w:val="00C257DC"/>
    <w:rsid w:val="00C25A82"/>
    <w:rsid w:val="00C2699F"/>
    <w:rsid w:val="00C275D7"/>
    <w:rsid w:val="00C278AA"/>
    <w:rsid w:val="00C27C18"/>
    <w:rsid w:val="00C27DEE"/>
    <w:rsid w:val="00C301FD"/>
    <w:rsid w:val="00C30A2A"/>
    <w:rsid w:val="00C30D6A"/>
    <w:rsid w:val="00C312ED"/>
    <w:rsid w:val="00C3134D"/>
    <w:rsid w:val="00C31EF2"/>
    <w:rsid w:val="00C33353"/>
    <w:rsid w:val="00C3339F"/>
    <w:rsid w:val="00C33640"/>
    <w:rsid w:val="00C338F8"/>
    <w:rsid w:val="00C33993"/>
    <w:rsid w:val="00C34A85"/>
    <w:rsid w:val="00C34EC4"/>
    <w:rsid w:val="00C35B4D"/>
    <w:rsid w:val="00C3655B"/>
    <w:rsid w:val="00C36F36"/>
    <w:rsid w:val="00C371D9"/>
    <w:rsid w:val="00C37308"/>
    <w:rsid w:val="00C4064A"/>
    <w:rsid w:val="00C4069E"/>
    <w:rsid w:val="00C40C8D"/>
    <w:rsid w:val="00C41ADC"/>
    <w:rsid w:val="00C438FB"/>
    <w:rsid w:val="00C43AFA"/>
    <w:rsid w:val="00C44149"/>
    <w:rsid w:val="00C44410"/>
    <w:rsid w:val="00C4458A"/>
    <w:rsid w:val="00C44A15"/>
    <w:rsid w:val="00C44EB4"/>
    <w:rsid w:val="00C4503F"/>
    <w:rsid w:val="00C4630A"/>
    <w:rsid w:val="00C47934"/>
    <w:rsid w:val="00C47D4E"/>
    <w:rsid w:val="00C5002C"/>
    <w:rsid w:val="00C50DB7"/>
    <w:rsid w:val="00C51898"/>
    <w:rsid w:val="00C51B38"/>
    <w:rsid w:val="00C520BC"/>
    <w:rsid w:val="00C523F0"/>
    <w:rsid w:val="00C526D2"/>
    <w:rsid w:val="00C527F6"/>
    <w:rsid w:val="00C52943"/>
    <w:rsid w:val="00C53121"/>
    <w:rsid w:val="00C531D8"/>
    <w:rsid w:val="00C53612"/>
    <w:rsid w:val="00C53A91"/>
    <w:rsid w:val="00C53E63"/>
    <w:rsid w:val="00C53F88"/>
    <w:rsid w:val="00C53F93"/>
    <w:rsid w:val="00C54532"/>
    <w:rsid w:val="00C54E64"/>
    <w:rsid w:val="00C5522A"/>
    <w:rsid w:val="00C55653"/>
    <w:rsid w:val="00C556C8"/>
    <w:rsid w:val="00C5743D"/>
    <w:rsid w:val="00C5794E"/>
    <w:rsid w:val="00C57E1D"/>
    <w:rsid w:val="00C60968"/>
    <w:rsid w:val="00C616E3"/>
    <w:rsid w:val="00C6191D"/>
    <w:rsid w:val="00C61B2C"/>
    <w:rsid w:val="00C62A78"/>
    <w:rsid w:val="00C62E2D"/>
    <w:rsid w:val="00C63D2E"/>
    <w:rsid w:val="00C63D39"/>
    <w:rsid w:val="00C63EDD"/>
    <w:rsid w:val="00C642B6"/>
    <w:rsid w:val="00C64F42"/>
    <w:rsid w:val="00C656B4"/>
    <w:rsid w:val="00C65B36"/>
    <w:rsid w:val="00C65E06"/>
    <w:rsid w:val="00C65FDF"/>
    <w:rsid w:val="00C6644D"/>
    <w:rsid w:val="00C6669E"/>
    <w:rsid w:val="00C66AC8"/>
    <w:rsid w:val="00C6798B"/>
    <w:rsid w:val="00C70143"/>
    <w:rsid w:val="00C70586"/>
    <w:rsid w:val="00C7082B"/>
    <w:rsid w:val="00C70A81"/>
    <w:rsid w:val="00C70B02"/>
    <w:rsid w:val="00C71695"/>
    <w:rsid w:val="00C7292E"/>
    <w:rsid w:val="00C731BB"/>
    <w:rsid w:val="00C733E4"/>
    <w:rsid w:val="00C74CA8"/>
    <w:rsid w:val="00C74E88"/>
    <w:rsid w:val="00C75004"/>
    <w:rsid w:val="00C76A09"/>
    <w:rsid w:val="00C76A39"/>
    <w:rsid w:val="00C76B7B"/>
    <w:rsid w:val="00C80003"/>
    <w:rsid w:val="00C803C8"/>
    <w:rsid w:val="00C80924"/>
    <w:rsid w:val="00C80DE8"/>
    <w:rsid w:val="00C80E54"/>
    <w:rsid w:val="00C81F30"/>
    <w:rsid w:val="00C81FB7"/>
    <w:rsid w:val="00C823F5"/>
    <w:rsid w:val="00C82861"/>
    <w:rsid w:val="00C8286B"/>
    <w:rsid w:val="00C82E7C"/>
    <w:rsid w:val="00C8351D"/>
    <w:rsid w:val="00C83CF8"/>
    <w:rsid w:val="00C83F69"/>
    <w:rsid w:val="00C8498D"/>
    <w:rsid w:val="00C84D26"/>
    <w:rsid w:val="00C8566A"/>
    <w:rsid w:val="00C856EE"/>
    <w:rsid w:val="00C8576E"/>
    <w:rsid w:val="00C8662A"/>
    <w:rsid w:val="00C86C5B"/>
    <w:rsid w:val="00C87AF9"/>
    <w:rsid w:val="00C87FB9"/>
    <w:rsid w:val="00C906D4"/>
    <w:rsid w:val="00C9095F"/>
    <w:rsid w:val="00C90BE6"/>
    <w:rsid w:val="00C91326"/>
    <w:rsid w:val="00C9152A"/>
    <w:rsid w:val="00C91645"/>
    <w:rsid w:val="00C919D4"/>
    <w:rsid w:val="00C91A20"/>
    <w:rsid w:val="00C91FA4"/>
    <w:rsid w:val="00C9372C"/>
    <w:rsid w:val="00C93B5F"/>
    <w:rsid w:val="00C93C63"/>
    <w:rsid w:val="00C93CC8"/>
    <w:rsid w:val="00C94218"/>
    <w:rsid w:val="00C942BB"/>
    <w:rsid w:val="00C947F8"/>
    <w:rsid w:val="00C9515F"/>
    <w:rsid w:val="00C95CCB"/>
    <w:rsid w:val="00C961ED"/>
    <w:rsid w:val="00C963C5"/>
    <w:rsid w:val="00C9683D"/>
    <w:rsid w:val="00C97DCE"/>
    <w:rsid w:val="00CA030C"/>
    <w:rsid w:val="00CA0890"/>
    <w:rsid w:val="00CA1A07"/>
    <w:rsid w:val="00CA1F41"/>
    <w:rsid w:val="00CA240C"/>
    <w:rsid w:val="00CA2DC9"/>
    <w:rsid w:val="00CA32EE"/>
    <w:rsid w:val="00CA375C"/>
    <w:rsid w:val="00CA4760"/>
    <w:rsid w:val="00CA4A82"/>
    <w:rsid w:val="00CA4BCC"/>
    <w:rsid w:val="00CA5771"/>
    <w:rsid w:val="00CA5926"/>
    <w:rsid w:val="00CA668A"/>
    <w:rsid w:val="00CA6A1A"/>
    <w:rsid w:val="00CA6A41"/>
    <w:rsid w:val="00CA6AE3"/>
    <w:rsid w:val="00CA6D7A"/>
    <w:rsid w:val="00CA7BD2"/>
    <w:rsid w:val="00CB073C"/>
    <w:rsid w:val="00CB0D21"/>
    <w:rsid w:val="00CB0F33"/>
    <w:rsid w:val="00CB18FF"/>
    <w:rsid w:val="00CB1C16"/>
    <w:rsid w:val="00CB20F9"/>
    <w:rsid w:val="00CB23E8"/>
    <w:rsid w:val="00CB2DFA"/>
    <w:rsid w:val="00CB340D"/>
    <w:rsid w:val="00CB3F43"/>
    <w:rsid w:val="00CB4BDE"/>
    <w:rsid w:val="00CB4EA2"/>
    <w:rsid w:val="00CB4F27"/>
    <w:rsid w:val="00CB5319"/>
    <w:rsid w:val="00CB589C"/>
    <w:rsid w:val="00CB5B28"/>
    <w:rsid w:val="00CB6449"/>
    <w:rsid w:val="00CB6526"/>
    <w:rsid w:val="00CB67E2"/>
    <w:rsid w:val="00CB7A7D"/>
    <w:rsid w:val="00CB7A90"/>
    <w:rsid w:val="00CC0673"/>
    <w:rsid w:val="00CC0CF9"/>
    <w:rsid w:val="00CC1102"/>
    <w:rsid w:val="00CC12E7"/>
    <w:rsid w:val="00CC1BE1"/>
    <w:rsid w:val="00CC1E75"/>
    <w:rsid w:val="00CC2E0E"/>
    <w:rsid w:val="00CC303E"/>
    <w:rsid w:val="00CC3405"/>
    <w:rsid w:val="00CC3595"/>
    <w:rsid w:val="00CC361C"/>
    <w:rsid w:val="00CC3D8D"/>
    <w:rsid w:val="00CC3DE5"/>
    <w:rsid w:val="00CC4226"/>
    <w:rsid w:val="00CC4479"/>
    <w:rsid w:val="00CC4689"/>
    <w:rsid w:val="00CC474B"/>
    <w:rsid w:val="00CC4F51"/>
    <w:rsid w:val="00CC510F"/>
    <w:rsid w:val="00CC658C"/>
    <w:rsid w:val="00CC67BF"/>
    <w:rsid w:val="00CC6B1A"/>
    <w:rsid w:val="00CD0843"/>
    <w:rsid w:val="00CD0A5F"/>
    <w:rsid w:val="00CD268F"/>
    <w:rsid w:val="00CD2F02"/>
    <w:rsid w:val="00CD33D2"/>
    <w:rsid w:val="00CD369B"/>
    <w:rsid w:val="00CD3CE6"/>
    <w:rsid w:val="00CD4B47"/>
    <w:rsid w:val="00CD4E31"/>
    <w:rsid w:val="00CD5A78"/>
    <w:rsid w:val="00CD6757"/>
    <w:rsid w:val="00CD6C4D"/>
    <w:rsid w:val="00CD6F25"/>
    <w:rsid w:val="00CD7345"/>
    <w:rsid w:val="00CD78D4"/>
    <w:rsid w:val="00CD7A10"/>
    <w:rsid w:val="00CD7B02"/>
    <w:rsid w:val="00CE03DD"/>
    <w:rsid w:val="00CE0732"/>
    <w:rsid w:val="00CE22E2"/>
    <w:rsid w:val="00CE2949"/>
    <w:rsid w:val="00CE294F"/>
    <w:rsid w:val="00CE326A"/>
    <w:rsid w:val="00CE372E"/>
    <w:rsid w:val="00CE4588"/>
    <w:rsid w:val="00CE6496"/>
    <w:rsid w:val="00CE65CD"/>
    <w:rsid w:val="00CE6B65"/>
    <w:rsid w:val="00CE7503"/>
    <w:rsid w:val="00CE7E26"/>
    <w:rsid w:val="00CF017C"/>
    <w:rsid w:val="00CF0A1B"/>
    <w:rsid w:val="00CF19F6"/>
    <w:rsid w:val="00CF1EBD"/>
    <w:rsid w:val="00CF212E"/>
    <w:rsid w:val="00CF2364"/>
    <w:rsid w:val="00CF2412"/>
    <w:rsid w:val="00CF251E"/>
    <w:rsid w:val="00CF2845"/>
    <w:rsid w:val="00CF2F4B"/>
    <w:rsid w:val="00CF2F4F"/>
    <w:rsid w:val="00CF3361"/>
    <w:rsid w:val="00CF4A0C"/>
    <w:rsid w:val="00CF51D6"/>
    <w:rsid w:val="00CF536D"/>
    <w:rsid w:val="00CF59A9"/>
    <w:rsid w:val="00CF6195"/>
    <w:rsid w:val="00D007AB"/>
    <w:rsid w:val="00D00EA0"/>
    <w:rsid w:val="00D00FB1"/>
    <w:rsid w:val="00D01BEE"/>
    <w:rsid w:val="00D02B0D"/>
    <w:rsid w:val="00D02E9D"/>
    <w:rsid w:val="00D03217"/>
    <w:rsid w:val="00D033FD"/>
    <w:rsid w:val="00D040A9"/>
    <w:rsid w:val="00D04190"/>
    <w:rsid w:val="00D04EEC"/>
    <w:rsid w:val="00D0523F"/>
    <w:rsid w:val="00D05998"/>
    <w:rsid w:val="00D05A32"/>
    <w:rsid w:val="00D06517"/>
    <w:rsid w:val="00D06EA0"/>
    <w:rsid w:val="00D10204"/>
    <w:rsid w:val="00D107CD"/>
    <w:rsid w:val="00D10CB8"/>
    <w:rsid w:val="00D111B7"/>
    <w:rsid w:val="00D12064"/>
    <w:rsid w:val="00D12806"/>
    <w:rsid w:val="00D12937"/>
    <w:rsid w:val="00D12CFC"/>
    <w:rsid w:val="00D12D44"/>
    <w:rsid w:val="00D13478"/>
    <w:rsid w:val="00D13521"/>
    <w:rsid w:val="00D1372E"/>
    <w:rsid w:val="00D13D9A"/>
    <w:rsid w:val="00D15018"/>
    <w:rsid w:val="00D158AC"/>
    <w:rsid w:val="00D15929"/>
    <w:rsid w:val="00D165C1"/>
    <w:rsid w:val="00D1694C"/>
    <w:rsid w:val="00D172C9"/>
    <w:rsid w:val="00D177A1"/>
    <w:rsid w:val="00D17C04"/>
    <w:rsid w:val="00D200D4"/>
    <w:rsid w:val="00D20493"/>
    <w:rsid w:val="00D2068D"/>
    <w:rsid w:val="00D20F5E"/>
    <w:rsid w:val="00D210D2"/>
    <w:rsid w:val="00D21CB2"/>
    <w:rsid w:val="00D21EE9"/>
    <w:rsid w:val="00D22D7D"/>
    <w:rsid w:val="00D23671"/>
    <w:rsid w:val="00D2367C"/>
    <w:rsid w:val="00D23A36"/>
    <w:rsid w:val="00D23B76"/>
    <w:rsid w:val="00D248BA"/>
    <w:rsid w:val="00D24976"/>
    <w:rsid w:val="00D24B4A"/>
    <w:rsid w:val="00D253A7"/>
    <w:rsid w:val="00D257F9"/>
    <w:rsid w:val="00D26073"/>
    <w:rsid w:val="00D2610A"/>
    <w:rsid w:val="00D26CAA"/>
    <w:rsid w:val="00D27016"/>
    <w:rsid w:val="00D271FF"/>
    <w:rsid w:val="00D275B6"/>
    <w:rsid w:val="00D27D6F"/>
    <w:rsid w:val="00D302E8"/>
    <w:rsid w:val="00D31279"/>
    <w:rsid w:val="00D3166A"/>
    <w:rsid w:val="00D316CE"/>
    <w:rsid w:val="00D31BE5"/>
    <w:rsid w:val="00D3334F"/>
    <w:rsid w:val="00D3335F"/>
    <w:rsid w:val="00D33644"/>
    <w:rsid w:val="00D3479B"/>
    <w:rsid w:val="00D3512A"/>
    <w:rsid w:val="00D35972"/>
    <w:rsid w:val="00D3666B"/>
    <w:rsid w:val="00D36871"/>
    <w:rsid w:val="00D37250"/>
    <w:rsid w:val="00D375CA"/>
    <w:rsid w:val="00D379A3"/>
    <w:rsid w:val="00D37C83"/>
    <w:rsid w:val="00D37EB7"/>
    <w:rsid w:val="00D41AEE"/>
    <w:rsid w:val="00D41B67"/>
    <w:rsid w:val="00D4266A"/>
    <w:rsid w:val="00D43521"/>
    <w:rsid w:val="00D43E5A"/>
    <w:rsid w:val="00D44B8A"/>
    <w:rsid w:val="00D4501A"/>
    <w:rsid w:val="00D45858"/>
    <w:rsid w:val="00D459F0"/>
    <w:rsid w:val="00D45FF3"/>
    <w:rsid w:val="00D46694"/>
    <w:rsid w:val="00D473C6"/>
    <w:rsid w:val="00D510CF"/>
    <w:rsid w:val="00D512CF"/>
    <w:rsid w:val="00D51368"/>
    <w:rsid w:val="00D518FA"/>
    <w:rsid w:val="00D51DE0"/>
    <w:rsid w:val="00D5247C"/>
    <w:rsid w:val="00D5269C"/>
    <w:rsid w:val="00D528B9"/>
    <w:rsid w:val="00D53186"/>
    <w:rsid w:val="00D5487D"/>
    <w:rsid w:val="00D550F2"/>
    <w:rsid w:val="00D55222"/>
    <w:rsid w:val="00D55BE5"/>
    <w:rsid w:val="00D57401"/>
    <w:rsid w:val="00D57473"/>
    <w:rsid w:val="00D576E7"/>
    <w:rsid w:val="00D57DEC"/>
    <w:rsid w:val="00D60140"/>
    <w:rsid w:val="00D6024A"/>
    <w:rsid w:val="00D60769"/>
    <w:rsid w:val="00D608B5"/>
    <w:rsid w:val="00D60C99"/>
    <w:rsid w:val="00D61A09"/>
    <w:rsid w:val="00D61D15"/>
    <w:rsid w:val="00D620C6"/>
    <w:rsid w:val="00D622CB"/>
    <w:rsid w:val="00D62DCE"/>
    <w:rsid w:val="00D63068"/>
    <w:rsid w:val="00D636D2"/>
    <w:rsid w:val="00D638E2"/>
    <w:rsid w:val="00D63DEB"/>
    <w:rsid w:val="00D64739"/>
    <w:rsid w:val="00D65833"/>
    <w:rsid w:val="00D676E4"/>
    <w:rsid w:val="00D678A8"/>
    <w:rsid w:val="00D7005B"/>
    <w:rsid w:val="00D70767"/>
    <w:rsid w:val="00D71DD8"/>
    <w:rsid w:val="00D71F99"/>
    <w:rsid w:val="00D721B5"/>
    <w:rsid w:val="00D72451"/>
    <w:rsid w:val="00D73CA4"/>
    <w:rsid w:val="00D73D71"/>
    <w:rsid w:val="00D73DB6"/>
    <w:rsid w:val="00D73EB3"/>
    <w:rsid w:val="00D74396"/>
    <w:rsid w:val="00D74A35"/>
    <w:rsid w:val="00D75007"/>
    <w:rsid w:val="00D7541B"/>
    <w:rsid w:val="00D75570"/>
    <w:rsid w:val="00D755E9"/>
    <w:rsid w:val="00D75A2F"/>
    <w:rsid w:val="00D761A4"/>
    <w:rsid w:val="00D76C43"/>
    <w:rsid w:val="00D76D78"/>
    <w:rsid w:val="00D777DB"/>
    <w:rsid w:val="00D77883"/>
    <w:rsid w:val="00D77E80"/>
    <w:rsid w:val="00D80082"/>
    <w:rsid w:val="00D80284"/>
    <w:rsid w:val="00D803FB"/>
    <w:rsid w:val="00D807B4"/>
    <w:rsid w:val="00D812C2"/>
    <w:rsid w:val="00D81F71"/>
    <w:rsid w:val="00D82C0B"/>
    <w:rsid w:val="00D83850"/>
    <w:rsid w:val="00D8389C"/>
    <w:rsid w:val="00D8395B"/>
    <w:rsid w:val="00D84727"/>
    <w:rsid w:val="00D85D74"/>
    <w:rsid w:val="00D863D4"/>
    <w:rsid w:val="00D8642D"/>
    <w:rsid w:val="00D86636"/>
    <w:rsid w:val="00D86654"/>
    <w:rsid w:val="00D866D8"/>
    <w:rsid w:val="00D86C2A"/>
    <w:rsid w:val="00D8714C"/>
    <w:rsid w:val="00D90A5E"/>
    <w:rsid w:val="00D917BB"/>
    <w:rsid w:val="00D91A68"/>
    <w:rsid w:val="00D91D13"/>
    <w:rsid w:val="00D92060"/>
    <w:rsid w:val="00D934DB"/>
    <w:rsid w:val="00D95A68"/>
    <w:rsid w:val="00D95CB8"/>
    <w:rsid w:val="00D965AB"/>
    <w:rsid w:val="00D97474"/>
    <w:rsid w:val="00D97CF6"/>
    <w:rsid w:val="00D97DE2"/>
    <w:rsid w:val="00DA04AC"/>
    <w:rsid w:val="00DA07AA"/>
    <w:rsid w:val="00DA12CF"/>
    <w:rsid w:val="00DA17C7"/>
    <w:rsid w:val="00DA44CF"/>
    <w:rsid w:val="00DA4E56"/>
    <w:rsid w:val="00DA5052"/>
    <w:rsid w:val="00DA527D"/>
    <w:rsid w:val="00DA555C"/>
    <w:rsid w:val="00DA585E"/>
    <w:rsid w:val="00DA59A3"/>
    <w:rsid w:val="00DA65FA"/>
    <w:rsid w:val="00DA6941"/>
    <w:rsid w:val="00DA6A9A"/>
    <w:rsid w:val="00DA6B7C"/>
    <w:rsid w:val="00DA7370"/>
    <w:rsid w:val="00DA7904"/>
    <w:rsid w:val="00DB0E21"/>
    <w:rsid w:val="00DB14FA"/>
    <w:rsid w:val="00DB1B42"/>
    <w:rsid w:val="00DB1B4C"/>
    <w:rsid w:val="00DB1EFD"/>
    <w:rsid w:val="00DB3691"/>
    <w:rsid w:val="00DB3D0E"/>
    <w:rsid w:val="00DB3EAF"/>
    <w:rsid w:val="00DB46C6"/>
    <w:rsid w:val="00DB492E"/>
    <w:rsid w:val="00DB49AD"/>
    <w:rsid w:val="00DB4C51"/>
    <w:rsid w:val="00DB5C54"/>
    <w:rsid w:val="00DB5F9F"/>
    <w:rsid w:val="00DB696C"/>
    <w:rsid w:val="00DB6993"/>
    <w:rsid w:val="00DB6BDC"/>
    <w:rsid w:val="00DB7BA1"/>
    <w:rsid w:val="00DB7EF2"/>
    <w:rsid w:val="00DC00F9"/>
    <w:rsid w:val="00DC03FE"/>
    <w:rsid w:val="00DC0B80"/>
    <w:rsid w:val="00DC0EEA"/>
    <w:rsid w:val="00DC1E88"/>
    <w:rsid w:val="00DC2EC8"/>
    <w:rsid w:val="00DC3203"/>
    <w:rsid w:val="00DC3C99"/>
    <w:rsid w:val="00DC4157"/>
    <w:rsid w:val="00DC48B9"/>
    <w:rsid w:val="00DC4C15"/>
    <w:rsid w:val="00DC525A"/>
    <w:rsid w:val="00DC52F5"/>
    <w:rsid w:val="00DC5B92"/>
    <w:rsid w:val="00DC5FD0"/>
    <w:rsid w:val="00DC6D9A"/>
    <w:rsid w:val="00DC6F6D"/>
    <w:rsid w:val="00DC71C2"/>
    <w:rsid w:val="00DC7E34"/>
    <w:rsid w:val="00DD0354"/>
    <w:rsid w:val="00DD13BA"/>
    <w:rsid w:val="00DD1668"/>
    <w:rsid w:val="00DD1AB8"/>
    <w:rsid w:val="00DD2339"/>
    <w:rsid w:val="00DD2431"/>
    <w:rsid w:val="00DD27D7"/>
    <w:rsid w:val="00DD3715"/>
    <w:rsid w:val="00DD3AE8"/>
    <w:rsid w:val="00DD3D1C"/>
    <w:rsid w:val="00DD458C"/>
    <w:rsid w:val="00DD6723"/>
    <w:rsid w:val="00DD6E12"/>
    <w:rsid w:val="00DD72E9"/>
    <w:rsid w:val="00DD7605"/>
    <w:rsid w:val="00DD7DF3"/>
    <w:rsid w:val="00DD7F34"/>
    <w:rsid w:val="00DE1237"/>
    <w:rsid w:val="00DE1383"/>
    <w:rsid w:val="00DE17B5"/>
    <w:rsid w:val="00DE1D2D"/>
    <w:rsid w:val="00DE1F08"/>
    <w:rsid w:val="00DE1F98"/>
    <w:rsid w:val="00DE2020"/>
    <w:rsid w:val="00DE2298"/>
    <w:rsid w:val="00DE344B"/>
    <w:rsid w:val="00DE3476"/>
    <w:rsid w:val="00DE3490"/>
    <w:rsid w:val="00DE4272"/>
    <w:rsid w:val="00DE431A"/>
    <w:rsid w:val="00DE5175"/>
    <w:rsid w:val="00DE5CD7"/>
    <w:rsid w:val="00DE696E"/>
    <w:rsid w:val="00DE6E9E"/>
    <w:rsid w:val="00DE7268"/>
    <w:rsid w:val="00DE7342"/>
    <w:rsid w:val="00DE75D6"/>
    <w:rsid w:val="00DE7BEA"/>
    <w:rsid w:val="00DF07D5"/>
    <w:rsid w:val="00DF1560"/>
    <w:rsid w:val="00DF1CDD"/>
    <w:rsid w:val="00DF23A2"/>
    <w:rsid w:val="00DF2E6E"/>
    <w:rsid w:val="00DF3366"/>
    <w:rsid w:val="00DF3E91"/>
    <w:rsid w:val="00DF4069"/>
    <w:rsid w:val="00DF45F4"/>
    <w:rsid w:val="00DF4DA1"/>
    <w:rsid w:val="00DF5141"/>
    <w:rsid w:val="00DF5B84"/>
    <w:rsid w:val="00DF5EF9"/>
    <w:rsid w:val="00DF5F2C"/>
    <w:rsid w:val="00DF60CC"/>
    <w:rsid w:val="00DF6C4C"/>
    <w:rsid w:val="00DF6D5B"/>
    <w:rsid w:val="00DF76D2"/>
    <w:rsid w:val="00DF770E"/>
    <w:rsid w:val="00DF771B"/>
    <w:rsid w:val="00DF7C20"/>
    <w:rsid w:val="00DF7EE2"/>
    <w:rsid w:val="00E00D7A"/>
    <w:rsid w:val="00E00F93"/>
    <w:rsid w:val="00E01198"/>
    <w:rsid w:val="00E01BAA"/>
    <w:rsid w:val="00E01D24"/>
    <w:rsid w:val="00E02113"/>
    <w:rsid w:val="00E0282A"/>
    <w:rsid w:val="00E02F9B"/>
    <w:rsid w:val="00E03436"/>
    <w:rsid w:val="00E04663"/>
    <w:rsid w:val="00E05124"/>
    <w:rsid w:val="00E058E0"/>
    <w:rsid w:val="00E0590F"/>
    <w:rsid w:val="00E05A17"/>
    <w:rsid w:val="00E06027"/>
    <w:rsid w:val="00E0690E"/>
    <w:rsid w:val="00E07418"/>
    <w:rsid w:val="00E07B39"/>
    <w:rsid w:val="00E07E14"/>
    <w:rsid w:val="00E106CC"/>
    <w:rsid w:val="00E1183F"/>
    <w:rsid w:val="00E11A64"/>
    <w:rsid w:val="00E11CFB"/>
    <w:rsid w:val="00E12A54"/>
    <w:rsid w:val="00E12F92"/>
    <w:rsid w:val="00E13739"/>
    <w:rsid w:val="00E14476"/>
    <w:rsid w:val="00E14517"/>
    <w:rsid w:val="00E14AA2"/>
    <w:rsid w:val="00E14F94"/>
    <w:rsid w:val="00E153F8"/>
    <w:rsid w:val="00E16009"/>
    <w:rsid w:val="00E167A6"/>
    <w:rsid w:val="00E168E3"/>
    <w:rsid w:val="00E16F6C"/>
    <w:rsid w:val="00E17336"/>
    <w:rsid w:val="00E17770"/>
    <w:rsid w:val="00E17A47"/>
    <w:rsid w:val="00E17A5C"/>
    <w:rsid w:val="00E17AC4"/>
    <w:rsid w:val="00E17D15"/>
    <w:rsid w:val="00E216AA"/>
    <w:rsid w:val="00E217C3"/>
    <w:rsid w:val="00E2274B"/>
    <w:rsid w:val="00E22B95"/>
    <w:rsid w:val="00E2313F"/>
    <w:rsid w:val="00E237A7"/>
    <w:rsid w:val="00E23E0D"/>
    <w:rsid w:val="00E23F0A"/>
    <w:rsid w:val="00E24089"/>
    <w:rsid w:val="00E24F73"/>
    <w:rsid w:val="00E25404"/>
    <w:rsid w:val="00E25771"/>
    <w:rsid w:val="00E26921"/>
    <w:rsid w:val="00E2719D"/>
    <w:rsid w:val="00E271E3"/>
    <w:rsid w:val="00E27944"/>
    <w:rsid w:val="00E30021"/>
    <w:rsid w:val="00E30331"/>
    <w:rsid w:val="00E30494"/>
    <w:rsid w:val="00E30BB8"/>
    <w:rsid w:val="00E31A7F"/>
    <w:rsid w:val="00E31F9C"/>
    <w:rsid w:val="00E32C92"/>
    <w:rsid w:val="00E345A7"/>
    <w:rsid w:val="00E3515B"/>
    <w:rsid w:val="00E3573F"/>
    <w:rsid w:val="00E35CC2"/>
    <w:rsid w:val="00E361B4"/>
    <w:rsid w:val="00E364DA"/>
    <w:rsid w:val="00E40488"/>
    <w:rsid w:val="00E4049C"/>
    <w:rsid w:val="00E40AD4"/>
    <w:rsid w:val="00E40E4E"/>
    <w:rsid w:val="00E41AC9"/>
    <w:rsid w:val="00E41C32"/>
    <w:rsid w:val="00E41C94"/>
    <w:rsid w:val="00E4248B"/>
    <w:rsid w:val="00E431D7"/>
    <w:rsid w:val="00E433BE"/>
    <w:rsid w:val="00E44341"/>
    <w:rsid w:val="00E44829"/>
    <w:rsid w:val="00E450C3"/>
    <w:rsid w:val="00E46CAD"/>
    <w:rsid w:val="00E46D4C"/>
    <w:rsid w:val="00E47202"/>
    <w:rsid w:val="00E50367"/>
    <w:rsid w:val="00E503F5"/>
    <w:rsid w:val="00E509CB"/>
    <w:rsid w:val="00E5101C"/>
    <w:rsid w:val="00E5115B"/>
    <w:rsid w:val="00E51ABA"/>
    <w:rsid w:val="00E52066"/>
    <w:rsid w:val="00E524CB"/>
    <w:rsid w:val="00E52AF8"/>
    <w:rsid w:val="00E52C00"/>
    <w:rsid w:val="00E5350B"/>
    <w:rsid w:val="00E535D4"/>
    <w:rsid w:val="00E546D0"/>
    <w:rsid w:val="00E55071"/>
    <w:rsid w:val="00E55263"/>
    <w:rsid w:val="00E55E99"/>
    <w:rsid w:val="00E56507"/>
    <w:rsid w:val="00E61152"/>
    <w:rsid w:val="00E62A81"/>
    <w:rsid w:val="00E62F55"/>
    <w:rsid w:val="00E65282"/>
    <w:rsid w:val="00E65456"/>
    <w:rsid w:val="00E65858"/>
    <w:rsid w:val="00E65A91"/>
    <w:rsid w:val="00E65C24"/>
    <w:rsid w:val="00E66188"/>
    <w:rsid w:val="00E66190"/>
    <w:rsid w:val="00E664FB"/>
    <w:rsid w:val="00E672F0"/>
    <w:rsid w:val="00E67B95"/>
    <w:rsid w:val="00E70373"/>
    <w:rsid w:val="00E703FE"/>
    <w:rsid w:val="00E70970"/>
    <w:rsid w:val="00E70B80"/>
    <w:rsid w:val="00E710E0"/>
    <w:rsid w:val="00E72A05"/>
    <w:rsid w:val="00E72E40"/>
    <w:rsid w:val="00E7363B"/>
    <w:rsid w:val="00E73665"/>
    <w:rsid w:val="00E73999"/>
    <w:rsid w:val="00E73BDC"/>
    <w:rsid w:val="00E73CEF"/>
    <w:rsid w:val="00E73E9E"/>
    <w:rsid w:val="00E74B39"/>
    <w:rsid w:val="00E74D07"/>
    <w:rsid w:val="00E75CD6"/>
    <w:rsid w:val="00E7761D"/>
    <w:rsid w:val="00E77B8B"/>
    <w:rsid w:val="00E80C78"/>
    <w:rsid w:val="00E811C5"/>
    <w:rsid w:val="00E81597"/>
    <w:rsid w:val="00E81660"/>
    <w:rsid w:val="00E81D74"/>
    <w:rsid w:val="00E840FC"/>
    <w:rsid w:val="00E841A1"/>
    <w:rsid w:val="00E854FE"/>
    <w:rsid w:val="00E8558E"/>
    <w:rsid w:val="00E85AC6"/>
    <w:rsid w:val="00E878EC"/>
    <w:rsid w:val="00E87F82"/>
    <w:rsid w:val="00E90067"/>
    <w:rsid w:val="00E906CC"/>
    <w:rsid w:val="00E91639"/>
    <w:rsid w:val="00E920E9"/>
    <w:rsid w:val="00E927E6"/>
    <w:rsid w:val="00E92DD5"/>
    <w:rsid w:val="00E939A0"/>
    <w:rsid w:val="00E952C1"/>
    <w:rsid w:val="00E95472"/>
    <w:rsid w:val="00E95BEE"/>
    <w:rsid w:val="00E96E67"/>
    <w:rsid w:val="00E974F4"/>
    <w:rsid w:val="00E9797E"/>
    <w:rsid w:val="00E97E4E"/>
    <w:rsid w:val="00E97F6B"/>
    <w:rsid w:val="00EA0239"/>
    <w:rsid w:val="00EA156D"/>
    <w:rsid w:val="00EA1584"/>
    <w:rsid w:val="00EA1AC6"/>
    <w:rsid w:val="00EA1CC2"/>
    <w:rsid w:val="00EA20A8"/>
    <w:rsid w:val="00EA2D76"/>
    <w:rsid w:val="00EA2E9F"/>
    <w:rsid w:val="00EA2F48"/>
    <w:rsid w:val="00EA310F"/>
    <w:rsid w:val="00EA31F6"/>
    <w:rsid w:val="00EA347F"/>
    <w:rsid w:val="00EA4644"/>
    <w:rsid w:val="00EA4B5B"/>
    <w:rsid w:val="00EA59F1"/>
    <w:rsid w:val="00EA5F47"/>
    <w:rsid w:val="00EA6999"/>
    <w:rsid w:val="00EA6AFD"/>
    <w:rsid w:val="00EA6B4B"/>
    <w:rsid w:val="00EA756F"/>
    <w:rsid w:val="00EA758A"/>
    <w:rsid w:val="00EB0080"/>
    <w:rsid w:val="00EB0558"/>
    <w:rsid w:val="00EB096F"/>
    <w:rsid w:val="00EB12B9"/>
    <w:rsid w:val="00EB13F5"/>
    <w:rsid w:val="00EB199F"/>
    <w:rsid w:val="00EB27C4"/>
    <w:rsid w:val="00EB282D"/>
    <w:rsid w:val="00EB3B48"/>
    <w:rsid w:val="00EB4209"/>
    <w:rsid w:val="00EB44D7"/>
    <w:rsid w:val="00EB5387"/>
    <w:rsid w:val="00EB53E8"/>
    <w:rsid w:val="00EB5491"/>
    <w:rsid w:val="00EB54C0"/>
    <w:rsid w:val="00EB5C10"/>
    <w:rsid w:val="00EB5D01"/>
    <w:rsid w:val="00EB6241"/>
    <w:rsid w:val="00EB6D30"/>
    <w:rsid w:val="00EB6D60"/>
    <w:rsid w:val="00EB7131"/>
    <w:rsid w:val="00EB7322"/>
    <w:rsid w:val="00EB73BF"/>
    <w:rsid w:val="00EB7573"/>
    <w:rsid w:val="00EB7729"/>
    <w:rsid w:val="00EC05BF"/>
    <w:rsid w:val="00EC06AB"/>
    <w:rsid w:val="00EC0ADB"/>
    <w:rsid w:val="00EC0EC6"/>
    <w:rsid w:val="00EC0FE9"/>
    <w:rsid w:val="00EC1456"/>
    <w:rsid w:val="00EC179D"/>
    <w:rsid w:val="00EC198B"/>
    <w:rsid w:val="00EC2896"/>
    <w:rsid w:val="00EC2897"/>
    <w:rsid w:val="00EC3045"/>
    <w:rsid w:val="00EC3447"/>
    <w:rsid w:val="00EC34B3"/>
    <w:rsid w:val="00EC426D"/>
    <w:rsid w:val="00EC4745"/>
    <w:rsid w:val="00EC4984"/>
    <w:rsid w:val="00EC4A86"/>
    <w:rsid w:val="00EC4E6C"/>
    <w:rsid w:val="00EC571B"/>
    <w:rsid w:val="00EC57D7"/>
    <w:rsid w:val="00EC6385"/>
    <w:rsid w:val="00EC6FC2"/>
    <w:rsid w:val="00EC767F"/>
    <w:rsid w:val="00ED006E"/>
    <w:rsid w:val="00ED07CC"/>
    <w:rsid w:val="00ED085E"/>
    <w:rsid w:val="00ED13DD"/>
    <w:rsid w:val="00ED15D5"/>
    <w:rsid w:val="00ED1B2C"/>
    <w:rsid w:val="00ED1DE9"/>
    <w:rsid w:val="00ED23D4"/>
    <w:rsid w:val="00ED397E"/>
    <w:rsid w:val="00ED3D3C"/>
    <w:rsid w:val="00ED3E24"/>
    <w:rsid w:val="00ED556B"/>
    <w:rsid w:val="00ED5DD1"/>
    <w:rsid w:val="00ED5E0B"/>
    <w:rsid w:val="00ED6B1B"/>
    <w:rsid w:val="00ED7473"/>
    <w:rsid w:val="00EE0384"/>
    <w:rsid w:val="00EE1420"/>
    <w:rsid w:val="00EE163A"/>
    <w:rsid w:val="00EE1903"/>
    <w:rsid w:val="00EE2B4A"/>
    <w:rsid w:val="00EE2B64"/>
    <w:rsid w:val="00EE37B6"/>
    <w:rsid w:val="00EE4D1C"/>
    <w:rsid w:val="00EE4EE8"/>
    <w:rsid w:val="00EE56EF"/>
    <w:rsid w:val="00EE6A8D"/>
    <w:rsid w:val="00EE6D9C"/>
    <w:rsid w:val="00EE715D"/>
    <w:rsid w:val="00EF0561"/>
    <w:rsid w:val="00EF091B"/>
    <w:rsid w:val="00EF0F45"/>
    <w:rsid w:val="00EF1078"/>
    <w:rsid w:val="00EF107A"/>
    <w:rsid w:val="00EF107B"/>
    <w:rsid w:val="00EF1FDE"/>
    <w:rsid w:val="00EF2A08"/>
    <w:rsid w:val="00EF2A1D"/>
    <w:rsid w:val="00EF32F1"/>
    <w:rsid w:val="00EF45BA"/>
    <w:rsid w:val="00EF462E"/>
    <w:rsid w:val="00EF4DAC"/>
    <w:rsid w:val="00EF52F3"/>
    <w:rsid w:val="00EF5A96"/>
    <w:rsid w:val="00EF5C06"/>
    <w:rsid w:val="00EF65B1"/>
    <w:rsid w:val="00EF7463"/>
    <w:rsid w:val="00EF77A5"/>
    <w:rsid w:val="00EF7934"/>
    <w:rsid w:val="00EF7971"/>
    <w:rsid w:val="00F002EF"/>
    <w:rsid w:val="00F0182D"/>
    <w:rsid w:val="00F01D1F"/>
    <w:rsid w:val="00F01EE9"/>
    <w:rsid w:val="00F032EE"/>
    <w:rsid w:val="00F0358B"/>
    <w:rsid w:val="00F037BB"/>
    <w:rsid w:val="00F03A06"/>
    <w:rsid w:val="00F03C85"/>
    <w:rsid w:val="00F04900"/>
    <w:rsid w:val="00F04AC3"/>
    <w:rsid w:val="00F04E17"/>
    <w:rsid w:val="00F05342"/>
    <w:rsid w:val="00F060B3"/>
    <w:rsid w:val="00F06458"/>
    <w:rsid w:val="00F065A4"/>
    <w:rsid w:val="00F07A7B"/>
    <w:rsid w:val="00F10DE2"/>
    <w:rsid w:val="00F114CD"/>
    <w:rsid w:val="00F1186B"/>
    <w:rsid w:val="00F11A46"/>
    <w:rsid w:val="00F11CA8"/>
    <w:rsid w:val="00F11FEE"/>
    <w:rsid w:val="00F126B9"/>
    <w:rsid w:val="00F12715"/>
    <w:rsid w:val="00F12987"/>
    <w:rsid w:val="00F12C38"/>
    <w:rsid w:val="00F13AB9"/>
    <w:rsid w:val="00F14084"/>
    <w:rsid w:val="00F144D5"/>
    <w:rsid w:val="00F146F0"/>
    <w:rsid w:val="00F15039"/>
    <w:rsid w:val="00F15C8B"/>
    <w:rsid w:val="00F16154"/>
    <w:rsid w:val="00F20FF3"/>
    <w:rsid w:val="00F2190B"/>
    <w:rsid w:val="00F228B5"/>
    <w:rsid w:val="00F22E70"/>
    <w:rsid w:val="00F2312E"/>
    <w:rsid w:val="00F2389C"/>
    <w:rsid w:val="00F23A0B"/>
    <w:rsid w:val="00F25C67"/>
    <w:rsid w:val="00F25DCA"/>
    <w:rsid w:val="00F25EFF"/>
    <w:rsid w:val="00F266B6"/>
    <w:rsid w:val="00F268CB"/>
    <w:rsid w:val="00F27197"/>
    <w:rsid w:val="00F27745"/>
    <w:rsid w:val="00F279C3"/>
    <w:rsid w:val="00F304A2"/>
    <w:rsid w:val="00F30DFF"/>
    <w:rsid w:val="00F316DB"/>
    <w:rsid w:val="00F318AA"/>
    <w:rsid w:val="00F322F3"/>
    <w:rsid w:val="00F32431"/>
    <w:rsid w:val="00F3267F"/>
    <w:rsid w:val="00F32B80"/>
    <w:rsid w:val="00F332ED"/>
    <w:rsid w:val="00F340EB"/>
    <w:rsid w:val="00F34E3F"/>
    <w:rsid w:val="00F35285"/>
    <w:rsid w:val="00F35740"/>
    <w:rsid w:val="00F359C4"/>
    <w:rsid w:val="00F3605A"/>
    <w:rsid w:val="00F376F2"/>
    <w:rsid w:val="00F37878"/>
    <w:rsid w:val="00F37AF7"/>
    <w:rsid w:val="00F4048B"/>
    <w:rsid w:val="00F40723"/>
    <w:rsid w:val="00F40D00"/>
    <w:rsid w:val="00F41577"/>
    <w:rsid w:val="00F4165E"/>
    <w:rsid w:val="00F42835"/>
    <w:rsid w:val="00F42AB2"/>
    <w:rsid w:val="00F43495"/>
    <w:rsid w:val="00F435FA"/>
    <w:rsid w:val="00F43AE8"/>
    <w:rsid w:val="00F43B5E"/>
    <w:rsid w:val="00F43B9D"/>
    <w:rsid w:val="00F44D5E"/>
    <w:rsid w:val="00F451D1"/>
    <w:rsid w:val="00F457D7"/>
    <w:rsid w:val="00F45FDF"/>
    <w:rsid w:val="00F4645B"/>
    <w:rsid w:val="00F46766"/>
    <w:rsid w:val="00F4760B"/>
    <w:rsid w:val="00F500B5"/>
    <w:rsid w:val="00F505F3"/>
    <w:rsid w:val="00F50E8B"/>
    <w:rsid w:val="00F5116A"/>
    <w:rsid w:val="00F51236"/>
    <w:rsid w:val="00F52A21"/>
    <w:rsid w:val="00F53575"/>
    <w:rsid w:val="00F53A35"/>
    <w:rsid w:val="00F53D8F"/>
    <w:rsid w:val="00F540FD"/>
    <w:rsid w:val="00F544F2"/>
    <w:rsid w:val="00F556CB"/>
    <w:rsid w:val="00F557AC"/>
    <w:rsid w:val="00F55A3D"/>
    <w:rsid w:val="00F56B0E"/>
    <w:rsid w:val="00F5744B"/>
    <w:rsid w:val="00F57D47"/>
    <w:rsid w:val="00F60444"/>
    <w:rsid w:val="00F60804"/>
    <w:rsid w:val="00F61209"/>
    <w:rsid w:val="00F61A69"/>
    <w:rsid w:val="00F61CBD"/>
    <w:rsid w:val="00F61E9C"/>
    <w:rsid w:val="00F6259E"/>
    <w:rsid w:val="00F627E0"/>
    <w:rsid w:val="00F62B3B"/>
    <w:rsid w:val="00F633C7"/>
    <w:rsid w:val="00F63552"/>
    <w:rsid w:val="00F64B40"/>
    <w:rsid w:val="00F65A3F"/>
    <w:rsid w:val="00F65C59"/>
    <w:rsid w:val="00F65DD4"/>
    <w:rsid w:val="00F662AA"/>
    <w:rsid w:val="00F6653C"/>
    <w:rsid w:val="00F672B2"/>
    <w:rsid w:val="00F67930"/>
    <w:rsid w:val="00F679F2"/>
    <w:rsid w:val="00F7196A"/>
    <w:rsid w:val="00F71CE7"/>
    <w:rsid w:val="00F71EC5"/>
    <w:rsid w:val="00F71F2C"/>
    <w:rsid w:val="00F729AA"/>
    <w:rsid w:val="00F72F2B"/>
    <w:rsid w:val="00F72FEA"/>
    <w:rsid w:val="00F739D2"/>
    <w:rsid w:val="00F74430"/>
    <w:rsid w:val="00F74EC5"/>
    <w:rsid w:val="00F76423"/>
    <w:rsid w:val="00F7676E"/>
    <w:rsid w:val="00F76A3C"/>
    <w:rsid w:val="00F76B04"/>
    <w:rsid w:val="00F770C7"/>
    <w:rsid w:val="00F8041A"/>
    <w:rsid w:val="00F806CE"/>
    <w:rsid w:val="00F80794"/>
    <w:rsid w:val="00F817FB"/>
    <w:rsid w:val="00F82831"/>
    <w:rsid w:val="00F82A8E"/>
    <w:rsid w:val="00F83973"/>
    <w:rsid w:val="00F84726"/>
    <w:rsid w:val="00F859C6"/>
    <w:rsid w:val="00F86E59"/>
    <w:rsid w:val="00F87FA3"/>
    <w:rsid w:val="00F901CA"/>
    <w:rsid w:val="00F90CC6"/>
    <w:rsid w:val="00F9106B"/>
    <w:rsid w:val="00F92306"/>
    <w:rsid w:val="00F93244"/>
    <w:rsid w:val="00F93795"/>
    <w:rsid w:val="00F938F0"/>
    <w:rsid w:val="00F93D8C"/>
    <w:rsid w:val="00F9503C"/>
    <w:rsid w:val="00F95A2D"/>
    <w:rsid w:val="00F95E7F"/>
    <w:rsid w:val="00F96C6B"/>
    <w:rsid w:val="00F96D67"/>
    <w:rsid w:val="00F9737E"/>
    <w:rsid w:val="00F97ABF"/>
    <w:rsid w:val="00FA0138"/>
    <w:rsid w:val="00FA154A"/>
    <w:rsid w:val="00FA19C0"/>
    <w:rsid w:val="00FA1F01"/>
    <w:rsid w:val="00FA2566"/>
    <w:rsid w:val="00FA3102"/>
    <w:rsid w:val="00FA486C"/>
    <w:rsid w:val="00FA48D4"/>
    <w:rsid w:val="00FA54FA"/>
    <w:rsid w:val="00FA6D39"/>
    <w:rsid w:val="00FA7CAF"/>
    <w:rsid w:val="00FB009B"/>
    <w:rsid w:val="00FB0939"/>
    <w:rsid w:val="00FB1225"/>
    <w:rsid w:val="00FB130B"/>
    <w:rsid w:val="00FB227E"/>
    <w:rsid w:val="00FB2552"/>
    <w:rsid w:val="00FB3865"/>
    <w:rsid w:val="00FB3D61"/>
    <w:rsid w:val="00FB44CE"/>
    <w:rsid w:val="00FB5009"/>
    <w:rsid w:val="00FB5A8C"/>
    <w:rsid w:val="00FB6691"/>
    <w:rsid w:val="00FB67E4"/>
    <w:rsid w:val="00FB74CE"/>
    <w:rsid w:val="00FB76AB"/>
    <w:rsid w:val="00FB7D27"/>
    <w:rsid w:val="00FB7D9E"/>
    <w:rsid w:val="00FC1014"/>
    <w:rsid w:val="00FC151C"/>
    <w:rsid w:val="00FC1533"/>
    <w:rsid w:val="00FC2929"/>
    <w:rsid w:val="00FC3981"/>
    <w:rsid w:val="00FC454A"/>
    <w:rsid w:val="00FC62B1"/>
    <w:rsid w:val="00FC6CD2"/>
    <w:rsid w:val="00FC7DDA"/>
    <w:rsid w:val="00FC7F79"/>
    <w:rsid w:val="00FD03FE"/>
    <w:rsid w:val="00FD0DF0"/>
    <w:rsid w:val="00FD126E"/>
    <w:rsid w:val="00FD17AB"/>
    <w:rsid w:val="00FD2145"/>
    <w:rsid w:val="00FD2402"/>
    <w:rsid w:val="00FD2609"/>
    <w:rsid w:val="00FD333A"/>
    <w:rsid w:val="00FD3833"/>
    <w:rsid w:val="00FD3C36"/>
    <w:rsid w:val="00FD4D81"/>
    <w:rsid w:val="00FD4F6D"/>
    <w:rsid w:val="00FD51A6"/>
    <w:rsid w:val="00FD51C0"/>
    <w:rsid w:val="00FD553E"/>
    <w:rsid w:val="00FD57BD"/>
    <w:rsid w:val="00FD6885"/>
    <w:rsid w:val="00FD6972"/>
    <w:rsid w:val="00FD6D80"/>
    <w:rsid w:val="00FD7404"/>
    <w:rsid w:val="00FD7498"/>
    <w:rsid w:val="00FD77D1"/>
    <w:rsid w:val="00FD7D4C"/>
    <w:rsid w:val="00FD7DAC"/>
    <w:rsid w:val="00FD7FB3"/>
    <w:rsid w:val="00FE0097"/>
    <w:rsid w:val="00FE0752"/>
    <w:rsid w:val="00FE1301"/>
    <w:rsid w:val="00FE2E35"/>
    <w:rsid w:val="00FE3546"/>
    <w:rsid w:val="00FE418F"/>
    <w:rsid w:val="00FE4713"/>
    <w:rsid w:val="00FE4BF8"/>
    <w:rsid w:val="00FE524D"/>
    <w:rsid w:val="00FE557E"/>
    <w:rsid w:val="00FE71D6"/>
    <w:rsid w:val="00FE79A4"/>
    <w:rsid w:val="00FF1148"/>
    <w:rsid w:val="00FF184D"/>
    <w:rsid w:val="00FF1F44"/>
    <w:rsid w:val="00FF1FC4"/>
    <w:rsid w:val="00FF225E"/>
    <w:rsid w:val="00FF2C4B"/>
    <w:rsid w:val="00FF372A"/>
    <w:rsid w:val="00FF39AE"/>
    <w:rsid w:val="00FF40EE"/>
    <w:rsid w:val="00FF56F4"/>
    <w:rsid w:val="00FF65A5"/>
    <w:rsid w:val="00FF6684"/>
    <w:rsid w:val="00FF672C"/>
    <w:rsid w:val="00FF6CE8"/>
    <w:rsid w:val="00FF7414"/>
    <w:rsid w:val="00FF7B7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E38F62-712B-410E-96A8-C84F6BA0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uiPriority="9"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uiPriority w:val="9"/>
    <w:qFormat/>
    <w:rsid w:val="00D86636"/>
    <w:pPr>
      <w:keepNext/>
      <w:spacing w:after="120"/>
      <w:ind w:right="562"/>
      <w:contextualSpacing/>
      <w:jc w:val="center"/>
      <w:outlineLvl w:val="0"/>
    </w:pPr>
    <w:rPr>
      <w:rFonts w:cstheme="majorBidi"/>
      <w:b/>
      <w:bCs/>
      <w:kern w:val="32"/>
      <w:szCs w:val="32"/>
    </w:rPr>
  </w:style>
  <w:style w:type="paragraph" w:styleId="Heading2">
    <w:name w:val="heading 2"/>
    <w:basedOn w:val="Normal"/>
    <w:next w:val="Paragraph"/>
    <w:link w:val="Heading2Char"/>
    <w:qFormat/>
    <w:rsid w:val="003A6DA6"/>
    <w:pPr>
      <w:keepNext/>
      <w:spacing w:after="120" w:line="360" w:lineRule="auto"/>
      <w:ind w:right="562"/>
      <w:contextualSpacing/>
      <w:outlineLvl w:val="1"/>
    </w:pPr>
    <w:rPr>
      <w:rFonts w:cstheme="majorBidi"/>
      <w:b/>
      <w:bCs/>
      <w:iCs/>
      <w:szCs w:val="28"/>
    </w:rPr>
  </w:style>
  <w:style w:type="paragraph" w:styleId="Heading3">
    <w:name w:val="heading 3"/>
    <w:basedOn w:val="Normal"/>
    <w:next w:val="Paragraph"/>
    <w:link w:val="Heading3Char"/>
    <w:qFormat/>
    <w:rsid w:val="00405FCB"/>
    <w:pPr>
      <w:keepNext/>
      <w:spacing w:line="360" w:lineRule="auto"/>
      <w:ind w:right="562"/>
      <w:outlineLvl w:val="2"/>
    </w:pPr>
    <w:rPr>
      <w:rFonts w:cstheme="majorBidi"/>
      <w:b/>
      <w:bCs/>
      <w:i/>
      <w:iCs/>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3A6DA6"/>
    <w:rPr>
      <w:rFonts w:cstheme="majorBidi"/>
      <w:b/>
      <w:bCs/>
      <w:iCs/>
      <w:sz w:val="24"/>
      <w:szCs w:val="28"/>
    </w:rPr>
  </w:style>
  <w:style w:type="character" w:customStyle="1" w:styleId="Heading1Char">
    <w:name w:val="Heading 1 Char"/>
    <w:basedOn w:val="DefaultParagraphFont"/>
    <w:link w:val="Heading1"/>
    <w:uiPriority w:val="9"/>
    <w:rsid w:val="00D86636"/>
    <w:rPr>
      <w:rFonts w:cstheme="majorBidi"/>
      <w:b/>
      <w:bCs/>
      <w:kern w:val="32"/>
      <w:sz w:val="24"/>
      <w:szCs w:val="32"/>
    </w:rPr>
  </w:style>
  <w:style w:type="character" w:customStyle="1" w:styleId="Heading3Char">
    <w:name w:val="Heading 3 Char"/>
    <w:basedOn w:val="DefaultParagraphFont"/>
    <w:link w:val="Heading3"/>
    <w:rsid w:val="00405FCB"/>
    <w:rPr>
      <w:rFonts w:cstheme="majorBidi"/>
      <w:b/>
      <w:bCs/>
      <w:i/>
      <w:iCs/>
      <w:sz w:val="24"/>
      <w:szCs w:val="26"/>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BalloonText">
    <w:name w:val="Balloon Text"/>
    <w:basedOn w:val="Normal"/>
    <w:link w:val="BalloonTextChar"/>
    <w:semiHidden/>
    <w:unhideWhenUsed/>
    <w:rsid w:val="00A67B86"/>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67B86"/>
    <w:rPr>
      <w:rFonts w:ascii="Tahoma" w:hAnsi="Tahoma" w:cs="Tahoma"/>
      <w:sz w:val="16"/>
      <w:szCs w:val="16"/>
    </w:rPr>
  </w:style>
  <w:style w:type="paragraph" w:styleId="NormalWeb">
    <w:name w:val="Normal (Web)"/>
    <w:basedOn w:val="Normal"/>
    <w:uiPriority w:val="99"/>
    <w:unhideWhenUsed/>
    <w:rsid w:val="001C76DC"/>
    <w:pPr>
      <w:spacing w:before="100" w:beforeAutospacing="1" w:after="100" w:afterAutospacing="1" w:line="240" w:lineRule="auto"/>
    </w:pPr>
    <w:rPr>
      <w:lang w:val="en-US" w:eastAsia="en-US"/>
    </w:rPr>
  </w:style>
  <w:style w:type="table" w:styleId="TableGrid">
    <w:name w:val="Table Grid"/>
    <w:basedOn w:val="TableNormal"/>
    <w:uiPriority w:val="59"/>
    <w:rsid w:val="00012C07"/>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777D4"/>
    <w:rPr>
      <w:b/>
      <w:bCs/>
    </w:rPr>
  </w:style>
  <w:style w:type="paragraph" w:styleId="Bibliography">
    <w:name w:val="Bibliography"/>
    <w:basedOn w:val="Normal"/>
    <w:next w:val="Normal"/>
    <w:uiPriority w:val="37"/>
    <w:unhideWhenUsed/>
    <w:rsid w:val="0012472E"/>
    <w:pPr>
      <w:spacing w:after="200" w:line="276" w:lineRule="auto"/>
    </w:pPr>
    <w:rPr>
      <w:rFonts w:asciiTheme="minorHAnsi" w:eastAsiaTheme="minorHAnsi" w:hAnsiTheme="minorHAnsi" w:cstheme="minorBidi"/>
      <w:sz w:val="22"/>
      <w:szCs w:val="22"/>
      <w:lang w:val="en-US" w:eastAsia="en-US"/>
    </w:rPr>
  </w:style>
  <w:style w:type="paragraph" w:styleId="ListParagraph">
    <w:name w:val="List Paragraph"/>
    <w:basedOn w:val="Normal"/>
    <w:uiPriority w:val="34"/>
    <w:qFormat/>
    <w:rsid w:val="005E21CF"/>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Hyperlink">
    <w:name w:val="Hyperlink"/>
    <w:basedOn w:val="DefaultParagraphFont"/>
    <w:uiPriority w:val="99"/>
    <w:unhideWhenUsed/>
    <w:rsid w:val="001D5E77"/>
    <w:rPr>
      <w:color w:val="0000FF" w:themeColor="hyperlink"/>
      <w:u w:val="single"/>
    </w:rPr>
  </w:style>
  <w:style w:type="character" w:customStyle="1" w:styleId="tgc">
    <w:name w:val="_tgc"/>
    <w:basedOn w:val="DefaultParagraphFont"/>
    <w:rsid w:val="00260836"/>
  </w:style>
  <w:style w:type="paragraph" w:styleId="TOCHeading">
    <w:name w:val="TOC Heading"/>
    <w:basedOn w:val="Heading1"/>
    <w:next w:val="Normal"/>
    <w:uiPriority w:val="39"/>
    <w:semiHidden/>
    <w:unhideWhenUsed/>
    <w:qFormat/>
    <w:rsid w:val="00CE2949"/>
    <w:pPr>
      <w:keepLines/>
      <w:spacing w:before="480" w:after="0" w:line="276" w:lineRule="auto"/>
      <w:ind w:right="0"/>
      <w:contextualSpacing w:val="0"/>
      <w:jc w:val="left"/>
      <w:outlineLvl w:val="9"/>
    </w:pPr>
    <w:rPr>
      <w:rFonts w:asciiTheme="majorHAnsi" w:eastAsiaTheme="majorEastAsia" w:hAnsiTheme="majorHAnsi"/>
      <w:color w:val="365F91" w:themeColor="accent1" w:themeShade="BF"/>
      <w:kern w:val="0"/>
      <w:sz w:val="28"/>
      <w:szCs w:val="28"/>
      <w:lang w:val="en-US" w:eastAsia="ja-JP"/>
    </w:rPr>
  </w:style>
  <w:style w:type="paragraph" w:styleId="TOC3">
    <w:name w:val="toc 3"/>
    <w:basedOn w:val="Normal"/>
    <w:next w:val="Normal"/>
    <w:autoRedefine/>
    <w:uiPriority w:val="39"/>
    <w:unhideWhenUsed/>
    <w:rsid w:val="00E14476"/>
    <w:pPr>
      <w:spacing w:line="360" w:lineRule="auto"/>
      <w:ind w:left="475"/>
    </w:pPr>
  </w:style>
  <w:style w:type="paragraph" w:styleId="TOC1">
    <w:name w:val="toc 1"/>
    <w:basedOn w:val="Normal"/>
    <w:next w:val="Normal"/>
    <w:autoRedefine/>
    <w:uiPriority w:val="39"/>
    <w:unhideWhenUsed/>
    <w:rsid w:val="00E14476"/>
    <w:pPr>
      <w:spacing w:line="360" w:lineRule="auto"/>
    </w:pPr>
  </w:style>
  <w:style w:type="paragraph" w:styleId="TOC2">
    <w:name w:val="toc 2"/>
    <w:basedOn w:val="Normal"/>
    <w:next w:val="Normal"/>
    <w:autoRedefine/>
    <w:uiPriority w:val="39"/>
    <w:unhideWhenUsed/>
    <w:rsid w:val="00E14476"/>
    <w:pPr>
      <w:spacing w:line="360" w:lineRule="auto"/>
      <w:ind w:left="245"/>
    </w:pPr>
  </w:style>
  <w:style w:type="paragraph" w:styleId="Caption">
    <w:name w:val="caption"/>
    <w:basedOn w:val="Normal"/>
    <w:next w:val="Normal"/>
    <w:unhideWhenUsed/>
    <w:rsid w:val="009A7824"/>
    <w:pPr>
      <w:spacing w:after="200" w:line="240" w:lineRule="auto"/>
    </w:pPr>
    <w:rPr>
      <w:b/>
      <w:bCs/>
      <w:color w:val="4F81BD" w:themeColor="accent1"/>
      <w:sz w:val="18"/>
      <w:szCs w:val="18"/>
    </w:rPr>
  </w:style>
  <w:style w:type="paragraph" w:styleId="TableofFigures">
    <w:name w:val="table of figures"/>
    <w:basedOn w:val="Normal"/>
    <w:next w:val="Normal"/>
    <w:uiPriority w:val="99"/>
    <w:unhideWhenUsed/>
    <w:rsid w:val="00B85134"/>
  </w:style>
  <w:style w:type="paragraph" w:styleId="CommentText">
    <w:name w:val="annotation text"/>
    <w:basedOn w:val="Normal"/>
    <w:link w:val="CommentTextChar"/>
    <w:semiHidden/>
    <w:unhideWhenUsed/>
    <w:rsid w:val="004952D9"/>
    <w:pPr>
      <w:spacing w:line="240" w:lineRule="auto"/>
    </w:pPr>
    <w:rPr>
      <w:sz w:val="20"/>
      <w:szCs w:val="20"/>
    </w:rPr>
  </w:style>
  <w:style w:type="character" w:customStyle="1" w:styleId="CommentTextChar">
    <w:name w:val="Comment Text Char"/>
    <w:basedOn w:val="DefaultParagraphFont"/>
    <w:link w:val="CommentText"/>
    <w:semiHidden/>
    <w:rsid w:val="004952D9"/>
  </w:style>
  <w:style w:type="character" w:styleId="Emphasis">
    <w:name w:val="Emphasis"/>
    <w:basedOn w:val="DefaultParagraphFont"/>
    <w:uiPriority w:val="20"/>
    <w:qFormat/>
    <w:rsid w:val="00B733FF"/>
    <w:rPr>
      <w:b/>
      <w:bCs/>
      <w:i w:val="0"/>
      <w:iCs w:val="0"/>
    </w:rPr>
  </w:style>
  <w:style w:type="character" w:customStyle="1" w:styleId="st1">
    <w:name w:val="st1"/>
    <w:basedOn w:val="DefaultParagraphFont"/>
    <w:rsid w:val="00B73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6243">
      <w:bodyDiv w:val="1"/>
      <w:marLeft w:val="0"/>
      <w:marRight w:val="0"/>
      <w:marTop w:val="0"/>
      <w:marBottom w:val="0"/>
      <w:divBdr>
        <w:top w:val="none" w:sz="0" w:space="0" w:color="auto"/>
        <w:left w:val="none" w:sz="0" w:space="0" w:color="auto"/>
        <w:bottom w:val="none" w:sz="0" w:space="0" w:color="auto"/>
        <w:right w:val="none" w:sz="0" w:space="0" w:color="auto"/>
      </w:divBdr>
      <w:divsChild>
        <w:div w:id="703486405">
          <w:marLeft w:val="0"/>
          <w:marRight w:val="0"/>
          <w:marTop w:val="0"/>
          <w:marBottom w:val="0"/>
          <w:divBdr>
            <w:top w:val="none" w:sz="0" w:space="0" w:color="auto"/>
            <w:left w:val="none" w:sz="0" w:space="0" w:color="auto"/>
            <w:bottom w:val="none" w:sz="0" w:space="0" w:color="auto"/>
            <w:right w:val="none" w:sz="0" w:space="0" w:color="auto"/>
          </w:divBdr>
          <w:divsChild>
            <w:div w:id="565607594">
              <w:marLeft w:val="0"/>
              <w:marRight w:val="0"/>
              <w:marTop w:val="0"/>
              <w:marBottom w:val="0"/>
              <w:divBdr>
                <w:top w:val="none" w:sz="0" w:space="0" w:color="auto"/>
                <w:left w:val="none" w:sz="0" w:space="0" w:color="auto"/>
                <w:bottom w:val="none" w:sz="0" w:space="0" w:color="auto"/>
                <w:right w:val="none" w:sz="0" w:space="0" w:color="auto"/>
              </w:divBdr>
              <w:divsChild>
                <w:div w:id="1784038325">
                  <w:marLeft w:val="0"/>
                  <w:marRight w:val="0"/>
                  <w:marTop w:val="0"/>
                  <w:marBottom w:val="0"/>
                  <w:divBdr>
                    <w:top w:val="none" w:sz="0" w:space="0" w:color="auto"/>
                    <w:left w:val="none" w:sz="0" w:space="0" w:color="auto"/>
                    <w:bottom w:val="none" w:sz="0" w:space="0" w:color="auto"/>
                    <w:right w:val="none" w:sz="0" w:space="0" w:color="auto"/>
                  </w:divBdr>
                  <w:divsChild>
                    <w:div w:id="1980451858">
                      <w:marLeft w:val="0"/>
                      <w:marRight w:val="0"/>
                      <w:marTop w:val="0"/>
                      <w:marBottom w:val="0"/>
                      <w:divBdr>
                        <w:top w:val="none" w:sz="0" w:space="0" w:color="auto"/>
                        <w:left w:val="none" w:sz="0" w:space="0" w:color="auto"/>
                        <w:bottom w:val="none" w:sz="0" w:space="0" w:color="auto"/>
                        <w:right w:val="none" w:sz="0" w:space="0" w:color="auto"/>
                      </w:divBdr>
                      <w:divsChild>
                        <w:div w:id="635531762">
                          <w:marLeft w:val="0"/>
                          <w:marRight w:val="0"/>
                          <w:marTop w:val="0"/>
                          <w:marBottom w:val="0"/>
                          <w:divBdr>
                            <w:top w:val="none" w:sz="0" w:space="0" w:color="auto"/>
                            <w:left w:val="none" w:sz="0" w:space="0" w:color="auto"/>
                            <w:bottom w:val="none" w:sz="0" w:space="0" w:color="auto"/>
                            <w:right w:val="none" w:sz="0" w:space="0" w:color="auto"/>
                          </w:divBdr>
                          <w:divsChild>
                            <w:div w:id="916599219">
                              <w:marLeft w:val="0"/>
                              <w:marRight w:val="0"/>
                              <w:marTop w:val="0"/>
                              <w:marBottom w:val="0"/>
                              <w:divBdr>
                                <w:top w:val="none" w:sz="0" w:space="0" w:color="auto"/>
                                <w:left w:val="none" w:sz="0" w:space="0" w:color="auto"/>
                                <w:bottom w:val="none" w:sz="0" w:space="0" w:color="auto"/>
                                <w:right w:val="none" w:sz="0" w:space="0" w:color="auto"/>
                              </w:divBdr>
                              <w:divsChild>
                                <w:div w:id="1865166986">
                                  <w:marLeft w:val="0"/>
                                  <w:marRight w:val="0"/>
                                  <w:marTop w:val="0"/>
                                  <w:marBottom w:val="0"/>
                                  <w:divBdr>
                                    <w:top w:val="none" w:sz="0" w:space="0" w:color="auto"/>
                                    <w:left w:val="none" w:sz="0" w:space="0" w:color="auto"/>
                                    <w:bottom w:val="none" w:sz="0" w:space="0" w:color="auto"/>
                                    <w:right w:val="none" w:sz="0" w:space="0" w:color="auto"/>
                                  </w:divBdr>
                                  <w:divsChild>
                                    <w:div w:id="142503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dictionary.cambridge.org/dictionary/english/simila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dictionary.cambridge.org/dictionary/english/similar" TargetMode="External"/><Relationship Id="rId2" Type="http://schemas.openxmlformats.org/officeDocument/2006/relationships/numbering" Target="numbering.xml"/><Relationship Id="rId16" Type="http://schemas.openxmlformats.org/officeDocument/2006/relationships/image" Target="media/image6.tm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culty\AppData\Local\Temp\Rar$DIa0.090\TF_Template_Word_Windows_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She05</b:Tag>
    <b:SourceType>JournalArticle</b:SourceType>
    <b:Guid>{B0D62DA7-9AFE-4B78-8AC3-7EA29D33BD23}</b:Guid>
    <b:Author>
      <b:Author>
        <b:NameList>
          <b:Person>
            <b:Last>Sherer</b:Last>
            <b:First>Susan</b:First>
            <b:Middle>A</b:Middle>
          </b:Person>
        </b:NameList>
      </b:Author>
    </b:Author>
    <b:Title>From Supply-Chain Management to Value Network Advocacy: Implications for e-Supply Chains</b:Title>
    <b:JournalName>Supply Chain Management</b:JournalName>
    <b:Year>2005</b:Year>
    <b:Pages>77-83</b:Pages>
    <b:Volume>10</b:Volume>
    <b:Issue>2</b:Issue>
    <b:RefOrder>11</b:RefOrder>
  </b:Source>
  <b:Source>
    <b:Tag>Sta05</b:Tag>
    <b:SourceType>JournalArticle</b:SourceType>
    <b:Guid>{8A5C5962-7131-41F1-BA63-A84F887D5EA4}</b:Guid>
    <b:Author>
      <b:Author>
        <b:NameList>
          <b:Person>
            <b:Last>Stadtler</b:Last>
            <b:First>H.</b:First>
          </b:Person>
        </b:NameList>
      </b:Author>
    </b:Author>
    <b:Title>Supply Chain Management and Advanced Planning – Basics, Overview and Challenges</b:Title>
    <b:JournalName>European Journal of Operational Research</b:JournalName>
    <b:Year>2005</b:Year>
    <b:Pages>575-588</b:Pages>
    <b:Volume>163</b:Volume>
    <b:Issue>3</b:Issue>
    <b:RefOrder>12</b:RefOrder>
  </b:Source>
  <b:Source>
    <b:Tag>Kau97</b:Tag>
    <b:SourceType>JournalArticle</b:SourceType>
    <b:Guid>{ACB87B29-773A-475F-8AC7-5FB76CD6B95D}</b:Guid>
    <b:Author>
      <b:Author>
        <b:NameList>
          <b:Person>
            <b:Last>Kaufman</b:Last>
            <b:First>R.</b:First>
          </b:Person>
        </b:NameList>
      </b:Author>
    </b:Author>
    <b:Title>Nobody Wins until the Consumer Says, 'I'll Take It</b:Title>
    <b:Year>1997</b:Year>
    <b:JournalName>Apparel Industry Magazine</b:JournalName>
    <b:Pages>14-16</b:Pages>
    <b:Volume>58</b:Volume>
    <b:Issue>3</b:Issue>
    <b:RefOrder>13</b:RefOrder>
  </b:Source>
  <b:Source>
    <b:Tag>Pow05</b:Tag>
    <b:SourceType>JournalArticle</b:SourceType>
    <b:Guid>{221C71B1-EBD9-4B2F-A621-5A917973208E}</b:Guid>
    <b:Author>
      <b:Author>
        <b:NameList>
          <b:Person>
            <b:Last>Power</b:Last>
            <b:First>Damien</b:First>
          </b:Person>
        </b:NameList>
      </b:Author>
    </b:Author>
    <b:Title>Supply Chain Management Integration and Implementation: A Literature Review</b:Title>
    <b:JournalName>Emerald Group Publishing, Limited</b:JournalName>
    <b:Year>2005</b:Year>
    <b:Pages>252-263</b:Pages>
    <b:Volume>10</b:Volume>
    <b:Issue>4</b:Issue>
    <b:RefOrder>14</b:RefOrder>
  </b:Source>
  <b:Source>
    <b:Tag>Lam00</b:Tag>
    <b:SourceType>JournalArticle</b:SourceType>
    <b:Guid>{EA15D6E2-9363-40CC-B482-C7E95A1D7B38}</b:Guid>
    <b:Author>
      <b:Author>
        <b:NameList>
          <b:Person>
            <b:Last>Lambert</b:Last>
            <b:First>Douglas</b:First>
            <b:Middle>M.</b:Middle>
          </b:Person>
          <b:Person>
            <b:Last>Cooper</b:Last>
            <b:First>Martha</b:First>
            <b:Middle>C.</b:Middle>
          </b:Person>
        </b:NameList>
      </b:Author>
    </b:Author>
    <b:Title>Issues in Supply Chain Management</b:Title>
    <b:JournalName>Industrial Marketing Management</b:JournalName>
    <b:Year>2000</b:Year>
    <b:Pages>65–83</b:Pages>
    <b:Volume>29</b:Volume>
    <b:Issue>1</b:Issue>
    <b:RefOrder>15</b:RefOrder>
  </b:Source>
  <b:Source>
    <b:Tag>Huo12</b:Tag>
    <b:SourceType>JournalArticle</b:SourceType>
    <b:Guid>{EFE8209F-D799-4A55-B30D-93750BF97D64}</b:Guid>
    <b:Author>
      <b:Author>
        <b:NameList>
          <b:Person>
            <b:Last>Huo</b:Last>
            <b:First>Baofeng</b:First>
          </b:Person>
        </b:NameList>
      </b:Author>
    </b:Author>
    <b:Title>The Impact of Supply Chain Integration on Company Performance: An Organizational Capability Perspective</b:Title>
    <b:JournalName>Supply Chain Management: An International Journal</b:JournalName>
    <b:Year>2012</b:Year>
    <b:Pages>596-610</b:Pages>
    <b:Volume>17</b:Volume>
    <b:Issue>6</b:Issue>
    <b:RefOrder>16</b:RefOrder>
  </b:Source>
  <b:Source>
    <b:Tag>Woo97</b:Tag>
    <b:SourceType>JournalArticle</b:SourceType>
    <b:Guid>{1245A6EF-63A9-4234-AF7F-190D9119C0A1}</b:Guid>
    <b:Author>
      <b:Author>
        <b:NameList>
          <b:Person>
            <b:Last>Wood</b:Last>
            <b:First>A.</b:First>
          </b:Person>
        </b:NameList>
      </b:Author>
    </b:Author>
    <b:Title>Extending the Supply Chain: Strengthening Links with IT</b:Title>
    <b:JournalName>Chemical Week</b:JournalName>
    <b:Year>1997</b:Year>
    <b:Pages>26</b:Pages>
    <b:Volume>159</b:Volume>
    <b:Issue>25</b:Issue>
    <b:RefOrder>17</b:RefOrder>
  </b:Source>
  <b:Source>
    <b:Tag>Hsi13</b:Tag>
    <b:SourceType>JournalArticle</b:SourceType>
    <b:Guid>{31545FD7-8E08-4A9D-8A1E-B0496AA8F4B9}</b:Guid>
    <b:Author>
      <b:Author>
        <b:NameList>
          <b:Person>
            <b:Last>Hsieh</b:Last>
            <b:First>Chialing</b:First>
          </b:Person>
          <b:Person>
            <b:Last>Wu</b:Last>
            <b:First>Chen</b:First>
            <b:Middle>Y</b:Middle>
          </b:Person>
        </b:NameList>
      </b:Author>
    </b:Author>
    <b:Title>Working Capital Management and Profitability of Publicly Traded Chinese Companies</b:Title>
    <b:JournalName>Asia Pacific Journal of Economics and Business</b:JournalName>
    <b:Year>2013</b:Year>
    <b:Pages>1-11</b:Pages>
    <b:Volume>17</b:Volume>
    <b:Issue>1</b:Issue>
    <b:RefOrder>18</b:RefOrder>
  </b:Source>
  <b:Source>
    <b:Tag>Des12</b:Tag>
    <b:SourceType>JournalArticle</b:SourceType>
    <b:Guid>{0429782D-4638-4AD7-80D1-07F6B71D9AF6}</b:Guid>
    <b:Author>
      <b:Author>
        <b:NameList>
          <b:Person>
            <b:Last>Deshpande</b:Last>
            <b:First>Anant</b:First>
            <b:Middle>Ravindra</b:Middle>
          </b:Person>
        </b:NameList>
      </b:Author>
    </b:Author>
    <b:Title>Supply Chain Management Dimensions, Supply Chain Performance and Organizational Performance: An Integrated Framework</b:Title>
    <b:Year>2012</b:Year>
    <b:JournalName>International Journal of Business and Management</b:JournalName>
    <b:Volume>7</b:Volume>
    <b:Issue>8</b:Issue>
    <b:RefOrder>19</b:RefOrder>
  </b:Source>
  <b:Source>
    <b:Tag>Yan09</b:Tag>
    <b:SourceType>JournalArticle</b:SourceType>
    <b:Guid>{A411BECF-8C87-4FD3-AC4A-B5AF67298412}</b:Guid>
    <b:Author>
      <b:Author>
        <b:NameList>
          <b:Person>
            <b:Last>Yang</b:Last>
            <b:First>Chyan</b:First>
          </b:Person>
          <b:Person>
            <b:Last>Su</b:Last>
            <b:First>Yi-fen</b:First>
          </b:Person>
        </b:NameList>
      </b:Author>
    </b:Author>
    <b:Title>The Relationship between Benefits of ERP Systems Implementation and Its Impacts on Firm Performance of SCM</b:Title>
    <b:JournalName>Journal of Enterprise Information Management</b:JournalName>
    <b:Year>2009</b:Year>
    <b:Pages>722-752</b:Pages>
    <b:Volume>22</b:Volume>
    <b:Issue>6</b:Issue>
    <b:RefOrder>20</b:RefOrder>
  </b:Source>
  <b:Source>
    <b:Tag>Abd14</b:Tag>
    <b:SourceType>JournalArticle</b:SourceType>
    <b:Guid>{3224A5C1-FA73-4918-97F5-6B8574DB2703}</b:Guid>
    <b:Title>The Impact of Supply Chain Management Practices on Supply Chain Performance in Jordan: The Moderating Effect of Competitive Intensity</b:Title>
    <b:JournalName>International Business Research</b:JournalName>
    <b:Year>2014</b:Year>
    <b:Pages>13-27</b:Pages>
    <b:Author>
      <b:Author>
        <b:NameList>
          <b:Person>
            <b:Last>Abdallah</b:Last>
            <b:Middle>Bahjat</b:Middle>
            <b:First>Ayman</b:First>
          </b:Person>
          <b:Person>
            <b:Last>Obeidat</b:Last>
            <b:Middle>Yousef</b:Middle>
            <b:First>Bader</b:First>
          </b:Person>
          <b:Person>
            <b:Last>Aqqad</b:Last>
            <b:Middle>Osama</b:Middle>
            <b:First>Noor</b:First>
          </b:Person>
        </b:NameList>
      </b:Author>
    </b:Author>
    <b:Volume>7</b:Volume>
    <b:Issue>3</b:Issue>
    <b:RefOrder>21</b:RefOrder>
  </b:Source>
  <b:Source>
    <b:Tag>Sha12</b:Tag>
    <b:SourceType>JournalArticle</b:SourceType>
    <b:Guid>{96D5B0EA-A6E0-4010-A893-09C0E9BAEFB9}</b:Guid>
    <b:Title>The Inter-Linkages of Working Capital and Profitability in Pakistan (2001-2010)</b:Title>
    <b:JournalName>Academic Research International</b:JournalName>
    <b:Year>2012</b:Year>
    <b:Pages>562-567</b:Pages>
    <b:Author>
      <b:Author>
        <b:NameList>
          <b:Person>
            <b:Last>Shakoor</b:Last>
            <b:First>Faisal</b:First>
          </b:Person>
          <b:Person>
            <b:Last>Khan</b:Last>
            <b:Middle>Qayyum</b:Middle>
            <b:First>Abdul</b:First>
          </b:Person>
          <b:Person>
            <b:Last>Nawab</b:Last>
            <b:First>Samina</b:First>
          </b:Person>
        </b:NameList>
      </b:Author>
    </b:Author>
    <b:Volume>3</b:Volume>
    <b:Issue>2</b:Issue>
    <b:RefOrder>22</b:RefOrder>
  </b:Source>
  <b:Source>
    <b:Tag>Hof10</b:Tag>
    <b:SourceType>JournalArticle</b:SourceType>
    <b:Guid>{392555CC-96E0-4563-8C04-65070486D263}</b:Guid>
    <b:Title>A Supply Chain-Oriented Approach of Working Capital Management</b:Title>
    <b:JournalName>Journal of Business Logistics</b:JournalName>
    <b:Year>2010</b:Year>
    <b:Pages>305-330</b:Pages>
    <b:Author>
      <b:Author>
        <b:NameList>
          <b:Person>
            <b:Last>Hofmann</b:Last>
            <b:First>Erik</b:First>
          </b:Person>
          <b:Person>
            <b:Last>Kotzab</b:Last>
            <b:First>Herbert</b:First>
          </b:Person>
        </b:NameList>
      </b:Author>
    </b:Author>
    <b:Volume>31</b:Volume>
    <b:Issue>2</b:Issue>
    <b:RefOrder>23</b:RefOrder>
  </b:Source>
  <b:Source>
    <b:Tag>Era10</b:Tag>
    <b:SourceType>JournalArticle</b:SourceType>
    <b:Guid>{A11917A0-0E13-4728-971E-3D87418EF663}</b:Guid>
    <b:Title>Working Capital Management and Profitability: The Relationship between the Net Trade Cycle and Return on Assets</b:Title>
    <b:JournalName>Management Dynamics</b:JournalName>
    <b:Year>2010</b:Year>
    <b:Pages>2-10</b:Pages>
    <b:Author>
      <b:Author>
        <b:NameList>
          <b:Person>
            <b:Last>Erasmus</b:Last>
            <b:Middle>D.</b:Middle>
            <b:First>P.</b:First>
          </b:Person>
        </b:NameList>
      </b:Author>
    </b:Author>
    <b:Volume>19</b:Volume>
    <b:Issue>1</b:Issue>
    <b:RefOrder>1</b:RefOrder>
  </b:Source>
  <b:Source>
    <b:Tag>AlM04</b:Tag>
    <b:SourceType>JournalArticle</b:SourceType>
    <b:Guid>{4F26CF6A-2B6C-4314-9E4C-074F4D9EDF90}</b:Guid>
    <b:Title>Extending the Concept of Supply Chains: the Effective Management of Value Chains</b:Title>
    <b:JournalName>International Journal of Production Economics</b:JournalName>
    <b:Year>2004</b:Year>
    <b:Pages>309-320</b:Pages>
    <b:Author>
      <b:Author>
        <b:NameList>
          <b:Person>
            <b:Last>Al-Mudimigh</b:Last>
            <b:First>A.</b:First>
          </b:Person>
          <b:Person>
            <b:Last>Zairi</b:Last>
            <b:First>M.</b:First>
          </b:Person>
          <b:Person>
            <b:Last>Ahmed</b:Last>
            <b:First>A.</b:First>
          </b:Person>
        </b:NameList>
      </b:Author>
    </b:Author>
    <b:Volume>87</b:Volume>
    <b:Issue>3</b:Issue>
    <b:RefOrder>24</b:RefOrder>
  </b:Source>
  <b:Source>
    <b:Tag>Coo97</b:Tag>
    <b:SourceType>JournalArticle</b:SourceType>
    <b:Guid>{558D764D-24AF-4057-9DC3-32EBB96CF089}</b:Guid>
    <b:Title>Supply Chain Management: More Than a New Name for Logistics</b:Title>
    <b:JournalName>International Journal of Logistics Management</b:JournalName>
    <b:Year>1997</b:Year>
    <b:Pages>1-14</b:Pages>
    <b:Author>
      <b:Author>
        <b:NameList>
          <b:Person>
            <b:Last>Cooper</b:Last>
            <b:Middle>C.</b:Middle>
            <b:First>M.</b:First>
          </b:Person>
          <b:Person>
            <b:Last>Lambert</b:Last>
            <b:Middle>M.</b:Middle>
            <b:First>D.</b:First>
          </b:Person>
          <b:Person>
            <b:Last>Pagh</b:Last>
            <b:Middle>D.</b:Middle>
            <b:First>J.</b:First>
          </b:Person>
        </b:NameList>
      </b:Author>
    </b:Author>
    <b:Volume>8</b:Volume>
    <b:Issue>1</b:Issue>
    <b:RefOrder>25</b:RefOrder>
  </b:Source>
  <b:Source>
    <b:Tag>Faw08</b:Tag>
    <b:SourceType>JournalArticle</b:SourceType>
    <b:Guid>{855B38A2-6277-41D2-9E62-E866A5142312}</b:Guid>
    <b:Title>Benefits, Barriers, and Bridges to Effective Supply Chain Management</b:Title>
    <b:JournalName>Supply Chain Management: An International Journal</b:JournalName>
    <b:Year>2008</b:Year>
    <b:Pages>35–48</b:Pages>
    <b:Author>
      <b:Author>
        <b:NameList>
          <b:Person>
            <b:Last>Fawcett</b:Last>
            <b:Middle>E.</b:Middle>
            <b:First>S.</b:First>
          </b:Person>
          <b:Person>
            <b:Last>Magnan</b:Last>
            <b:Middle>M.</b:Middle>
            <b:First>G.</b:First>
          </b:Person>
          <b:Person>
            <b:Last>McCarter</b:Last>
            <b:Middle>W.</b:Middle>
            <b:First>M.</b:First>
          </b:Person>
        </b:NameList>
      </b:Author>
    </b:Author>
    <b:Volume>13</b:Volume>
    <b:Issue>1</b:Issue>
    <b:RefOrder>26</b:RefOrder>
  </b:Source>
  <b:Source>
    <b:Tag>Jüt07</b:Tag>
    <b:SourceType>JournalArticle</b:SourceType>
    <b:Guid>{B3DAEAED-9774-43F2-AB08-6CA4A5114921}</b:Guid>
    <b:Title>Demand Chain Management-Integrating Marketing and Supply Chain Management</b:Title>
    <b:JournalName>Industrial Marketing Management</b:JournalName>
    <b:Year>2007</b:Year>
    <b:Pages>377–392</b:Pages>
    <b:Author>
      <b:Author>
        <b:NameList>
          <b:Person>
            <b:Last>Jüttner</b:Last>
            <b:First>U.</b:First>
          </b:Person>
          <b:Person>
            <b:Last>Christopher</b:Last>
            <b:First>M.</b:First>
          </b:Person>
          <b:Person>
            <b:Last>Baker</b:Last>
            <b:First>S.</b:First>
          </b:Person>
        </b:NameList>
      </b:Author>
    </b:Author>
    <b:Volume>36</b:Volume>
    <b:Issue>3</b:Issue>
    <b:RefOrder>27</b:RefOrder>
  </b:Source>
  <b:Source>
    <b:Tag>Kar10</b:Tag>
    <b:SourceType>JournalArticle</b:SourceType>
    <b:Guid>{99D10839-B98B-40C1-BDC9-B5D41936AE91}</b:Guid>
    <b:Title>Effects of Working Capital Management on Profitability: The Case for Selected Companies in the Istanbul Stock Exchange</b:Title>
    <b:JournalName>International Journal of Economics and Finance Studies</b:JournalName>
    <b:Year>2010</b:Year>
    <b:Pages>47-54</b:Pages>
    <b:Author>
      <b:Author>
        <b:NameList>
          <b:Person>
            <b:Last>Karaduman</b:Last>
            <b:Middle>A.</b:Middle>
            <b:First>H.</b:First>
          </b:Person>
          <b:Person>
            <b:Last>Akbas</b:Last>
            <b:Middle>E.</b:Middle>
            <b:First>H.</b:First>
          </b:Person>
          <b:Person>
            <b:Last>Ozsozgun</b:Last>
            <b:First>A.</b:First>
          </b:Person>
        </b:NameList>
      </b:Author>
    </b:Author>
    <b:Volume>2</b:Volume>
    <b:Issue>2</b:Issue>
    <b:RefOrder>28</b:RefOrder>
  </b:Source>
  <b:Source>
    <b:Tag>Men00</b:Tag>
    <b:SourceType>JournalArticle</b:SourceType>
    <b:Guid>{6D6221C7-803E-4885-806D-01C051DD6C51}</b:Guid>
    <b:Title>Collaboration: The Enablers, Impediments, and Benefits</b:Title>
    <b:JournalName>Supply Chain Management Review</b:JournalName>
    <b:Year>2000</b:Year>
    <b:Pages>52-58</b:Pages>
    <b:Author>
      <b:Author>
        <b:NameList>
          <b:Person>
            <b:Last>Mentzer</b:Last>
            <b:First>J.</b:First>
          </b:Person>
          <b:Person>
            <b:Last>Foggin</b:Last>
            <b:First>J.</b:First>
          </b:Person>
          <b:Person>
            <b:Last>Golicic</b:Last>
            <b:First>S.</b:First>
          </b:Person>
        </b:NameList>
      </b:Author>
    </b:Author>
    <b:Volume>4</b:Volume>
    <b:Issue>4</b:Issue>
    <b:RefOrder>29</b:RefOrder>
  </b:Source>
  <b:Source>
    <b:Tag>Sam08</b:Tag>
    <b:SourceType>JournalArticle</b:SourceType>
    <b:Guid>{E7D90CA8-E36F-4AAF-B610-62D0B0996790}</b:Guid>
    <b:Title>The Effect of Working Capital Management on Firm Profitability: Evidence from Turkey</b:Title>
    <b:JournalName>The International Journal of Applied Economics and Finance</b:JournalName>
    <b:Year>2008</b:Year>
    <b:Pages>44-50</b:Pages>
    <b:Author>
      <b:Author>
        <b:NameList>
          <b:Person>
            <b:Last>Samiloglu</b:Last>
            <b:First>F.</b:First>
          </b:Person>
          <b:Person>
            <b:Last>Demirgunes</b:Last>
            <b:First>K.</b:First>
          </b:Person>
        </b:NameList>
      </b:Author>
    </b:Author>
    <b:Volume>2</b:Volume>
    <b:Issue>1</b:Issue>
    <b:RefOrder>30</b:RefOrder>
  </b:Source>
  <b:Source>
    <b:Tag>Sta01</b:Tag>
    <b:SourceType>JournalArticle</b:SourceType>
    <b:Guid>{8E2AD0D6-F4AF-479B-B6B1-058143428506}</b:Guid>
    <b:Title>Supply Chain Collaboration and Logistical Service Performance</b:Title>
    <b:JournalName>Journal of Business Logistics</b:JournalName>
    <b:Year>2001</b:Year>
    <b:Pages>29–48</b:Pages>
    <b:Author>
      <b:Author>
        <b:NameList>
          <b:Person>
            <b:Last>Stank</b:Last>
            <b:Middle>P.</b:Middle>
            <b:First>T.</b:First>
          </b:Person>
          <b:Person>
            <b:Last>Keller</b:Last>
            <b:Middle>B.</b:Middle>
            <b:First>S.</b:First>
          </b:Person>
          <b:Person>
            <b:Last>Daugherty</b:Last>
            <b:Middle>J.</b:Middle>
            <b:First>P.</b:First>
          </b:Person>
        </b:NameList>
      </b:Author>
    </b:Author>
    <b:Volume>22</b:Volume>
    <b:Issue>1</b:Issue>
    <b:RefOrder>31</b:RefOrder>
  </b:Source>
  <b:Source>
    <b:Tag>Gar07</b:Tag>
    <b:SourceType>JournalArticle</b:SourceType>
    <b:Guid>{7E91642A-A1B8-4A36-81A9-A6BC53512A40}</b:Guid>
    <b:Title>Effects of Working Capital Management on SME Profitability</b:Title>
    <b:JournalName>International Journal of Managerial Finance</b:JournalName>
    <b:Year>2007</b:Year>
    <b:Pages>164-177</b:Pages>
    <b:Author>
      <b:Author>
        <b:NameList>
          <b:Person>
            <b:Last>Garcı´a-Terual</b:Last>
            <b:Middle>J.</b:Middle>
            <b:First>P. </b:First>
          </b:Person>
          <b:Person>
            <b:Last>Martı´nez-Solano</b:Last>
            <b:First>P.</b:First>
          </b:Person>
        </b:NameList>
      </b:Author>
    </b:Author>
    <b:Volume>3</b:Volume>
    <b:Issue>2</b:Issue>
    <b:RefOrder>32</b:RefOrder>
  </b:Source>
  <b:Source>
    <b:Tag>Boa85</b:Tag>
    <b:SourceType>JournalArticle</b:SourceType>
    <b:Guid>{85ECE453-3A9D-4217-9525-5923791E8FB2}</b:Guid>
    <b:Title>Defining Selling Terms: Economis of Delaying Payment - How Does Your Industry Compare?</b:Title>
    <b:JournalName>Credit &amp; Financial Management</b:JournalName>
    <b:Year>1985</b:Year>
    <b:Pages>31-33</b:Pages>
    <b:Author>
      <b:Author>
        <b:NameList>
          <b:Person>
            <b:Last>Boardman</b:Last>
            <b:Middle>M.</b:Middle>
            <b:First>C.</b:First>
          </b:Person>
          <b:Person>
            <b:Last>Ricci</b:Last>
            <b:Middle>J.</b:Middle>
            <b:First>K.</b:First>
          </b:Person>
        </b:NameList>
      </b:Author>
    </b:Author>
    <b:Volume>87</b:Volume>
    <b:Issue>3</b:Issue>
    <b:RefOrder>33</b:RefOrder>
  </b:Source>
  <b:Source>
    <b:Tag>Nob11</b:Tag>
    <b:SourceType>JournalArticle</b:SourceType>
    <b:Guid>{CFFE02EB-7609-4500-B0B4-664646802AEF}</b:Guid>
    <b:Title>Cash Conversion Cycle and Firm’s Performance of Japanese Firms</b:Title>
    <b:JournalName>Asian Review of Accounting</b:JournalName>
    <b:Year>2011</b:Year>
    <b:Pages>147-156</b:Pages>
    <b:Author>
      <b:Author>
        <b:NameList>
          <b:Person>
            <b:Last>Nobanee</b:Last>
            <b:First>H.</b:First>
          </b:Person>
          <b:Person>
            <b:Last>Abdullatif</b:Last>
            <b:First>M.</b:First>
          </b:Person>
          <b:Person>
            <b:Last>AlHajjar</b:Last>
            <b:First>M.</b:First>
          </b:Person>
        </b:NameList>
      </b:Author>
    </b:Author>
    <b:Volume>19</b:Volume>
    <b:Issue>1</b:Issue>
    <b:RefOrder>34</b:RefOrder>
  </b:Source>
  <b:Source>
    <b:Tag>Sae03</b:Tag>
    <b:SourceType>JournalArticle</b:SourceType>
    <b:Guid>{56743A8D-10AB-408F-BC9D-0BE196D8BD8D}</b:Guid>
    <b:Title>Cash–to–Cash Cycle Time Improvement Initiatives at Lexmark</b:Title>
    <b:JournalName>Donna Covington</b:JournalName>
    <b:Year>2003</b:Year>
    <b:Author>
      <b:Author>
        <b:NameList>
          <b:Person>
            <b:Last>Saenz</b:Last>
            <b:First>A.</b:First>
          </b:Person>
          <b:Person>
            <b:Last>Damodaran</b:Last>
            <b:First>B.</b:First>
          </b:Person>
          <b:Person>
            <b:Last>Wu</b:Last>
            <b:Middle>W.</b:Middle>
            <b:First>C.</b:First>
          </b:Person>
          <b:Person>
            <b:Last>Portzline</b:Last>
            <b:First>E.</b:First>
          </b:Person>
          <b:Person>
            <b:Last>Shim</b:Last>
            <b:First>J.</b:First>
          </b:Person>
          <b:Person>
            <b:Last>Keck</b:Last>
            <b:First>M.</b:First>
          </b:Person>
        </b:NameList>
      </b:Author>
    </b:Author>
    <b:RefOrder>35</b:RefOrder>
  </b:Source>
  <b:Source>
    <b:Tag>Far96</b:Tag>
    <b:SourceType>JournalArticle</b:SourceType>
    <b:Guid>{9FECC4D9-E91E-460B-8050-8590934E6E84}</b:Guid>
    <b:Title>Utilizing Inventory Flow Models with Suppliers</b:Title>
    <b:JournalName>Journal of Business Logistic</b:JournalName>
    <b:Year>1996</b:Year>
    <b:Pages>35-62</b:Pages>
    <b:Author>
      <b:Author>
        <b:NameList>
          <b:Person>
            <b:Last>Farris</b:Last>
            <b:First>II.</b:First>
          </b:Person>
        </b:NameList>
      </b:Author>
    </b:Author>
    <b:Volume>17</b:Volume>
    <b:Issue>1</b:Issue>
    <b:RefOrder>36</b:RefOrder>
  </b:Source>
  <b:Source>
    <b:Tag>Far02</b:Tag>
    <b:SourceType>JournalArticle</b:SourceType>
    <b:Guid>{B6F3CB68-2B0E-4A83-86CB-C555D175EAC4}</b:Guid>
    <b:Title>Cash-to-Cash: The New Supply Chain Managment Metric</b:Title>
    <b:JournalName>International Journal of Physical Distribution &amp; Logistics Management</b:JournalName>
    <b:Year>2002</b:Year>
    <b:Pages>288-298</b:Pages>
    <b:Author>
      <b:Author>
        <b:NameList>
          <b:Person>
            <b:Last>Farris</b:Last>
            <b:First>II.</b:First>
          </b:Person>
          <b:Person>
            <b:Last>Hutchison</b:Last>
            <b:First>P.</b:First>
          </b:Person>
        </b:NameList>
      </b:Author>
    </b:Author>
    <b:Volume>32</b:Volume>
    <b:Issue>4</b:Issue>
    <b:RefOrder>37</b:RefOrder>
  </b:Source>
  <b:Source>
    <b:Tag>Ozd09</b:Tag>
    <b:SourceType>JournalArticle</b:SourceType>
    <b:Guid>{F7E58918-12CE-4775-A42C-6B7FD3956AB4}</b:Guid>
    <b:Author>
      <b:Author>
        <b:NameList>
          <b:Person>
            <b:Last>Ozdagli</b:Last>
            <b:First>Ali</b:First>
            <b:Middle>K.</b:Middle>
          </b:Person>
        </b:NameList>
      </b:Author>
    </b:Author>
    <b:Title>Financial Leverage, Corporate Investment and Stock Return</b:Title>
    <b:JournalName>Unpublished Dissertation, University of Chicago</b:JournalName>
    <b:Year>2009</b:Year>
    <b:RefOrder>38</b:RefOrder>
  </b:Source>
  <b:Source>
    <b:Tag>Fis07</b:Tag>
    <b:SourceType>JournalArticle</b:SourceType>
    <b:Guid>{ED4A534F-A3AF-464D-B1F8-B9B48FBD1351}</b:Guid>
    <b:Author>
      <b:Author>
        <b:NameList>
          <b:Person>
            <b:Last>Fischer</b:Last>
            <b:First>Barbara</b:First>
          </b:Person>
        </b:NameList>
      </b:Author>
    </b:Author>
    <b:Title>The Relationship between Leadership, Strategic Planning and the Capital Structure of Cardinal Stritch University</b:Title>
    <b:JournalName>Unpublished Dissertation, Cardinal Stritch University</b:JournalName>
    <b:Year>2007</b:Year>
    <b:RefOrder>39</b:RefOrder>
  </b:Source>
  <b:Source>
    <b:Tag>Gil14</b:Tag>
    <b:SourceType>JournalArticle</b:SourceType>
    <b:Guid>{6521D852-2B3E-481F-B387-76A040BCCF75}</b:Guid>
    <b:Author>
      <b:Author>
        <b:NameList>
          <b:Person>
            <b:Last>Gill</b:Last>
            <b:First>Amarjit</b:First>
          </b:Person>
          <b:Person>
            <b:Last>Mathur</b:Last>
            <b:First>Neil</b:First>
          </b:Person>
        </b:NameList>
      </b:Author>
    </b:Author>
    <b:Title>Factors that Influence Financial Leverage of Canadian Firms</b:Title>
    <b:JournalName>ProQuest Central</b:JournalName>
    <b:Year>2014</b:Year>
    <b:RefOrder>40</b:RefOrder>
  </b:Source>
  <b:Source>
    <b:Tag>Mai10</b:Tag>
    <b:SourceType>JournalArticle</b:SourceType>
    <b:Guid>{7B88AE93-AB14-40B2-A5EA-2937C86CDF95}</b:Guid>
    <b:Author>
      <b:Author>
        <b:NameList>
          <b:Person>
            <b:Last>Maia</b:Last>
            <b:First>Marcelo</b:First>
            <b:Middle>V.</b:Middle>
          </b:Person>
        </b:NameList>
      </b:Author>
    </b:Author>
    <b:Title>Cash-Flow Risks, Financial Leverage and the Cross Section of Equity Returns</b:Title>
    <b:JournalName>Unpublished Dissertation, University of Pennsylvania</b:JournalName>
    <b:Year>2010</b:Year>
    <b:RefOrder>41</b:RefOrder>
  </b:Source>
  <b:Source>
    <b:Tag>Cha10</b:Tag>
    <b:SourceType>JournalArticle</b:SourceType>
    <b:Guid>{5D5FD264-685C-4D4A-BC42-528968F43BD2}</b:Guid>
    <b:Author>
      <b:Author>
        <b:NameList>
          <b:Person>
            <b:Last>Charitou</b:Last>
            <b:First>Melita</b:First>
            <b:Middle>Stephanou</b:Middle>
          </b:Person>
          <b:Person>
            <b:Last>Elfani</b:Last>
            <b:First>Maria</b:First>
          </b:Person>
          <b:Person>
            <b:Last>Lois</b:Last>
            <b:First>Petros</b:First>
          </b:Person>
        </b:NameList>
      </b:Author>
    </b:Author>
    <b:Title>The Effect of Working Capital Management on Firm’s Profitability: Empirical Evidence from Emerging Market</b:Title>
    <b:JournalName>Journal of Business &amp; Economic Research</b:JournalName>
    <b:Year>2010</b:Year>
    <b:Volume>8</b:Volume>
    <b:Issue>12</b:Issue>
    <b:RefOrder>42</b:RefOrder>
  </b:Source>
  <b:Source>
    <b:Tag>Fer11</b:Tag>
    <b:SourceType>JournalArticle</b:SourceType>
    <b:Guid>{1A464463-F30A-4333-8CBA-08B1771613E8}</b:Guid>
    <b:Author>
      <b:Author>
        <b:NameList>
          <b:Person>
            <b:Last>Ferrer</b:Last>
            <b:First>Rodiel</b:First>
            <b:Middle>C.</b:Middle>
          </b:Person>
          <b:Person>
            <b:Last>Salle</b:Last>
            <b:First>De</b:First>
            <b:Middle>La</b:Middle>
          </b:Person>
          <b:Person>
            <b:Last>Ferrer</b:Last>
            <b:First>Glenda</b:First>
            <b:Middle>J.</b:Middle>
          </b:Person>
        </b:NameList>
      </b:Author>
    </b:Author>
    <b:Title>Liquiditiy and Financial Leverage Ratios: Their Impact on Compliance with International Financial Reporting Standards</b:Title>
    <b:JournalName>Academy of Accounting and Financial Studies Journal</b:JournalName>
    <b:Year>2011</b:Year>
    <b:Volume>15</b:Volume>
    <b:Issue>1</b:Issue>
    <b:RefOrder>43</b:RefOrder>
  </b:Source>
  <b:Source>
    <b:Tag>Kim11</b:Tag>
    <b:SourceType>JournalArticle</b:SourceType>
    <b:Guid>{EFD6DC30-CEEE-476B-A6FB-DC69348DA1E3}</b:Guid>
    <b:Author>
      <b:Author>
        <b:NameList>
          <b:Person>
            <b:Last>Kim</b:Last>
            <b:First>Ryoonhee</b:First>
          </b:Person>
        </b:NameList>
      </b:Author>
    </b:Author>
    <b:Title>A Study on Capital Structure and Corporate Governance</b:Title>
    <b:JournalName>Unpublished Dissertation, University of Illinois</b:JournalName>
    <b:Year>2011</b:Year>
    <b:RefOrder>44</b:RefOrder>
  </b:Source>
  <b:Source>
    <b:Tag>Lus14</b:Tag>
    <b:SourceType>JournalArticle</b:SourceType>
    <b:Guid>{066BA680-61BA-4356-BE3C-657D5168093B}</b:Guid>
    <b:Author>
      <b:Author>
        <b:NameList>
          <b:Person>
            <b:Last>Lusch</b:Last>
            <b:First>Stephen</b:First>
            <b:Middle>John</b:Middle>
          </b:Person>
        </b:NameList>
      </b:Author>
    </b:Author>
    <b:Title>The Impact of Financial Constraints on the Relation Between Investor-Level Taxes and Capital Structure Dec</b:Title>
    <b:JournalName>Unpublished Dissertation, University of Arizona</b:JournalName>
    <b:Year>2014</b:Year>
    <b:RefOrder>45</b:RefOrder>
  </b:Source>
  <b:Source>
    <b:Tag>Alh10</b:Tag>
    <b:SourceType>JournalArticle</b:SourceType>
    <b:Guid>{3D85B427-B77B-48C6-98C8-0E6911F75068}</b:Guid>
    <b:Author>
      <b:Author>
        <b:NameList>
          <b:Person>
            <b:Last>Alhenawi</b:Last>
            <b:First>Yasser</b:First>
          </b:Person>
        </b:NameList>
      </b:Author>
    </b:Author>
    <b:Title>Essay on the Persistence of Corporate Diversification Discount after Merger and Acquisition Transactions; Essay on the Capital Structure Properties of Real Estate Investment Trusts (REITs)</b:Title>
    <b:JournalName>Unpublished Dissertation, University of New Orleans</b:JournalName>
    <b:Year>2010</b:Year>
    <b:RefOrder>46</b:RefOrder>
  </b:Source>
  <b:Source>
    <b:Tag>Zub14</b:Tag>
    <b:SourceType>JournalArticle</b:SourceType>
    <b:Guid>{C00F6747-4E58-44CC-93E9-46A45147B8B8}</b:Guid>
    <b:Author>
      <b:Author>
        <b:NameList>
          <b:Person>
            <b:Last>Zubairi</b:Last>
            <b:First>Hamid</b:First>
            <b:Middle>Jamal</b:Middle>
          </b:Person>
        </b:NameList>
      </b:Author>
    </b:Author>
    <b:Title>Impact of Working Capital Management and Capital Structure on Profitability of Automobile Firms in Pakistan</b:Title>
    <b:JournalName>Social Science Research Network</b:JournalName>
    <b:Year>2014</b:Year>
    <b:RefOrder>47</b:RefOrder>
  </b:Source>
  <b:Source>
    <b:Tag>The02</b:Tag>
    <b:SourceType>JournalArticle</b:SourceType>
    <b:Guid>{025387EF-CEEB-46B3-A0E1-8BADC39EBD61}</b:Guid>
    <b:Author>
      <b:Author>
        <b:NameList>
          <b:Person>
            <b:Last>Theodore</b:Last>
            <b:First>M.</b:First>
            <b:Middle>Farris II</b:Middle>
          </b:Person>
          <b:Person>
            <b:Last>Paul</b:Last>
            <b:First>D.</b:First>
            <b:Middle>Hutchison</b:Middle>
          </b:Person>
        </b:NameList>
      </b:Author>
    </b:Author>
    <b:Title>Cash-to-Cash : the New Supply Chain Management Metric</b:Title>
    <b:JournalName>International Journal of Phesical Distribution &amp; Logistics Management</b:JournalName>
    <b:Year>2002</b:Year>
    <b:Pages>288 - 298</b:Pages>
    <b:Volume>32</b:Volume>
    <b:Issue>4</b:Issue>
    <b:RefOrder>48</b:RefOrder>
  </b:Source>
  <b:Source>
    <b:Tag>Lum01</b:Tag>
    <b:SourceType>JournalArticle</b:SourceType>
    <b:Guid>{86698229-E3CB-4521-9D6F-B1C24B00590A}</b:Guid>
    <b:Title>The Relationship of Logistics to Supply Chain Management: Developing a Common Industry Definition</b:Title>
    <b:Year>2001</b:Year>
    <b:Author>
      <b:Author>
        <b:NameList>
          <b:Person>
            <b:Last>Lummus</b:Last>
            <b:First>R. R.</b:First>
          </b:Person>
          <b:Person>
            <b:Last>Krumwiede</b:Last>
            <b:First>D. W.</b:First>
          </b:Person>
          <b:Person>
            <b:Last>Vokurka</b:Last>
            <b:Middle>J.</b:Middle>
            <b:First>R.</b:First>
          </b:Person>
        </b:NameList>
      </b:Author>
    </b:Author>
    <b:JournalName>Industrial Management and Data Systems</b:JournalName>
    <b:Pages>426-431</b:Pages>
    <b:Volume>101</b:Volume>
    <b:Issue>8</b:Issue>
    <b:RefOrder>49</b:RefOrder>
  </b:Source>
  <b:Source>
    <b:Tag>Cox99</b:Tag>
    <b:SourceType>JournalArticle</b:SourceType>
    <b:Guid>{FC1DE02A-1969-4D98-ACDD-571169041CDA}</b:Guid>
    <b:Title>Power, Value and Supply Chain Management</b:Title>
    <b:JournalName>Supply Chain Management: an International Journal</b:JournalName>
    <b:Year>1999</b:Year>
    <b:Pages>167-175</b:Pages>
    <b:Author>
      <b:Author>
        <b:NameList>
          <b:Person>
            <b:Last>Cox</b:Last>
            <b:First>A.</b:First>
          </b:Person>
        </b:NameList>
      </b:Author>
    </b:Author>
    <b:Volume>4</b:Volume>
    <b:Issue>4</b:Issue>
    <b:RefOrder>50</b:RefOrder>
  </b:Source>
  <b:Source>
    <b:Tag>Nob97</b:Tag>
    <b:SourceType>JournalArticle</b:SourceType>
    <b:Guid>{0A518C99-3D1B-48E4-85E5-CE857155081A}</b:Guid>
    <b:Title>Purchasing and Supplier Management as a Future Competitive Edge</b:Title>
    <b:JournalName>Logistics Focus</b:JournalName>
    <b:Year>1997</b:Year>
    <b:Pages>23-27</b:Pages>
    <b:Author>
      <b:Author>
        <b:NameList>
          <b:Person>
            <b:Last>Noble</b:Last>
            <b:First>D.</b:First>
          </b:Person>
        </b:NameList>
      </b:Author>
    </b:Author>
    <b:Volume>5</b:Volume>
    <b:Issue>5</b:Issue>
    <b:RefOrder>51</b:RefOrder>
  </b:Source>
  <b:Source>
    <b:Tag>Spe98</b:Tag>
    <b:SourceType>JournalArticle</b:SourceType>
    <b:Guid>{89BF313B-C940-445D-BE7F-9DC90F832803}</b:Guid>
    <b:Title>An Empirical Investigation into Supply Chain Management: a Perspective on Partnerships</b:Title>
    <b:JournalName>Supply Chain Management</b:JournalName>
    <b:Year>1998</b:Year>
    <b:Pages>53-67</b:Pages>
    <b:Author>
      <b:Author>
        <b:NameList>
          <b:Person>
            <b:Last>Spekman</b:Last>
            <b:First>R. E.</b:First>
          </b:Person>
          <b:Person>
            <b:Last>Kamauff</b:Last>
            <b:First>J. W. Jr</b:First>
          </b:Person>
          <b:Person>
            <b:Last>Myhr</b:Last>
            <b:First>N.</b:First>
          </b:Person>
        </b:NameList>
      </b:Author>
    </b:Author>
    <b:Volume>3</b:Volume>
    <b:Issue>2</b:Issue>
    <b:RefOrder>52</b:RefOrder>
  </b:Source>
  <b:Source>
    <b:Tag>OCo99</b:Tag>
    <b:SourceType>JournalArticle</b:SourceType>
    <b:Guid>{60BA3EB6-B0BF-44C7-98B3-D6146CB4E194}</b:Guid>
    <b:Title>Streamlining Supply Chain Management Processes</b:Title>
    <b:JournalName>Document World</b:JournalName>
    <b:Year>1999</b:Year>
    <b:Pages>40-42</b:Pages>
    <b:Author>
      <b:Author>
        <b:NameList>
          <b:Person>
            <b:Last>O’Connell</b:Last>
            <b:First>J.</b:First>
          </b:Person>
        </b:NameList>
      </b:Author>
    </b:Author>
    <b:Volume>41</b:Volume>
    <b:Issue>1</b:Issue>
    <b:RefOrder>53</b:RefOrder>
  </b:Source>
  <b:Source>
    <b:Tag>Cro00</b:Tag>
    <b:SourceType>JournalArticle</b:SourceType>
    <b:Guid>{E84A0389-459A-409E-9F81-15B81C0B9EC6}</b:Guid>
    <b:Title>Supply Chain Management: an Analytical Framework for Critical Literature Review</b:Title>
    <b:JournalName>European Journal of Purchasing and Supply Management</b:JournalName>
    <b:Year>2000</b:Year>
    <b:Pages>67-83</b:Pages>
    <b:Author>
      <b:Author>
        <b:NameList>
          <b:Person>
            <b:Last>Croom</b:Last>
            <b:First>S.</b:First>
          </b:Person>
          <b:Person>
            <b:Last>Romano</b:Last>
            <b:First>P.</b:First>
          </b:Person>
          <b:Person>
            <b:Last>Giannakis</b:Last>
            <b:First>M.</b:First>
          </b:Person>
        </b:NameList>
      </b:Author>
    </b:Author>
    <b:Volume>6</b:Volume>
    <b:RefOrder>54</b:RefOrder>
  </b:Source>
  <b:Source>
    <b:Tag>Tan98</b:Tag>
    <b:SourceType>JournalArticle</b:SourceType>
    <b:Guid>{2240BE60-6C05-4EDD-80D4-78BF93B8F32A}</b:Guid>
    <b:Title>Supply Chain Management: Supplier Performance and Firm Performance</b:Title>
    <b:JournalName>International Journal of Purchasing and Materials Management</b:JournalName>
    <b:Year>1998</b:Year>
    <b:Pages>2-9</b:Pages>
    <b:Author>
      <b:Author>
        <b:NameList>
          <b:Person>
            <b:Last>Tan</b:Last>
            <b:First>K. C.</b:First>
          </b:Person>
          <b:Person>
            <b:Last>Kannan</b:Last>
            <b:First>V. R.</b:First>
          </b:Person>
          <b:Person>
            <b:Last>Handfield</b:Last>
            <b:First>R. B.</b:First>
          </b:Person>
        </b:NameList>
      </b:Author>
    </b:Author>
    <b:Volume>34</b:Volume>
    <b:Issue>3</b:Issue>
    <b:RefOrder>55</b:RefOrder>
  </b:Source>
  <b:Source>
    <b:Tag>Van98</b:Tag>
    <b:SourceType>JournalArticle</b:SourceType>
    <b:Guid>{FE9948C4-86CA-446B-A829-1559F4F3B313}</b:Guid>
    <b:Title>Measuring the Unmeasurable - Measuring and Improving Performance in the Supply Chain</b:Title>
    <b:JournalName>Supply Chain Management</b:JournalName>
    <b:Year>1998</b:Year>
    <b:Pages>187-192</b:Pages>
    <b:Author>
      <b:Author>
        <b:NameList>
          <b:Person>
            <b:Last>Van Hoek</b:Last>
            <b:First>R. I.</b:First>
          </b:Person>
        </b:NameList>
      </b:Author>
    </b:Author>
    <b:Volume>3</b:Volume>
    <b:Issue>4</b:Issue>
    <b:RefOrder>56</b:RefOrder>
  </b:Source>
  <b:Source>
    <b:Tag>Bal96</b:Tag>
    <b:SourceType>JournalArticle</b:SourceType>
    <b:Guid>{CBFD6F93-A205-430B-A1D9-9CB75613D869}</b:Guid>
    <b:Title>Supply Chain Management: a Time-Based Strategy</b:Title>
    <b:JournalName>Industrial Management</b:JournalName>
    <b:Year>1996</b:Year>
    <b:Pages>24-27</b:Pages>
    <b:Author>
      <b:Author>
        <b:NameList>
          <b:Person>
            <b:Last>Balsmeier</b:Last>
            <b:First>P. W.</b:First>
          </b:Person>
          <b:Person>
            <b:Last>Voisin</b:Last>
            <b:First>W.</b:First>
          </b:Person>
        </b:NameList>
      </b:Author>
    </b:Author>
    <b:Volume>38</b:Volume>
    <b:Issue>5</b:Issue>
    <b:RefOrder>57</b:RefOrder>
  </b:Source>
  <b:Source>
    <b:Tag>Sen96</b:Tag>
    <b:SourceType>JournalArticle</b:SourceType>
    <b:Guid>{4A97ACA4-233D-44AD-B094-A27ACA52A109}</b:Guid>
    <b:Title>Seamless Optimization of the Entire Supply Chain</b:Title>
    <b:JournalName>HE Solutions</b:JournalName>
    <b:Year>1996</b:Year>
    <b:Pages>28-33</b:Pages>
    <b:Author>
      <b:Author>
        <b:NameList>
          <b:Person>
            <b:Last>Sengupta</b:Last>
            <b:First>S.</b:First>
          </b:Person>
          <b:Person>
            <b:Last>Turnbull</b:Last>
            <b:First>J.</b:First>
          </b:Person>
        </b:NameList>
      </b:Author>
    </b:Author>
    <b:Volume>28</b:Volume>
    <b:Issue>10</b:Issue>
    <b:RefOrder>58</b:RefOrder>
  </b:Source>
  <b:Source>
    <b:Tag>Pat95</b:Tag>
    <b:SourceType>JournalArticle</b:SourceType>
    <b:Guid>{63B013FB-0D69-4058-BB75-97AEC3C3D38A}</b:Guid>
    <b:Title>Adding Value by Managing Supply Chain Activities</b:Title>
    <b:JournalName>Marketing News</b:JournalName>
    <b:Year>1995</b:Year>
    <b:Pages>6</b:Pages>
    <b:Author>
      <b:Author>
        <b:NameList>
          <b:Person>
            <b:Last>Patterson</b:Last>
            <b:First>J.</b:First>
          </b:Person>
        </b:NameList>
      </b:Author>
    </b:Author>
    <b:Volume>29</b:Volume>
    <b:Issue>15</b:Issue>
    <b:RefOrder>59</b:RefOrder>
  </b:Source>
  <b:Source>
    <b:Tag>Pra01</b:Tag>
    <b:SourceType>JournalArticle</b:SourceType>
    <b:Guid>{F027FB0A-AE81-410D-8A87-26490A9E6C13}</b:Guid>
    <b:Title>International Supply Chain Agility: Tradeoffs Between Flexibility and Uncertainty</b:Title>
    <b:JournalName>International Journal of Operations and Production Management</b:JournalName>
    <b:Year>2001</b:Year>
    <b:Pages>823-839</b:Pages>
    <b:Author>
      <b:Author>
        <b:NameList>
          <b:Person>
            <b:Last>Prater</b:Last>
            <b:First>E.</b:First>
          </b:Person>
          <b:Person>
            <b:Last>Biehl</b:Last>
            <b:First>M.</b:First>
          </b:Person>
          <b:Person>
            <b:Last>Smith</b:Last>
            <b:First>M. A.</b:First>
          </b:Person>
        </b:NameList>
      </b:Author>
    </b:Author>
    <b:Volume>21</b:Volume>
    <b:Issue>6</b:Issue>
    <b:RefOrder>60</b:RefOrder>
  </b:Source>
  <b:Source>
    <b:Tag>Jon98</b:Tag>
    <b:SourceType>JournalArticle</b:SourceType>
    <b:Guid>{81093D56-AED5-47F0-A62A-6A080F2E1162}</b:Guid>
    <b:Title>Moving beyond ERP: Making the Missing Link</b:Title>
    <b:JournalName>Logistics Focus</b:JournalName>
    <b:Year>1998</b:Year>
    <b:Pages>2-7</b:Pages>
    <b:Author>
      <b:Author>
        <b:NameList>
          <b:Person>
            <b:Last>Jones</b:Last>
            <b:First>C.</b:First>
          </b:Person>
        </b:NameList>
      </b:Author>
    </b:Author>
    <b:Volume>6</b:Volume>
    <b:Issue>7</b:Issue>
    <b:RefOrder>61</b:RefOrder>
  </b:Source>
  <b:Source>
    <b:Tag>Tan01</b:Tag>
    <b:SourceType>JournalArticle</b:SourceType>
    <b:Guid>{89AD2BE4-3F8E-442F-B7AF-50B8C8FF3C1D}</b:Guid>
    <b:Title>A Framework of Supply Chain Management Literature</b:Title>
    <b:JournalName>European Journal of Purchasing and Supply Management</b:JournalName>
    <b:Year>2001</b:Year>
    <b:Pages>39-48</b:Pages>
    <b:Author>
      <b:Author>
        <b:NameList>
          <b:Person>
            <b:Last>Tan</b:Last>
            <b:First>K. C.</b:First>
          </b:Person>
        </b:NameList>
      </b:Author>
    </b:Author>
    <b:Volume>7</b:Volume>
    <b:Issue>1</b:Issue>
    <b:RefOrder>62</b:RefOrder>
  </b:Source>
  <b:Source>
    <b:Tag>Sla98</b:Tag>
    <b:SourceType>Book</b:SourceType>
    <b:Guid>{3BCFBC51-BDCA-4E21-A783-3AB6F213995E}</b:Guid>
    <b:Title>Operations Management</b:Title>
    <b:Year>1998</b:Year>
    <b:City>London</b:City>
    <b:Publisher>Pitman Publishing</b:Publisher>
    <b:Author>
      <b:Author>
        <b:NameList>
          <b:Person>
            <b:Last>Slack</b:Last>
            <b:First>N.</b:First>
          </b:Person>
          <b:Person>
            <b:Last>Harland</b:Last>
            <b:First>C. M.</b:First>
          </b:Person>
          <b:Person>
            <b:Last>Chamber</b:Last>
            <b:First>S.</b:First>
          </b:Person>
          <b:Person>
            <b:Last>Harrison</b:Last>
            <b:First>A.</b:First>
          </b:Person>
          <b:Person>
            <b:Last>Johnston</b:Last>
            <b:First>R.</b:First>
          </b:Person>
        </b:NameList>
      </b:Author>
    </b:Author>
    <b:RefOrder>63</b:RefOrder>
  </b:Source>
  <b:Source>
    <b:Tag>Rom01</b:Tag>
    <b:SourceType>JournalArticle</b:SourceType>
    <b:Guid>{AFD6833C-21FA-4729-89DD-6537F73CAFF0}</b:Guid>
    <b:Title>Quality Management in a Supply Chain Perspective: Strategic and Operative Choices in a Textile-Apparel Network</b:Title>
    <b:Year>2001</b:Year>
    <b:JournalName>International Journal of Operations and Production Management</b:JournalName>
    <b:Pages>446-460</b:Pages>
    <b:Author>
      <b:Author>
        <b:NameList>
          <b:Person>
            <b:Last>Romano</b:Last>
            <b:First>P.</b:First>
          </b:Person>
          <b:Person>
            <b:Last>Vinelli</b:Last>
            <b:First>A.</b:First>
          </b:Person>
        </b:NameList>
      </b:Author>
    </b:Author>
    <b:Volume>21</b:Volume>
    <b:Issue>4</b:Issue>
    <b:RefOrder>64</b:RefOrder>
  </b:Source>
  <b:Source>
    <b:Tag>Hou88</b:Tag>
    <b:SourceType>JournalArticle</b:SourceType>
    <b:Guid>{890136DC-DA71-4F7F-AB96-09F2A3E6F83F}</b:Guid>
    <b:Title>International Supply Chains: a New Approach</b:Title>
    <b:JournalName>Management Decision</b:JournalName>
    <b:Year>1988</b:Year>
    <b:Pages>13-19</b:Pages>
    <b:Author>
      <b:Author>
        <b:NameList>
          <b:Person>
            <b:Last>Houlihan</b:Last>
            <b:First>J. B.</b:First>
          </b:Person>
        </b:NameList>
      </b:Author>
    </b:Author>
    <b:Volume>26</b:Volume>
    <b:Issue>3</b:Issue>
    <b:RefOrder>65</b:RefOrder>
  </b:Source>
  <b:Source>
    <b:Tag>Jon85</b:Tag>
    <b:SourceType>JournalArticle</b:SourceType>
    <b:Guid>{6863D239-E7F4-41A5-A5F3-7A5C72A47A0F}</b:Guid>
    <b:Title>Using Inventory for Competitive Advantage through Supply Chain Management</b:Title>
    <b:JournalName>International Journal of Physical Distribution and Materials Management</b:JournalName>
    <b:Year>1985</b:Year>
    <b:Pages>16-26</b:Pages>
    <b:Author>
      <b:Author>
        <b:NameList>
          <b:Person>
            <b:Last>Jones</b:Last>
            <b:First>T. C.</b:First>
          </b:Person>
          <b:Person>
            <b:Last>Riley</b:Last>
            <b:First>D. W.</b:First>
          </b:Person>
        </b:NameList>
      </b:Author>
    </b:Author>
    <b:Volume>15</b:Volume>
    <b:Issue>5</b:Issue>
    <b:RefOrder>66</b:RefOrder>
  </b:Source>
  <b:Source>
    <b:Tag>Ste89</b:Tag>
    <b:SourceType>JournalArticle</b:SourceType>
    <b:Guid>{F479B930-A68A-4671-824E-05D33FBB17E0}</b:Guid>
    <b:Title>Integrating the Supply Chain</b:Title>
    <b:JournalName>International Journal of Physical Distribution and Materials Management</b:JournalName>
    <b:Year>1989</b:Year>
    <b:Pages>3-8</b:Pages>
    <b:Author>
      <b:Author>
        <b:NameList>
          <b:Person>
            <b:Last>Stevens</b:Last>
            <b:First>G. C.</b:First>
          </b:Person>
        </b:NameList>
      </b:Author>
    </b:Author>
    <b:Volume>19</b:Volume>
    <b:Issue>8</b:Issue>
    <b:RefOrder>67</b:RefOrder>
  </b:Source>
  <b:Source>
    <b:Tag>Ell91</b:Tag>
    <b:SourceType>JournalArticle</b:SourceType>
    <b:Guid>{527F90F6-D45A-47DE-AEF9-1951CDE97105}</b:Guid>
    <b:Title>Supply Chain Management: the Industrial Organization Perspective</b:Title>
    <b:JournalName>International Journal of Physical Distribution and Logical Management</b:JournalName>
    <b:Year>1991</b:Year>
    <b:Pages>13-22</b:Pages>
    <b:Author>
      <b:Author>
        <b:NameList>
          <b:Person>
            <b:Last>Ellram</b:Last>
            <b:First>L. M.</b:First>
          </b:Person>
        </b:NameList>
      </b:Author>
    </b:Author>
    <b:Volume>21</b:Volume>
    <b:Issue>1</b:Issue>
    <b:RefOrder>68</b:RefOrder>
  </b:Source>
  <b:Source>
    <b:Tag>Tho96</b:Tag>
    <b:SourceType>JournalArticle</b:SourceType>
    <b:Guid>{6216F8F0-85CE-4F1F-B85F-BA0573872722}</b:Guid>
    <b:Title>Coordinated Supply Chain Management</b:Title>
    <b:JournalName>European Journal of operational Research</b:JournalName>
    <b:Year>1996</b:Year>
    <b:Pages>1-15</b:Pages>
    <b:Author>
      <b:Author>
        <b:NameList>
          <b:Person>
            <b:Last>Thomas</b:Last>
            <b:First>D.</b:First>
          </b:Person>
          <b:Person>
            <b:Last>Griffin</b:Last>
            <b:First>P. M.</b:First>
          </b:Person>
        </b:NameList>
      </b:Author>
    </b:Author>
    <b:Volume>94</b:Volume>
    <b:Issue>1</b:Issue>
    <b:RefOrder>69</b:RefOrder>
  </b:Source>
  <b:Source>
    <b:Tag>Chr00</b:Tag>
    <b:SourceType>JournalArticle</b:SourceType>
    <b:Guid>{69342081-13DD-46B4-AC07-40EDC9CEC471}</b:Guid>
    <b:Title>Developing Strategic Partnership in the Supply Chain: a Practitioner Perspective</b:Title>
    <b:JournalName>European Journal of Purchasing and Supply Management</b:JournalName>
    <b:Year>2000</b:Year>
    <b:Pages>117-127</b:Pages>
    <b:Author>
      <b:Author>
        <b:NameList>
          <b:Person>
            <b:Last>Christopher</b:Last>
            <b:First>M.</b:First>
          </b:Person>
          <b:Person>
            <b:Last>Juttner</b:Last>
            <b:First>U.</b:First>
          </b:Person>
        </b:NameList>
      </b:Author>
    </b:Author>
    <b:Volume>6</b:Volume>
    <b:Issue>2</b:Issue>
    <b:RefOrder>70</b:RefOrder>
  </b:Source>
  <b:Source>
    <b:Tag>New95</b:Tag>
    <b:SourceType>JournalArticle</b:SourceType>
    <b:Guid>{29595333-BEC2-4829-AB58-917F05425317}</b:Guid>
    <b:Title>Research Framework in Logistics: Three Models, Seven Dinners and a Survey</b:Title>
    <b:JournalName>International Journal of Physical Distribution and Logistics Management</b:JournalName>
    <b:Year>1995</b:Year>
    <b:Pages>60-77</b:Pages>
    <b:Author>
      <b:Author>
        <b:NameList>
          <b:Person>
            <b:Last>New</b:Last>
            <b:First>S. J.</b:First>
          </b:Person>
          <b:Person>
            <b:Last>Payne</b:Last>
            <b:First>P.</b:First>
          </b:Person>
        </b:NameList>
      </b:Author>
    </b:Author>
    <b:Volume>25</b:Volume>
    <b:Issue>10</b:Issue>
    <b:RefOrder>71</b:RefOrder>
  </b:Source>
  <b:Source>
    <b:Tag>Sco91</b:Tag>
    <b:SourceType>JournalArticle</b:SourceType>
    <b:Guid>{B5FA9454-AF08-4F49-80B4-4F463016EF3C}</b:Guid>
    <b:Title>New Strategic Tools for Supply Chain Management</b:Title>
    <b:JournalName>International Journal of Physical Distribution and Logical Management</b:JournalName>
    <b:Year>1991</b:Year>
    <b:Pages>23-33</b:Pages>
    <b:Author>
      <b:Author>
        <b:NameList>
          <b:Person>
            <b:Last>Scott</b:Last>
            <b:First>C.</b:First>
          </b:Person>
          <b:Person>
            <b:Last>Westbrook</b:Last>
            <b:First>R.</b:First>
          </b:Person>
        </b:NameList>
      </b:Author>
    </b:Author>
    <b:Volume>21</b:Volume>
    <b:Issue>1</b:Issue>
    <b:RefOrder>72</b:RefOrder>
  </b:Source>
  <b:Source>
    <b:Tag>Lee92</b:Tag>
    <b:SourceType>JournalArticle</b:SourceType>
    <b:Guid>{90460808-0764-4CAC-A3B3-B9C9FCDC429F}</b:Guid>
    <b:Title>Managing Supply Chain Inventories: Pitfalls and Opportunities</b:Title>
    <b:JournalName>Sloan Management Review, Spring</b:JournalName>
    <b:Year>1992</b:Year>
    <b:Pages>65-73</b:Pages>
    <b:Author>
      <b:Author>
        <b:NameList>
          <b:Person>
            <b:Last>Lee</b:Last>
            <b:First>H.</b:First>
          </b:Person>
          <b:Person>
            <b:Last>Billington</b:Last>
            <b:First>C.</b:First>
          </b:Person>
        </b:NameList>
      </b:Author>
    </b:Author>
    <b:Volume>33</b:Volume>
    <b:Issue>3</b:Issue>
    <b:RefOrder>73</b:RefOrder>
  </b:Source>
  <b:Source>
    <b:Tag>Sau94</b:Tag>
    <b:SourceType>Book</b:SourceType>
    <b:Guid>{5F474422-2E60-4AB6-9C17-0887DFB12640}</b:Guid>
    <b:Title>Strategic Purchasing and Supply Chain Management</b:Title>
    <b:Year>1994</b:Year>
    <b:Author>
      <b:Author>
        <b:NameList>
          <b:Person>
            <b:Last>Saunders</b:Last>
            <b:First>M.</b:First>
          </b:Person>
        </b:NameList>
      </b:Author>
    </b:Author>
    <b:City>London, UK</b:City>
    <b:Publisher>Pitman</b:Publisher>
    <b:RefOrder>74</b:RefOrder>
  </b:Source>
  <b:Source>
    <b:Tag>Nar01</b:Tag>
    <b:SourceType>JournalArticle</b:SourceType>
    <b:Guid>{D35504E9-49BF-4E87-BD59-D745FA9207C7}</b:Guid>
    <b:Title>Information System Utilization Strategy for Supply Chain Integration</b:Title>
    <b:Year>2001</b:Year>
    <b:Author>
      <b:Author>
        <b:NameList>
          <b:Person>
            <b:Last>Narasimhan</b:Last>
            <b:First>R.</b:First>
          </b:Person>
          <b:Person>
            <b:Last>Kim</b:Last>
            <b:First>S. W.</b:First>
          </b:Person>
        </b:NameList>
      </b:Author>
    </b:Author>
    <b:JournalName>Journal of Business Logistics</b:JournalName>
    <b:Pages>51-76</b:Pages>
    <b:Volume>22</b:Volume>
    <b:Issue>2</b:Issue>
    <b:RefOrder>75</b:RefOrder>
  </b:Source>
  <b:Source>
    <b:Tag>Vok00</b:Tag>
    <b:SourceType>JournalArticle</b:SourceType>
    <b:Guid>{4ABD97F8-BBCB-4CA5-846A-62DEF9125693}</b:Guid>
    <b:Title>The Role of Just-in-Time in Supply Chain Management</b:Title>
    <b:JournalName>International Journal of Logistics Management</b:JournalName>
    <b:Year>2000</b:Year>
    <b:Pages>89-98</b:Pages>
    <b:Author>
      <b:Author>
        <b:NameList>
          <b:Person>
            <b:Last>Vokurka</b:Last>
            <b:First>R. J.</b:First>
          </b:Person>
          <b:Person>
            <b:Last>Lummus</b:Last>
            <b:First>R. R.</b:First>
          </b:Person>
        </b:NameList>
      </b:Author>
    </b:Author>
    <b:Volume>11</b:Volume>
    <b:Issue>1</b:Issue>
    <b:RefOrder>76</b:RefOrder>
  </b:Source>
  <b:Source>
    <b:Tag>Sim00</b:Tag>
    <b:SourceType>Book</b:SourceType>
    <b:Guid>{2A34D94E-EA5E-4C2A-8465-724F2CE93D2C}</b:Guid>
    <b:Title>Designing and Managing the Supply Chain</b:Title>
    <b:Year>2000</b:Year>
    <b:Author>
      <b:Author>
        <b:NameList>
          <b:Person>
            <b:Last>Simchi-Levi</b:Last>
            <b:First>D.</b:First>
          </b:Person>
          <b:Person>
            <b:Last>Kaminsky</b:Last>
            <b:First>P.</b:First>
          </b:Person>
          <b:Person>
            <b:Last>Simchi-Levi</b:Last>
            <b:First>E.</b:First>
          </b:Person>
        </b:NameList>
      </b:Author>
    </b:Author>
    <b:City>New York</b:City>
    <b:Publisher>Irwin/McGraw-Hill</b:Publisher>
    <b:RefOrder>77</b:RefOrder>
  </b:Source>
  <b:Source>
    <b:Tag>Vic99</b:Tag>
    <b:SourceType>JournalArticle</b:SourceType>
    <b:Guid>{F04A0245-00C0-4C93-ACDE-E84CC8816F18}</b:Guid>
    <b:Title>Supply Chain Flexibility: an Empirical Study</b:Title>
    <b:Year>1999</b:Year>
    <b:Author>
      <b:Author>
        <b:NameList>
          <b:Person>
            <b:Last>Vickery</b:Last>
            <b:First>S.</b:First>
          </b:Person>
          <b:Person>
            <b:Last>Calantone</b:Last>
            <b:First>R.</b:First>
          </b:Person>
          <b:Person>
            <b:Last>Droge</b:Last>
            <b:First>C.</b:First>
          </b:Person>
        </b:NameList>
      </b:Author>
    </b:Author>
    <b:JournalName>The Journal of Supply Chain Management</b:JournalName>
    <b:Pages>16-24</b:Pages>
    <b:Volume>35</b:Volume>
    <b:Issue>3</b:Issue>
    <b:RefOrder>78</b:RefOrder>
  </b:Source>
  <b:Source>
    <b:Tag>Alv01</b:Tag>
    <b:SourceType>JournalArticle</b:SourceType>
    <b:Guid>{E30D7875-0F91-490F-8D1A-3B6AD9B4DEB2}</b:Guid>
    <b:Title>Supply Chain Management: the Integration of Logistics in Marketing</b:Title>
    <b:JournalName>Industrial Marketing Management</b:JournalName>
    <b:Year>2001</b:Year>
    <b:Pages>183-198</b:Pages>
    <b:Author>
      <b:Author>
        <b:NameList>
          <b:Person>
            <b:Last>Alvarado</b:Last>
            <b:First>U. Y.</b:First>
          </b:Person>
          <b:Person>
            <b:Last>Kotzab</b:Last>
            <b:First>H.</b:First>
          </b:Person>
        </b:NameList>
      </b:Author>
    </b:Author>
    <b:Volume>30</b:Volume>
    <b:RefOrder>79</b:RefOrder>
  </b:Source>
  <b:Source>
    <b:Tag>Cou98</b:Tag>
    <b:SourceType>Book</b:SourceType>
    <b:Guid>{0BE0C0E5-CA7F-4602-8BA6-CCA956D384DF}</b:Guid>
    <b:Title>What It’s All About</b:Title>
    <b:Year>1998</b:Year>
    <b:Author>
      <b:Author>
        <b:NameList>
          <b:Person>
            <b:Last>Council of Logistics Management (CLM)</b:Last>
          </b:Person>
        </b:NameList>
      </b:Author>
    </b:Author>
    <b:City>IL</b:City>
    <b:Publisher>Oak Brook</b:Publisher>
    <b:Volume>4</b:Volume>
    <b:NumberVolumes>6</b:NumberVolumes>
    <b:RefOrder>80</b:RefOrder>
  </b:Source>
  <b:Source>
    <b:Tag>Men99</b:Tag>
    <b:SourceType>BookSection</b:SourceType>
    <b:Guid>{55256925-3F19-42C9-862D-88E10C44D662}</b:Guid>
    <b:Title>Supplier Partnering</b:Title>
    <b:Year>1999</b:Year>
    <b:City>Thousand Oaks, CA</b:City>
    <b:Publisher>Sage Publication, Inc.</b:Publisher>
    <b:BookTitle>Handbook of Relationship Marketing</b:BookTitle>
    <b:Pages>457-477</b:Pages>
    <b:Author>
      <b:Author>
        <b:NameList>
          <b:Person>
            <b:Last>Mentzer</b:Last>
            <b:First>J. T.</b:First>
          </b:Person>
        </b:NameList>
      </b:Author>
      <b:BookAuthor>
        <b:NameList>
          <b:Person>
            <b:Last>Jagdish</b:Last>
            <b:First>N.</b:First>
          </b:Person>
          <b:Person>
            <b:Last>Sheth</b:Last>
          </b:Person>
          <b:Person>
            <b:Last>Atul</b:Last>
            <b:First>Parvatiyar</b:First>
          </b:Person>
        </b:NameList>
      </b:BookAuthor>
    </b:Author>
    <b:RefOrder>81</b:RefOrder>
  </b:Source>
  <b:Source>
    <b:Tag>Men001</b:Tag>
    <b:SourceType>JournalArticle</b:SourceType>
    <b:Guid>{4A89EA84-0353-4809-818B-ACD282AF59A3}</b:Guid>
    <b:Title>The Nature of Interfirm Partnering in Supply Chain Management</b:Title>
    <b:Year>2000</b:Year>
    <b:Pages>549-568</b:Pages>
    <b:Author>
      <b:Author>
        <b:NameList>
          <b:Person>
            <b:Last>Mentzer</b:Last>
            <b:First>J. T.</b:First>
          </b:Person>
          <b:Person>
            <b:Last>Min</b:Last>
            <b:First>S.</b:First>
          </b:Person>
          <b:Person>
            <b:Last>Zacharia</b:Last>
            <b:First>Z. G.</b:First>
          </b:Person>
        </b:NameList>
      </b:Author>
    </b:Author>
    <b:JournalName>Journal of Retailing</b:JournalName>
    <b:Volume>76</b:Volume>
    <b:Issue>4</b:Issue>
    <b:RefOrder>82</b:RefOrder>
  </b:Source>
  <b:Source>
    <b:Tag>Bod98</b:Tag>
    <b:SourceType>JournalArticle</b:SourceType>
    <b:Guid>{815684DD-8BAB-4E7C-808D-9C34C9590A31}</b:Guid>
    <b:Title>Success and Failure in Implementing Partnering</b:Title>
    <b:JournalName>European Journal of Purchasing and Supply Management</b:JournalName>
    <b:Year>1998</b:Year>
    <b:Pages>143-151</b:Pages>
    <b:Author>
      <b:Author>
        <b:NameList>
          <b:Person>
            <b:Last>Boddy</b:Last>
            <b:First>D.</b:First>
          </b:Person>
          <b:Person>
            <b:Last>Magbeth</b:Last>
            <b:First>D. K.</b:First>
          </b:Person>
          <b:Person>
            <b:Last>Charles</b:Last>
            <b:First>M.</b:First>
          </b:Person>
          <b:Person>
            <b:Last>Fraser-Kraus</b:Last>
            <b:First>H.</b:First>
          </b:Person>
        </b:NameList>
      </b:Author>
    </b:Author>
    <b:Volume>4</b:Volume>
    <b:RefOrder>83</b:RefOrder>
  </b:Source>
  <b:Source>
    <b:Tag>Tho99</b:Tag>
    <b:SourceType>JournalArticle</b:SourceType>
    <b:Guid>{B34564FB-8848-4FFB-BB95-5FE3F8D6B2BD}</b:Guid>
    <b:Title>Why Your Supply Chain Doesn’t Work</b:Title>
    <b:JournalName>Logistics Management and Distribution Report</b:JournalName>
    <b:Year>1999</b:Year>
    <b:Pages>42-44</b:Pages>
    <b:Author>
      <b:Author>
        <b:NameList>
          <b:Person>
            <b:Last>Thomas</b:Last>
            <b:First>J.</b:First>
          </b:Person>
        </b:NameList>
      </b:Author>
    </b:Author>
    <b:Volume>38</b:Volume>
    <b:Issue>6</b:Issue>
    <b:RefOrder>84</b:RefOrder>
  </b:Source>
  <b:Source>
    <b:Tag>Bec97</b:Tag>
    <b:SourceType>JournalArticle</b:SourceType>
    <b:Guid>{0A8049CE-B307-452A-AF95-43C1E49544F2}</b:Guid>
    <b:Title>Supply Chain Management: A Strategic Perspective</b:Title>
    <b:JournalName>International Journal of Logistics Management</b:JournalName>
    <b:Year>1997</b:Year>
    <b:Pages>15-34</b:Pages>
    <b:Author>
      <b:Author>
        <b:NameList>
          <b:Person>
            <b:Last>Bechtel</b:Last>
            <b:First>C.</b:First>
          </b:Person>
          <b:Person>
            <b:Last>Jayaram</b:Last>
            <b:First>J.</b:First>
          </b:Person>
        </b:NameList>
      </b:Author>
    </b:Author>
    <b:Volume>8</b:Volume>
    <b:Issue>1</b:Issue>
    <b:RefOrder>85</b:RefOrder>
  </b:Source>
  <b:Source>
    <b:Tag>Ban99</b:Tag>
    <b:SourceType>Book</b:SourceType>
    <b:Guid>{FC634538-0EC0-43DB-9B40-C1A5C3AA3A6C}</b:Guid>
    <b:Title>Harnessing Value in the Supply Chain</b:Title>
    <b:Year>1999</b:Year>
    <b:Author>
      <b:Author>
        <b:NameList>
          <b:Person>
            <b:Last>Banfield</b:Last>
            <b:First>E.</b:First>
          </b:Person>
        </b:NameList>
      </b:Author>
    </b:Author>
    <b:City>New York, NY</b:City>
    <b:Publisher>John Wiley and Sons</b:Publisher>
    <b:RefOrder>86</b:RefOrder>
  </b:Source>
  <b:Source>
    <b:Tag>Lam96</b:Tag>
    <b:SourceType>JournalArticle</b:SourceType>
    <b:Guid>{DDD79270-F690-4F99-9779-E638A288A99A}</b:Guid>
    <b:Title>Squaring Lean Supply with Supply Chain Management</b:Title>
    <b:Year>1996</b:Year>
    <b:JournalName>International Journal of Operations and Production Management</b:JournalName>
    <b:Pages>183-196</b:Pages>
    <b:Author>
      <b:Author>
        <b:NameList>
          <b:Person>
            <b:Last>Lamming</b:Last>
            <b:First>R. C.</b:First>
          </b:Person>
        </b:NameList>
      </b:Author>
    </b:Author>
    <b:Volume>16</b:Volume>
    <b:Issue>2</b:Issue>
    <b:RefOrder>87</b:RefOrder>
  </b:Source>
  <b:Source>
    <b:Tag>Cho96</b:Tag>
    <b:SourceType>JournalArticle</b:SourceType>
    <b:Guid>{19E3635A-2F03-4609-AC1D-7F2FD277A721}</b:Guid>
    <b:Title>An Exploration of Supplier Selection Practices Across the Supply Chain</b:Title>
    <b:JournalName>Journal of Operations Management</b:JournalName>
    <b:Year>1996</b:Year>
    <b:Pages>333-343</b:Pages>
    <b:Author>
      <b:Author>
        <b:NameList>
          <b:Person>
            <b:Last>Choi</b:Last>
            <b:First>T. Y.</b:First>
          </b:Person>
          <b:Person>
            <b:Last>Hartley</b:Last>
            <b:First>J. L.</b:First>
          </b:Person>
        </b:NameList>
      </b:Author>
    </b:Author>
    <b:Volume>14</b:Volume>
    <b:RefOrder>88</b:RefOrder>
  </b:Source>
  <b:Source>
    <b:Tag>Von99</b:Tag>
    <b:SourceType>JournalArticle</b:SourceType>
    <b:Guid>{25900BC7-06B7-4125-AFE0-9F23E20058F6}</b:Guid>
    <b:Title>The Impact of Supplier Selection Criteria and Supplier Involvement on Manufacturing Performance</b:Title>
    <b:JournalName>Journal of Supply Chain Management</b:JournalName>
    <b:Year>1999</b:Year>
    <b:Pages>33-39</b:Pages>
    <b:Author>
      <b:Author>
        <b:NameList>
          <b:Person>
            <b:Last>Vonderembse</b:Last>
            <b:First>M. A.</b:First>
          </b:Person>
          <b:Person>
            <b:Last>Tracey</b:Last>
            <b:First>M.</b:First>
          </b:Person>
        </b:NameList>
      </b:Author>
    </b:Author>
    <b:Volume>35</b:Volume>
    <b:Issue>3</b:Issue>
    <b:RefOrder>89</b:RefOrder>
  </b:Source>
  <b:Source>
    <b:Tag>Stu97</b:Tag>
    <b:SourceType>JournalArticle</b:SourceType>
    <b:Guid>{6F4FA387-804F-4141-BCCC-9966260A057E}</b:Guid>
    <b:Title>Supply-Chain Strategy: Organizational Influence Through Supplier Alliances</b:Title>
    <b:JournalName>British Academy of Management</b:JournalName>
    <b:Year>1997</b:Year>
    <b:Pages>223-236</b:Pages>
    <b:Author>
      <b:Author>
        <b:NameList>
          <b:Person>
            <b:Last>Stuart</b:Last>
            <b:First>F. I.</b:First>
          </b:Person>
        </b:NameList>
      </b:Author>
    </b:Author>
    <b:Volume>8</b:Volume>
    <b:RefOrder>90</b:RefOrder>
  </b:Source>
  <b:Source>
    <b:Tag>Mon98</b:Tag>
    <b:SourceType>JournalArticle</b:SourceType>
    <b:Guid>{D701395E-D93C-4A93-B8CB-8BEEF92FA35A}</b:Guid>
    <b:Title>Success Factors in Strategic Supplier Alliances: the Buying Company Perspective</b:Title>
    <b:JournalName>Decision Science</b:JournalName>
    <b:Year>1998</b:Year>
    <b:Pages>5553-577</b:Pages>
    <b:Author>
      <b:Author>
        <b:NameList>
          <b:Person>
            <b:Last>Monczka</b:Last>
            <b:First>R. M.</b:First>
          </b:Person>
          <b:Person>
            <b:Last>Petersen</b:Last>
            <b:First>K. J.</b:First>
          </b:Person>
          <b:Person>
            <b:Last>Handfield</b:Last>
            <b:First>R. B.</b:First>
          </b:Person>
          <b:Person>
            <b:Last>Ragatz</b:Last>
            <b:First>G. L.</b:First>
          </b:Person>
        </b:NameList>
      </b:Author>
    </b:Author>
    <b:Volume>29</b:Volume>
    <b:Issue>3</b:Issue>
    <b:RefOrder>91</b:RefOrder>
  </b:Source>
  <b:Source>
    <b:Tag>Nar98</b:Tag>
    <b:SourceType>JournalArticle</b:SourceType>
    <b:Guid>{4C38EC29-3590-47E5-A2C7-F2D61FF61B23}</b:Guid>
    <b:Title>Causal Linkage in Supply Chain Management: an Exploratory Study of North American Manufacturing Firms</b:Title>
    <b:JournalName>Decision Science</b:JournalName>
    <b:Year>1998</b:Year>
    <b:Pages>579-605</b:Pages>
    <b:Author>
      <b:Author>
        <b:NameList>
          <b:Person>
            <b:Last>Narasimhan</b:Last>
            <b:First>R.</b:First>
          </b:Person>
          <b:Person>
            <b:Last>Jayaram</b:Last>
            <b:First>J.</b:First>
          </b:Person>
        </b:NameList>
      </b:Author>
    </b:Author>
    <b:Volume>29</b:Volume>
    <b:Issue>3</b:Issue>
    <b:RefOrder>92</b:RefOrder>
  </b:Source>
  <b:Source>
    <b:Tag>Cla00</b:Tag>
    <b:SourceType>JournalArticle</b:SourceType>
    <b:Guid>{35A634B5-85B1-43CD-9DCB-5ED709120BF3}</b:Guid>
    <b:Title>Performance, Interdependence and Coordination in Business-to-Business Electronic Commerce and Supply Chain Management</b:Title>
    <b:JournalName>Information Technology and Management</b:JournalName>
    <b:Year>2000</b:Year>
    <b:Pages>85-105</b:Pages>
    <b:Author>
      <b:Author>
        <b:NameList>
          <b:Person>
            <b:Last>Clark</b:Last>
            <b:First>T. H.</b:First>
          </b:Person>
          <b:Person>
            <b:Last>Lee</b:Last>
            <b:First>H. G.</b:First>
          </b:Person>
        </b:NameList>
      </b:Author>
    </b:Author>
    <b:Volume>1</b:Volume>
    <b:RefOrder>93</b:RefOrder>
  </b:Source>
  <b:Source>
    <b:Tag>Fro01</b:Tag>
    <b:SourceType>JournalArticle</b:SourceType>
    <b:Guid>{456E4B10-E00C-4406-AB91-CE9633C1EFD7}</b:Guid>
    <b:Title>Arcs of Integration: an International Study of Supply Chain Strategies</b:Title>
    <b:JournalName>Journal of Operations Management</b:JournalName>
    <b:Year>2001</b:Year>
    <b:Pages>185-200</b:Pages>
    <b:Author>
      <b:Author>
        <b:NameList>
          <b:Person>
            <b:Last>Frohlich</b:Last>
            <b:First>M. T.</b:First>
          </b:Person>
          <b:Person>
            <b:Last>Westbrook</b:Last>
            <b:First>R.</b:First>
          </b:Person>
        </b:NameList>
      </b:Author>
    </b:Author>
    <b:Volume>19</b:Volume>
    <b:RefOrder>94</b:RefOrder>
  </b:Source>
  <b:Source>
    <b:Tag>Del03</b:Tag>
    <b:SourceType>JournalArticle</b:SourceType>
    <b:Guid>{9CDFE3BC-FE2F-44D5-90D3-55C4EF1903ED}</b:Guid>
    <b:Title>Does Working Capital Management Affect Profitability of Belgian Firms?</b:Title>
    <b:JournalName>Journal of Business Finance and Accounting</b:JournalName>
    <b:Year>2003</b:Year>
    <b:Pages>573-587</b:Pages>
    <b:Author>
      <b:Author>
        <b:NameList>
          <b:Person>
            <b:Last>Deloof</b:Last>
            <b:First>M.</b:First>
          </b:Person>
        </b:NameList>
      </b:Author>
    </b:Author>
    <b:Volume>30</b:Volume>
    <b:Issue>4</b:Issue>
    <b:RefOrder>95</b:RefOrder>
  </b:Source>
  <b:Source>
    <b:Tag>Laz06</b:Tag>
    <b:SourceType>JournalArticle</b:SourceType>
    <b:Guid>{4BB5D0F9-D99B-4B52-BD12-6DB38FC3DDAF}</b:Guid>
    <b:Title>Relationship between Working Capital Management and Profitability of Listed Companies in the Athens Stock Exchange</b:Title>
    <b:JournalName>Journal of Financial Management and Analysis</b:JournalName>
    <b:Year>2006</b:Year>
    <b:Pages>26-35</b:Pages>
    <b:Author>
      <b:Author>
        <b:NameList>
          <b:Person>
            <b:Last>Lazaridis</b:Last>
            <b:First>I.</b:First>
          </b:Person>
          <b:Person>
            <b:Last>Tryfonidis</b:Last>
            <b:First>D.</b:First>
          </b:Person>
        </b:NameList>
      </b:Author>
    </b:Author>
    <b:Volume>19</b:Volume>
    <b:Issue>1</b:Issue>
    <b:RefOrder>96</b:RefOrder>
  </b:Source>
  <b:Source>
    <b:Tag>Naz08</b:Tag>
    <b:SourceType>ConferenceProceedings</b:SourceType>
    <b:Guid>{1E4824AB-F573-471D-8606-9DCDFF065B89}</b:Guid>
    <b:Title>On the Factor Determining Working Capital Requirements</b:Title>
    <b:Year>2008</b:Year>
    <b:Author>
      <b:Author>
        <b:NameList>
          <b:Person>
            <b:Last>Nazir</b:Last>
            <b:First>M. S.</b:First>
          </b:Person>
          <b:Person>
            <b:Last>Afza</b:Last>
            <b:First>T.</b:First>
          </b:Person>
        </b:NameList>
      </b:Author>
    </b:Author>
    <b:City>Las Vegas, USA </b:City>
    <b:ConferenceName>The15th Annual ASBBS Conferen</b:ConferenceName>
    <b:RefOrder>97</b:RefOrder>
  </b:Source>
  <b:Source>
    <b:Tag>Suh02</b:Tag>
    <b:SourceType>Book</b:SourceType>
    <b:Guid>{462D4FE1-DD94-4388-9704-C2B21282F919}</b:Guid>
    <b:Title>An Integrated Model for Supply Chain Management Practice, Performance and Competitive Advantage</b:Title>
    <b:Year>2002</b:Year>
    <b:Author>
      <b:Author>
        <b:NameList>
          <b:Person>
            <b:Last>Suhong Li</b:Last>
          </b:Person>
        </b:NameList>
      </b:Author>
    </b:Author>
    <b:City>University of Toledo, USA</b:City>
    <b:Publisher>Unpublished Doctoral's Dissertation</b:Publisher>
    <b:RefOrder>98</b:RefOrder>
  </b:Source>
  <b:Source>
    <b:Tag>Smi80</b:Tag>
    <b:SourceType>Book</b:SourceType>
    <b:Guid>{AC5DAC9B-36E5-4AC7-BFC2-CDFA973D65EE}</b:Guid>
    <b:Title>Profitability versus Liquidity Tradeoffs in Working Capital Management</b:Title>
    <b:JournalName>Readings on the Management of Working Capital</b:JournalName>
    <b:Year>1980</b:Year>
    <b:Author>
      <b:Author>
        <b:NameList>
          <b:Person>
            <b:Last>Smith</b:Last>
            <b:First>K.</b:First>
          </b:Person>
        </b:NameList>
      </b:Author>
    </b:Author>
    <b:City>St. Paul</b:City>
    <b:Publisher>West Publishing Company</b:Publisher>
    <b:RefOrder>99</b:RefOrder>
  </b:Source>
  <b:Source>
    <b:Tag>Joh03</b:Tag>
    <b:SourceType>JournalArticle</b:SourceType>
    <b:Guid>{67FA4EF5-5D3A-4400-993E-5231C2CE1399}</b:Guid>
    <b:Title>Indicators of Successful Companies</b:Title>
    <b:Year>2003</b:Year>
    <b:JournalName>European Management Journal</b:JournalName>
    <b:Pages>364-369</b:Pages>
    <b:Author>
      <b:Author>
        <b:NameList>
          <b:Person>
            <b:Last>Johnson</b:Last>
            <b:First>R.</b:First>
          </b:Person>
          <b:Person>
            <b:Last>Soenen</b:Last>
            <b:First>L.</b:First>
          </b:Person>
        </b:NameList>
      </b:Author>
    </b:Author>
    <b:Volume>21</b:Volume>
    <b:Issue>3</b:Issue>
    <b:RefOrder>100</b:RefOrder>
  </b:Source>
  <b:Source xmlns:b="http://schemas.openxmlformats.org/officeDocument/2006/bibliography">
    <b:Tag>Sup</b:Tag>
    <b:SourceType>InternetSite</b:SourceType>
    <b:Guid>{58FA83D6-48A1-4CD9-A4A9-25A40A19412C}</b:Guid>
    <b:Author>
      <b:Author>
        <b:NameList>
          <b:Person>
            <b:Last>Supply Chain Council</b:Last>
          </b:Person>
        </b:NameList>
      </b:Author>
    </b:Author>
    <b:URL>http://www.supply-chain.org</b:URL>
    <b:Year>1997</b:Year>
    <b:RefOrder>101</b:RefOrder>
  </b:Source>
  <b:Source>
    <b:Tag>Bra98</b:Tag>
    <b:SourceType>JournalArticle</b:SourceType>
    <b:Guid>{27D10C0B-0295-489B-851C-98259E3B12C8}</b:Guid>
    <b:Title>The Value Imperative</b:Title>
    <b:JournalName>Logistics Management and Distribution Report</b:JournalName>
    <b:Year>1998</b:Year>
    <b:Pages>29</b:Pages>
    <b:Author>
      <b:Author>
        <b:NameList>
          <b:Person>
            <b:Last>Bradley</b:Last>
            <b:First>P.</b:First>
          </b:Person>
        </b:NameList>
      </b:Author>
    </b:Author>
    <b:Volume>37</b:Volume>
    <b:Issue>12</b:Issue>
    <b:RefOrder>102</b:RefOrder>
  </b:Source>
  <b:Source>
    <b:Tag>Dik12</b:Tag>
    <b:SourceType>JournalArticle</b:SourceType>
    <b:Guid>{CDFE2324-B531-4BCE-9417-9BB28909A54C}</b:Guid>
    <b:Title>Impact of Supply Chain Management Practices</b:Title>
    <b:JournalName>Paradigm</b:JournalName>
    <b:Year>2012</b:Year>
    <b:Pages>67-81</b:Pages>
    <b:Author>
      <b:Author>
        <b:NameList>
          <b:Person>
            <b:Last>Dikshi</b:Last>
            <b:Middle>Kant</b:Middle>
            <b:First>Shashi</b:First>
          </b:Person>
          <b:Person>
            <b:Last>Trivedi</b:Last>
            <b:First>Shekhar</b:First>
          </b:Person>
        </b:NameList>
      </b:Author>
    </b:Author>
    <b:Volume>XVI</b:Volume>
    <b:Issue>2</b:Issue>
    <b:RefOrder>103</b:RefOrder>
  </b:Source>
  <b:Source>
    <b:Tag>Maj15</b:Tag>
    <b:SourceType>JournalArticle</b:SourceType>
    <b:Guid>{A20416D9-85F4-44C9-A7EB-691B84EDB4FF}</b:Guid>
    <b:Title>Cash Conversion Cycle and Firm Profitability in Malawi Manufacturing Sector</b:Title>
    <b:JournalName>Journal of Commerce &amp; Accounting Research</b:JournalName>
    <b:Year>2015</b:Year>
    <b:Pages>1-7</b:Pages>
    <b:Author>
      <b:Author>
        <b:NameList>
          <b:Person>
            <b:Last>Majanga</b:Last>
            <b:Middle>Beracah</b:Middle>
            <b:First>Byson</b:First>
          </b:Person>
        </b:NameList>
      </b:Author>
    </b:Author>
    <b:Volume>4</b:Volume>
    <b:Issue>4</b:Issue>
    <b:RefOrder>104</b:RefOrder>
  </b:Source>
  <b:Source>
    <b:Tag>Azo16</b:Tag>
    <b:SourceType>JournalArticle</b:SourceType>
    <b:Guid>{2341ACDA-0FFD-4AAA-B3BD-22C1356B50FF}</b:Guid>
    <b:Title>Financial Performance Indicators of Tunisian Companies: Decision Tree Analysis</b:Title>
    <b:JournalName>Journal of Arts, Science &amp; Commerce</b:JournalName>
    <b:Year>2016</b:Year>
    <b:Pages>99-110</b:Pages>
    <b:Author>
      <b:Author>
        <b:NameList>
          <b:Person>
            <b:Last>Azouzi</b:Last>
            <b:Middle>Ali</b:Middle>
            <b:First>Mohamed</b:First>
          </b:Person>
          <b:Person>
            <b:Last>Jarboui</b:Last>
            <b:First>Anis</b:First>
          </b:Person>
        </b:NameList>
      </b:Author>
    </b:Author>
    <b:Volume>VII</b:Volume>
    <b:Issue>1</b:Issue>
    <b:RefOrder>105</b:RefOrder>
  </b:Source>
  <b:Source>
    <b:Tag>Khu02</b:Tag>
    <b:SourceType>JournalArticle</b:SourceType>
    <b:Guid>{0AD7C65D-1241-4EC6-ADD8-F158F6CB970B}</b:Guid>
    <b:Title>The Effects of Long Range Strategic Planning and Its Impact on Financial Performance and Growth of Companies in the Lime Industry</b:Title>
    <b:JournalName>Unpublised Doctoral's Dissertation, Nova Southeastern University</b:JournalName>
    <b:Year>2002</b:Year>
    <b:Author>
      <b:Author>
        <b:NameList>
          <b:Person>
            <b:Last>Khuong</b:Last>
            <b:Middle>Huu</b:Middle>
            <b:First>Loc</b:First>
          </b:Person>
        </b:NameList>
      </b:Author>
    </b:Author>
    <b:RefOrder>106</b:RefOrder>
  </b:Source>
  <b:Source>
    <b:Tag>Ell90</b:Tag>
    <b:SourceType>JournalArticle</b:SourceType>
    <b:Guid>{7D04AFA1-D009-4975-9545-683F0840EE75}</b:Guid>
    <b:Title>Supply Chain Management, Partnerships, and the Shipper - Third Party Relationship</b:Title>
    <b:JournalName>International Journal of Logistics Management</b:JournalName>
    <b:Year>1990</b:Year>
    <b:Pages>1-10</b:Pages>
    <b:Author>
      <b:Author>
        <b:NameList>
          <b:Person>
            <b:Last>Ellram</b:Last>
            <b:Middle>M.</b:Middle>
            <b:First>L.</b:First>
          </b:Person>
          <b:Person>
            <b:Last>Cooper</b:Last>
            <b:Middle>C.</b:Middle>
            <b:First>M.</b:First>
          </b:Person>
        </b:NameList>
      </b:Author>
    </b:Author>
    <b:Volume>1</b:Volume>
    <b:Issue>2</b:Issue>
    <b:RefOrder>107</b:RefOrder>
  </b:Source>
  <b:Source>
    <b:Tag>Vic03</b:Tag>
    <b:SourceType>JournalArticle</b:SourceType>
    <b:Guid>{4DDC034A-E322-4822-BD16-FCF22D135B94}</b:Guid>
    <b:Title>The Effects of an Integrative Supply Chain Strategy on Customer Service and Financial Performance: An Analysis of Direct versus Indirect Relationships</b:Title>
    <b:JournalName>Journal of Operations Management</b:JournalName>
    <b:Year>2003</b:Year>
    <b:Pages>523-539</b:Pages>
    <b:Author>
      <b:Author>
        <b:NameList>
          <b:Person>
            <b:Last>Vickery</b:Last>
            <b:Middle>K.</b:Middle>
            <b:First>S.</b:First>
          </b:Person>
          <b:Person>
            <b:Last>Jayaram</b:Last>
            <b:First>J.</b:First>
          </b:Person>
          <b:Person>
            <b:Last>Droge</b:Last>
            <b:First>C.</b:First>
          </b:Person>
          <b:Person>
            <b:Last>Calantone</b:Last>
            <b:First>R.</b:First>
          </b:Person>
        </b:NameList>
      </b:Author>
    </b:Author>
    <b:Volume>21</b:Volume>
    <b:Issue>5</b:Issue>
    <b:RefOrder>108</b:RefOrder>
  </b:Source>
  <b:Source>
    <b:Tag>Mob02</b:Tag>
    <b:SourceType>JournalArticle</b:SourceType>
    <b:Guid>{4EE1553C-2721-4AC7-8B5E-4E74F4F1A39B}</b:Guid>
    <b:Title>Identifying Antecedents of Information Exchange within Supply Chains</b:Title>
    <b:JournalName>International Journal of Physical Distribution &amp; Logistics Management</b:JournalName>
    <b:Year>2002</b:Year>
    <b:Pages>755-770</b:Pages>
    <b:Author>
      <b:Author>
        <b:NameList>
          <b:Person>
            <b:Last>Moberg</b:Last>
            <b:First>C.</b:First>
          </b:Person>
          <b:Person>
            <b:Last>Cutler</b:Last>
            <b:First>B.</b:First>
          </b:Person>
          <b:Person>
            <b:Last>Gross</b:Last>
            <b:First>A.</b:First>
          </b:Person>
          <b:Person>
            <b:Last>Speh</b:Last>
            <b:First>T.</b:First>
          </b:Person>
        </b:NameList>
      </b:Author>
    </b:Author>
    <b:Volume>32</b:Volume>
    <b:Issue>9</b:Issue>
    <b:RefOrder>109</b:RefOrder>
  </b:Source>
  <b:Source>
    <b:Tag>Pow01</b:Tag>
    <b:SourceType>JournalArticle</b:SourceType>
    <b:Guid>{96AFAE47-5B35-4AA2-B738-EB66AF72CB64}</b:Guid>
    <b:Title>Critical Success Factors in Agile Supply Chain Management: An Empirical Study</b:Title>
    <b:JournalName>International Journal of Physical Distribution &amp; Logistics Management</b:JournalName>
    <b:Year>2001</b:Year>
    <b:Pages>247-265</b:Pages>
    <b:Author>
      <b:Author>
        <b:NameList>
          <b:Person>
            <b:Last>Power</b:Last>
            <b:First>D.</b:First>
          </b:Person>
          <b:Person>
            <b:Last>Sohal</b:Last>
            <b:First>A.</b:First>
          </b:Person>
          <b:Person>
            <b:Last>Rahman</b:Last>
            <b:First>S.</b:First>
          </b:Person>
        </b:NameList>
      </b:Author>
    </b:Author>
    <b:Volume>31</b:Volume>
    <b:Issue>4</b:Issue>
    <b:RefOrder>110</b:RefOrder>
  </b:Source>
  <b:Source>
    <b:Tag>LiS05</b:Tag>
    <b:SourceType>JournalArticle</b:SourceType>
    <b:Guid>{812440E5-8337-43FE-8D9D-2B5C686FE5E3}</b:Guid>
    <b:Title>Development and Validation of a Measurement Instrument for Studying Supply Chain Management Practices</b:Title>
    <b:JournalName>Journal of Operations Management</b:JournalName>
    <b:Year>2005</b:Year>
    <b:Pages>618-641</b:Pages>
    <b:Author>
      <b:Author>
        <b:NameList>
          <b:Person>
            <b:Last>Li</b:Last>
            <b:First>S.</b:First>
          </b:Person>
          <b:Person>
            <b:Last>Rao</b:Last>
            <b:First>S.</b:First>
          </b:Person>
          <b:Person>
            <b:Last>Ragu-Nathan</b:Last>
            <b:First>T.</b:First>
          </b:Person>
          <b:Person>
            <b:Last>Ragu-Nathan</b:Last>
            <b:First>B.</b:First>
          </b:Person>
        </b:NameList>
      </b:Author>
    </b:Author>
    <b:Volume>23</b:Volume>
    <b:Issue>6</b:Issue>
    <b:RefOrder>111</b:RefOrder>
  </b:Source>
  <b:Source>
    <b:Tag>Tan02</b:Tag>
    <b:SourceType>JournalArticle</b:SourceType>
    <b:Guid>{9E428D73-3340-4912-97B8-28D9C51B210E}</b:Guid>
    <b:Title>Supply Chain Management: Practices, Concerns, and Performance Issues</b:Title>
    <b:JournalName>Journal of Supply Chain Management</b:JournalName>
    <b:Year>2002</b:Year>
    <b:Pages>42-53</b:Pages>
    <b:Author>
      <b:Author>
        <b:NameList>
          <b:Person>
            <b:Last>Tan</b:Last>
            <b:Middle>C.</b:Middle>
            <b:First>K.</b:First>
          </b:Person>
        </b:NameList>
      </b:Author>
    </b:Author>
    <b:Volume>38</b:Volume>
    <b:Issue>1</b:Issue>
    <b:RefOrder>112</b:RefOrder>
  </b:Source>
  <b:Source>
    <b:Tag>Zho07</b:Tag>
    <b:SourceType>JournalArticle</b:SourceType>
    <b:Guid>{228A4735-CFC9-446F-ACC8-C607EE4EB6B8}</b:Guid>
    <b:Title>Supply Chain Practice and Information Sharing</b:Title>
    <b:JournalName>Journal of Operations Management</b:JournalName>
    <b:Year>2007</b:Year>
    <b:Pages>1348-1365</b:Pages>
    <b:Author>
      <b:Author>
        <b:NameList>
          <b:Person>
            <b:Last>Zhou</b:Last>
            <b:First>H.</b:First>
          </b:Person>
          <b:Person>
            <b:Last>Benton</b:Last>
            <b:First>W.</b:First>
          </b:Person>
        </b:NameList>
      </b:Author>
    </b:Author>
    <b:Volume>25</b:Volume>
    <b:Issue>6</b:Issue>
    <b:RefOrder>113</b:RefOrder>
  </b:Source>
  <b:Source>
    <b:Tag>Wis00</b:Tag>
    <b:SourceType>JournalArticle</b:SourceType>
    <b:Guid>{3F08540A-A9C3-45D1-8D6B-C4EAC9063F7E}</b:Guid>
    <b:Title>Supply Chain Management and Its Impact on Purchasing</b:Title>
    <b:JournalName>Journal of Supply Chain Management</b:JournalName>
    <b:Year>2000</b:Year>
    <b:Pages>33-42</b:Pages>
    <b:Author>
      <b:Author>
        <b:NameList>
          <b:Person>
            <b:Last>Wisner</b:Last>
            <b:First>J.</b:First>
          </b:Person>
          <b:Person>
            <b:Last>Tan</b:Last>
            <b:First>K.</b:First>
          </b:Person>
        </b:NameList>
      </b:Author>
    </b:Author>
    <b:Volume>36</b:Volume>
    <b:Issue>4</b:Issue>
    <b:RefOrder>114</b:RefOrder>
  </b:Source>
  <b:Source>
    <b:Tag>Koh07</b:Tag>
    <b:SourceType>JournalArticle</b:SourceType>
    <b:Guid>{F31BD17E-E3E4-4D6E-B1AA-29E7244C279A}</b:Guid>
    <b:Title>The Impact of Supply Chain Management Practices on Performance of SMEs</b:Title>
    <b:JournalName>Industrial Management &amp; Data Systems</b:JournalName>
    <b:Year>2007</b:Year>
    <b:Pages>103-24</b:Pages>
    <b:Author>
      <b:Author>
        <b:NameList>
          <b:Person>
            <b:Last>Koh</b:Last>
            <b:First>L.</b:First>
          </b:Person>
          <b:Person>
            <b:Last>Demirbag</b:Last>
            <b:First>M.</b:First>
          </b:Person>
          <b:Person>
            <b:Last>Bayraktar</b:Last>
            <b:First>E.</b:First>
          </b:Person>
          <b:Person>
            <b:Last>Tatoglu</b:Last>
            <b:First>E.</b:First>
          </b:Person>
          <b:Person>
            <b:Last>Zaim</b:Last>
            <b:First>S.</b:First>
          </b:Person>
        </b:NameList>
      </b:Author>
    </b:Author>
    <b:Volume>107</b:Volume>
    <b:Issue>1</b:Issue>
    <b:RefOrder>115</b:RefOrder>
  </b:Source>
  <b:Source>
    <b:Tag>Don96</b:Tag>
    <b:SourceType>JournalArticle</b:SourceType>
    <b:Guid>{DA348ED6-7616-4DB4-BEF2-2AC02EC515DA}</b:Guid>
    <b:Title>Maximizing Value in the Supply Chain</b:Title>
    <b:JournalName>Chief Executive</b:JournalName>
    <b:Year>1996</b:Year>
    <b:Pages>54-63</b:Pages>
    <b:Author>
      <b:Author>
        <b:NameList>
          <b:Person>
            <b:Last>Donlon</b:Last>
            <b:Middle>P.</b:Middle>
            <b:First>J.</b:First>
          </b:Person>
        </b:NameList>
      </b:Author>
    </b:Author>
    <b:Volume>117</b:Volume>
    <b:RefOrder>116</b:RefOrder>
  </b:Source>
  <b:Source>
    <b:Tag>Mon94</b:Tag>
    <b:SourceType>JournalArticle</b:SourceType>
    <b:Guid>{ED5ED9A6-A5D7-4BA5-9294-D5DC20DDA854}</b:Guid>
    <b:Title>Supply Base Strategies to Maximize Supplier Performance</b:Title>
    <b:JournalName>International Journal of Physical Distribution and Logistics</b:JournalName>
    <b:Year>1994</b:Year>
    <b:Pages>42-54</b:Pages>
    <b:Author>
      <b:Author>
        <b:NameList>
          <b:Person>
            <b:Last>Monczka</b:Last>
            <b:Middle>M.</b:Middle>
            <b:First>R.</b:First>
          </b:Person>
          <b:Person>
            <b:Last>Trent</b:Last>
            <b:Middle>J.</b:Middle>
            <b:First>R.</b:First>
          </b:Person>
          <b:Person>
            <b:Last>Callahan</b:Last>
            <b:Middle>J.</b:Middle>
            <b:First>T.</b:First>
          </b:Person>
        </b:NameList>
      </b:Author>
    </b:Author>
    <b:Volume>24</b:Volume>
    <b:Issue>1</b:Issue>
    <b:RefOrder>117</b:RefOrder>
  </b:Source>
  <b:Source>
    <b:Tag>Tom98</b:Tag>
    <b:SourceType>JournalArticle</b:SourceType>
    <b:Guid>{7E1BDDED-F87D-49C7-8C88-61059808973F}</b:Guid>
    <b:Title>Time to Rise above Supply Chain Management</b:Title>
    <b:JournalName>Transportation and Distribution</b:JournalName>
    <b:Year>1998</b:Year>
    <b:Pages>SCF16-SCF 18</b:Pages>
    <b:Author>
      <b:Author>
        <b:NameList>
          <b:Person>
            <b:Last>Tompkins</b:Last>
            <b:First>J.</b:First>
          </b:Person>
        </b:NameList>
      </b:Author>
    </b:Author>
    <b:Volume>39</b:Volume>
    <b:Issue>10</b:Issue>
    <b:RefOrder>118</b:RefOrder>
  </b:Source>
  <b:Source>
    <b:Tag>Gun01</b:Tag>
    <b:SourceType>JournalArticle</b:SourceType>
    <b:Guid>{A4CF9EB1-9398-4BCC-867C-AD6CF25E55CB}</b:Guid>
    <b:Title>Performance Measures and Metrics in a Supply Chain Environment</b:Title>
    <b:JournalName>International Journal of Operations and Production Management</b:JournalName>
    <b:Year>2001</b:Year>
    <b:Pages>71-87</b:Pages>
    <b:Author>
      <b:Author>
        <b:NameList>
          <b:Person>
            <b:Last>Gunasekaran</b:Last>
            <b:First>A.</b:First>
          </b:Person>
          <b:Person>
            <b:Last> Patel</b:Last>
            <b:First>C.</b:First>
          </b:Person>
          <b:Person>
            <b:Last>Tirtiroglu</b:Last>
            <b:First>E.</b:First>
          </b:Person>
        </b:NameList>
      </b:Author>
    </b:Author>
    <b:Volume>21</b:Volume>
    <b:Issue>2</b:Issue>
    <b:RefOrder>119</b:RefOrder>
  </b:Source>
  <b:Source>
    <b:Tag>Lam93</b:Tag>
    <b:SourceType>Book</b:SourceType>
    <b:Guid>{AF2D6FB8-9A10-446B-8932-2C0C882E3F6B}</b:Guid>
    <b:Title>Beyond Partnership: Strategies for Innovation and Lean Supply</b:Title>
    <b:Year>1993</b:Year>
    <b:Author>
      <b:Author>
        <b:NameList>
          <b:Person>
            <b:Last>Lamming</b:Last>
            <b:First>R.</b:First>
          </b:Person>
        </b:NameList>
      </b:Author>
    </b:Author>
    <b:City>New York</b:City>
    <b:Publisher>Prentice-Hall</b:Publisher>
    <b:RefOrder>120</b:RefOrder>
  </b:Source>
  <b:Source>
    <b:Tag>Stu93</b:Tag>
    <b:SourceType>JournalArticle</b:SourceType>
    <b:Guid>{1CD2E34A-C5D3-4975-8C16-0A94160279DD}</b:Guid>
    <b:Title>Supplier Partnerships: Influencing Factors and Strategic Benefits</b:Title>
    <b:Year>1993</b:Year>
    <b:JournalName>International Journal of Purchasing and Materials Management</b:JournalName>
    <b:Pages>22-28</b:Pages>
    <b:Author>
      <b:Author>
        <b:NameList>
          <b:Person>
            <b:Last>Stuart</b:Last>
            <b:Middle>I.</b:Middle>
            <b:First>F.</b:First>
          </b:Person>
        </b:NameList>
      </b:Author>
    </b:Author>
    <b:Volume>29</b:Volume>
    <b:Issue>4</b:Issue>
    <b:RefOrder>121</b:RefOrder>
  </b:Source>
  <b:Source>
    <b:Tag>She98</b:Tag>
    <b:SourceType>JournalArticle</b:SourceType>
    <b:Guid>{B11B8D5E-CA29-4947-9C4B-4BDAFE8A43A0}</b:Guid>
    <b:Title>The Supply-Chain Paradox</b:Title>
    <b:JournalName>Industry Week</b:JournalName>
    <b:Year>1998</b:Year>
    <b:Pages>20-29</b:Pages>
    <b:Author>
      <b:Author>
        <b:NameList>
          <b:Person>
            <b:Last>Sheridan</b:Last>
            <b:Middle>H.</b:Middle>
            <b:First>J.</b:First>
          </b:Person>
        </b:NameList>
      </b:Author>
    </b:Author>
    <b:Volume>247</b:Volume>
    <b:Issue>3</b:Issue>
    <b:RefOrder>122</b:RefOrder>
  </b:Source>
  <b:Source>
    <b:Tag>Tan021</b:Tag>
    <b:SourceType>JournalArticle</b:SourceType>
    <b:Guid>{F88C209C-6AA4-4956-9929-98C5F5FDCD21}</b:Guid>
    <b:Title>Supply Chain Management: A Strategic Perspective</b:Title>
    <b:JournalName>Int. J. Oper. Prod. Manage.</b:JournalName>
    <b:Year>2002</b:Year>
    <b:Pages>614-631</b:Pages>
    <b:Author>
      <b:Author>
        <b:NameList>
          <b:Person>
            <b:Last>Tan</b:Last>
            <b:Middle>C.</b:Middle>
            <b:First>K.</b:First>
          </b:Person>
          <b:Person>
            <b:Last>Lyman</b:Last>
            <b:Middle>B.</b:Middle>
            <b:First>S.</b:First>
          </b:Person>
          <b:Person>
            <b:Last>Wisner</b:Last>
            <b:Middle>D.</b:Middle>
            <b:First>J.</b:First>
          </b:Person>
        </b:NameList>
      </b:Author>
    </b:Author>
    <b:Volume>22</b:Volume>
    <b:Issue>6</b:Issue>
    <b:RefOrder>123</b:RefOrder>
  </b:Source>
  <b:Source>
    <b:Tag>Bou05</b:Tag>
    <b:SourceType>JournalArticle</b:SourceType>
    <b:Guid>{1C9DD3DC-7F5D-4B99-AE43-F3E0E756242D}</b:Guid>
    <b:Title>A CRM Roadmap: What We Know, Potential Pitfalls, and Where to Go</b:Title>
    <b:JournalName>Journal of Marketing</b:JournalName>
    <b:Year>2005</b:Year>
    <b:Pages>155-167</b:Pages>
    <b:Author>
      <b:Author>
        <b:NameList>
          <b:Person>
            <b:Last>Boulding</b:Last>
            <b:First>W.</b:First>
          </b:Person>
          <b:Person>
            <b:Last>Staelin</b:Last>
            <b:First>R.</b:First>
          </b:Person>
          <b:Person>
            <b:Last>Ehret</b:Last>
            <b:First>M.</b:First>
          </b:Person>
          <b:Person>
            <b:Last>Johnston</b:Last>
            <b:First>W.</b:First>
          </b:Person>
        </b:NameList>
      </b:Author>
    </b:Author>
    <b:Volume>69</b:Volume>
    <b:Issue>4</b:Issue>
    <b:RefOrder>124</b:RefOrder>
  </b:Source>
  <b:Source>
    <b:Tag>Sou03</b:Tag>
    <b:SourceType>JournalArticle</b:SourceType>
    <b:Guid>{14EB3CEA-7D25-4352-A797-55093996236F}</b:Guid>
    <b:Title>Linking Quality Management to Manufacturing Strategy: An Empirical Investigation of Customer Focus Practices</b:Title>
    <b:JournalName>Journal of Operations Management</b:JournalName>
    <b:Year>2003</b:Year>
    <b:Pages>1-18</b:Pages>
    <b:Author>
      <b:Author>
        <b:NameList>
          <b:Person>
            <b:Last>Sousa</b:Last>
            <b:First>R.</b:First>
          </b:Person>
        </b:NameList>
      </b:Author>
    </b:Author>
    <b:Volume>21</b:Volume>
    <b:Issue>1</b:Issue>
    <b:RefOrder>125</b:RefOrder>
  </b:Source>
  <b:Source>
    <b:Tag>Mag98</b:Tag>
    <b:SourceType>JournalArticle</b:SourceType>
    <b:Guid>{02F378E6-BF50-4F5E-8276-6E9F9370AF95}</b:Guid>
    <b:Title>The Power of Virtual Integration: An Interview with Dell Computers’ Michael Dell</b:Title>
    <b:JournalName>Harvard Business Review</b:JournalName>
    <b:Year>1998</b:Year>
    <b:Pages>72-84</b:Pages>
    <b:Author>
      <b:Author>
        <b:NameList>
          <b:Person>
            <b:Last>Magretta</b:Last>
            <b:First>J.</b:First>
          </b:Person>
        </b:NameList>
      </b:Author>
    </b:Author>
    <b:Volume>76</b:Volume>
    <b:Issue>2</b:Issue>
    <b:RefOrder>126</b:RefOrder>
  </b:Source>
  <b:Source>
    <b:Tag>Was99</b:Tag>
    <b:SourceType>JournalArticle</b:SourceType>
    <b:Guid>{F155F3D4-C730-4F1A-8486-A6DB95271166}</b:Guid>
    <b:Title>Collaborating with Suppliers in Product Development: A U.S. and Japan Comparative Study</b:Title>
    <b:JournalName>IEEE Transactions on Engineering Management</b:JournalName>
    <b:Year>1999</b:Year>
    <b:Pages>245-257</b:Pages>
    <b:Author>
      <b:Author>
        <b:NameList>
          <b:Person>
            <b:Last>Wasti</b:Last>
            <b:First>S.</b:First>
          </b:Person>
          <b:Person>
            <b:Last>Jeffrey</b:Last>
            <b:First>L.</b:First>
          </b:Person>
        </b:NameList>
      </b:Author>
    </b:Author>
    <b:Volume>46</b:Volume>
    <b:Issue>2</b:Issue>
    <b:RefOrder>127</b:RefOrder>
  </b:Source>
  <b:Source>
    <b:Tag>Win96</b:Tag>
    <b:SourceType>JournalArticle</b:SourceType>
    <b:Guid>{B091BC40-67D4-47E4-A423-2F9825CFCE8A}</b:Guid>
    <b:Title>High Order Strategy for Manufacturing</b:Title>
    <b:JournalName>The Journal of Business Strategy</b:JournalName>
    <b:Year>1996</b:Year>
    <b:Pages>32-33</b:Pages>
    <b:Author>
      <b:Author>
        <b:NameList>
          <b:Person>
            <b:Last>Wines</b:Last>
            <b:First>L.</b:First>
          </b:Person>
        </b:NameList>
      </b:Author>
    </b:Author>
    <b:Volume>17</b:Volume>
    <b:Issue>4</b:Issue>
    <b:RefOrder>128</b:RefOrder>
  </b:Source>
  <b:Source>
    <b:Tag>Bom01</b:Tag>
    <b:SourceType>JournalArticle</b:SourceType>
    <b:Guid>{D208F184-2168-4330-8885-D91C6C3EFF5E}</b:Guid>
    <b:Title>Strategic Assessment of the Supply Chain Interface: a Beverage Industry Case Study</b:Title>
    <b:JournalName>International Journal of Physical Distribution and Logistics Management</b:JournalName>
    <b:Year>2001</b:Year>
    <b:Pages>11-25</b:Pages>
    <b:Author>
      <b:Author>
        <b:NameList>
          <b:Person>
            <b:Last>Bommer</b:Last>
            <b:First>M.</b:First>
          </b:Person>
          <b:Person>
            <b:Last>O’Neil</b:Last>
            <b:First>B.</b:First>
          </b:Person>
          <b:Person>
            <b:Last>Treat</b:Last>
            <b:First>S.</b:First>
          </b:Person>
        </b:NameList>
      </b:Author>
    </b:Author>
    <b:Volume>31</b:Volume>
    <b:Issue>1</b:Issue>
    <b:RefOrder>129</b:RefOrder>
  </b:Source>
  <b:Source>
    <b:Tag>Ste98</b:Tag>
    <b:SourceType>JournalArticle</b:SourceType>
    <b:Guid>{29EB41AC-E20E-4C84-80D1-3586BB630B7E}</b:Guid>
    <b:Title>Killer Supply Chains</b:Title>
    <b:JournalName>Informationweek</b:JournalName>
    <b:Year>1998</b:Year>
    <b:Pages>36-46</b:Pages>
    <b:Author>
      <b:Author>
        <b:NameList>
          <b:Person>
            <b:Last>Stein</b:Last>
            <b:First>T.</b:First>
          </b:Person>
          <b:Person>
            <b:Last>Sweat</b:Last>
            <b:First>J.</b:First>
          </b:Person>
        </b:NameList>
      </b:Author>
    </b:Author>
    <b:Volume>708</b:Volume>
    <b:Issue>9</b:Issue>
    <b:RefOrder>130</b:RefOrder>
  </b:Source>
  <b:Source>
    <b:Tag>Sak09</b:Tag>
    <b:SourceType>ConferenceProceedings</b:SourceType>
    <b:Guid>{62564D59-BC39-4D3D-9256-DC7C29A51752}</b:Guid>
    <b:Title>A Model of Factors Influencing the Supply Chain Performance</b:Title>
    <b:Year>2009</b:Year>
    <b:Pages>913-918</b:Pages>
    <b:Author>
      <b:Author>
        <b:NameList>
          <b:Person>
            <b:Last>Sakka</b:Last>
            <b:First>O.</b:First>
          </b:Person>
          <b:Person>
            <b:Last>Botta-Genoulaz</b:Last>
            <b:First>V.</b:First>
          </b:Person>
        </b:NameList>
      </b:Author>
    </b:Author>
    <b:ConferenceName>Proceedings of CIE 2009</b:ConferenceName>
    <b:RefOrder>131</b:RefOrder>
  </b:Source>
  <b:Source>
    <b:Tag>Sin13</b:Tag>
    <b:SourceType>JournalArticle</b:SourceType>
    <b:Guid>{CAB325A0-F4BF-4F05-8D6E-42E5DE2C06EF}</b:Guid>
    <b:Title>Prioritizing the Factors for Coordinated Supply Chain Using Analytic Hierarchy Process (AHP)</b:Title>
    <b:Pages>80-98</b:Pages>
    <b:Year>2013</b:Year>
    <b:Author>
      <b:Author>
        <b:NameList>
          <b:Person>
            <b:Last>Singh</b:Last>
            <b:Middle>K.</b:Middle>
            <b:First>R.</b:First>
          </b:Person>
        </b:NameList>
      </b:Author>
    </b:Author>
    <b:JournalName>Measuring Business Excellence</b:JournalName>
    <b:Volume>17</b:Volume>
    <b:Issue>1</b:Issue>
    <b:RefOrder>132</b:RefOrder>
  </b:Source>
  <b:Source>
    <b:Tag>LiS04</b:Tag>
    <b:SourceType>JournalArticle</b:SourceType>
    <b:Guid>{2D6EF534-ECB3-4E25-8E91-EFA2BA31F593}</b:Guid>
    <b:Title>The Impact of Supply Chain Management Practices on Competitive Advantage and Organizational Performance</b:Title>
    <b:JournalName>Omega</b:JournalName>
    <b:Year>2004</b:Year>
    <b:Pages>107-124</b:Pages>
    <b:Author>
      <b:Author>
        <b:NameList>
          <b:Person>
            <b:Last>Li</b:Last>
            <b:First>S.</b:First>
          </b:Person>
          <b:Person>
            <b:Last>Ragu-Nathan</b:Last>
            <b:First>B.</b:First>
          </b:Person>
          <b:Person>
            <b:Last>Ragu-Nathan</b:Last>
            <b:Middle>S.</b:Middle>
            <b:First>T.</b:First>
          </b:Person>
          <b:Person>
            <b:Last>Subba Rao</b:Last>
            <b:First>S.</b:First>
          </b:Person>
        </b:NameList>
      </b:Author>
    </b:Author>
    <b:Volume>34</b:Volume>
    <b:Issue>2</b:Issue>
    <b:RefOrder>133</b:RefOrder>
  </b:Source>
  <b:Source>
    <b:Tag>Zha02</b:Tag>
    <b:SourceType>JournalArticle</b:SourceType>
    <b:Guid>{4B72A02A-8459-4324-B7D2-A8B372BABD17}</b:Guid>
    <b:Title>The Impact of Information Sharing and Ordercoordination on Supply Chain Performance</b:Title>
    <b:JournalName>Supply Chain Management: An International Journal</b:JournalName>
    <b:Year>2002</b:Year>
    <b:Pages>24-40</b:Pages>
    <b:Author>
      <b:Author>
        <b:NameList>
          <b:Person>
            <b:Last>Zhao</b:Last>
            <b:First>X.</b:First>
          </b:Person>
          <b:Person>
            <b:Last>Xie</b:Last>
            <b:First>J.</b:First>
          </b:Person>
          <b:Person>
            <b:Last>Zhang</b:Last>
            <b:First>W.</b:First>
          </b:Person>
        </b:NameList>
      </b:Author>
    </b:Author>
    <b:Volume>7</b:Volume>
    <b:Issue>1</b:Issue>
    <b:RefOrder>134</b:RefOrder>
  </b:Source>
  <b:Source>
    <b:Tag>Tow97</b:Tag>
    <b:SourceType>JournalArticle</b:SourceType>
    <b:Guid>{77950B1C-CC9A-42A3-8F5D-4DB912EB46A7}</b:Guid>
    <b:Title>The Seamless Chain the Predator’s Strategic Advantage</b:Title>
    <b:JournalName>International Journal of Technology Management</b:JournalName>
    <b:Year>1997</b:Year>
    <b:Pages>37-56</b:Pages>
    <b:Author>
      <b:Author>
        <b:NameList>
          <b:Person>
            <b:Last>Towill</b:Last>
            <b:Middle>R.</b:Middle>
            <b:First>D.</b:First>
          </b:Person>
        </b:NameList>
      </b:Author>
    </b:Author>
    <b:Volume>13</b:Volume>
    <b:Issue>1</b:Issue>
    <b:RefOrder>135</b:RefOrder>
  </b:Source>
  <b:Source>
    <b:Tag>Tur93</b:Tag>
    <b:SourceType>JournalArticle</b:SourceType>
    <b:Guid>{155DB754-02CF-44CC-9DAC-A64ED98FC811}</b:Guid>
    <b:Title>Integrated Supply Chain Management: What’s Wrong with This Picture</b:Title>
    <b:JournalName>Industrial Engineering</b:JournalName>
    <b:Year>1993</b:Year>
    <b:Pages>52-55</b:Pages>
    <b:Author>
      <b:Author>
        <b:NameList>
          <b:Person>
            <b:Last>Turner</b:Last>
            <b:Middle>R.</b:Middle>
            <b:First>J.</b:First>
          </b:Person>
        </b:NameList>
      </b:Author>
    </b:Author>
    <b:Volume>25</b:Volume>
    <b:Issue>12</b:Issue>
    <b:RefOrder>136</b:RefOrder>
  </b:Source>
  <b:Source>
    <b:Tag>Nov95</b:Tag>
    <b:SourceType>Book</b:SourceType>
    <b:Guid>{D591ADBE-C246-45E1-836C-B107E9BA4CE3}</b:Guid>
    <b:Title>Creating Logistics Value: Themes for the Future</b:Title>
    <b:Year>1995</b:Year>
    <b:Author>
      <b:Author>
        <b:NameList>
          <b:Person>
            <b:Last>Novack</b:Last>
            <b:Middle>A.</b:Middle>
            <b:First>R.</b:First>
          </b:Person>
          <b:Person>
            <b:Last>Langley</b:Last>
            <b:Middle>J. Jr</b:Middle>
            <b:First>C.</b:First>
          </b:Person>
          <b:Person>
            <b:Last>Rinehart</b:Last>
            <b:Middle>M.</b:Middle>
            <b:First>L.</b:First>
          </b:Person>
        </b:NameList>
      </b:Author>
    </b:Author>
    <b:City>Oak Brook, IL</b:City>
    <b:Publisher>Council of Logistics Management</b:Publisher>
    <b:RefOrder>137</b:RefOrder>
  </b:Source>
  <b:Source>
    <b:Tag>Cac00</b:Tag>
    <b:SourceType>JournalArticle</b:SourceType>
    <b:Guid>{A8670A5F-D000-4E95-82F0-4483583AA417}</b:Guid>
    <b:Title>Supply Chain Inventory Management and the Value of Shared Information</b:Title>
    <b:JournalName>Manage. Sci.</b:JournalName>
    <b:Year>2000</b:Year>
    <b:Pages>1032-1048</b:Pages>
    <b:Author>
      <b:Author>
        <b:NameList>
          <b:Person>
            <b:Last>Cachon</b:Last>
            <b:Middle>P.</b:Middle>
            <b:First>G.</b:First>
          </b:Person>
          <b:Person>
            <b:Last>Fisher</b:Last>
            <b:First>M.</b:First>
          </b:Person>
        </b:NameList>
      </b:Author>
    </b:Author>
    <b:Volume>46</b:Volume>
    <b:Issue>8</b:Issue>
    <b:RefOrder>138</b:RefOrder>
  </b:Source>
  <b:Source>
    <b:Tag>Lal98</b:Tag>
    <b:SourceType>JournalArticle</b:SourceType>
    <b:Guid>{0B6DAEFA-4A67-4C7E-9F2F-B01C337F2CE2}</b:Guid>
    <b:Title>Building a Supply Chain Relationship</b:Title>
    <b:JournalName>Supply Chain Management Review</b:JournalName>
    <b:Year>1998</b:Year>
    <b:Pages>7-8</b:Pages>
    <b:Author>
      <b:Author>
        <b:NameList>
          <b:Person>
            <b:Last>Lalonde</b:Last>
            <b:Middle>J.</b:Middle>
            <b:First>B.</b:First>
          </b:Person>
        </b:NameList>
      </b:Author>
    </b:Author>
    <b:Volume>2</b:Volume>
    <b:Issue>2</b:Issue>
    <b:RefOrder>139</b:RefOrder>
  </b:Source>
  <b:Source>
    <b:Tag>YuZ01</b:Tag>
    <b:SourceType>JournalArticle</b:SourceType>
    <b:Guid>{96D8C214-4B1E-4179-9330-9183BFB62617}</b:Guid>
    <b:Title>Benefits of Information Sharing with Supply Chain Partnerships</b:Title>
    <b:JournalName>Industrial Management &amp; Data Systems</b:JournalName>
    <b:Year>2001</b:Year>
    <b:Pages>114-121</b:Pages>
    <b:Author>
      <b:Author>
        <b:NameList>
          <b:Person>
            <b:Last>Yu</b:Last>
            <b:First>Z.</b:First>
          </b:Person>
          <b:Person>
            <b:Last>Yan</b:Last>
            <b:First>H.</b:First>
          </b:Person>
          <b:Person>
            <b:Last>Cheng</b:Last>
            <b:First>E.</b:First>
          </b:Person>
        </b:NameList>
      </b:Author>
    </b:Author>
    <b:Volume>101</b:Volume>
    <b:Issue>3</b:Issue>
    <b:RefOrder>140</b:RefOrder>
  </b:Source>
  <b:Source>
    <b:Tag>Tom99</b:Tag>
    <b:SourceType>JournalArticle</b:SourceType>
    <b:Guid>{7763BD92-1005-419E-A220-29BFF44A8A45}</b:Guid>
    <b:Title>What are Your Greatest Challenges Related to Supply Chain Performance Measurement?</b:Title>
    <b:JournalName>HE Solutions</b:JournalName>
    <b:Year>1999</b:Year>
    <b:Pages>66</b:Pages>
    <b:Author>
      <b:Author>
        <b:NameList>
          <b:Person>
            <b:Last>Tompkins</b:Last>
            <b:First>J.</b:First>
          </b:Person>
          <b:Person>
            <b:Last>Ang</b:Last>
            <b:First>D.</b:First>
          </b:Person>
        </b:NameList>
      </b:Author>
    </b:Author>
    <b:Volume>31</b:Volume>
    <b:Issue>6</b:Issue>
    <b:RefOrder>141</b:RefOrder>
  </b:Source>
  <b:Source>
    <b:Tag>Bal00</b:Tag>
    <b:SourceType>JournalArticle</b:SourceType>
    <b:Guid>{BE981701-534F-4B20-B87F-AAD0C1FFF169}</b:Guid>
    <b:Title>New Managerial Challenge from Supply Chain Opportunities</b:Title>
    <b:JournalName>Industrial Marketing Management</b:JournalName>
    <b:Year>2000</b:Year>
    <b:Pages>7-18</b:Pages>
    <b:Author>
      <b:Author>
        <b:NameList>
          <b:Person>
            <b:Last>Ballou</b:Last>
            <b:Middle>H.</b:Middle>
            <b:First>R.</b:First>
          </b:Person>
          <b:Person>
            <b:Last>Gillbert</b:Last>
            <b:Middle>M.</b:Middle>
            <b:First>S.</b:First>
          </b:Person>
          <b:Person>
            <b:Last>Mukherjee</b:Last>
            <b:First>A.</b:First>
          </b:Person>
        </b:NameList>
      </b:Author>
    </b:Author>
    <b:Volume>29</b:Volume>
    <b:RefOrder>142</b:RefOrder>
  </b:Source>
  <b:Source>
    <b:Tag>Mcl01</b:Tag>
    <b:SourceType>JournalArticle</b:SourceType>
    <b:Guid>{D325121D-75EF-4465-9E6C-780246E63A7F}</b:Guid>
    <b:Title>Lean Supply: the Design and Cost Reduction Dimensions</b:Title>
    <b:JournalName>European Journal of Purchasing and Supply Chain Management</b:JournalName>
    <b:Year>2001</b:Year>
    <b:Pages>227-242</b:Pages>
    <b:Author>
      <b:Author>
        <b:NameList>
          <b:Person>
            <b:Last>Mclvor</b:Last>
            <b:First>R.</b:First>
          </b:Person>
        </b:NameList>
      </b:Author>
    </b:Author>
    <b:Volume>7</b:Volume>
    <b:RefOrder>143</b:RefOrder>
  </b:Source>
  <b:Source>
    <b:Tag>Tay99</b:Tag>
    <b:SourceType>JournalArticle</b:SourceType>
    <b:Guid>{E1D2200E-1FB0-4172-B6E7-AC0756E21996}</b:Guid>
    <b:Title>Supply Chain Improvement: The Lean Approach</b:Title>
    <b:JournalName>Logistics Focus</b:JournalName>
    <b:Year>1999</b:Year>
    <b:Pages>14-20</b:Pages>
    <b:Author>
      <b:Author>
        <b:NameList>
          <b:Person>
            <b:Last>Taylor</b:Last>
            <b:Middle>H.</b:Middle>
            <b:First>D.</b:First>
          </b:Person>
        </b:NameList>
      </b:Author>
    </b:Author>
    <b:RefOrder>144</b:RefOrder>
  </b:Source>
  <b:Source>
    <b:Tag>Wom96</b:Tag>
    <b:SourceType>Book</b:SourceType>
    <b:Guid>{6A660B44-64FA-4482-AC2B-78A543D0B596}</b:Guid>
    <b:Title>Lean Thinking</b:Title>
    <b:Year>1996</b:Year>
    <b:Author>
      <b:Author>
        <b:NameList>
          <b:Person>
            <b:Last>Womack</b:Last>
            <b:First>J.</b:First>
          </b:Person>
          <b:Person>
            <b:Last>Jones</b:Last>
            <b:First>D.</b:First>
          </b:Person>
        </b:NameList>
      </b:Author>
    </b:Author>
    <b:City>New York</b:City>
    <b:Publisher>Simon and Schuster</b:Publisher>
    <b:RefOrder>145</b:RefOrder>
  </b:Source>
  <b:Source>
    <b:Tag>Han99</b:Tag>
    <b:SourceType>Book</b:SourceType>
    <b:Guid>{BD5B4417-DE10-4924-AB3B-6094ECA9F4F8}</b:Guid>
    <b:Title>Introduction to Supply Chain Management</b:Title>
    <b:Year>1999</b:Year>
    <b:City>Upper Saddler River, New Jersey</b:City>
    <b:Publisher>Prentice Hall</b:Publisher>
    <b:Author>
      <b:Author>
        <b:NameList>
          <b:Person>
            <b:Last>Handfield</b:Last>
            <b:Middle>B.</b:Middle>
            <b:First>R.</b:First>
          </b:Person>
          <b:Person>
            <b:Last>Nichols</b:Last>
            <b:Middle>L. Jr</b:Middle>
            <b:First>E.</b:First>
          </b:Person>
        </b:NameList>
      </b:Author>
    </b:Author>
    <b:RefOrder>146</b:RefOrder>
  </b:Source>
  <b:Source>
    <b:Tag>Mas97</b:Tag>
    <b:SourceType>JournalArticle</b:SourceType>
    <b:Guid>{587A741C-4961-42DA-A57F-701781D516E0}</b:Guid>
    <b:Title>Information Enrichment: Designing the Supply Chain for Competitive Advantage</b:Title>
    <b:Year>1997</b:Year>
    <b:Author>
      <b:Author>
        <b:NameList>
          <b:Person>
            <b:Last>Mason-Jones</b:Last>
            <b:First>R.</b:First>
          </b:Person>
          <b:Person>
            <b:Last>Towill</b:Last>
            <b:Middle>R.</b:Middle>
            <b:First>D.</b:First>
          </b:Person>
        </b:NameList>
      </b:Author>
    </b:Author>
    <b:JournalName>Supply Chain Management</b:JournalName>
    <b:Pages>137-148</b:Pages>
    <b:Volume>2</b:Volume>
    <b:Issue>4</b:Issue>
    <b:RefOrder>147</b:RefOrder>
  </b:Source>
  <b:Source>
    <b:Tag>Bur98</b:Tag>
    <b:SourceType>JournalArticle</b:SourceType>
    <b:Guid>{E61B9D9A-C85C-46B7-8AF3-B55450478008}</b:Guid>
    <b:Title>Avoiding Supply Chain Management Failure: Lessons From Business Process Re-engineering</b:Title>
    <b:JournalName>International Journal of Logistics Management</b:JournalName>
    <b:Year>1998</b:Year>
    <b:Pages>15-23</b:Pages>
    <b:Author>
      <b:Author>
        <b:NameList>
          <b:Person>
            <b:Last>Burgess</b:Last>
            <b:First>R.</b:First>
          </b:Person>
        </b:NameList>
      </b:Author>
    </b:Author>
    <b:Volume>9</b:Volume>
    <b:Issue>1</b:Issue>
    <b:RefOrder>148</b:RefOrder>
  </b:Source>
  <b:Source>
    <b:Tag>App08</b:Tag>
    <b:SourceType>JournalArticle</b:SourceType>
    <b:Guid>{DBA098ED-F2A5-4C06-878C-F8E21046D921}</b:Guid>
    <b:Title>The Impact of Firms’ Capital Expenditure on Working Capital Management: An Empirical Study Across Industries in Thailand</b:Title>
    <b:JournalName>International Management Review</b:JournalName>
    <b:Year>2008</b:Year>
    <b:Author>
      <b:Author>
        <b:NameList>
          <b:Person>
            <b:Last>Appuhami</b:Last>
            <b:Middle>A.</b:Middle>
            <b:First>B.</b:First>
          </b:Person>
        </b:NameList>
      </b:Author>
    </b:Author>
    <b:Volume>4</b:Volume>
    <b:Issue>1</b:Issue>
    <b:RefOrder>149</b:RefOrder>
  </b:Source>
  <b:Source>
    <b:Tag>Ban11</b:Tag>
    <b:SourceType>JournalArticle</b:SourceType>
    <b:Guid>{8494CA69-A95F-48F6-8A73-F95BE8D88E9F}</b:Guid>
    <b:Title>How Does Working Capital Management Affect the Profitability of Spanish SMEs</b:Title>
    <b:JournalName>Small Business Economics</b:JournalName>
    <b:Year>2011</b:Year>
    <b:Pages>517-529</b:Pages>
    <b:Author>
      <b:Author>
        <b:NameList>
          <b:Person>
            <b:Last>Ban˜os-Caballero</b:Last>
            <b:First>S.</b:First>
          </b:Person>
          <b:Person>
            <b:Last>Garcia-Teruel</b:Last>
            <b:First>P.</b:First>
          </b:Person>
          <b:Person>
            <b:Last>Martinez-Solano</b:Last>
            <b:First>P.</b:First>
          </b:Person>
        </b:NameList>
      </b:Author>
    </b:Author>
    <b:Volume>39</b:Volume>
    <b:Issue>2</b:Issue>
    <b:RefOrder>150</b:RefOrder>
  </b:Source>
  <b:Source>
    <b:Tag>Soe93</b:Tag>
    <b:SourceType>JournalArticle</b:SourceType>
    <b:Guid>{6AFA7B1D-4266-4A0F-A96F-4174F8CAA361}</b:Guid>
    <b:Title>Cash Conversion Cycle and Corporate Profitability</b:Title>
    <b:JournalName>Journal of Cash Management</b:JournalName>
    <b:Year>1993</b:Year>
    <b:Pages>53-57</b:Pages>
    <b:Author>
      <b:Author>
        <b:NameList>
          <b:Person>
            <b:Last>Soenen</b:Last>
            <b:First>L.</b:First>
          </b:Person>
        </b:NameList>
      </b:Author>
    </b:Author>
    <b:Volume>13</b:Volume>
    <b:Issue>4</b:Issue>
    <b:RefOrder>151</b:RefOrder>
  </b:Source>
  <b:Source>
    <b:Tag>Jos96</b:Tag>
    <b:SourceType>JournalArticle</b:SourceType>
    <b:Guid>{869C576A-8A4C-48CE-B254-744148AC1900}</b:Guid>
    <b:Title>Corporate Returns and Cash Conversion Cycles</b:Title>
    <b:JournalName>Journal of Economics and Finance</b:JournalName>
    <b:Year>1996</b:Year>
    <b:Pages>33-46</b:Pages>
    <b:Author>
      <b:Author>
        <b:NameList>
          <b:Person>
            <b:Last>Jose</b:Last>
            <b:Middle>L.</b:Middle>
            <b:First>M.</b:First>
          </b:Person>
          <b:Person>
            <b:Last>Lancaster</b:Last>
            <b:First>C.</b:First>
          </b:Person>
          <b:Person>
            <b:Last>Stevens</b:Last>
            <b:Middle>L.</b:Middle>
            <b:First>J.</b:First>
          </b:Person>
        </b:NameList>
      </b:Author>
    </b:Author>
    <b:Volume>20</b:Volume>
    <b:Issue>1</b:Issue>
    <b:RefOrder>152</b:RefOrder>
  </b:Source>
  <b:Source>
    <b:Tag>Ric80</b:Tag>
    <b:SourceType>JournalArticle</b:SourceType>
    <b:Guid>{8BCC5445-3AE6-4D06-BBBB-4D30966AFF77}</b:Guid>
    <b:Title>A Cash Conversion Cycle Approach to Liquidity Analysis</b:Title>
    <b:JournalName>Financial Management</b:JournalName>
    <b:Year>1980</b:Year>
    <b:Pages>32-38</b:Pages>
    <b:Author>
      <b:Author>
        <b:NameList>
          <b:Person>
            <b:Last>Richards</b:Last>
            <b:Middle>D.</b:Middle>
            <b:First>V.</b:First>
          </b:Person>
          <b:Person>
            <b:Last>Laughlin</b:Last>
            <b:Middle>J.</b:Middle>
            <b:First>E.</b:First>
          </b:Person>
        </b:NameList>
      </b:Author>
    </b:Author>
    <b:Volume>9</b:Volume>
    <b:Issue>1</b:Issue>
    <b:RefOrder>153</b:RefOrder>
  </b:Source>
  <b:Source>
    <b:Tag>Git74</b:Tag>
    <b:SourceType>JournalArticle</b:SourceType>
    <b:Guid>{1F7BB534-B597-421F-9B59-F2E28B16CC7E}</b:Guid>
    <b:Title>Estimating Corporate Liquidity Requirements: A Simplified Approach</b:Title>
    <b:JournalName>The Financial Review</b:JournalName>
    <b:Year>1974</b:Year>
    <b:Pages>79-88</b:Pages>
    <b:Author>
      <b:Author>
        <b:NameList>
          <b:Person>
            <b:Last>Gitman</b:Last>
            <b:Middle>J.</b:Middle>
            <b:First>L.</b:First>
          </b:Person>
        </b:NameList>
      </b:Author>
    </b:Author>
    <b:Volume>9</b:Volume>
    <b:Issue>3</b:Issue>
    <b:RefOrder>154</b:RefOrder>
  </b:Source>
  <b:Source>
    <b:Tag>Lyr93</b:Tag>
    <b:SourceType>JournalArticle</b:SourceType>
    <b:Guid>{8534F808-90B1-4217-B690-B01569B138A4}</b:Guid>
    <b:Title>An Empirical Investigation of the Cash Conversion Cycle of Small Business Firms</b:Title>
    <b:JournalName>Journal of Small Business Finance</b:JournalName>
    <b:Year>1993</b:Year>
    <b:Pages>139-161</b:Pages>
    <b:Author>
      <b:Author>
        <b:NameList>
          <b:Person>
            <b:Last>Lyroudi</b:Last>
            <b:First>K.</b:First>
          </b:Person>
          <b:Person>
            <b:Last>McCarty</b:Last>
            <b:First>D.</b:First>
          </b:Person>
        </b:NameList>
      </b:Author>
    </b:Author>
    <b:Volume>2</b:Volume>
    <b:Issue>2</b:Issue>
    <b:RefOrder>155</b:RefOrder>
  </b:Source>
  <b:Source>
    <b:Tag>Wat98</b:Tag>
    <b:SourceType>Book</b:SourceType>
    <b:Guid>{0C31BF10-6848-4E66-BC72-8A95865F56DC}</b:Guid>
    <b:Title>Corporate Finance: Principles and Practice</b:Title>
    <b:Year>1998</b:Year>
    <b:Author>
      <b:Author>
        <b:NameList>
          <b:Person>
            <b:Last>Watson</b:Last>
            <b:First>D.</b:First>
          </b:Person>
          <b:Person>
            <b:Last>Head</b:Last>
            <b:First>T.</b:First>
          </b:Person>
        </b:NameList>
      </b:Author>
    </b:Author>
    <b:City>London</b:City>
    <b:Publisher>Financial Times</b:Publisher>
    <b:RefOrder>156</b:RefOrder>
  </b:Source>
  <b:Source>
    <b:Tag>Ans13</b:Tag>
    <b:SourceType>JournalArticle</b:SourceType>
    <b:Guid>{5A048B91-153F-4FC6-B216-E83868D705D8}</b:Guid>
    <b:Title>Cash Conversion Cycle and Firms’ Profitability-A Study of Listed Manufacturing Companies of Pakistan</b:Title>
    <b:Year>2013</b:Year>
    <b:JournalName>IOSR Journal of Business and Management</b:JournalName>
    <b:Pages>83-87</b:Pages>
    <b:Author>
      <b:Author>
        <b:NameList>
          <b:Person>
            <b:Last>Anser</b:Last>
            <b:First>R.</b:First>
          </b:Person>
          <b:Person>
            <b:Last>Malik</b:Last>
            <b:Middle>A.</b:Middle>
            <b:First>Q.</b:First>
          </b:Person>
        </b:NameList>
      </b:Author>
    </b:Author>
    <b:Volume>8</b:Volume>
    <b:Issue>2</b:Issue>
    <b:RefOrder>157</b:RefOrder>
  </b:Source>
  <b:Source>
    <b:Tag>Pad06</b:Tag>
    <b:SourceType>JournalArticle</b:SourceType>
    <b:Guid>{2C2A1119-E4CA-42D0-8D23-085301A5F6A2}</b:Guid>
    <b:Title>Trends in Working Capital Management and Its Impact on Firms’ Performance: An Analysis of Mauritian Small Manufacturing Firms</b:Title>
    <b:JournalName>International Review of Business Research Papers</b:JournalName>
    <b:Year>2006</b:Year>
    <b:Pages>45-58</b:Pages>
    <b:Author>
      <b:Author>
        <b:NameList>
          <b:Person>
            <b:Last>Padachi</b:Last>
            <b:First>K.</b:First>
          </b:Person>
        </b:NameList>
      </b:Author>
    </b:Author>
    <b:Volume>2</b:Volume>
    <b:Issue>2</b:Issue>
    <b:RefOrder>158</b:RefOrder>
  </b:Source>
  <b:Source>
    <b:Tag>Man12</b:Tag>
    <b:SourceType>JournalArticle</b:SourceType>
    <b:Guid>{C84F0169-0BDA-4F33-8051-7B953D71ACAF}</b:Guid>
    <b:Title>Determinants of Working Capital Management: Case of Singapore Firms</b:Title>
    <b:JournalName>Research Journal of Finance and Accounting</b:JournalName>
    <b:Year>2012</b:Year>
    <b:Author>
      <b:Author>
        <b:NameList>
          <b:Person>
            <b:Last>Manoori</b:Last>
            <b:First>E.</b:First>
          </b:Person>
          <b:Person>
            <b:Last>Muhammad</b:Last>
            <b:Middle>J.</b:Middle>
            <b:First>D.</b:First>
          </b:Person>
        </b:NameList>
      </b:Author>
    </b:Author>
    <b:Volume>3</b:Volume>
    <b:Issue>11</b:Issue>
    <b:RefOrder>159</b:RefOrder>
  </b:Source>
  <b:Source>
    <b:Tag>Gat09</b:Tag>
    <b:SourceType>InternetSite</b:SourceType>
    <b:Guid>{8662A3C9-6A41-4F7F-80D2-20E12157637C}</b:Guid>
    <b:Title>The Cash Conversion Cycle</b:Title>
    <b:Year>2009</b:Year>
    <b:Author>
      <b:Author>
        <b:NameList>
          <b:Person>
            <b:Last>Gattis</b:Last>
            <b:Middle>G.</b:Middle>
            <b:First>C.</b:First>
          </b:Person>
        </b:NameList>
      </b:Author>
    </b:Author>
    <b:InternetSiteTitle>www.BluePointStrategies.Com</b:InternetSiteTitle>
    <b:RefOrder>160</b:RefOrder>
  </b:Source>
  <b:Source>
    <b:Tag>Gen90</b:Tag>
    <b:SourceType>JournalArticle</b:SourceType>
    <b:Guid>{DC283BEF-F0FD-4A99-A445-8FA433C586F5}</b:Guid>
    <b:Title>A Weighted Cash Conversion Cycle</b:Title>
    <b:Year>1990</b:Year>
    <b:Pages>90-99</b:Pages>
    <b:JournalName>Financial Management</b:JournalName>
    <b:Author>
      <b:Author>
        <b:NameList>
          <b:Person>
            <b:Last>Gentry</b:Last>
            <b:Middle>A.</b:Middle>
            <b:First>J.</b:First>
          </b:Person>
          <b:Person>
            <b:Last>Vaidyanathan</b:Last>
            <b:First>R.</b:First>
          </b:Person>
          <b:Person>
            <b:Last>Lee</b:Last>
            <b:Middle>W.</b:Middle>
            <b:First>H.</b:First>
          </b:Person>
        </b:NameList>
      </b:Author>
    </b:Author>
    <b:Volume>19</b:Volume>
    <b:Issue>1</b:Issue>
    <b:RefOrder>161</b:RefOrder>
  </b:Source>
  <b:Source>
    <b:Tag>Kar11</b:Tag>
    <b:SourceType>JournalArticle</b:SourceType>
    <b:Guid>{09BD7193-0899-4A14-99F6-A05294E3A442}</b:Guid>
    <b:Title>The Relationship between Working Capital Management and Profitability: Evidence from an Emerging Market</b:Title>
    <b:JournalName>International Research Journal of Finance and Economics</b:JournalName>
    <b:Year>2011</b:Year>
    <b:Pages>61-67</b:Pages>
    <b:Author>
      <b:Author>
        <b:NameList>
          <b:Person>
            <b:Last>Karaduman</b:Last>
            <b:Middle>A.</b:Middle>
            <b:First>H.</b:First>
          </b:Person>
          <b:Person>
            <b:Last>Akbas</b:Last>
            <b:Middle>E.</b:Middle>
            <b:First>H.</b:First>
          </b:Person>
          <b:Person>
            <b:Last>Caliskan</b:Last>
            <b:Middle>O.</b:Middle>
            <b:First>A.</b:First>
          </b:Person>
          <b:Person>
            <b:Last>Durer</b:Last>
            <b:First>S.</b:First>
          </b:Person>
        </b:NameList>
      </b:Author>
    </b:Author>
    <b:Volume>62</b:Volume>
    <b:Issue>2</b:Issue>
    <b:RefOrder>162</b:RefOrder>
  </b:Source>
  <b:Source>
    <b:Tag>Ebb11</b:Tag>
    <b:SourceType>JournalArticle</b:SourceType>
    <b:Guid>{298A4365-0A38-4CA1-BCDB-726188889208}</b:Guid>
    <b:Title>Cash Conversion Cycle Management in Small Firms: Relationships with Liquidity</b:Title>
    <b:JournalName>Journal of Small Business &amp; Entrepreneurship</b:JournalName>
    <b:Year>2011</b:Year>
    <b:Pages>381-396</b:Pages>
    <b:Author>
      <b:Author>
        <b:NameList>
          <b:Person>
            <b:Last>Ebben</b:Last>
            <b:First>J.</b:First>
          </b:Person>
          <b:Person>
            <b:Last>Johnson</b:Last>
            <b:First>A.</b:First>
          </b:Person>
        </b:NameList>
      </b:Author>
    </b:Author>
    <b:Volume>24</b:Volume>
    <b:Issue>3</b:Issue>
    <b:RefOrder>163</b:RefOrder>
  </b:Source>
  <b:Source>
    <b:Tag>Pee00</b:Tag>
    <b:SourceType>JournalArticle</b:SourceType>
    <b:Guid>{B2F70314-3F50-47B9-AFAE-A50ADEDBA0FD}</b:Guid>
    <b:Title>Late Payment and Credit Management in the Small Firm Sector: Some Empirical Evidence</b:Title>
    <b:JournalName>International Small Business Journal</b:JournalName>
    <b:Year>2000</b:Year>
    <b:Pages>17-37</b:Pages>
    <b:Author>
      <b:Author>
        <b:NameList>
          <b:Person>
            <b:Last>Peel</b:Last>
            <b:Middle>J.</b:Middle>
            <b:First>M.</b:First>
          </b:Person>
          <b:Person>
            <b:Last>Howorth</b:Last>
            <b:First>C.</b:First>
          </b:Person>
          <b:Person>
            <b:Last>Wilson</b:Last>
            <b:First>N.</b:First>
          </b:Person>
        </b:NameList>
      </b:Author>
    </b:Author>
    <b:Volume>18</b:Volume>
    <b:Issue>2</b:Issue>
    <b:RefOrder>164</b:RefOrder>
  </b:Source>
  <b:Source>
    <b:Tag>Wan02</b:Tag>
    <b:SourceType>JournalArticle</b:SourceType>
    <b:Guid>{C429AF03-F2FF-4369-9F22-98A80B2BF485}</b:Guid>
    <b:Title>Liquidity Management, Operating Performance, and Corporate Value: Evidence from Japan and Taiwan</b:Title>
    <b:JournalName>Journal of Multinational Financial Management</b:JournalName>
    <b:Year>2002</b:Year>
    <b:Pages>159-169</b:Pages>
    <b:Author>
      <b:Author>
        <b:NameList>
          <b:Person>
            <b:Last>Wang</b:Last>
            <b:First>Y.</b:First>
          </b:Person>
        </b:NameList>
      </b:Author>
    </b:Author>
    <b:Volume>12</b:Volume>
    <b:Issue>2</b:Issue>
    <b:RefOrder>165</b:RefOrder>
  </b:Source>
  <b:Source>
    <b:Tag>Don10</b:Tag>
    <b:SourceType>JournalArticle</b:SourceType>
    <b:Guid>{6402F307-CFEE-41CA-80EB-C8C2E9C57ED7}</b:Guid>
    <b:Title>The Relationship between Working Capital Management and Profitability: A Vietnam Case</b:Title>
    <b:JournalName>International Research Journal of Finance and Economics</b:JournalName>
    <b:Year>2010</b:Year>
    <b:Pages>59-67</b:Pages>
    <b:Author>
      <b:Author>
        <b:NameList>
          <b:Person>
            <b:Last>Dong</b:Last>
            <b:Middle>P.</b:Middle>
            <b:First>H.</b:First>
          </b:Person>
          <b:Person>
            <b:Last>Su</b:Last>
            <b:Middle>T.</b:Middle>
            <b:First>J.</b:First>
          </b:Person>
        </b:NameList>
      </b:Author>
    </b:Author>
    <b:Volume>49</b:Volume>
    <b:RefOrder>166</b:RefOrder>
  </b:Source>
  <b:Source>
    <b:Tag>Reh07</b:Tag>
    <b:SourceType>JournalArticle</b:SourceType>
    <b:Guid>{7FF6456A-1B7B-467D-AC7D-FFF391E85D34}</b:Guid>
    <b:Title>Working Capital Management and Profitability–Case of Pakistani Firms</b:Title>
    <b:JournalName>International Review of Business Research Papers</b:JournalName>
    <b:Year>2007</b:Year>
    <b:Pages>279-300</b:Pages>
    <b:Author>
      <b:Author>
        <b:NameList>
          <b:Person>
            <b:Last>Rehman</b:Last>
            <b:First>A.</b:First>
          </b:Person>
          <b:Person>
            <b:Last>Nasr</b:Last>
            <b:First>M.</b:First>
          </b:Person>
        </b:NameList>
      </b:Author>
    </b:Author>
    <b:Volume>3</b:Volume>
    <b:Issue>1</b:Issue>
    <b:RefOrder>167</b:RefOrder>
  </b:Source>
  <b:Source>
    <b:Tag>Mos93</b:Tag>
    <b:SourceType>JournalArticle</b:SourceType>
    <b:Guid>{7EEB4620-22F0-4A86-89E8-50DC1F02BB5F}</b:Guid>
    <b:Title>Cash Conversion Cycle and Firm Size: A Study of Retail Firms</b:Title>
    <b:JournalName>Managerial Finance</b:JournalName>
    <b:Year>1993</b:Year>
    <b:Pages>25-34</b:Pages>
    <b:Author>
      <b:Author>
        <b:NameList>
          <b:Person>
            <b:Last>Moss</b:Last>
            <b:Middle>D.</b:Middle>
            <b:First>J.</b:First>
          </b:Person>
          <b:Person>
            <b:Last>Stine</b:Last>
            <b:First>B.</b:First>
          </b:Person>
        </b:NameList>
      </b:Author>
    </b:Author>
    <b:Volume>19</b:Volume>
    <b:Issue>8</b:Issue>
    <b:RefOrder>168</b:RefOrder>
  </b:Source>
  <b:Source>
    <b:Tag>Hon08</b:Tag>
    <b:SourceType>JournalArticle</b:SourceType>
    <b:Guid>{E0CE2586-B561-4472-8816-E47015CD9A01}</b:Guid>
    <b:Title>Establish Credit System in Enterprises to Strengthen the Management of Accounts Receivable</b:Title>
    <b:JournalName>Management Science and Engineering</b:JournalName>
    <b:Year>2008</b:Year>
    <b:Pages>97-100</b:Pages>
    <b:Author>
      <b:Author>
        <b:NameList>
          <b:Person>
            <b:Last>Hong-Mei</b:Last>
            <b:First>C.</b:First>
          </b:Person>
        </b:NameList>
      </b:Author>
    </b:Author>
    <b:Volume>2</b:Volume>
    <b:Issue>1</b:Issue>
    <b:RefOrder>169</b:RefOrder>
  </b:Source>
  <b:Source>
    <b:Tag>Zar09</b:Tag>
    <b:SourceType>JournalArticle</b:SourceType>
    <b:Guid>{BECAFB35-9E97-4DFD-9150-92A2DDDB4938}</b:Guid>
    <b:Title>Effect of Working Capital Management on Profitability of Firms in Malaysia</b:Title>
    <b:JournalName>Journal of Modern Accounting and Auditing</b:JournalName>
    <b:Year>2009</b:Year>
    <b:Pages>47-54</b:Pages>
    <b:Author>
      <b:Author>
        <b:NameList>
          <b:Person>
            <b:Last>Zariyawati</b:Last>
            <b:Middle>A.</b:Middle>
            <b:First>M.</b:First>
          </b:Person>
          <b:Person>
            <b:Last>Annuar</b:Last>
            <b:Middle>N.</b:Middle>
            <b:First>M.</b:First>
          </b:Person>
          <b:Person>
            <b:Last>Abdul Rahim</b:Last>
            <b:Middle>S.</b:Middle>
            <b:First>A.</b:First>
          </b:Person>
        </b:NameList>
      </b:Author>
    </b:Author>
    <b:Volume>5</b:Volume>
    <b:Issue>11</b:Issue>
    <b:RefOrder>170</b:RefOrder>
  </b:Source>
  <b:Source>
    <b:Tag>Gil10</b:Tag>
    <b:SourceType>JournalArticle</b:SourceType>
    <b:Guid>{7D18DB6C-3D07-4656-8252-A2D1685678BE}</b:Guid>
    <b:Title>The Relationship between Working Capital Management and Profitability: Evidence from the United States</b:Title>
    <b:JournalName> Business and Economics Journal</b:JournalName>
    <b:Year>2010</b:Year>
    <b:Author>
      <b:Author>
        <b:NameList>
          <b:Person>
            <b:Last>Gill</b:Last>
            <b:First>A.</b:First>
          </b:Person>
          <b:Person>
            <b:Last>Biger</b:Last>
            <b:First>N.</b:First>
          </b:Person>
          <b:Person>
            <b:Last>Mathur</b:Last>
            <b:First>N.</b:First>
          </b:Person>
        </b:NameList>
      </b:Author>
    </b:Author>
    <b:RefOrder>171</b:RefOrder>
  </b:Source>
  <b:Source>
    <b:Tag>Lyr00</b:Tag>
    <b:SourceType>InternetSite</b:SourceType>
    <b:Guid>{C1253CFD-B562-4DE5-A7AA-F3FB847BE7F2}</b:Guid>
    <b:Title>The Cash Conversion Cycle and Liquidity Analysis of the Food Industry in Greece’</b:Title>
    <b:Year>2000</b:Year>
    <b:Author>
      <b:Author>
        <b:NameList>
          <b:Person>
            <b:Last>Lyroudi</b:Last>
            <b:First>K.</b:First>
          </b:Person>
          <b:Person>
            <b:Last>Lazaridis</b:Last>
            <b:First>J.</b:First>
          </b:Person>
        </b:NameList>
      </b:Author>
    </b:Author>
    <b:InternetSiteTitle>SSRN Paper Collection</b:InternetSiteTitle>
    <b:URL>http://papers.ssrn.com/paper.taf?abstract_id¼236175</b:URL>
    <b:RefOrder>172</b:RefOrder>
  </b:Source>
  <b:Source>
    <b:Tag>Sha11</b:Tag>
    <b:SourceType>JournalArticle</b:SourceType>
    <b:Guid>{60227C3A-932B-45E9-8879-DB1A6E7E2F02}</b:Guid>
    <b:Title>Effect of Working Capital Management on Firm Profitability: Empirical Evidence from India</b:Title>
    <b:Year>2011</b:Year>
    <b:Author>
      <b:Author>
        <b:NameList>
          <b:Person>
            <b:Last>Sharma</b:Last>
            <b:Middle>K.</b:Middle>
            <b:First>A.</b:First>
          </b:Person>
          <b:Person>
            <b:Last>Kumar</b:Last>
            <b:First>S.</b:First>
          </b:Person>
        </b:NameList>
      </b:Author>
    </b:Author>
    <b:JournalName>Global Business Review</b:JournalName>
    <b:Pages>159-173</b:Pages>
    <b:Volume>12</b:Volume>
    <b:Issue>1</b:Issue>
    <b:RefOrder>173</b:RefOrder>
  </b:Source>
  <b:Source>
    <b:Tag>Abu12</b:Tag>
    <b:SourceType>JournalArticle</b:SourceType>
    <b:Guid>{0A0C3A79-A0FB-4479-896B-F9AF91A0F17A}</b:Guid>
    <b:Title>Working Capital Management and Firms’ Performance in Emerging Markets: The Case of Jordan</b:Title>
    <b:JournalName>International Journal of Managerial Finance</b:JournalName>
    <b:Year>2012</b:Year>
    <b:Pages>155-179</b:Pages>
    <b:Author>
      <b:Author>
        <b:NameList>
          <b:Person>
            <b:Last>Abuzayed</b:Last>
            <b:First>B.</b:First>
          </b:Person>
        </b:NameList>
      </b:Author>
    </b:Author>
    <b:Volume>8</b:Volume>
    <b:Issue>2</b:Issue>
    <b:RefOrder>174</b:RefOrder>
  </b:Source>
  <b:Source>
    <b:Tag>Qua11</b:Tag>
    <b:SourceType>JournalArticle</b:SourceType>
    <b:Guid>{9AB0A324-6199-4FD9-8ABE-31E5606EE98C}</b:Guid>
    <b:Title>Effects of Working Capital Management and Liquidity: Evidence from the Cement Industry of Bangladesh</b:Title>
    <b:JournalName>Journal of Business and Technology</b:JournalName>
    <b:Year>2011</b:Year>
    <b:Author>
      <b:Author>
        <b:NameList>
          <b:Person>
            <b:Last>Quayyum</b:Last>
            <b:Middle>T.</b:Middle>
            <b:First>S.</b:First>
          </b:Person>
        </b:NameList>
      </b:Author>
    </b:Author>
    <b:Volume>6</b:Volume>
    <b:Issue>1</b:Issue>
    <b:RefOrder>175</b:RefOrder>
  </b:Source>
  <b:Source>
    <b:Tag>Nap12</b:Tag>
    <b:SourceType>JournalArticle</b:SourceType>
    <b:Guid>{A61A5E50-E03C-47E7-8950-1BC8AC8CEE32}</b:Guid>
    <b:Title>Effects of Working Capital Management on the Profitability of Thai Listed Firms</b:Title>
    <b:JournalName>International Journal of Trade, Economics and Finance</b:JournalName>
    <b:Year>2012</b:Year>
    <b:Author>
      <b:Author>
        <b:NameList>
          <b:Person>
            <b:Last>Napompech</b:Last>
            <b:First>K.</b:First>
          </b:Person>
        </b:NameList>
      </b:Author>
    </b:Author>
    <b:Volume>3</b:Volume>
    <b:Issue>3</b:Issue>
    <b:RefOrder>176</b:RefOrder>
  </b:Source>
  <b:Source>
    <b:Tag>Lei11</b:Tag>
    <b:SourceType>JournalArticle</b:SourceType>
    <b:Guid>{59B173A6-F452-4A76-A2E0-63DF143CB574}</b:Guid>
    <b:Title>Refining Measures to Improve Performance Measurement of  the Accounts Receivable Collection Function</b:Title>
    <b:JournalName>JAMAR</b:JournalName>
    <b:Year>2011</b:Year>
    <b:Author>
      <b:Author>
        <b:NameList>
          <b:Person>
            <b:Last>Leitch</b:Last>
            <b:First>P.</b:First>
          </b:Person>
          <b:Person>
            <b:Last>Lamminmaki</b:Last>
            <b:First>D.</b:First>
          </b:Person>
        </b:NameList>
      </b:Author>
    </b:Author>
    <b:Volume>9</b:Volume>
    <b:Issue>2</b:Issue>
    <b:RefOrder>177</b:RefOrder>
  </b:Source>
  <b:Source>
    <b:Tag>Yam99</b:Tag>
    <b:SourceType>JournalArticle</b:SourceType>
    <b:Guid>{21AE5FD8-7EEF-4704-A753-609F0A2B5BFE}</b:Guid>
    <b:Title>Relationship Between Generic Strategy, Competitive Advantage and Firm Performance: An Empirical Analysis</b:Title>
    <b:JournalName>Technovation</b:JournalName>
    <b:Year>1999</b:Year>
    <b:Pages>507-518</b:Pages>
    <b:Author>
      <b:Author>
        <b:NameList>
          <b:Person>
            <b:Last>Yamin</b:Last>
            <b:First>S.</b:First>
          </b:Person>
          <b:Person>
            <b:Last>Gunasekruan</b:Last>
            <b:First>A.</b:First>
          </b:Person>
          <b:Person>
            <b:Last>Mavondo</b:Last>
            <b:Middle>T.</b:Middle>
            <b:First>F.</b:First>
          </b:Person>
        </b:NameList>
      </b:Author>
    </b:Author>
    <b:Volume>19</b:Volume>
    <b:Issue>8</b:Issue>
    <b:RefOrder>178</b:RefOrder>
  </b:Source>
  <b:Source>
    <b:Tag>Hol00</b:Tag>
    <b:SourceType>JournalArticle</b:SourceType>
    <b:Guid>{9CEF9E34-8204-49B3-8DBD-2D57FD83EBF2}</b:Guid>
    <b:Title>A Systems Perspective on Supply Chain Measurements</b:Title>
    <b:JournalName>International Journal of Physical Distribution and Logistics Management</b:JournalName>
    <b:Year>2000</b:Year>
    <b:Pages>847-868</b:Pages>
    <b:Author>
      <b:Author>
        <b:NameList>
          <b:Person>
            <b:Last>Holmberg</b:Last>
            <b:First>S.</b:First>
          </b:Person>
        </b:NameList>
      </b:Author>
    </b:Author>
    <b:Volume>30</b:Volume>
    <b:Issue>10</b:Issue>
    <b:RefOrder>179</b:RefOrder>
  </b:Source>
  <b:Source>
    <b:Tag>Sto00</b:Tag>
    <b:SourceType>JournalArticle</b:SourceType>
    <b:Guid>{80AB727F-1157-455A-91B2-25691E829D2A}</b:Guid>
    <b:Title>Enterprise Logistics and Supply Chain Structure: The Role of Fit</b:Title>
    <b:JournalName>Journal of Operations Management</b:JournalName>
    <b:Year>2000</b:Year>
    <b:Pages>531-547</b:Pages>
    <b:Author>
      <b:Author>
        <b:NameList>
          <b:Person>
            <b:Last>Stock</b:Last>
            <b:Middle>N.</b:Middle>
            <b:First>G.</b:First>
          </b:Person>
          <b:Person>
            <b:Last>Greis</b:Last>
            <b:Middle>P.</b:Middle>
            <b:First>N.</b:First>
          </b:Person>
          <b:Person>
            <b:Last>Kasarda</b:Last>
            <b:Middle>D.</b:Middle>
            <b:First>J.</b:First>
          </b:Person>
        </b:NameList>
      </b:Author>
    </b:Author>
    <b:Volume>18</b:Volume>
    <b:RefOrder>180</b:RefOrder>
  </b:Source>
  <b:Source>
    <b:Tag>Ven86</b:Tag>
    <b:SourceType>JournalArticle</b:SourceType>
    <b:Guid>{CC2A9C42-EB63-4E2F-88E1-D8E375B254C0}</b:Guid>
    <b:Title>Measurement of Business Performance in the Absence of Objective Measures</b:Title>
    <b:JournalName>Strategic Management Review</b:JournalName>
    <b:Year>1986</b:Year>
    <b:Pages>801-814</b:Pages>
    <b:Author>
      <b:Author>
        <b:NameList>
          <b:Person>
            <b:Last>Venkatraman</b:Last>
            <b:First>N.</b:First>
          </b:Person>
          <b:Person>
            <b:Last>Rananujam</b:Last>
            <b:First>V.</b:First>
          </b:Person>
        </b:NameList>
      </b:Author>
    </b:Author>
    <b:Volume>11</b:Volume>
    <b:Issue>4</b:Issue>
    <b:RefOrder>181</b:RefOrder>
  </b:Source>
  <b:Source>
    <b:Tag>Ham03</b:Tag>
    <b:SourceType>JournalArticle</b:SourceType>
    <b:Guid>{89F14063-9C33-4B28-B464-C7700732AF72}</b:Guid>
    <b:Title>Organizational Effectiveness as Explained by Social Structure in a Faith Based Business Network Organization</b:Title>
    <b:JournalName>Unpublished Doctoral's Dissertation at Regent University, Virginia Beach, Virginia</b:JournalName>
    <b:Year>2003</b:Year>
    <b:Author>
      <b:Author>
        <b:NameList>
          <b:Person>
            <b:Last>Hamon</b:Last>
            <b:Middle>T.</b:Middle>
            <b:First>T.</b:First>
          </b:Person>
        </b:NameList>
      </b:Author>
    </b:Author>
    <b:RefOrder>182</b:RefOrder>
  </b:Source>
  <b:Source>
    <b:Tag>HoL08</b:Tag>
    <b:SourceType>JournalArticle</b:SourceType>
    <b:Guid>{348523AA-0B3D-4F08-A27E-FF0EC96E3048}</b:Guid>
    <b:Title>What Affects Organizational Performance? The Linking of Learning and Knowledge Management</b:Title>
    <b:JournalName>Ind. Manage. Data Syst.</b:JournalName>
    <b:Year>2008</b:Year>
    <b:Author>
      <b:Author>
        <b:NameList>
          <b:Person>
            <b:Last>Ho</b:Last>
            <b:Middle>A.</b:Middle>
            <b:First>L.</b:First>
          </b:Person>
        </b:NameList>
      </b:Author>
    </b:Author>
    <b:Volume>108</b:Volume>
    <b:Issue>9</b:Issue>
    <b:RefOrder>183</b:RefOrder>
  </b:Source>
  <b:Source>
    <b:Tag>Sch02</b:Tag>
    <b:SourceType>Book</b:SourceType>
    <b:Guid>{97FE87A8-F9FB-4DC9-AD02-BD6B78C426C9}</b:Guid>
    <b:Title>Organizational Behavior</b:Title>
    <b:Year>2002</b:Year>
    <b:Author>
      <b:Author>
        <b:NameList>
          <b:Person>
            <b:Last>Schermerhorn</b:Last>
            <b:Middle>R.</b:Middle>
            <b:First>J.</b:First>
          </b:Person>
          <b:Person>
            <b:Last>Hunt</b:Last>
            <b:Middle>M.</b:Middle>
            <b:First>J.</b:First>
          </b:Person>
          <b:Person>
            <b:Last>Osborn</b:Last>
            <b:Middle>N.</b:Middle>
            <b:First>R.</b:First>
          </b:Person>
        </b:NameList>
      </b:Author>
    </b:Author>
    <b:City>New York</b:City>
    <b:Publisher>John Wiley and Sons</b:Publisher>
    <b:RefOrder>184</b:RefOrder>
  </b:Source>
  <b:Source>
    <b:Tag>Pet07</b:Tag>
    <b:SourceType>InternetSite</b:SourceType>
    <b:Guid>{867BE020-0A36-4D25-A3A2-1931D545A7E0}</b:Guid>
    <b:Title>Supply Chain Management Performance the Australian Manufacturing Industry</b:Title>
    <b:Year>2007</b:Year>
    <b:Author>
      <b:Author>
        <b:NameList>
          <b:Person>
            <b:Last>Petrovic-Lazarevic</b:Last>
            <b:First>S.</b:First>
          </b:Person>
          <b:Person>
            <b:Last>Sohal</b:Last>
            <b:First>A.</b:First>
          </b:Person>
          <b:Person>
            <b:Last>Baihaiqi</b:Last>
            <b:First>I.</b:First>
          </b:Person>
        </b:NameList>
      </b:Author>
    </b:Author>
    <b:YearAccessed>2010</b:YearAccessed>
    <b:MonthAccessed>August</b:MonthAccessed>
    <b:DayAccessed>14</b:DayAccessed>
    <b:URL>http://www.buseco.monash.edu.au/mgt/research/working,papers/200 7/wp21-07.pdf</b:URL>
    <b:RefOrder>185</b:RefOrder>
  </b:Source>
  <b:Source>
    <b:Tag>Tip03</b:Tag>
    <b:SourceType>JournalArticle</b:SourceType>
    <b:Guid>{2DD3A990-3F98-4DD6-B4C5-B85D40486524}</b:Guid>
    <b:Title>IT Competency and Firm Performance: Is Organizational Learning a Missing Link</b:Title>
    <b:Year>2003</b:Year>
    <b:JournalName>Strat. Manage. J.</b:JournalName>
    <b:Pages>745-761</b:Pages>
    <b:Author>
      <b:Author>
        <b:NameList>
          <b:Person>
            <b:Last>Tippins</b:Last>
            <b:Middle>J.</b:Middle>
            <b:First>M.</b:First>
          </b:Person>
          <b:Person>
            <b:Last>Sohi</b:Last>
            <b:Middle>S.</b:Middle>
            <b:First>R.</b:First>
          </b:Person>
        </b:NameList>
      </b:Author>
    </b:Author>
    <b:Volume>24</b:Volume>
    <b:RefOrder>186</b:RefOrder>
  </b:Source>
  <b:Source>
    <b:Tag>Kir05</b:Tag>
    <b:SourceType>JournalArticle</b:SourceType>
    <b:Guid>{86B29B58-4894-4D0C-A96A-3003FF774221}</b:Guid>
    <b:Title>Toward a Theory of High Performance</b:Title>
    <b:JournalName>Harvard Business Review</b:JournalName>
    <b:Year>2005</b:Year>
    <b:Pages>30-39</b:Pages>
    <b:Author>
      <b:Author>
        <b:NameList>
          <b:Person>
            <b:Last>Kirby</b:Last>
            <b:First>J.</b:First>
          </b:Person>
        </b:NameList>
      </b:Author>
    </b:Author>
    <b:Volume>83</b:Volume>
    <b:Issue>8</b:Issue>
    <b:RefOrder>187</b:RefOrder>
  </b:Source>
  <b:Source>
    <b:Tag>Ric09</b:Tag>
    <b:SourceType>JournalArticle</b:SourceType>
    <b:Guid>{16938F67-CEBE-470A-99C0-84363C90526C}</b:Guid>
    <b:Title>Measuring Organizational Performance: Towards Methodological Best Practice</b:Title>
    <b:JournalName>Journal of Management</b:JournalName>
    <b:Year>2009</b:Year>
    <b:Pages>718-804</b:Pages>
    <b:Author>
      <b:Author>
        <b:NameList>
          <b:Person>
            <b:Last>Richard</b:Last>
            <b:Middle>J.</b:Middle>
            <b:First>P.</b:First>
          </b:Person>
          <b:Person>
            <b:Last>Devinney</b:Last>
            <b:Middle>M.</b:Middle>
            <b:First>T.</b:First>
          </b:Person>
          <b:Person>
            <b:Last>Yip</b:Last>
            <b:Middle>S.</b:Middle>
            <b:First>G.</b:First>
          </b:Person>
          <b:Person>
            <b:Last>Johnson</b:Last>
            <b:First>G.</b:First>
          </b:Person>
        </b:NameList>
      </b:Author>
    </b:Author>
    <b:Volume>35</b:Volume>
    <b:Issue>3</b:Issue>
    <b:RefOrder>188</b:RefOrder>
  </b:Source>
  <b:Source>
    <b:Tag>Ebe06</b:Tag>
    <b:SourceType>Book</b:SourceType>
    <b:Guid>{9EAA65DC-8154-42CD-8696-B2C2FF7A90FB}</b:Guid>
    <b:Title>Business Essentials</b:Title>
    <b:Year>2006</b:Year>
    <b:Author>
      <b:Author>
        <b:NameList>
          <b:Person>
            <b:Last>Ebert</b:Last>
            <b:Middle>E.</b:Middle>
            <b:First>J.</b:First>
          </b:Person>
          <b:Person>
            <b:Last>Griffan</b:Last>
            <b:Middle>W.</b:Middle>
            <b:First>R.</b:First>
          </b:Person>
          <b:Person>
            <b:Last>Starke</b:Last>
            <b:Middle>A.</b:Middle>
            <b:First>F.</b:First>
          </b:Person>
        </b:NameList>
      </b:Author>
    </b:Author>
    <b:City>New Jersey</b:City>
    <b:Publisher>Pearson Prentice Hall</b:Publisher>
    <b:Edition>4th Canadian</b:Edition>
    <b:RefOrder>189</b:RefOrder>
  </b:Source>
  <b:Source>
    <b:Tag>Tor14</b:Tag>
    <b:SourceType>JournalArticle</b:SourceType>
    <b:Guid>{1F7D0DFF-6183-4DAA-A18D-9BCD340A06E4}</b:Guid>
    <b:Title>A Study on Relationship Between Earnings Before Tax, Interest and Operational Cash Flows with Stockholders’ Equity</b:Title>
    <b:Year>2014</b:Year>
    <b:JournalName>Management Science Letters</b:JournalName>
    <b:Pages>1699-1706</b:Pages>
    <b:Author>
      <b:Author>
        <b:NameList>
          <b:Person>
            <b:Last>Torghabeha</b:Last>
            <b:First>M.</b:First>
          </b:Person>
          <b:Person>
            <b:Last>Parsian</b:Last>
            <b:First>H.</b:First>
          </b:Person>
          <b:Person>
            <b:Last>Koloukhi</b:Last>
            <b:First>A.</b:First>
          </b:Person>
        </b:NameList>
      </b:Author>
    </b:Author>
    <b:Volume>4</b:Volume>
    <b:RefOrder>190</b:RefOrder>
  </b:Source>
  <b:Source>
    <b:Tag>Ste08</b:Tag>
    <b:SourceType>JournalArticle</b:SourceType>
    <b:Guid>{6E1306FE-09AF-4B6E-B4AF-E5FF04D92A1B}</b:Guid>
    <b:Title>The Validity of Company Valuation Using Discounted Cash Flow Methods</b:Title>
    <b:Year>2008</b:Year>
    <b:Author>
      <b:Author>
        <b:NameList>
          <b:Person>
            <b:Last>Steiger</b:Last>
            <b:First>F.</b:First>
          </b:Person>
        </b:NameList>
      </b:Author>
    </b:Author>
    <b:Comments>Seminar Paper</b:Comments>
    <b:RefOrder>191</b:RefOrder>
  </b:Source>
  <b:Source>
    <b:Tag>Hun12</b:Tag>
    <b:SourceType>JournalArticle</b:SourceType>
    <b:Guid>{6C12D511-5E2A-4A6C-A2CB-9A7582CB1F3E}</b:Guid>
    <b:Title>Grounding Supply Chain Management in Resource-Advantage  Theory: In Defense of a Resource-Based View of the Firm</b:Title>
    <b:JournalName>Journal of Supply Chain Management</b:JournalName>
    <b:Year>2012</b:Year>
    <b:Pages>14-19</b:Pages>
    <b:Author>
      <b:Author>
        <b:NameList>
          <b:Person>
            <b:Last>Hunt</b:Last>
            <b:First>Shelby</b:First>
          </b:Person>
          <b:Person>
            <b:Last>Davis</b:Last>
            <b:Middle>F.</b:Middle>
            <b:First>Donna</b:First>
          </b:Person>
        </b:NameList>
      </b:Author>
    </b:Author>
    <b:Volume>28</b:Volume>
    <b:Issue>2</b:Issue>
    <b:RefOrder>192</b:RefOrder>
  </b:Source>
  <b:Source>
    <b:Tag>Bli12</b:Tag>
    <b:SourceType>JournalArticle</b:SourceType>
    <b:Guid>{07C0F641-97B6-4277-AAE2-735FE4F47613}</b:Guid>
    <b:Title>Coopetition, Cooperation and Competition as Determinants of Companies’ Appropriation Strategies</b:Title>
    <b:Year>2012</b:Year>
    <b:Author>
      <b:Author>
        <b:NameList>
          <b:Person>
            <b:Last>Blind</b:Last>
            <b:First>Knut</b:First>
          </b:Person>
          <b:Person>
            <b:Last>Bernd</b:Last>
            <b:First>Ebersberger</b:First>
          </b:Person>
          <b:Person>
            <b:Last>Annika</b:Last>
            <b:First>Lorenz</b:First>
          </b:Person>
        </b:NameList>
      </b:Author>
    </b:Author>
    <b:RefOrder>193</b:RefOrder>
  </b:Source>
  <b:Source>
    <b:Tag>Kes00</b:Tag>
    <b:SourceType>JournalArticle</b:SourceType>
    <b:Guid>{C03CAA71-DE81-4676-825B-68E2AD8CEB48}</b:Guid>
    <b:Title>Internal vs. External Learning in New Product Development: Effects on Speed, Costs and Competitive Advantage</b:Title>
    <b:JournalName>R&amp;D Management</b:JournalName>
    <b:Year>2000</b:Year>
    <b:Pages>213-224</b:Pages>
    <b:Author>
      <b:Author>
        <b:NameList>
          <b:Person>
            <b:Last>Kessler</b:Last>
            <b:Middle>H.</b:Middle>
            <b:First>E.</b:First>
          </b:Person>
          <b:Person>
            <b:Last>Bierly</b:Last>
            <b:Middle>E.</b:Middle>
            <b:First>P.</b:First>
          </b:Person>
          <b:Person>
            <b:Last>Gopalakrishnan</b:Last>
            <b:First>S.</b:First>
          </b:Person>
        </b:NameList>
      </b:Author>
    </b:Author>
    <b:Volume>30</b:Volume>
    <b:Issue>3</b:Issue>
    <b:RefOrder>194</b:RefOrder>
  </b:Source>
  <b:Source>
    <b:Tag>Kog96</b:Tag>
    <b:SourceType>JournalArticle</b:SourceType>
    <b:Guid>{41910320-9D48-4EB2-B6F8-FA51688CDC8C}</b:Guid>
    <b:Title>What Firms Do? Coordination, Identity, and Learning</b:Title>
    <b:JournalName>Organization Science</b:JournalName>
    <b:Year>1996</b:Year>
    <b:Pages>502-518</b:Pages>
    <b:Author>
      <b:Author>
        <b:NameList>
          <b:Person>
            <b:Last>Kogut</b:Last>
            <b:First>B.</b:First>
          </b:Person>
          <b:Person>
            <b:Last>Zander</b:Last>
            <b:First>U.</b:First>
          </b:Person>
        </b:NameList>
      </b:Author>
    </b:Author>
    <b:Volume>7</b:Volume>
    <b:Issue>5</b:Issue>
    <b:RefOrder>195</b:RefOrder>
  </b:Source>
  <b:Source>
    <b:Tag>DeS07</b:Tag>
    <b:SourceType>JournalArticle</b:SourceType>
    <b:Guid>{889A53B2-93D9-4AA6-9DA7-59C613CD2F3C}</b:Guid>
    <b:Title>A Heterogeneous Resource Based View for Exploring Relationships Between Firm Performance and Capabilities</b:Title>
    <b:JournalName>Journal of Modelling in Management</b:JournalName>
    <b:Year>2007</b:Year>
    <b:Pages>103-130</b:Pages>
    <b:Author>
      <b:Author>
        <b:NameList>
          <b:Person>
            <b:Last>DeSarbo</b:Last>
            <b:Middle>S.</b:Middle>
            <b:First>W.</b:First>
          </b:Person>
          <b:Person>
            <b:Last>Di Benedetto</b:Last>
            <b:Middle>A.</b:Middle>
            <b:First>C.</b:First>
          </b:Person>
          <b:Person>
            <b:Last>Song</b:Last>
            <b:First>M.</b:First>
          </b:Person>
        </b:NameList>
      </b:Author>
    </b:Author>
    <b:Volume>2</b:Volume>
    <b:Issue>2</b:Issue>
    <b:RefOrder>196</b:RefOrder>
  </b:Source>
  <b:Source>
    <b:Tag>Wan09</b:Tag>
    <b:SourceType>JournalArticle</b:SourceType>
    <b:Guid>{1759420B-E000-49C2-ACF4-0CA78F1D50AA}</b:Guid>
    <b:Title>Firm-Specific Knowledge Resources and Competitive Advantage: The Roles of Economic- and Relationship-Based Employee Governance Mechanisms</b:Title>
    <b:JournalName>Strategic Management Journal</b:JournalName>
    <b:Year>2009</b:Year>
    <b:Pages>1265-1285</b:Pages>
    <b:Author>
      <b:Author>
        <b:NameList>
          <b:Person>
            <b:Last>Wang</b:Last>
            <b:Middle>C.</b:Middle>
            <b:First>H.</b:First>
          </b:Person>
          <b:Person>
            <b:Last>He</b:Last>
            <b:First>J.</b:First>
          </b:Person>
          <b:Person>
            <b:Last>Mahoney</b:Last>
            <b:Middle>T.</b:Middle>
            <b:First>J.</b:First>
          </b:Person>
        </b:NameList>
      </b:Author>
    </b:Author>
    <b:Volume>30</b:Volume>
    <b:Issue>12</b:Issue>
    <b:RefOrder>197</b:RefOrder>
  </b:Source>
  <b:Source>
    <b:Tag>Gra95</b:Tag>
    <b:SourceType>ConferenceProceedings</b:SourceType>
    <b:Guid>{3BB562AF-2471-4055-ACA2-5DCC3EAD720C}</b:Guid>
    <b:Title>A Knowledge-Based Theory of Inter-Firm Collaboration</b:Title>
    <b:Year>1995</b:Year>
    <b:Pages>17-21</b:Pages>
    <b:Author>
      <b:Author>
        <b:NameList>
          <b:Person>
            <b:Last>Grant</b:Last>
            <b:Middle>M.</b:Middle>
            <b:First>R.</b:First>
          </b:Person>
          <b:Person>
            <b:Last>Baden-Fuller</b:Last>
            <b:First>C.</b:First>
          </b:Person>
        </b:NameList>
      </b:Author>
    </b:Author>
    <b:ConferenceName>Academy of Management Best Papers Proceedings</b:ConferenceName>
    <b:Publisher>Academy of Management</b:Publisher>
    <b:RefOrder>198</b:RefOrder>
  </b:Source>
  <b:Source>
    <b:Tag>Jor89</b:Tag>
    <b:SourceType>JournalArticle</b:SourceType>
    <b:Guid>{839B7FCF-FEFE-42E5-8F31-61E4D6235D4B}</b:Guid>
    <b:Title>Competition and Cooperation-Striking the Right Balance</b:Title>
    <b:Pages>25-37</b:Pages>
    <b:Year>1989</b:Year>
    <b:JournalName>California Management Review</b:JournalName>
    <b:Author>
      <b:Author>
        <b:NameList>
          <b:Person>
            <b:Last>Jorde</b:Last>
            <b:Middle>M.</b:Middle>
            <b:First>T.</b:First>
          </b:Person>
          <b:Person>
            <b:Last>Teece</b:Last>
            <b:Middle>J.</b:Middle>
            <b:First>D.</b:First>
          </b:Person>
        </b:NameList>
      </b:Author>
    </b:Author>
    <b:Volume>31</b:Volume>
    <b:Issue>3</b:Issue>
    <b:RefOrder>199</b:RefOrder>
  </b:Source>
  <b:Source>
    <b:Tag>Tsa02</b:Tag>
    <b:SourceType>JournalArticle</b:SourceType>
    <b:Guid>{F990BFBD-86AA-4747-9F80-1A5C09404B2C}</b:Guid>
    <b:Title>Social Structure of "Coopetition" within a Multiunit Organization: Coordination, Competition, and Intraorganizational Knowledge Sharing</b:Title>
    <b:JournalName>Organization Science</b:JournalName>
    <b:Year>2002</b:Year>
    <b:Pages>179-190</b:Pages>
    <b:Author>
      <b:Author>
        <b:NameList>
          <b:Person>
            <b:Last>Tsai</b:Last>
            <b:First>W.</b:First>
          </b:Person>
        </b:NameList>
      </b:Author>
    </b:Author>
    <b:Volume>13</b:Volume>
    <b:Issue>2</b:Issue>
    <b:RefOrder>200</b:RefOrder>
  </b:Source>
  <b:Source>
    <b:Tag>Gny11</b:Tag>
    <b:SourceType>JournalArticle</b:SourceType>
    <b:Guid>{DF2C2460-30EB-4972-8D70-31B906CCFEF5}</b:Guid>
    <b:Title>Co-Opetition Between Giants: Collaboration with Competitors for Technological Innovation</b:Title>
    <b:JournalName>Research Policy</b:JournalName>
    <b:Year>2011</b:Year>
    <b:Pages>650-663</b:Pages>
    <b:Author>
      <b:Author>
        <b:NameList>
          <b:Person>
            <b:Last>Gnyawali</b:Last>
            <b:Middle>R.</b:Middle>
            <b:First>D.</b:First>
          </b:Person>
          <b:Person>
            <b:Last>Park</b:Last>
            <b:Middle>J.</b:Middle>
            <b:First>B.</b:First>
          </b:Person>
        </b:NameList>
      </b:Author>
    </b:Author>
    <b:Volume>40</b:Volume>
    <b:Issue>5</b:Issue>
    <b:RefOrder>201</b:RefOrder>
  </b:Source>
  <b:Source>
    <b:Tag>Rit09</b:Tag>
    <b:SourceType>JournalArticle</b:SourceType>
    <b:Guid>{CE6E45DA-AE3A-4631-8880-26DF9B77C731}</b:Guid>
    <b:Title>What’s in It for Me? Creating and Appropriating Value in Innovation-Related Coopetition</b:Title>
    <b:JournalName>Technovation</b:JournalName>
    <b:Year>2009</b:Year>
    <b:Pages>819-828</b:Pages>
    <b:Author>
      <b:Author>
        <b:NameList>
          <b:Person>
            <b:Last>Ritala</b:Last>
            <b:First>P.</b:First>
          </b:Person>
          <b:Person>
            <b:Last>Hurmelinna-Laukkanen</b:Last>
            <b:First>P.</b:First>
          </b:Person>
        </b:NameList>
      </b:Author>
    </b:Author>
    <b:Volume>29</b:Volume>
    <b:Issue>12</b:Issue>
    <b:RefOrder>202</b:RefOrder>
  </b:Source>
  <b:Source>
    <b:Tag>Che11</b:Tag>
    <b:SourceType>JournalArticle</b:SourceType>
    <b:Guid>{85D5B1C0-BFA7-4E63-8A79-02DB83F7A546}</b:Guid>
    <b:Title>Utilizing Patent Analysis to Explore the Cooperative Competition Relationship of the Two LED Companies: Nichia and Osram: Using Technological Intelligence for Strategic Decision Making in High Technology Environments</b:Title>
    <b:JournalName>Technological Forecasting and Social Change</b:JournalName>
    <b:Year>2011</b:Year>
    <b:Pages>294-302</b:Pages>
    <b:Author>
      <b:Author>
        <b:NameList>
          <b:Person>
            <b:Last>Chen</b:Last>
            <b:Middle>S.</b:Middle>
            <b:First>Y.</b:First>
          </b:Person>
          <b:Person>
            <b:Last>Chen</b:Last>
            <b:Middle>Y.</b:Middle>
            <b:First>B.</b:First>
          </b:Person>
        </b:NameList>
      </b:Author>
    </b:Author>
    <b:Volume>78</b:Volume>
    <b:Issue>2</b:Issue>
    <b:RefOrder>203</b:RefOrder>
  </b:Source>
  <b:Source>
    <b:Tag>Qui04</b:Tag>
    <b:SourceType>JournalArticle</b:SourceType>
    <b:Guid>{573EE7AE-3153-4CB2-989B-064A431989E1}</b:Guid>
    <b:Title>Cooperation, Competition, and Innovative Capability: A Panel Data of European Dedicated Biotechnology Firms</b:Title>
    <b:JournalName>Technovation</b:JournalName>
    <b:Year>2004</b:Year>
    <b:Pages>927-938</b:Pages>
    <b:Author>
      <b:Author>
        <b:NameList>
          <b:Person>
            <b:Last>Quintana-Garcia</b:Last>
            <b:First>C.</b:First>
          </b:Person>
          <b:Person>
            <b:Last>Benavides-Velasco</b:Last>
            <b:Middle>A.</b:Middle>
            <b:First>C.</b:First>
          </b:Person>
        </b:NameList>
      </b:Author>
    </b:Author>
    <b:RefOrder>204</b:RefOrder>
  </b:Source>
  <b:Source>
    <b:Tag>Shi00</b:Tag>
    <b:SourceType>JournalArticle</b:SourceType>
    <b:Guid>{D46C66E7-E04C-4E12-A0F4-91CF6A4DFCE9}</b:Guid>
    <b:Title>Supply Management Orientation and Supplier/Buyer Performance</b:Title>
    <b:JournalName>Journal of Operations Management</b:JournalName>
    <b:Year>2000</b:Year>
    <b:Pages>317-333</b:Pages>
    <b:Author>
      <b:Author>
        <b:NameList>
          <b:Person>
            <b:Last>Shin</b:Last>
            <b:First>H.</b:First>
          </b:Person>
          <b:Person>
            <b:Last>Collier</b:Last>
            <b:Middle>A.</b:Middle>
            <b:First>D.</b:First>
          </b:Person>
          <b:Person>
            <b:Last>Wilson</b:Last>
            <b:Middle>D.</b:Middle>
            <b:First>D.</b:First>
          </b:Person>
        </b:NameList>
      </b:Author>
    </b:Author>
    <b:Volume>18</b:Volume>
    <b:Issue>3</b:Issue>
    <b:RefOrder>205</b:RefOrder>
  </b:Source>
  <b:Source>
    <b:Tag>LaC12</b:Tag>
    <b:SourceType>JournalArticle</b:SourceType>
    <b:Guid>{1F0B241F-A7F1-4F91-9745-C67669C2768E}</b:Guid>
    <b:Title>“Vertical Coopetition” “The Key Account Perspective”</b:Title>
    <b:JournalName>Industrial Marketing Management</b:JournalName>
    <b:Year>2012</b:Year>
    <b:Pages>649-658</b:Pages>
    <b:Author>
      <b:Author>
        <b:NameList>
          <b:Person>
            <b:Last>LaCoste</b:Last>
            <b:First>Sylvie</b:First>
          </b:Person>
        </b:NameList>
      </b:Author>
    </b:Author>
    <b:Volume>41</b:Volume>
    <b:RefOrder>206</b:RefOrder>
  </b:Source>
  <b:Source>
    <b:Tag>Boo11</b:Tag>
    <b:SourceType>JournalArticle</b:SourceType>
    <b:Guid>{785C1AA5-66D8-4CC5-9F76-32BD9947C3F4}</b:Guid>
    <b:Author>
      <b:Author>
        <b:NameList>
          <b:Person>
            <b:Last>Boon-itt</b:Last>
            <b:First>Sakun</b:First>
          </b:Person>
          <b:Person>
            <b:Last>Pongpanarat</b:Last>
            <b:First>Chanida</b:First>
          </b:Person>
        </b:NameList>
      </b:Author>
    </b:Author>
    <b:Title>Measuring Service Supply Chain Management Processes: The Application of the Q-Sort Technique</b:Title>
    <b:JournalName>International Journal of Innovation, Management and Technology</b:JournalName>
    <b:Year>2011</b:Year>
    <b:Pages>217-221</b:Pages>
    <b:Volume>2</b:Volume>
    <b:Issue>3</b:Issue>
    <b:RefOrder>207</b:RefOrder>
  </b:Source>
  <b:Source>
    <b:Tag>Coo11</b:Tag>
    <b:SourceType>JournalArticle</b:SourceType>
    <b:Guid>{63460BE8-7EB1-48F7-BF8F-CCA484FDACA4}</b:Guid>
    <b:Title>The Moderating Effect of Supply Chain Role on the Relationship between Supply Chain Practices and Performance: An Empirical Analysis</b:Title>
    <b:Year>2011</b:Year>
    <b:JournalName>International Journal of Physical Distribution &amp; Logistics Management</b:JournalName>
    <b:Pages>104-134</b:Pages>
    <b:Author>
      <b:Author>
        <b:NameList>
          <b:Person>
            <b:Last>Cook</b:Last>
            <b:First>L.</b:First>
          </b:Person>
          <b:Person>
            <b:Last>Heiser</b:Last>
            <b:First>D.</b:First>
          </b:Person>
        </b:NameList>
      </b:Author>
    </b:Author>
    <b:Volume>41</b:Volume>
    <b:Issue>2</b:Issue>
    <b:RefOrder>208</b:RefOrder>
  </b:Source>
  <b:Source>
    <b:Tag>Kim06</b:Tag>
    <b:SourceType>JournalArticle</b:SourceType>
    <b:Guid>{A99E7AC2-6FA5-467A-97D5-6DD79A370700}</b:Guid>
    <b:Author>
      <b:Author>
        <b:NameList>
          <b:Person>
            <b:Last>Kim</b:Last>
            <b:First>Soo</b:First>
            <b:Middle>Wook</b:Middle>
          </b:Person>
        </b:NameList>
      </b:Author>
    </b:Author>
    <b:Title>Effects of Supply Chain Management Practices, Integration and Competition Capability on Performance</b:Title>
    <b:JournalName>Supply Chain Management: An International Journal</b:JournalName>
    <b:Year>2006</b:Year>
    <b:Pages>241-248</b:Pages>
    <b:Volume>11</b:Volume>
    <b:Issue>3</b:Issue>
    <b:RefOrder>209</b:RefOrder>
  </b:Source>
  <b:Source>
    <b:Tag>Kum13</b:Tag>
    <b:SourceType>JournalArticle</b:SourceType>
    <b:Guid>{B1E176B7-1D49-423F-9935-95F7436A3972}</b:Guid>
    <b:Author>
      <b:Author>
        <b:NameList>
          <b:Person>
            <b:Last>Kumar</b:Last>
            <b:First>C.</b:First>
            <b:Middle>Ganesh</b:Middle>
          </b:Person>
          <b:Person>
            <b:Last>Nambirajan</b:Last>
            <b:First>T.</b:First>
          </b:Person>
        </b:NameList>
      </b:Author>
    </b:Author>
    <b:Title>Supply Chain Management Components, Supply Chain Performance and Organizational Performance: A Critical Review and Development of Conceptual Model</b:Title>
    <b:JournalName>International Journal on Global Business Management and Research</b:JournalName>
    <b:Year>2013</b:Year>
    <b:Pages>86-96</b:Pages>
    <b:RefOrder>210</b:RefOrder>
  </b:Source>
  <b:Source>
    <b:Tag>Lan00</b:Tag>
    <b:SourceType>JournalArticle</b:SourceType>
    <b:Guid>{1F19FE2A-412A-4C26-B90B-3487DFE8CC86}</b:Guid>
    <b:Title>The Role of the Internet in Supply Chain Management</b:Title>
    <b:JournalName>Industrial Marketing Management</b:JournalName>
    <b:Year>2000</b:Year>
    <b:Pages>45-56</b:Pages>
    <b:Author>
      <b:Author>
        <b:NameList>
          <b:Person>
            <b:Last>Lancioni</b:Last>
            <b:Middle>A.</b:Middle>
            <b:First>R.</b:First>
          </b:Person>
          <b:Person>
            <b:Last>Smith</b:Last>
            <b:Middle>F.</b:Middle>
            <b:First>M.</b:First>
          </b:Person>
          <b:Person>
            <b:Last>Oliva</b:Last>
            <b:Middle>A.</b:Middle>
            <b:First>T.</b:First>
          </b:Person>
        </b:NameList>
      </b:Author>
    </b:Author>
    <b:Volume>29</b:Volume>
    <b:Issue>1</b:Issue>
    <b:RefOrder>211</b:RefOrder>
  </b:Source>
  <b:Source>
    <b:Tag>Mei11</b:Tag>
    <b:SourceType>JournalArticle</b:SourceType>
    <b:Guid>{9EF53424-88D5-4E3C-8FFF-8BFCF678291E}</b:Guid>
    <b:Title>Supply Chain Management Practices for Improving Patient-Oriented Care</b:Title>
    <b:JournalName>Supply Chain Management: An International Journal</b:JournalName>
    <b:Year>2011</b:Year>
    <b:Pages>166-175</b:Pages>
    <b:Author>
      <b:Author>
        <b:NameList>
          <b:Person>
            <b:Last>Meijboom</b:Last>
            <b:First>B.</b:First>
          </b:Person>
          <b:Person>
            <b:Last>Schmidt-Bakx</b:Last>
            <b:First>S.</b:First>
          </b:Person>
          <b:Person>
            <b:Last>Westert</b:Last>
            <b:First>G.</b:First>
          </b:Person>
        </b:NameList>
      </b:Author>
    </b:Author>
    <b:Volume>16</b:Volume>
    <b:Issue>3</b:Issue>
    <b:RefOrder>212</b:RefOrder>
  </b:Source>
  <b:Source>
    <b:Tag>She00</b:Tag>
    <b:SourceType>JournalArticle</b:SourceType>
    <b:Guid>{1F3A6096-A6C0-4EF3-9B18-B196DE54AB40}</b:Guid>
    <b:Title>The Antecedents and Consequences of Customer-Centric Marketing</b:Title>
    <b:JournalName>Journal of the Academy of Marketing Science</b:JournalName>
    <b:Year>2000</b:Year>
    <b:Pages>55-66</b:Pages>
    <b:Author>
      <b:Author>
        <b:NameList>
          <b:Person>
            <b:Last>Sheth</b:Last>
            <b:First>J.</b:First>
          </b:Person>
          <b:Person>
            <b:Last>Sisodia</b:Last>
            <b:First>R.</b:First>
          </b:Person>
          <b:Person>
            <b:Last>Sharma</b:Last>
            <b:First>A.</b:First>
          </b:Person>
        </b:NameList>
      </b:Author>
    </b:Author>
    <b:Volume>28</b:Volume>
    <b:Issue>1</b:Issue>
    <b:RefOrder>213</b:RefOrder>
  </b:Source>
  <b:Source>
    <b:Tag>Shi98</b:Tag>
    <b:SourceType>JournalArticle</b:SourceType>
    <b:Guid>{90C24955-63C4-4066-B7BC-A32701B0EC3E}</b:Guid>
    <b:Author>
      <b:Author>
        <b:NameList>
          <b:Person>
            <b:Last>Shin</b:Last>
            <b:First>H.</b:First>
          </b:Person>
          <b:Person>
            <b:Last>Soenen</b:Last>
            <b:First>L.</b:First>
          </b:Person>
        </b:NameList>
      </b:Author>
    </b:Author>
    <b:Title>Efficiency of Working Capital Management and Corporate Profitability</b:Title>
    <b:JournalName>Financial Practice &amp; Education</b:JournalName>
    <b:Year>1998</b:Year>
    <b:Pages>37-45</b:Pages>
    <b:Volume>8</b:Volume>
    <b:Issue>2</b:Issue>
    <b:RefOrder>214</b:RefOrder>
  </b:Source>
  <b:Source>
    <b:Tag>Sto09</b:Tag>
    <b:SourceType>JournalArticle</b:SourceType>
    <b:Guid>{522D3A4D-58C9-461A-9FF9-FC0683302917}</b:Guid>
    <b:Author>
      <b:Author>
        <b:NameList>
          <b:Person>
            <b:Last>Stock</b:Last>
            <b:First>J.</b:First>
          </b:Person>
          <b:Person>
            <b:Last>Boyer</b:Last>
            <b:First>S.</b:First>
          </b:Person>
        </b:NameList>
      </b:Author>
    </b:Author>
    <b:Title>Developing a Consensus Definition of Supply Chain Management: a Qualitative Study</b:Title>
    <b:JournalName>International Journal of Physical Distribution &amp; Logistics Management</b:JournalName>
    <b:Year>2009</b:Year>
    <b:Pages>690-711</b:Pages>
    <b:Volume>39</b:Volume>
    <b:Issue>8</b:Issue>
    <b:RefOrder>215</b:RefOrder>
  </b:Source>
  <b:Source>
    <b:Tag>Tan99</b:Tag>
    <b:SourceType>JournalArticle</b:SourceType>
    <b:Guid>{8BC9211E-70CE-4275-BCB1-0F26C47ECBA7}</b:Guid>
    <b:Title>Supply Chain Management: An Empirical Study of Its Impact on Performance</b:Title>
    <b:JournalName>International Journal of Purchasing and Material Management</b:JournalName>
    <b:Year>1999</b:Year>
    <b:Pages>1034-1052</b:Pages>
    <b:Author>
      <b:Author>
        <b:NameList>
          <b:Person>
            <b:Last>Tan</b:Last>
            <b:First>K. C.</b:First>
          </b:Person>
          <b:Person>
            <b:Last>Kannan</b:Last>
            <b:First>V. R.</b:First>
          </b:Person>
          <b:Person>
            <b:Last>Handfield</b:Last>
            <b:First>R. B.</b:First>
          </b:Person>
          <b:Person>
            <b:Last>Ghosh</b:Last>
            <b:First>S.</b:First>
          </b:Person>
        </b:NameList>
      </b:Author>
    </b:Author>
    <b:Volume>19</b:Volume>
    <b:Issue>10</b:Issue>
    <b:RefOrder>216</b:RefOrder>
  </b:Source>
  <b:Source>
    <b:Tag>Dye98</b:Tag>
    <b:SourceType>JournalArticle</b:SourceType>
    <b:Guid>{47F60F00-7705-4CE2-B146-4EE9137628A7}</b:Guid>
    <b:Title>Strategic Supplier Segmentation: The Next “Best Practice” in Supply Chain Management</b:Title>
    <b:JournalName>California Management Review</b:JournalName>
    <b:Year>1998</b:Year>
    <b:Pages>57-77</b:Pages>
    <b:Author>
      <b:Author>
        <b:NameList>
          <b:Person>
            <b:Last>Dyer</b:Last>
            <b:Middle>H.</b:Middle>
            <b:First>J.</b:First>
          </b:Person>
          <b:Person>
            <b:Last>Cho</b:Last>
            <b:Middle>S.</b:Middle>
            <b:First>D.</b:First>
          </b:Person>
          <b:Person>
            <b:Last>Chu</b:Last>
            <b:First>W.</b:First>
          </b:Person>
        </b:NameList>
      </b:Author>
    </b:Author>
    <b:Volume>40</b:Volume>
    <b:Issue>2</b:Issue>
    <b:RefOrder>217</b:RefOrder>
  </b:Source>
  <b:Source>
    <b:Tag>Ech08</b:Tag>
    <b:SourceType>JournalArticle</b:SourceType>
    <b:Guid>{B3EE04F4-543A-435D-8DB7-C47A1D4C9C0C}</b:Guid>
    <b:Title>Managing Supplier Involvement in New Product Development: A Multiple-Case Study</b:Title>
    <b:JournalName>The Journal of Product Innovation Management</b:JournalName>
    <b:Year>2008</b:Year>
    <b:Pages>180-201</b:Pages>
    <b:Author>
      <b:Author>
        <b:NameList>
          <b:Person>
            <b:Last>Echtelt</b:Last>
            <b:First>F.</b:First>
          </b:Person>
          <b:Person>
            <b:Last>Wynstra</b:Last>
            <b:First>F.</b:First>
          </b:Person>
          <b:Person>
            <b:Last>Weele</b:Last>
            <b:First>A.</b:First>
          </b:Person>
          <b:Person>
            <b:Last>Duysters</b:Last>
            <b:First>G.</b:First>
          </b:Person>
        </b:NameList>
      </b:Author>
    </b:Author>
    <b:Volume>25</b:Volume>
    <b:Issue>2</b:Issue>
    <b:RefOrder>218</b:RefOrder>
  </b:Source>
  <b:Source>
    <b:Tag>Ven89</b:Tag>
    <b:SourceType>JournalArticle</b:SourceType>
    <b:Guid>{1666B58F-271E-48E7-B55B-886EB40EC2E9}</b:Guid>
    <b:Title>Strategic Orientation of Business Enterprises: The Construct, Dimestionality,and Measurement</b:Title>
    <b:JournalName>Management Science</b:JournalName>
    <b:Year>1989</b:Year>
    <b:Pages>942-962</b:Pages>
    <b:Author>
      <b:Author>
        <b:NameList>
          <b:Person>
            <b:Last>Venkatraman</b:Last>
            <b:First>N.</b:First>
          </b:Person>
        </b:NameList>
      </b:Author>
    </b:Author>
    <b:Volume>35</b:Volume>
    <b:Issue>8</b:Issue>
    <b:RefOrder>4</b:RefOrder>
  </b:Source>
  <b:Source>
    <b:Tag>OLe98</b:Tag>
    <b:SourceType>JournalArticle</b:SourceType>
    <b:Guid>{530C5A11-E2A1-4690-8063-6B79159BC900}</b:Guid>
    <b:Author>
      <b:Author>
        <b:NameList>
          <b:Person>
            <b:Last>O'Leary-Kelly</b:Last>
            <b:First>S.W.</b:First>
          </b:Person>
          <b:Person>
            <b:Last>Vokurka</b:Last>
            <b:First>R.J.</b:First>
          </b:Person>
        </b:NameList>
      </b:Author>
    </b:Author>
    <b:Title>The Emperical Assessment of Construct Validity</b:Title>
    <b:JournalName>Journal of Operations Management</b:JournalName>
    <b:Year>1998</b:Year>
    <b:Pages>387-405</b:Pages>
    <b:Volume>16</b:Volume>
    <b:Issue>4</b:Issue>
    <b:RefOrder>6</b:RefOrder>
  </b:Source>
  <b:Source>
    <b:Tag>HuL99</b:Tag>
    <b:SourceType>JournalArticle</b:SourceType>
    <b:Guid>{22EBC5B2-755C-4BEB-BC77-353C6FE3E78B}</b:Guid>
    <b:Author>
      <b:Author>
        <b:NameList>
          <b:Person>
            <b:Last>Hu</b:Last>
            <b:First>L.</b:First>
          </b:Person>
          <b:Person>
            <b:Last>Bentler</b:Last>
            <b:First>P.M.</b:First>
          </b:Person>
        </b:NameList>
      </b:Author>
    </b:Author>
    <b:Title>Cutoff Criteria for Fit Indexes in Coveriance Structure Analysis: Conventional Criteria Versus New Alternatives</b:Title>
    <b:JournalName>Structural Equation Modeling</b:JournalName>
    <b:Year>1999</b:Year>
    <b:Pages>1-55</b:Pages>
    <b:Volume>6</b:Volume>
    <b:Issue>1</b:Issue>
    <b:RefOrder>10</b:RefOrder>
  </b:Source>
  <b:Source>
    <b:Tag>Ben92</b:Tag>
    <b:SourceType>JournalArticle</b:SourceType>
    <b:Guid>{06DFF49D-80C3-4AAD-8020-D16625425673}</b:Guid>
    <b:Title>On the Fit of Models to Coveriances and Methodology to the Bulletin</b:Title>
    <b:Year>1992</b:Year>
    <b:Author>
      <b:Author>
        <b:NameList>
          <b:Person>
            <b:Last>Bentler</b:Last>
            <b:First>P</b:First>
          </b:Person>
        </b:NameList>
      </b:Author>
    </b:Author>
    <b:JournalName>Psychological Bulletin</b:JournalName>
    <b:Pages>400-404</b:Pages>
    <b:Volume>112</b:Volume>
    <b:Issue>3</b:Issue>
    <b:RefOrder>219</b:RefOrder>
  </b:Source>
  <b:Source>
    <b:Tag>Ben95</b:Tag>
    <b:SourceType>Book</b:SourceType>
    <b:Guid>{8D3BF0A4-F405-40A8-964B-F21E2BEC79D1}</b:Guid>
    <b:Title>EQS Structural Equation Program Manual</b:Title>
    <b:Year>1995</b:Year>
    <b:Author>
      <b:Author>
        <b:NameList>
          <b:Person>
            <b:Last>Bentler</b:Last>
            <b:First>P.</b:First>
          </b:Person>
        </b:NameList>
      </b:Author>
    </b:Author>
    <b:City>Encino, CA</b:City>
    <b:Publisher>Multivariate Sofware Inc</b:Publisher>
    <b:RefOrder>220</b:RefOrder>
  </b:Source>
  <b:Source>
    <b:Tag>Ghi81</b:Tag>
    <b:SourceType>Book</b:SourceType>
    <b:Guid>{08FE37A0-51D3-4CC0-9DE2-C85A2AC69ABB}</b:Guid>
    <b:Title>Measurement Theory for the Behavioral Sciences</b:Title>
    <b:Year>1981</b:Year>
    <b:Author>
      <b:Author>
        <b:NameList>
          <b:Person>
            <b:Last>Ghiselli</b:Last>
            <b:First>E</b:First>
          </b:Person>
          <b:Person>
            <b:Last>Campbell</b:Last>
            <b:First>J</b:First>
          </b:Person>
          <b:Person>
            <b:Last>Zedeck</b:Last>
            <b:First>S</b:First>
          </b:Person>
        </b:NameList>
      </b:Author>
    </b:Author>
    <b:City>San Francisco, CA</b:City>
    <b:Publisher>Freeman</b:Publisher>
    <b:RefOrder>221</b:RefOrder>
  </b:Source>
  <b:Source>
    <b:Tag>Tan011</b:Tag>
    <b:SourceType>JournalArticle</b:SourceType>
    <b:Guid>{9210EF18-3433-404A-BE80-F5720F55FEA3}</b:Guid>
    <b:Title>A Framework of Supply Chain Management Literature</b:Title>
    <b:Year>2001</b:Year>
    <b:Author>
      <b:Author>
        <b:NameList>
          <b:Person>
            <b:Last>Tan</b:Last>
            <b:Middle>C.</b:Middle>
            <b:First>K.</b:First>
          </b:Person>
        </b:NameList>
      </b:Author>
    </b:Author>
    <b:JournalName>European Journal of Purchasing and Supply Management</b:JournalName>
    <b:Pages>39-48</b:Pages>
    <b:Volume>7</b:Volume>
    <b:Issue>1</b:Issue>
    <b:RefOrder>3</b:RefOrder>
  </b:Source>
  <b:Source>
    <b:Tag>LiS061</b:Tag>
    <b:SourceType>JournalArticle</b:SourceType>
    <b:Guid>{235EAE0F-B02D-4472-A082-12C5825A21BF}</b:Guid>
    <b:Title>The Impact of Supply Chain Management Practices on Competitive Advantage and Organizational Performance</b:Title>
    <b:JournalName>Omega</b:JournalName>
    <b:Year>2006</b:Year>
    <b:Pages>107-124</b:Pages>
    <b:Author>
      <b:Author>
        <b:NameList>
          <b:Person>
            <b:Last>Li</b:Last>
            <b:First>S.</b:First>
          </b:Person>
          <b:Person>
            <b:Last>Ragu-Nathan</b:Last>
            <b:First>B.</b:First>
          </b:Person>
          <b:Person>
            <b:Last>Ragu-Nathan</b:Last>
            <b:First>T.</b:First>
          </b:Person>
          <b:Person>
            <b:Last>Subba Rao</b:Last>
            <b:First>S.</b:First>
          </b:Person>
        </b:NameList>
      </b:Author>
    </b:Author>
    <b:Volume>34</b:Volume>
    <b:Issue>2</b:Issue>
    <b:RefOrder>222</b:RefOrder>
  </b:Source>
  <b:Source>
    <b:Tag>Cro51</b:Tag>
    <b:SourceType>JournalArticle</b:SourceType>
    <b:Guid>{68A1AE9A-6196-4288-9B74-57177331F0AB}</b:Guid>
    <b:Title>Coefficient Alpha and the Internal Structure Tests</b:Title>
    <b:JournalName>Psychometrica</b:JournalName>
    <b:Year>1951</b:Year>
    <b:Pages>297-334</b:Pages>
    <b:Author>
      <b:Author>
        <b:NameList>
          <b:Person>
            <b:Last>Cronbach</b:Last>
            <b:First>L.</b:First>
          </b:Person>
        </b:NameList>
      </b:Author>
    </b:Author>
    <b:Volume>16</b:Volume>
    <b:Issue>3</b:Issue>
    <b:RefOrder>5</b:RefOrder>
  </b:Source>
  <b:Source>
    <b:Tag>Boh83</b:Tag>
    <b:SourceType>Book</b:SourceType>
    <b:Guid>{686556C4-E6DB-48D8-A2E5-2D27CC12FBAF}</b:Guid>
    <b:Title>Measurement</b:Title>
    <b:Year>1983</b:Year>
    <b:Author>
      <b:Author>
        <b:NameList>
          <b:Person>
            <b:Last>Bohrnstedt</b:Last>
            <b:First>G.</b:First>
          </b:Person>
        </b:NameList>
      </b:Author>
    </b:Author>
    <b:City>San Diego, CA</b:City>
    <b:Publisher>Academy Press</b:Publisher>
    <b:RefOrder>7</b:RefOrder>
  </b:Source>
  <b:Source>
    <b:Tag>Bag91</b:Tag>
    <b:SourceType>JournalArticle</b:SourceType>
    <b:Guid>{4EAE627D-7AB7-4353-A1F8-05CABC874FDD}</b:Guid>
    <b:Title>Assessing Construct Validity in Organizational Research</b:Title>
    <b:Year>1991</b:Year>
    <b:JournalName>Administrative Sciences Quarterly</b:JournalName>
    <b:Pages>421-458</b:Pages>
    <b:Author>
      <b:Author>
        <b:NameList>
          <b:Person>
            <b:Last>Bagozzi</b:Last>
            <b:First>R.</b:First>
          </b:Person>
          <b:Person>
            <b:Last>Yi</b:Last>
            <b:First>Y.</b:First>
          </b:Person>
          <b:Person>
            <b:Last>Philips</b:Last>
            <b:First>L.</b:First>
          </b:Person>
        </b:NameList>
      </b:Author>
    </b:Author>
    <b:Volume>36</b:Volume>
    <b:Issue>3</b:Issue>
    <b:RefOrder>223</b:RefOrder>
  </b:Source>
  <b:Source>
    <b:Tag>Nun78</b:Tag>
    <b:SourceType>Book</b:SourceType>
    <b:Guid>{0D310EE8-7F63-4BF4-A271-02B4C565B91C}</b:Guid>
    <b:Title>Psychometric Theory</b:Title>
    <b:Year>1978</b:Year>
    <b:Author>
      <b:Author>
        <b:NameList>
          <b:Person>
            <b:Last>Nunnally</b:Last>
            <b:First>J.</b:First>
          </b:Person>
        </b:NameList>
      </b:Author>
    </b:Author>
    <b:City>New York, NY</b:City>
    <b:Publisher>McGraw-Hill</b:Publisher>
    <b:RefOrder>9</b:RefOrder>
  </b:Source>
  <b:Source>
    <b:Tag>Sha121</b:Tag>
    <b:SourceType>JournalArticle</b:SourceType>
    <b:Guid>{22C3B32C-2DB8-426A-92CC-986B80D526A7}</b:Guid>
    <b:Title>The Inter-Linkages of Working Capital and Profitability in Pakistan (2001-2010)</b:Title>
    <b:Year>2012</b:Year>
    <b:Author>
      <b:Author>
        <b:NameList>
          <b:Person>
            <b:Last>Shakoor</b:Last>
            <b:First>F.</b:First>
          </b:Person>
          <b:Person>
            <b:Last>Khan</b:Last>
            <b:Middle>Q.</b:Middle>
            <b:First>A.</b:First>
          </b:Person>
          <b:Person>
            <b:Last>Nawab</b:Last>
            <b:First>S.</b:First>
          </b:Person>
        </b:NameList>
      </b:Author>
    </b:Author>
    <b:JournalName>Academic Research International</b:JournalName>
    <b:Pages>562-567</b:Pages>
    <b:Volume>3</b:Volume>
    <b:Issue>2</b:Issue>
    <b:RefOrder>224</b:RefOrder>
  </b:Source>
  <b:Source>
    <b:Tag>Hof101</b:Tag>
    <b:SourceType>JournalArticle</b:SourceType>
    <b:Guid>{A7F4B4DE-A42F-41E9-9BEC-2D56C182A387}</b:Guid>
    <b:Title>A Supply Chain-Oriented Approach of Working Capital Management</b:Title>
    <b:JournalName>Journal of Business Logistics</b:JournalName>
    <b:Year>2010</b:Year>
    <b:Pages>305-330</b:Pages>
    <b:Author>
      <b:Author>
        <b:NameList>
          <b:Person>
            <b:Last>Hofmann</b:Last>
            <b:First>E.</b:First>
          </b:Person>
          <b:Person>
            <b:Last>Kotzab</b:Last>
            <b:First>H.</b:First>
          </b:Person>
        </b:NameList>
      </b:Author>
    </b:Author>
    <b:Volume>31</b:Volume>
    <b:Issue>2</b:Issue>
    <b:RefOrder>225</b:RefOrder>
  </b:Source>
  <b:Source>
    <b:Tag>Placeholder1</b:Tag>
    <b:SourceType>JournalArticle</b:SourceType>
    <b:Guid>{F7D7D1EC-F832-4C04-9D06-2C8EFCB51B0C}</b:Guid>
    <b:Title>Efficiency of Working Capital Management and Corporate Profitability</b:Title>
    <b:JournalName>Financial Practice &amp; Education</b:JournalName>
    <b:Year>1998</b:Year>
    <b:Pages>37-45</b:Pages>
    <b:Author>
      <b:Author>
        <b:NameList>
          <b:Person>
            <b:Last>Shin</b:Last>
            <b:First>H.</b:First>
          </b:Person>
          <b:Person>
            <b:Last>Soenen</b:Last>
            <b:First>L.</b:First>
          </b:Person>
        </b:NameList>
      </b:Author>
    </b:Author>
    <b:Volume>8</b:Volume>
    <b:Issue>2</b:Issue>
    <b:RefOrder>226</b:RefOrder>
  </b:Source>
  <b:Source>
    <b:Tag>Placeholder2</b:Tag>
    <b:SourceType>JournalArticle</b:SourceType>
    <b:Guid>{508C5051-15E4-4859-BBB0-32B95CF27D99}</b:Guid>
    <b:Title>Effects of Supply Chain Management Practices, Integration and Competition Capability on Performance</b:Title>
    <b:JournalName>Supply Chain Management: An International Journal</b:JournalName>
    <b:Year>2006</b:Year>
    <b:Pages>241-248</b:Pages>
    <b:Author>
      <b:Author>
        <b:NameList>
          <b:Person>
            <b:Last>Kim</b:Last>
            <b:Middle>W.</b:Middle>
            <b:First>S.</b:First>
          </b:Person>
        </b:NameList>
      </b:Author>
    </b:Author>
    <b:Volume>11</b:Volume>
    <b:Issue>3</b:Issue>
    <b:RefOrder>227</b:RefOrder>
  </b:Source>
  <b:Source>
    <b:Tag>Placeholder4</b:Tag>
    <b:SourceType>JournalArticle</b:SourceType>
    <b:Guid>{F518F940-CAF8-48BF-912A-DDC5D351BD11}</b:Guid>
    <b:Author>
      <b:Author>
        <b:NameList>
          <b:Person>
            <b:Last>Kumar</b:Last>
            <b:First>C.</b:First>
            <b:Middle>Ganesh</b:Middle>
          </b:Person>
          <b:Person>
            <b:Last>Nambirajan</b:Last>
            <b:First>T.</b:First>
          </b:Person>
        </b:NameList>
      </b:Author>
    </b:Author>
    <b:Title>Supply Chain Management Components, Supply Chain Performance and Organizational Performance: A Critical Review and Development of Conceptual Model</b:Title>
    <b:JournalName>International Journal on Global Business Management and Research</b:JournalName>
    <b:Year>2013</b:Year>
    <b:Pages>86-96</b:Pages>
    <b:RefOrder>228</b:RefOrder>
  </b:Source>
  <b:Source>
    <b:Tag>Placeholder6</b:Tag>
    <b:SourceType>Book</b:SourceType>
    <b:Guid>{AD6294A2-DBC4-461C-944A-42D31317D1B1}</b:Guid>
    <b:Author>
      <b:Author>
        <b:NameList>
          <b:Person>
            <b:Last>Stein</b:Last>
            <b:First>M.</b:First>
          </b:Person>
          <b:Person>
            <b:Last>Voehl</b:Last>
            <b:First>F.</b:First>
          </b:Person>
        </b:NameList>
      </b:Author>
    </b:Author>
    <b:Title>Macrologistics Management</b:Title>
    <b:Year>1998</b:Year>
    <b:City>Boca Raton, FL</b:City>
    <b:Publisher>St Lucie Press</b:Publisher>
    <b:RefOrder>229</b:RefOrder>
  </b:Source>
  <b:Source>
    <b:Tag>Placeholder16</b:Tag>
    <b:SourceType>JournalArticle</b:SourceType>
    <b:Guid>{62A0C96B-F42F-4404-93C0-CF32137EDFA4}</b:Guid>
    <b:Title>Supply Chain Management: an Empirical Study of Its Impact on Performance</b:Title>
    <b:JournalName>International Journal of Purchasing and Material Management</b:JournalName>
    <b:Year>1999</b:Year>
    <b:Pages>1034-1052</b:Pages>
    <b:Author>
      <b:Author>
        <b:NameList>
          <b:Person>
            <b:Last>Tan</b:Last>
            <b:First>K. C.</b:First>
          </b:Person>
          <b:Person>
            <b:Last>Kannan</b:Last>
            <b:First>V. R.</b:First>
          </b:Person>
          <b:Person>
            <b:Last>Handfield</b:Last>
            <b:First>R. B.</b:First>
          </b:Person>
          <b:Person>
            <b:Last>Ghosh</b:Last>
            <b:First>S.</b:First>
          </b:Person>
        </b:NameList>
      </b:Author>
    </b:Author>
    <b:Volume>19</b:Volume>
    <b:Issue>10</b:Issue>
    <b:RefOrder>230</b:RefOrder>
  </b:Source>
  <b:Source>
    <b:Tag>Placeholder18</b:Tag>
    <b:SourceType>JournalArticle</b:SourceType>
    <b:Guid>{8B7427AB-581F-49A8-8E87-8CDBA9E001E6}</b:Guid>
    <b:Author>
      <b:Author>
        <b:NameList>
          <b:Person>
            <b:Last>Lambert</b:Last>
            <b:First>Douglas</b:First>
            <b:Middle>M.</b:Middle>
          </b:Person>
          <b:Person>
            <b:Last>Cooper</b:Last>
            <b:First>Martha</b:First>
            <b:Middle>C.</b:Middle>
          </b:Person>
        </b:NameList>
      </b:Author>
    </b:Author>
    <b:Title>Issues in Supply Chain Management</b:Title>
    <b:JournalName>Industrial Marketing Management</b:JournalName>
    <b:Year>2000</b:Year>
    <b:Pages>65-83</b:Pages>
    <b:Volume>29</b:Volume>
    <b:Issue>1</b:Issue>
    <b:RefOrder>231</b:RefOrder>
  </b:Source>
  <b:Source>
    <b:Tag>Placeholder14</b:Tag>
    <b:SourceType>JournalArticle</b:SourceType>
    <b:Guid>{DAAB2196-F86B-4639-AD9B-892BBA293D92}</b:Guid>
    <b:Author>
      <b:Author>
        <b:NameList>
          <b:Person>
            <b:Last>Abdallah</b:Last>
            <b:First>Ayman</b:First>
            <b:Middle>Bahjat</b:Middle>
          </b:Person>
          <b:Person>
            <b:Last>Obeidat</b:Last>
            <b:First>Bader</b:First>
            <b:Middle>Yousef</b:Middle>
          </b:Person>
          <b:Person>
            <b:Last>Aqqad</b:Last>
            <b:First>Noor</b:First>
            <b:Middle>Osama</b:Middle>
          </b:Person>
        </b:NameList>
      </b:Author>
    </b:Author>
    <b:Title>The Impact of Supply Chain Management Practices on Supply Chain Performance in Jordan: The Moderating Effect of Competitive Intensity</b:Title>
    <b:JournalName>International Business Research</b:JournalName>
    <b:Year>2014</b:Year>
    <b:Pages>13-27</b:Pages>
    <b:Volume>7</b:Volume>
    <b:Issue>3</b:Issue>
    <b:RefOrder>232</b:RefOrder>
  </b:Source>
  <b:Source>
    <b:Tag>Placeholder3</b:Tag>
    <b:SourceType>JournalArticle</b:SourceType>
    <b:Guid>{A731DDAC-CD9E-4341-845F-BC9E46B8D9B5}</b:Guid>
    <b:Title>Success Factors in Strategic Supplier Alliances: the Buying Company Perspective</b:Title>
    <b:JournalName>Decision Science</b:JournalName>
    <b:Year>1998</b:Year>
    <b:Pages>553-577</b:Pages>
    <b:Author>
      <b:Author>
        <b:NameList>
          <b:Person>
            <b:Last>Monczka</b:Last>
            <b:First>R. M.</b:First>
          </b:Person>
          <b:Person>
            <b:Last>Petersen</b:Last>
            <b:First>K. J.</b:First>
          </b:Person>
          <b:Person>
            <b:Last>Handfield</b:Last>
            <b:First>R. B.</b:First>
          </b:Person>
          <b:Person>
            <b:Last>Ragatz</b:Last>
            <b:First>G. L.</b:First>
          </b:Person>
        </b:NameList>
      </b:Author>
    </b:Author>
    <b:Volume>29</b:Volume>
    <b:Issue>3</b:Issue>
    <b:RefOrder>233</b:RefOrder>
  </b:Source>
  <b:Source>
    <b:Tag>Alb98</b:Tag>
    <b:SourceType>JournalArticle</b:SourceType>
    <b:Guid>{F9BA5322-65DF-43A7-8309-7FC6C978C61E}</b:Guid>
    <b:Title>Supply Chain Management: Principles and Techniques for the Practitioners</b:Title>
    <b:JournalName>APICS Educational and Research Foundation, Inc.</b:JournalName>
    <b:Year>1998</b:Year>
    <b:Author>
      <b:Author>
        <b:NameList>
          <b:Person>
            <b:Last>Alber</b:Last>
            <b:First>K. L.</b:First>
          </b:Person>
          <b:Person>
            <b:Last>Walker</b:Last>
            <b:First>W. T.</b:First>
          </b:Person>
        </b:NameList>
      </b:Author>
    </b:Author>
    <b:Pages>68</b:Pages>
    <b:RefOrder>234</b:RefOrder>
  </b:Source>
  <b:Source>
    <b:Tag>Ull01</b:Tag>
    <b:SourceType>BookSection</b:SourceType>
    <b:Guid>{BCA3EB10-9B27-47BC-B467-41A155C03A44}</b:Guid>
    <b:Title>Structural Equation Modeling.</b:Title>
    <b:Year>2001</b:Year>
    <b:Pages>653-771</b:Pages>
    <b:Author>
      <b:Author>
        <b:NameList>
          <b:Person>
            <b:Last>Ullman</b:Last>
            <b:Middle>B.</b:Middle>
            <b:First>J.</b:First>
          </b:Person>
        </b:NameList>
      </b:Author>
      <b:BookAuthor>
        <b:NameList>
          <b:Person>
            <b:Last>Tabachnick</b:Last>
            <b:Middle>G.</b:Middle>
            <b:First>B.</b:First>
          </b:Person>
          <b:Person>
            <b:Last>Fidell</b:Last>
            <b:Middle>S.</b:Middle>
            <b:First>L.</b:First>
          </b:Person>
        </b:NameList>
      </b:BookAuthor>
    </b:Author>
    <b:City>Needham Heights, MA</b:City>
    <b:Publisher>Allyn &amp; Bacon</b:Publisher>
    <b:BookTitle>Using Multivariate Statistics</b:BookTitle>
    <b:Edition>4th</b:Edition>
    <b:RefOrder>8</b:RefOrder>
  </b:Source>
  <b:Source>
    <b:Tag>Rog98</b:Tag>
    <b:SourceType>JournalArticle</b:SourceType>
    <b:Guid>{12B308F6-A4DB-4E7B-915F-46E0EB700D4D}</b:Guid>
    <b:Title>Measuring Organizational Performance in Strategic Human Resource Management: Problems, Prospects and Performance Information Markets</b:Title>
    <b:JournalName>Human Resource Management Review</b:JournalName>
    <b:Year>1998</b:Year>
    <b:Pages>311-331</b:Pages>
    <b:Author>
      <b:Author>
        <b:NameList>
          <b:Person>
            <b:Last>Rogers</b:Last>
            <b:First>E. W.</b:First>
          </b:Person>
          <b:Person>
            <b:Last> Wright</b:Last>
            <b:First>P. M.</b:First>
          </b:Person>
        </b:NameList>
      </b:Author>
    </b:Author>
    <b:Volume>8</b:Volume>
    <b:Issue>3</b:Issue>
    <b:RefOrder>235</b:RefOrder>
  </b:Source>
  <b:Source>
    <b:Tag>Wei95</b:Tag>
    <b:SourceType>JournalArticle</b:SourceType>
    <b:Guid>{7DBF6B31-6D86-4560-B147-1953EDCF40FC}</b:Guid>
    <b:Title>Relationship Marketing and Distribution Channels</b:Title>
    <b:JournalName>Journal of the Academy of Marketing Science</b:JournalName>
    <b:Year>1995</b:Year>
    <b:Pages>305-320</b:Pages>
    <b:Author>
      <b:Author>
        <b:NameList>
          <b:Person>
            <b:Last>Weitz</b:Last>
            <b:Middle>A.</b:Middle>
            <b:First>B.</b:First>
          </b:Person>
          <b:Person>
            <b:Last>Jap</b:Last>
            <b:Middle>D.</b:Middle>
            <b:First>S.</b:First>
          </b:Person>
        </b:NameList>
      </b:Author>
    </b:Author>
    <b:RefOrder>236</b:RefOrder>
  </b:Source>
  <b:Source>
    <b:Tag>Mor94</b:Tag>
    <b:SourceType>JournalArticle</b:SourceType>
    <b:Guid>{4A0CDC7B-DE5A-40A2-A1CA-261BD3A20F83}</b:Guid>
    <b:Title>The Commitment - Trust Theory of Relationship Marketing</b:Title>
    <b:JournalName>Journal of Marketing</b:JournalName>
    <b:Year>1994</b:Year>
    <b:Pages>20-38</b:Pages>
    <b:Author>
      <b:Author>
        <b:NameList>
          <b:Person>
            <b:Last>Morgan</b:Last>
            <b:Middle>M.</b:Middle>
            <b:First>R.</b:First>
          </b:Person>
          <b:Person>
            <b:Last>Hunt</b:Last>
            <b:Middle>D.</b:Middle>
            <b:First>S.</b:First>
          </b:Person>
        </b:NameList>
      </b:Author>
    </b:Author>
    <b:RefOrder>237</b:RefOrder>
  </b:Source>
  <b:Source>
    <b:Tag>Kot91</b:Tag>
    <b:SourceType>Book</b:SourceType>
    <b:Guid>{99D0A7DA-0F12-474A-B59E-CC95517C5630}</b:Guid>
    <b:Title>Marketing Management: Analysis, Planning, Implementation, and Control</b:Title>
    <b:Year>1991</b:Year>
    <b:Author>
      <b:Author>
        <b:NameList>
          <b:Person>
            <b:Last>Kotler</b:Last>
            <b:First>P.</b:First>
          </b:Person>
        </b:NameList>
      </b:Author>
    </b:Author>
    <b:Edition>7</b:Edition>
    <b:RefOrder>238</b:RefOrder>
  </b:Source>
  <b:Source>
    <b:Tag>Kot04</b:Tag>
    <b:SourceType>Book</b:SourceType>
    <b:Guid>{8A318CFF-D2C8-43E6-9F01-E422472F437C}</b:Guid>
    <b:Title>Principles of Marketing</b:Title>
    <b:Year>2004</b:Year>
    <b:City> Upper Saddle River, NJ</b:City>
    <b:Publisher>Prentice Hall</b:Publisher>
    <b:Author>
      <b:Author>
        <b:NameList>
          <b:Person>
            <b:Last>Kotler</b:Last>
            <b:First>P.</b:First>
          </b:Person>
          <b:Person>
            <b:Last>Armstrong</b:Last>
            <b:First>G.</b:First>
          </b:Person>
        </b:NameList>
      </b:Author>
    </b:Author>
    <b:RefOrder>239</b:RefOrder>
  </b:Source>
  <b:Source>
    <b:Tag>She95</b:Tag>
    <b:SourceType>JournalArticle</b:SourceType>
    <b:Guid>{9EDDB442-553C-43E5-8C2D-CE6F02647708}</b:Guid>
    <b:Title>The Evolution of Relationship Marketing</b:Title>
    <b:Year>1995</b:Year>
    <b:Author>
      <b:Author>
        <b:NameList>
          <b:Person>
            <b:Last>Sheth</b:Last>
            <b:Middle>N.</b:Middle>
            <b:First>J.</b:First>
          </b:Person>
          <b:Person>
            <b:Last>Parvatiyar</b:Last>
            <b:First>A.</b:First>
          </b:Person>
        </b:NameList>
      </b:Author>
    </b:Author>
    <b:JournalName>International Business Review</b:JournalName>
    <b:Pages>397-418</b:Pages>
    <b:RefOrder>240</b:RefOrder>
  </b:Source>
  <b:Source>
    <b:Tag>Min05</b:Tag>
    <b:SourceType>JournalArticle</b:SourceType>
    <b:Guid>{EF18FABB-4468-4A38-BD43-57B7B0BE3C59}</b:Guid>
    <b:Title>Supply Chain Collaboration: What's Happening?</b:Title>
    <b:JournalName>International Journal of Logistics Management</b:JournalName>
    <b:Year>2005</b:Year>
    <b:Pages>237-256</b:Pages>
    <b:Author>
      <b:Author>
        <b:NameList>
          <b:Person>
            <b:Last>Min</b:Last>
            <b:First>S.</b:First>
          </b:Person>
          <b:Person>
            <b:Last>Roath</b:Last>
            <b:Middle>S.</b:Middle>
            <b:First>A.</b:First>
          </b:Person>
          <b:Person>
            <b:Last>Daugherty</b:Last>
            <b:Middle>J.</b:Middle>
            <b:First>P.</b:First>
          </b:Person>
          <b:Person>
            <b:Last>Genchev</b:Last>
            <b:Middle>E.</b:Middle>
            <b:First>S.</b:First>
          </b:Person>
          <b:Person>
            <b:Last>Chen</b:Last>
            <b:First>H.</b:First>
          </b:Person>
          <b:Person>
            <b:Last>Arndt</b:Last>
            <b:Middle>D.</b:Middle>
            <b:First>A.</b:First>
          </b:Person>
          <b:Person>
            <b:Last>Richey</b:Last>
            <b:Middle>G.</b:Middle>
            <b:First>R.</b:First>
          </b:Person>
        </b:NameList>
      </b:Author>
    </b:Author>
    <b:Volume>16</b:Volume>
    <b:Issue>2</b:Issue>
    <b:RefOrder>241</b:RefOrder>
  </b:Source>
  <b:Source>
    <b:Tag>Pal08</b:Tag>
    <b:SourceType>JournalArticle</b:SourceType>
    <b:Guid>{AD721407-29F6-470D-923B-5F1C4DDCDE57}</b:Guid>
    <b:Title>Interfirm Relational  Drivers of Customer Value</b:Title>
    <b:JournalName>Journal of Marketing</b:JournalName>
    <b:Year>2008</b:Year>
    <b:Pages>76-89</b:Pages>
    <b:Author>
      <b:Author>
        <b:NameList>
          <b:Person>
            <b:Last>Palmatier</b:Last>
            <b:Middle>W.</b:Middle>
            <b:First>R.</b:First>
          </b:Person>
        </b:NameList>
      </b:Author>
    </b:Author>
    <b:Volume>72</b:Volume>
    <b:Issue>4</b:Issue>
    <b:RefOrder>242</b:RefOrder>
  </b:Source>
  <b:Source>
    <b:Tag>And92</b:Tag>
    <b:SourceType>JournalArticle</b:SourceType>
    <b:Guid>{1184901C-078A-402E-9117-113F9E55BAB8}</b:Guid>
    <b:Title>The Use of Pledges to Build and Sustain Commitment in Distribution Channels</b:Title>
    <b:JournalName>Journal of Marketing Research</b:JournalName>
    <b:Year>1992</b:Year>
    <b:Pages>18-34</b:Pages>
    <b:Author>
      <b:Author>
        <b:NameList>
          <b:Person>
            <b:Last>Anderson</b:Last>
            <b:First>E.</b:First>
          </b:Person>
          <b:Person>
            <b:Last>Weitz</b:Last>
            <b:First>B.</b:First>
          </b:Person>
        </b:NameList>
      </b:Author>
    </b:Author>
    <b:RefOrder>243</b:RefOrder>
  </b:Source>
  <b:Source>
    <b:Tag>Har99</b:Tag>
    <b:SourceType>JournalArticle</b:SourceType>
    <b:Guid>{92AC9EDC-B1BC-4CB5-9C31-BEA9DF8BC54B}</b:Guid>
    <b:Title>Relationship Marketing Defined? An Examination of Current Relationship Marketing Definitions</b:Title>
    <b:JournalName>Marketing Intelligence &amp; Planning</b:JournalName>
    <b:Year>1999</b:Year>
    <b:Pages>13-20</b:Pages>
    <b:Author>
      <b:Author>
        <b:NameList>
          <b:Person>
            <b:Last>Harker</b:Last>
            <b:Middle>J.</b:Middle>
            <b:First>M.</b:First>
          </b:Person>
        </b:NameList>
      </b:Author>
    </b:Author>
    <b:RefOrder>244</b:RefOrder>
  </b:Source>
  <b:Source>
    <b:Tag>Gro94</b:Tag>
    <b:SourceType>JournalArticle</b:SourceType>
    <b:Guid>{5BAB9E46-6CD4-4480-BC24-23B06C3CB06E}</b:Guid>
    <b:Title>Quo vadis, Marketing? Toward a Relationship Marketing Paradigm</b:Title>
    <b:JournalName>Journal of Marketing Management</b:JournalName>
    <b:Year>1994</b:Year>
    <b:Pages>347-360</b:Pages>
    <b:Author>
      <b:Author>
        <b:NameList>
          <b:Person>
            <b:Last>Gronroos</b:Last>
            <b:First>C.</b:First>
          </b:Person>
        </b:NameList>
      </b:Author>
    </b:Author>
    <b:RefOrder>245</b:RefOrder>
  </b:Source>
  <b:Source>
    <b:Tag>Cla99</b:Tag>
    <b:SourceType>JournalArticle</b:SourceType>
    <b:Guid>{CC5C79B4-4E43-4BF0-8C49-D6D4DA90BC39}</b:Guid>
    <b:Title>The Effect of Just-in-Time with Customers on Organizational Design and Performance</b:Title>
    <b:Year>1999</b:Year>
    <b:JournalName>The International Journal of Logistics Management</b:JournalName>
    <b:Pages>37-58</b:Pages>
    <b:Author>
      <b:Author>
        <b:NameList>
          <b:Person>
            <b:Last>Claycomb</b:Last>
            <b:First>C.</b:First>
          </b:Person>
          <b:Person>
            <b:Last>Droge</b:Last>
            <b:First>C.</b:First>
          </b:Person>
          <b:Person>
            <b:Last>Germain</b:Last>
            <b:First>R.</b:First>
          </b:Person>
        </b:NameList>
      </b:Author>
    </b:Author>
    <b:Volume>10</b:Volume>
    <b:Issue>1</b:Issue>
    <b:RefOrder>246</b:RefOrder>
  </b:Source>
  <b:Source>
    <b:Tag>Fab99</b:Tag>
    <b:SourceType>JournalArticle</b:SourceType>
    <b:Guid>{55102F9F-C307-4695-AA73-C41A57690372}</b:Guid>
    <b:Title>Evaluating the Use of Exploratory Factor Analysis in Psychological Research</b:Title>
    <b:JournalName>Psychological Methods</b:JournalName>
    <b:Year>1999</b:Year>
    <b:Pages>272-299</b:Pages>
    <b:Author>
      <b:Author>
        <b:NameList>
          <b:Person>
            <b:Last>Fabrigar</b:Last>
            <b:Middle>R.</b:Middle>
            <b:First>L.</b:First>
          </b:Person>
          <b:Person>
            <b:Last>MacCallum</b:Last>
            <b:Middle>C.</b:Middle>
            <b:First>R.</b:First>
          </b:Person>
          <b:Person>
            <b:Last>Wegener</b:Last>
            <b:Middle>T.</b:Middle>
            <b:First>D.</b:First>
          </b:Person>
          <b:Person>
            <b:Last>Strahan</b:Last>
            <b:Middle>J.</b:Middle>
            <b:First>E.</b:First>
          </b:Person>
        </b:NameList>
      </b:Author>
    </b:Author>
    <b:Volume>4</b:Volume>
    <b:Issue>3</b:Issue>
    <b:RefOrder>247</b:RefOrder>
  </b:Source>
  <b:Source>
    <b:Tag>Gar99</b:Tag>
    <b:SourceType>JournalArticle</b:SourceType>
    <b:Guid>{9E125B06-F582-47F0-A86D-B1FCAC6B7CDC}</b:Guid>
    <b:Title>Supply Chain Management: New Paradigms for Customers and Suppliers</b:Title>
    <b:JournalName>Hospital Materials Management Quarterly</b:JournalName>
    <b:Year>1999</b:Year>
    <b:Pages>1-3</b:Pages>
    <b:Author>
      <b:Author>
        <b:NameList>
          <b:Person>
            <b:Last>Garwood</b:Last>
            <b:First>D.</b:First>
          </b:Person>
        </b:NameList>
      </b:Author>
    </b:Author>
    <b:Volume>20</b:Volume>
    <b:Issue>3</b:Issue>
    <b:RefOrder>2</b:RefOrder>
  </b:Source>
</b:Sources>
</file>

<file path=customXml/itemProps1.xml><?xml version="1.0" encoding="utf-8"?>
<ds:datastoreItem xmlns:ds="http://schemas.openxmlformats.org/officeDocument/2006/customXml" ds:itemID="{27B842F1-D69C-4F83-BF53-F1216B8F3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TF_Template_Word_Windows_2013</Template>
  <TotalTime>0</TotalTime>
  <Pages>24</Pages>
  <Words>33274</Words>
  <Characters>189666</Characters>
  <Application>Microsoft Office Word</Application>
  <DocSecurity>0</DocSecurity>
  <Lines>1580</Lines>
  <Paragraphs>444</Paragraphs>
  <ScaleCrop>false</ScaleCrop>
  <HeadingPairs>
    <vt:vector size="2" baseType="variant">
      <vt:variant>
        <vt:lpstr>Title</vt:lpstr>
      </vt:variant>
      <vt:variant>
        <vt:i4>1</vt:i4>
      </vt:variant>
    </vt:vector>
  </HeadingPairs>
  <TitlesOfParts>
    <vt:vector size="1" baseType="lpstr">
      <vt:lpstr>TF_Template_Word_Windows_2013</vt:lpstr>
    </vt:vector>
  </TitlesOfParts>
  <Company>Informa Plc</Company>
  <LinksUpToDate>false</LinksUpToDate>
  <CharactersWithSpaces>222496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TF_Template_Word_Windows_2013</dc:title>
  <dc:creator>Faculty</dc:creator>
  <cp:lastModifiedBy>Sana Sayeed</cp:lastModifiedBy>
  <cp:revision>2</cp:revision>
  <cp:lastPrinted>2017-05-07T13:03:00Z</cp:lastPrinted>
  <dcterms:created xsi:type="dcterms:W3CDTF">2020-09-08T11:52:00Z</dcterms:created>
  <dcterms:modified xsi:type="dcterms:W3CDTF">2020-09-08T11:52:00Z</dcterms:modified>
</cp:coreProperties>
</file>